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C35A9" w:rsidRPr="0041670C" w:rsidTr="0037194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EC35A9" w:rsidRPr="0041670C" w:rsidRDefault="00EC35A9" w:rsidP="0037194A">
            <w:pPr>
              <w:pStyle w:val="EPName"/>
            </w:pPr>
            <w:r w:rsidRPr="0041670C">
              <w:t>Parlament Ewropew</w:t>
            </w:r>
          </w:p>
          <w:p w:rsidR="00EC35A9" w:rsidRPr="0041670C" w:rsidRDefault="00EC35A9" w:rsidP="0037194A">
            <w:pPr>
              <w:pStyle w:val="EPTerm"/>
              <w:rPr>
                <w:rStyle w:val="HideTWBExt"/>
                <w:vanish w:val="0"/>
              </w:rPr>
            </w:pPr>
            <w:r w:rsidRPr="0041670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EC35A9" w:rsidRPr="0041670C" w:rsidRDefault="00EC35A9" w:rsidP="0037194A">
            <w:pPr>
              <w:pStyle w:val="EPLogo"/>
            </w:pPr>
            <w:r w:rsidRPr="0041670C">
              <w:rPr>
                <w:noProof/>
                <w:lang w:val="en-GB"/>
              </w:rPr>
              <w:drawing>
                <wp:inline distT="0" distB="0" distL="0" distR="0" wp14:anchorId="3D1CC3BD" wp14:editId="138DF8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35A9" w:rsidRPr="0041670C" w:rsidRDefault="00EC35A9" w:rsidP="00EC35A9">
      <w:pPr>
        <w:pStyle w:val="LineTop"/>
      </w:pPr>
    </w:p>
    <w:p w:rsidR="00EC35A9" w:rsidRPr="0041670C" w:rsidRDefault="00EC35A9" w:rsidP="00EC35A9">
      <w:pPr>
        <w:pStyle w:val="EPBodyTA1"/>
      </w:pPr>
      <w:r w:rsidRPr="0041670C">
        <w:t>TESTI ADOTTATI</w:t>
      </w:r>
    </w:p>
    <w:p w:rsidR="00EC35A9" w:rsidRPr="0041670C" w:rsidRDefault="00EC35A9" w:rsidP="00EC35A9">
      <w:pPr>
        <w:pStyle w:val="LineBottom"/>
      </w:pPr>
    </w:p>
    <w:p w:rsidR="00EC35A9" w:rsidRPr="0041670C" w:rsidRDefault="00EC35A9" w:rsidP="00EC35A9">
      <w:pPr>
        <w:pStyle w:val="ATHeading1"/>
      </w:pPr>
      <w:bookmarkStart w:id="0" w:name="TANumber"/>
      <w:r w:rsidRPr="0041670C">
        <w:t>P9_TA(2024)0</w:t>
      </w:r>
      <w:r>
        <w:t>142</w:t>
      </w:r>
      <w:bookmarkEnd w:id="0"/>
    </w:p>
    <w:p w:rsidR="00EC35A9" w:rsidRPr="0041670C" w:rsidRDefault="00EC35A9" w:rsidP="00EC35A9">
      <w:pPr>
        <w:pStyle w:val="ATHeading2"/>
      </w:pPr>
      <w:r w:rsidRPr="00711DE8">
        <w:t>L-użu tas-Sistema ta’ Informazzjoni tas-Suq Intern u l-Gateway Diġitali Unika għall-finijiet ta’ ċerti rekwiżiti stabbiliti bid-Direttiva dwar l-assoċjazzjonijiet transfruntiera Ewropej</w:t>
      </w:r>
    </w:p>
    <w:p w:rsidR="00EC35A9" w:rsidRPr="00EC35A9" w:rsidRDefault="00EC35A9" w:rsidP="00EC35A9">
      <w:pPr>
        <w:spacing w:before="0" w:after="0" w:line="240" w:lineRule="auto"/>
        <w:rPr>
          <w:i/>
          <w:vanish/>
          <w:lang w:val="mt-MT"/>
        </w:rPr>
      </w:pPr>
      <w:r w:rsidRPr="0041670C">
        <w:rPr>
          <w:i/>
        </w:rPr>
        <w:fldChar w:fldCharType="begin"/>
      </w:r>
      <w:r w:rsidRPr="00EC35A9">
        <w:rPr>
          <w:i/>
          <w:lang w:val="mt-MT"/>
        </w:rPr>
        <w:instrText xml:space="preserve"> TC"(</w:instrText>
      </w:r>
      <w:bookmarkStart w:id="1" w:name="DocNumber"/>
      <w:r w:rsidRPr="00EC35A9">
        <w:rPr>
          <w:i/>
          <w:lang w:val="mt-MT"/>
        </w:rPr>
        <w:instrText>A9-0006/2024</w:instrText>
      </w:r>
      <w:bookmarkEnd w:id="1"/>
      <w:r w:rsidRPr="00EC35A9">
        <w:rPr>
          <w:i/>
          <w:lang w:val="mt-MT"/>
        </w:rPr>
        <w:instrText xml:space="preserve"> - Rapporteur: Anne</w:instrText>
      </w:r>
      <w:r w:rsidRPr="00EC35A9">
        <w:rPr>
          <w:i/>
          <w:lang w:val="mt-MT"/>
        </w:rPr>
        <w:noBreakHyphen/>
        <w:instrText xml:space="preserve">Sophie Pelletier)"\l3 \n&gt; \* MERGEFORMAT </w:instrText>
      </w:r>
      <w:r w:rsidRPr="0041670C">
        <w:rPr>
          <w:i/>
        </w:rPr>
        <w:fldChar w:fldCharType="end"/>
      </w:r>
    </w:p>
    <w:p w:rsidR="00EC35A9" w:rsidRPr="00EC35A9" w:rsidRDefault="00EC35A9" w:rsidP="00EC35A9">
      <w:pPr>
        <w:spacing w:before="0" w:after="0" w:line="240" w:lineRule="auto"/>
        <w:rPr>
          <w:vanish/>
          <w:lang w:val="mt-MT"/>
        </w:rPr>
      </w:pPr>
      <w:bookmarkStart w:id="2" w:name="Commission"/>
      <w:r w:rsidRPr="00EC35A9">
        <w:rPr>
          <w:vanish/>
          <w:lang w:val="mt-MT"/>
        </w:rPr>
        <w:t>Kumitat għas-Suq Intern u l-Ħarsien tal-Konsumatur</w:t>
      </w:r>
      <w:bookmarkEnd w:id="2"/>
    </w:p>
    <w:p w:rsidR="00EC35A9" w:rsidRPr="00EC35A9" w:rsidRDefault="00EC35A9" w:rsidP="00EC35A9">
      <w:pPr>
        <w:spacing w:before="0" w:after="0" w:line="240" w:lineRule="auto"/>
        <w:rPr>
          <w:vanish/>
          <w:lang w:val="mt-MT"/>
        </w:rPr>
      </w:pPr>
      <w:bookmarkStart w:id="3" w:name="PE"/>
      <w:r w:rsidRPr="00EC35A9">
        <w:rPr>
          <w:vanish/>
          <w:lang w:val="mt-MT"/>
        </w:rPr>
        <w:t>PE756.195</w:t>
      </w:r>
      <w:bookmarkEnd w:id="3"/>
    </w:p>
    <w:p w:rsidR="00EC35A9" w:rsidRPr="0041670C" w:rsidRDefault="00EC35A9" w:rsidP="00EC35A9">
      <w:pPr>
        <w:pStyle w:val="ATHeading3"/>
      </w:pPr>
      <w:bookmarkStart w:id="4" w:name="Sujet"/>
      <w:r w:rsidRPr="0041670C">
        <w:t xml:space="preserve">Riżoluzzjoni leġiżlattiva tal-Parlament Ewropew tat-13 ta' Marzu 2024 dwar il-proposta għal regolament tal-Parlament Ewropew u tal-Kunsill li jemenda r-Regolamenti (UE) Nru 1024/2012 u (UE) 2018/1724 fir-rigward tal-użu tas-Sistema ta’ Informazzjoni tas-Suq Intern u l-Gateway Diġitali Unika għall-finijiet ta’ ċerti rekwiżiti stabbiliti bid-Direttiva </w:t>
      </w:r>
      <w:r w:rsidRPr="00711DE8">
        <w:t xml:space="preserve">(UE) </w:t>
      </w:r>
      <w:r>
        <w:t>…</w:t>
      </w:r>
      <w:r w:rsidRPr="00711DE8">
        <w:t>/</w:t>
      </w:r>
      <w:r>
        <w:t>…</w:t>
      </w:r>
      <w:r w:rsidRPr="00711DE8">
        <w:t xml:space="preserve"> </w:t>
      </w:r>
      <w:r w:rsidRPr="0041670C">
        <w:t>tal-Parlament Ewropew u tal-Kunsill dwar l-assoċjazzjonijiet transfruntiera Ewropej (COM(2023)</w:t>
      </w:r>
      <w:r w:rsidR="00BB0420">
        <w:rPr>
          <w:lang w:val="sl-SI"/>
        </w:rPr>
        <w:t>0</w:t>
      </w:r>
      <w:r w:rsidRPr="0041670C">
        <w:t>516</w:t>
      </w:r>
      <w:bookmarkEnd w:id="4"/>
      <w:r w:rsidR="00335FBF">
        <w:t>)</w:t>
      </w:r>
      <w:r w:rsidRPr="0041670C">
        <w:t xml:space="preserve"> </w:t>
      </w:r>
      <w:bookmarkStart w:id="5" w:name="References"/>
      <w:r w:rsidRPr="0041670C">
        <w:t>(COM(2023)0515 – C9-0327/2023 – 2023/0314(COD))</w:t>
      </w:r>
      <w:bookmarkEnd w:id="5"/>
    </w:p>
    <w:p w:rsidR="00EC35A9" w:rsidRPr="0041670C" w:rsidRDefault="00EC35A9" w:rsidP="00EC35A9">
      <w:pPr>
        <w:pStyle w:val="NormalBold"/>
      </w:pPr>
      <w:bookmarkStart w:id="6" w:name="TextBodyBegin"/>
      <w:bookmarkEnd w:id="6"/>
      <w:r w:rsidRPr="0041670C">
        <w:t>(Proċedura leġiżlattiva ordinarja: l-ewwel qari)</w:t>
      </w:r>
    </w:p>
    <w:p w:rsidR="00EC35A9" w:rsidRPr="0041670C" w:rsidRDefault="00EC35A9" w:rsidP="00EC35A9">
      <w:pPr>
        <w:pStyle w:val="EPComma"/>
      </w:pPr>
      <w:r w:rsidRPr="0041670C">
        <w:rPr>
          <w:i/>
        </w:rPr>
        <w:t>Il-Parlament Ewropew</w:t>
      </w:r>
      <w:r w:rsidRPr="0041670C">
        <w:t>,</w:t>
      </w:r>
    </w:p>
    <w:p w:rsidR="00EC35A9" w:rsidRPr="0041670C" w:rsidRDefault="00EC35A9" w:rsidP="00EC35A9">
      <w:pPr>
        <w:pStyle w:val="NormalHanging12a"/>
      </w:pPr>
      <w:r w:rsidRPr="0041670C">
        <w:t>–</w:t>
      </w:r>
      <w:r w:rsidRPr="0041670C">
        <w:tab/>
        <w:t>wara li kkunsidra l-proposta tal-Kummissjoni lill-Parlament Ewropew u lill-Kunsill (COM(2023)0515),</w:t>
      </w:r>
    </w:p>
    <w:p w:rsidR="00EC35A9" w:rsidRPr="0041670C" w:rsidRDefault="00EC35A9" w:rsidP="00EC35A9">
      <w:pPr>
        <w:pStyle w:val="NormalHanging12a"/>
      </w:pPr>
      <w:r w:rsidRPr="0041670C">
        <w:t>–</w:t>
      </w:r>
      <w:r w:rsidRPr="0041670C">
        <w:tab/>
        <w:t>wara li kkunsidra l-Artikolu 294(2)</w:t>
      </w:r>
      <w:r>
        <w:t xml:space="preserve"> u</w:t>
      </w:r>
      <w:r w:rsidRPr="0041670C">
        <w:t xml:space="preserve"> l-Artikol</w:t>
      </w:r>
      <w:r>
        <w:t>i</w:t>
      </w:r>
      <w:r w:rsidRPr="0041670C">
        <w:t xml:space="preserve"> 21(2) 114 tat-Trattat dwar il-Funzjonament tal-Unjoni Ewropea, skont liema artikoli l-Kummissjoni ppreżentat il-proposta lill-Parlament (C9</w:t>
      </w:r>
      <w:r w:rsidRPr="0041670C">
        <w:noBreakHyphen/>
        <w:t>0327/2023),</w:t>
      </w:r>
    </w:p>
    <w:p w:rsidR="00EC35A9" w:rsidRDefault="00EC35A9" w:rsidP="00EC35A9">
      <w:pPr>
        <w:pStyle w:val="NormalHanging12a"/>
      </w:pPr>
      <w:r w:rsidRPr="0041670C">
        <w:t>–</w:t>
      </w:r>
      <w:r w:rsidRPr="0041670C">
        <w:tab/>
        <w:t>wara li kkunsidra l-Artikolu 294(3) tat-Trattat dwar il-Funzjonament tal-Unjoni Ewropea,</w:t>
      </w:r>
    </w:p>
    <w:p w:rsidR="00EC35A9" w:rsidRPr="0041670C" w:rsidRDefault="00EC35A9" w:rsidP="00EC35A9">
      <w:pPr>
        <w:pStyle w:val="NormalHanging12a"/>
      </w:pPr>
      <w:r w:rsidRPr="0041670C">
        <w:t>–</w:t>
      </w:r>
      <w:r w:rsidRPr="0041670C">
        <w:tab/>
        <w:t xml:space="preserve">wara li kkunsidra </w:t>
      </w:r>
      <w:r w:rsidRPr="00B94FC2">
        <w:t>l-opinjoni tal-Kumitat Ekonomiku u Soċjali Ewropew</w:t>
      </w:r>
      <w:r>
        <w:t xml:space="preserve"> tas-17 ta’ Jannar 2024</w:t>
      </w:r>
      <w:r>
        <w:rPr>
          <w:rStyle w:val="FootnoteReference"/>
        </w:rPr>
        <w:footnoteReference w:id="1"/>
      </w:r>
      <w:r w:rsidRPr="00B94FC2">
        <w:t>,</w:t>
      </w:r>
    </w:p>
    <w:p w:rsidR="00EC35A9" w:rsidRPr="0041670C" w:rsidRDefault="00EC35A9" w:rsidP="00EC35A9">
      <w:pPr>
        <w:pStyle w:val="NormalHanging12a"/>
      </w:pPr>
      <w:r w:rsidRPr="0041670C">
        <w:t>–</w:t>
      </w:r>
      <w:r w:rsidRPr="0041670C">
        <w:tab/>
        <w:t>wara li kkunsidra l-Artikolu 59 tar-Regoli ta’ Proċedura tiegħu,</w:t>
      </w:r>
    </w:p>
    <w:p w:rsidR="00EC35A9" w:rsidRPr="0041670C" w:rsidRDefault="00EC35A9" w:rsidP="00EC35A9">
      <w:pPr>
        <w:pStyle w:val="NormalHanging12a"/>
      </w:pPr>
      <w:r w:rsidRPr="0041670C">
        <w:t>–</w:t>
      </w:r>
      <w:r w:rsidRPr="0041670C">
        <w:tab/>
        <w:t>wara li kkunsidra l-opinjoni tal-Kumitat għall-Affarijiet Legali,</w:t>
      </w:r>
    </w:p>
    <w:p w:rsidR="00EC35A9" w:rsidRPr="0041670C" w:rsidRDefault="00EC35A9" w:rsidP="00EC35A9">
      <w:pPr>
        <w:pStyle w:val="NormalHanging12a"/>
      </w:pPr>
      <w:r w:rsidRPr="0041670C">
        <w:t>–</w:t>
      </w:r>
      <w:r w:rsidRPr="0041670C">
        <w:tab/>
        <w:t>wara li kkunsidra r-rapport tal-Kumitat għas-Suq Intern u l-Ħarsien tal-Konsumatur (A9-0006/2024),</w:t>
      </w:r>
    </w:p>
    <w:p w:rsidR="00EC35A9" w:rsidRPr="0041670C" w:rsidRDefault="00EC35A9" w:rsidP="00EC35A9">
      <w:pPr>
        <w:pStyle w:val="NormalHanging12a"/>
      </w:pPr>
      <w:r w:rsidRPr="0041670C">
        <w:lastRenderedPageBreak/>
        <w:t>1.</w:t>
      </w:r>
      <w:r w:rsidRPr="0041670C">
        <w:tab/>
        <w:t>Jadotta l-pożizzjoni fl-ewwel qari li tidher hawn taħt;</w:t>
      </w:r>
    </w:p>
    <w:p w:rsidR="00EC35A9" w:rsidRPr="0041670C" w:rsidRDefault="00EC35A9" w:rsidP="00EC35A9">
      <w:pPr>
        <w:pStyle w:val="NormalHanging12a"/>
      </w:pPr>
      <w:r w:rsidRPr="0041670C">
        <w:t>2</w:t>
      </w:r>
      <w:r w:rsidR="00BB0420">
        <w:rPr>
          <w:lang w:val="sl-SI"/>
        </w:rPr>
        <w:t>.</w:t>
      </w:r>
      <w:r w:rsidRPr="0041670C">
        <w:tab/>
      </w:r>
      <w:r w:rsidR="003460F4">
        <w:t>Jitlob</w:t>
      </w:r>
      <w:r w:rsidRPr="0041670C">
        <w:t xml:space="preserve"> lill-Kummissjoni terġa’ tirreferi l-kwistjoni lill-Parlament jekk tibdel il-proposta tagħha, temendaha b’mod sustanzjali jew ikollha l-ħsieb li temendaha b’mod sustanzjali;</w:t>
      </w:r>
    </w:p>
    <w:p w:rsidR="00536CA7" w:rsidRDefault="00EC35A9" w:rsidP="00EC35A9">
      <w:pPr>
        <w:pStyle w:val="Rfrenceinstitutionnelle"/>
        <w:spacing w:after="0" w:line="240" w:lineRule="auto"/>
        <w:ind w:left="567" w:hanging="567"/>
        <w:rPr>
          <w:lang w:val="mt-MT"/>
        </w:rPr>
        <w:sectPr w:rsidR="00536CA7">
          <w:footerReference w:type="even" r:id="rId8"/>
          <w:footerReference w:type="first" r:id="rId9"/>
          <w:footnotePr>
            <w:numRestart w:val="eachSect"/>
          </w:footnotePr>
          <w:pgSz w:w="11909" w:h="16834"/>
          <w:pgMar w:top="1134" w:right="1417" w:bottom="1417" w:left="1417" w:header="1134" w:footer="567" w:gutter="0"/>
          <w:cols w:space="720"/>
        </w:sectPr>
      </w:pPr>
      <w:r w:rsidRPr="00EC35A9">
        <w:rPr>
          <w:lang w:val="mt-MT"/>
        </w:rPr>
        <w:t>3.</w:t>
      </w:r>
      <w:r w:rsidRPr="00EC35A9">
        <w:rPr>
          <w:lang w:val="mt-MT"/>
        </w:rPr>
        <w:tab/>
        <w:t>Jagħti istruzzjonijiet lill-President tiegħu biex tgħaddi l-pożizzjoni tal-Parlament lill-Kunsill, lill-Kummissjoni kif ukoll lill-parlamenti nazzjonali.</w:t>
      </w:r>
    </w:p>
    <w:p w:rsidR="008856C3" w:rsidRPr="008856C3" w:rsidRDefault="008856C3" w:rsidP="008856C3">
      <w:pPr>
        <w:widowControl/>
        <w:spacing w:after="240" w:line="240" w:lineRule="auto"/>
        <w:rPr>
          <w:b/>
          <w:bCs/>
          <w:lang w:val="mt-MT" w:eastAsia="en-GB"/>
        </w:rPr>
      </w:pPr>
      <w:r w:rsidRPr="008856C3">
        <w:rPr>
          <w:b/>
          <w:bCs/>
          <w:color w:val="000000"/>
          <w:lang w:val="mt-MT" w:eastAsia="en-GB"/>
        </w:rPr>
        <w:lastRenderedPageBreak/>
        <w:t>P9_TC1-COD(2023)0314</w:t>
      </w:r>
    </w:p>
    <w:p w:rsidR="00836FBD" w:rsidRDefault="008856C3" w:rsidP="008856C3">
      <w:pPr>
        <w:widowControl/>
        <w:spacing w:after="240" w:line="240" w:lineRule="auto"/>
        <w:rPr>
          <w:b/>
          <w:bCs/>
          <w:lang w:val="sv-SE" w:eastAsia="en-GB"/>
        </w:rPr>
      </w:pPr>
      <w:r w:rsidRPr="008856C3">
        <w:rPr>
          <w:b/>
          <w:bCs/>
          <w:lang w:val="mt-MT" w:eastAsia="en-GB"/>
        </w:rPr>
        <w:t xml:space="preserve">Pożizzjoni tal-Parlament Ewropew adottata fl-ewwel qari fit-13 ta' Marzu 2024 bil-ħsieb tal-adozzjoni tar-Regolament (UE) 2024/... tal-Parlament Ewropew u tal-Kunsill </w:t>
      </w:r>
      <w:bookmarkStart w:id="7" w:name="_DV_M1"/>
      <w:bookmarkStart w:id="8" w:name="_DV_M2"/>
      <w:bookmarkEnd w:id="7"/>
      <w:bookmarkEnd w:id="8"/>
      <w:r w:rsidRPr="008856C3">
        <w:rPr>
          <w:b/>
          <w:lang w:val="mt-MT"/>
        </w:rPr>
        <w:t xml:space="preserve">li jemenda r-Regolamenti (UE) Nru 1024/2012 u (UE) 2018/1724 fir-rigward tal-użu tas-Sistema ta’ Informazzjoni tas-Suq Intern u l-Gateway Diġitali Unika għall-finijiet ta’ ċerti rekwiżiti stabbiliti bid-Direttiva (UE) .../... </w:t>
      </w:r>
      <w:r w:rsidRPr="008856C3">
        <w:rPr>
          <w:b/>
          <w:lang w:val="sv-SE"/>
        </w:rPr>
        <w:t>tal-Parlament Ewropew u tal-Kunsill dwar l-assoċjazzjonijiet transfruntiera Ewropej (COM(2023)</w:t>
      </w:r>
      <w:r w:rsidR="00BB0420">
        <w:rPr>
          <w:b/>
          <w:lang w:val="sv-SE"/>
        </w:rPr>
        <w:t>0</w:t>
      </w:r>
      <w:bookmarkStart w:id="9" w:name="_GoBack"/>
      <w:bookmarkEnd w:id="9"/>
      <w:r w:rsidRPr="008856C3">
        <w:rPr>
          <w:b/>
          <w:lang w:val="sv-SE"/>
        </w:rPr>
        <w:t>516)</w:t>
      </w:r>
    </w:p>
    <w:p w:rsidR="00335FBF" w:rsidRPr="0078231A" w:rsidRDefault="00335FBF" w:rsidP="00335FBF">
      <w:pPr>
        <w:pStyle w:val="IntrtEEE"/>
        <w:rPr>
          <w:lang w:val="sv-SE"/>
        </w:rPr>
      </w:pPr>
      <w:r w:rsidRPr="0078231A">
        <w:rPr>
          <w:lang w:val="sv-SE"/>
        </w:rPr>
        <w:t>(Test b’rilevanza għaż-ŻEE)</w:t>
      </w:r>
    </w:p>
    <w:p w:rsidR="00836FBD" w:rsidRPr="005E62C3" w:rsidRDefault="005E62C3">
      <w:pPr>
        <w:pStyle w:val="Institutionquiagit"/>
        <w:rPr>
          <w:lang w:val="sv-SE"/>
        </w:rPr>
      </w:pPr>
      <w:r w:rsidRPr="005E62C3">
        <w:rPr>
          <w:lang w:val="sv-SE"/>
        </w:rPr>
        <w:t>IL-PARLAMENT EWROPEW U L-KUNSILL TAL-UNJONI EWROPEA,</w:t>
      </w:r>
    </w:p>
    <w:p w:rsidR="00836FBD" w:rsidRPr="005E62C3" w:rsidRDefault="005E62C3">
      <w:pPr>
        <w:pStyle w:val="Normale"/>
        <w:rPr>
          <w:lang w:val="sv-SE"/>
        </w:rPr>
      </w:pPr>
      <w:r w:rsidRPr="005E62C3">
        <w:rPr>
          <w:lang w:val="sv-SE"/>
        </w:rPr>
        <w:t>Wara li kkunsidraw it-Trattat dwar il-Funzjonament tal-Unjoni Ewropea, u b’mod partikolari l-Artikolu 21(2) u l-Artikolu 114 tiegħu,</w:t>
      </w:r>
    </w:p>
    <w:p w:rsidR="00836FBD" w:rsidRPr="005E62C3" w:rsidRDefault="005E62C3">
      <w:pPr>
        <w:pStyle w:val="Normale"/>
        <w:rPr>
          <w:lang w:val="it-IT"/>
        </w:rPr>
      </w:pPr>
      <w:r w:rsidRPr="005E62C3">
        <w:rPr>
          <w:lang w:val="it-IT"/>
        </w:rPr>
        <w:t>Wara li kkunsidraw il-proposta tal-Kummissjoni Ewropea,</w:t>
      </w:r>
    </w:p>
    <w:p w:rsidR="00836FBD" w:rsidRPr="005E62C3" w:rsidRDefault="005E62C3">
      <w:pPr>
        <w:pStyle w:val="Normale"/>
        <w:rPr>
          <w:lang w:val="it-IT"/>
        </w:rPr>
      </w:pPr>
      <w:r w:rsidRPr="005E62C3">
        <w:rPr>
          <w:lang w:val="it-IT"/>
        </w:rPr>
        <w:t>Wara li l-abbozz tal-att leġiżlattiv intbagħat lill-parlamenti nazzjonali,</w:t>
      </w:r>
    </w:p>
    <w:p w:rsidR="00836FBD" w:rsidRPr="005E62C3" w:rsidRDefault="005E62C3">
      <w:pPr>
        <w:pStyle w:val="Normale"/>
        <w:rPr>
          <w:lang w:val="it-IT"/>
        </w:rPr>
      </w:pPr>
      <w:r w:rsidRPr="005E62C3">
        <w:rPr>
          <w:lang w:val="it-IT"/>
        </w:rPr>
        <w:t>Wara li kkunsidraw l-opinjoni tal-Kumitat Ekonomiku u Soċjali Ewropew</w:t>
      </w:r>
      <w:r>
        <w:rPr>
          <w:rStyle w:val="FootnoteReference"/>
        </w:rPr>
        <w:footnoteReference w:id="2"/>
      </w:r>
      <w:r w:rsidRPr="005E62C3">
        <w:rPr>
          <w:lang w:val="it-IT"/>
        </w:rPr>
        <w:t>,</w:t>
      </w:r>
    </w:p>
    <w:p w:rsidR="00836FBD" w:rsidRPr="005E62C3" w:rsidRDefault="005E62C3">
      <w:pPr>
        <w:pStyle w:val="Normale"/>
        <w:rPr>
          <w:lang w:val="it-IT"/>
        </w:rPr>
      </w:pPr>
      <w:r w:rsidRPr="005E62C3">
        <w:rPr>
          <w:lang w:val="it-IT"/>
        </w:rPr>
        <w:t>Filwaqt li jaġixxu f’konformità mal-proċedura leġiżlattiva ordinarja,</w:t>
      </w:r>
    </w:p>
    <w:p w:rsidR="00836FBD" w:rsidRPr="005E62C3" w:rsidRDefault="008856C3">
      <w:pPr>
        <w:pStyle w:val="Normale"/>
        <w:rPr>
          <w:lang w:val="it-IT"/>
        </w:rPr>
      </w:pPr>
      <w:r>
        <w:rPr>
          <w:lang w:val="it-IT"/>
        </w:rPr>
        <w:br w:type="page"/>
      </w:r>
      <w:r w:rsidR="005E62C3" w:rsidRPr="005E62C3">
        <w:rPr>
          <w:lang w:val="it-IT"/>
        </w:rPr>
        <w:lastRenderedPageBreak/>
        <w:t>Billi:</w:t>
      </w:r>
    </w:p>
    <w:p w:rsidR="00836FBD" w:rsidRPr="005E62C3" w:rsidRDefault="005E62C3">
      <w:pPr>
        <w:pStyle w:val="Considrant"/>
        <w:rPr>
          <w:lang w:val="it-IT"/>
        </w:rPr>
      </w:pPr>
      <w:r w:rsidRPr="005E62C3">
        <w:rPr>
          <w:lang w:val="it-IT"/>
        </w:rPr>
        <w:t>(1)</w:t>
      </w:r>
      <w:r w:rsidRPr="005E62C3">
        <w:rPr>
          <w:lang w:val="it-IT"/>
        </w:rPr>
        <w:tab/>
        <w:t>Id-Direttiva (UE) tal-Parlament Ewropew u tal-Kunsill dwar l-assoċjazzjonijiet transfruntiera Ewropej (COM(2023)516)</w:t>
      </w:r>
      <w:r>
        <w:rPr>
          <w:rStyle w:val="FootnoteReference"/>
        </w:rPr>
        <w:footnoteReference w:id="3"/>
      </w:r>
      <w:r w:rsidRPr="005E62C3">
        <w:rPr>
          <w:lang w:val="it-IT"/>
        </w:rPr>
        <w:t xml:space="preserve"> tistabbilixxi l-miżuri li jikkoordinaw il-kundizzjonijiet għall-istabbiliment u l-operat tal-“Assoċjazzjonijiet Transfruntiera Ewropej”, bl-għan li tiffaċilita l-eżerċitar effettiv tal-libertà tal-moviment tal-assoċjazzjonijiet mingħajr skop ta’ qligħ li joperaw fis-suq intern.</w:t>
      </w:r>
    </w:p>
    <w:p w:rsidR="00836FBD" w:rsidRPr="001D2042" w:rsidRDefault="005E62C3">
      <w:pPr>
        <w:pStyle w:val="Considrant"/>
        <w:rPr>
          <w:b/>
          <w:lang w:val="it-IT"/>
        </w:rPr>
      </w:pPr>
      <w:r w:rsidRPr="005E62C3">
        <w:rPr>
          <w:lang w:val="it-IT"/>
        </w:rPr>
        <w:t>(2)</w:t>
      </w:r>
      <w:r w:rsidRPr="005E62C3">
        <w:rPr>
          <w:lang w:val="it-IT"/>
        </w:rPr>
        <w:tab/>
        <w:t xml:space="preserve">Skont l-Artikolu </w:t>
      </w:r>
      <w:r w:rsidRPr="005E62C3">
        <w:rPr>
          <w:strike/>
          <w:lang w:val="it-IT"/>
        </w:rPr>
        <w:t>30(2)</w:t>
      </w:r>
      <w:r w:rsidRPr="005E62C3">
        <w:rPr>
          <w:b/>
          <w:i/>
          <w:lang w:val="it-IT"/>
        </w:rPr>
        <w:t>28(2)</w:t>
      </w:r>
      <w:r w:rsidRPr="005E62C3">
        <w:rPr>
          <w:lang w:val="it-IT"/>
        </w:rPr>
        <w:t xml:space="preserve"> tad-Direttiva COM(2023)516, il-kooperazzjoni amministrattiva u l-iskambju ta’ informazzjoni bejn l-awtoritajiet kompetenti tal-Istati Membri għandhom jiġu implimentati permezz tas-Sistema ta’ Informazzjoni tas-Suq Intern (“is-sistema IMI”) stabbilita bir-Regolament (UE) Nru 1024/2012 tal-Parlament Ewropew u tal-Kunsill</w:t>
      </w:r>
      <w:r>
        <w:rPr>
          <w:rStyle w:val="FootnoteReference"/>
        </w:rPr>
        <w:footnoteReference w:id="4"/>
      </w:r>
      <w:r w:rsidRPr="005E62C3">
        <w:rPr>
          <w:lang w:val="it-IT"/>
        </w:rPr>
        <w:t xml:space="preserve">. Għal dik ir-raġuni, jenħtieġ li l-proċeduri ta’ kooperazzjoni amministrattiva meħtieġa </w:t>
      </w:r>
      <w:r w:rsidRPr="005E62C3">
        <w:rPr>
          <w:b/>
          <w:i/>
          <w:lang w:val="it-IT"/>
        </w:rPr>
        <w:t xml:space="preserve">u l-proċeduri għall-iskambju ta’ informazzjoni bejn l-awtoritajiet kompetenti </w:t>
      </w:r>
      <w:r w:rsidRPr="005E62C3">
        <w:rPr>
          <w:lang w:val="it-IT"/>
        </w:rPr>
        <w:t>jiġu stabbiliti fis-sistema IMI.</w:t>
      </w:r>
      <w:r w:rsidR="001D2042">
        <w:rPr>
          <w:b/>
          <w:lang w:val="it-IT"/>
        </w:rPr>
        <w:t xml:space="preserve"> [Em. 1]</w:t>
      </w:r>
    </w:p>
    <w:p w:rsidR="00836FBD" w:rsidRPr="001D2042" w:rsidRDefault="00F47CE6">
      <w:pPr>
        <w:pStyle w:val="Considrant"/>
        <w:rPr>
          <w:b/>
          <w:lang w:val="it-IT"/>
        </w:rPr>
      </w:pPr>
      <w:r>
        <w:rPr>
          <w:lang w:val="it-IT"/>
        </w:rPr>
        <w:br w:type="page"/>
      </w:r>
      <w:r w:rsidR="005E62C3" w:rsidRPr="005E62C3">
        <w:rPr>
          <w:lang w:val="it-IT"/>
        </w:rPr>
        <w:lastRenderedPageBreak/>
        <w:t>(3)</w:t>
      </w:r>
      <w:r w:rsidR="005E62C3" w:rsidRPr="005E62C3">
        <w:rPr>
          <w:lang w:val="it-IT"/>
        </w:rPr>
        <w:tab/>
        <w:t>F’konformità mal-Artikoli 2 u 3 tar-Regolament (UE) 2018/1724 tal-Parlament Ewropew u tal-Kunsill</w:t>
      </w:r>
      <w:r w:rsidR="005E62C3">
        <w:rPr>
          <w:rStyle w:val="FootnoteReference"/>
        </w:rPr>
        <w:footnoteReference w:id="5"/>
      </w:r>
      <w:r w:rsidR="005E62C3" w:rsidRPr="005E62C3">
        <w:rPr>
          <w:lang w:val="it-IT"/>
        </w:rPr>
        <w:t xml:space="preserve">, il-gateway diġitali unika għandha </w:t>
      </w:r>
      <w:r w:rsidR="005E62C3" w:rsidRPr="005E62C3">
        <w:rPr>
          <w:strike/>
          <w:lang w:val="it-IT"/>
        </w:rPr>
        <w:t xml:space="preserve">tagħti </w:t>
      </w:r>
      <w:r w:rsidR="005E62C3" w:rsidRPr="005E62C3">
        <w:rPr>
          <w:b/>
          <w:i/>
          <w:lang w:val="it-IT"/>
        </w:rPr>
        <w:t xml:space="preserve">tipprovdi </w:t>
      </w:r>
      <w:r w:rsidR="005E62C3" w:rsidRPr="005E62C3">
        <w:rPr>
          <w:lang w:val="it-IT"/>
        </w:rPr>
        <w:t xml:space="preserve">aċċess għall-informazzjoni, għall-proċeduri u kif ukoll għas-servizzi ta’ assistenza u ta’ soluzzjoni tal-problemi liċ-ċittadini tal-Unjoni, lill-persuni fiżiċi residenti fi Stat Membru u lill-persuni fiżiċi li għandhom l-uffiċċju rreġistrat tagħhom fi Stat Membru. Jenħtieġ li l-parti operattiva u l-Anness I tar-Regolament (UE) 2018/1724 jiġu emendati </w:t>
      </w:r>
      <w:r w:rsidR="005E62C3" w:rsidRPr="005E62C3">
        <w:rPr>
          <w:b/>
          <w:i/>
          <w:lang w:val="it-IT"/>
        </w:rPr>
        <w:t xml:space="preserve">minn dan ir-Regolament </w:t>
      </w:r>
      <w:r w:rsidR="005E62C3" w:rsidRPr="005E62C3">
        <w:rPr>
          <w:lang w:val="it-IT"/>
        </w:rPr>
        <w:t>biex jiżguraw li l-kamp ta’ applikazzjoni ma jinftihemx li hu limitat għaċ-ċittadini u n-negozji u li jikkonċerna lill-persuni ġuridiċi għajr in-negozji, bħall-assoċjazzjonijiet transfruntiera Ewropej.</w:t>
      </w:r>
      <w:r w:rsidR="001D2042">
        <w:rPr>
          <w:b/>
          <w:lang w:val="it-IT"/>
        </w:rPr>
        <w:t xml:space="preserve"> [Em. 2]</w:t>
      </w:r>
    </w:p>
    <w:p w:rsidR="00836FBD" w:rsidRPr="005E62C3" w:rsidRDefault="005E62C3">
      <w:pPr>
        <w:pStyle w:val="Considrant"/>
        <w:rPr>
          <w:lang w:val="it-IT"/>
        </w:rPr>
      </w:pPr>
      <w:r w:rsidRPr="005E62C3">
        <w:rPr>
          <w:lang w:val="it-IT"/>
        </w:rPr>
        <w:t>(4)</w:t>
      </w:r>
      <w:r w:rsidRPr="005E62C3">
        <w:rPr>
          <w:lang w:val="it-IT"/>
        </w:rPr>
        <w:tab/>
        <w:t>Ir-Regolament (UE) 2018/1724 tal-Parlament Ewropew u tal-Kunsill</w:t>
      </w:r>
      <w:r>
        <w:rPr>
          <w:rStyle w:val="FootnoteReference"/>
        </w:rPr>
        <w:footnoteReference w:id="6"/>
      </w:r>
      <w:r w:rsidRPr="005E62C3">
        <w:rPr>
          <w:lang w:val="it-IT"/>
        </w:rPr>
        <w:t>, li stabbilixxa l-gateway diġitali unika, jipprevedi regoli ġenerali għall-aċċess online għall-informazzjoni, għall-proċeduri u għas-servizzi ta’ assistenza rilevanti għall-funzjonament tas-suq intern. Jenħtieġ li l-proċeduri koperti minn dan ir-Regolament jikkonformaw mar-rekwiżiti tar-Regolament (UE) 2018/1724 sabiex jiżguraw li kwalunkwe assoċjazzjoni transfruntiera Ewropea tkun tista’ tibbenifika minn proċeduri kompletament online u mill-iskambju awtomatizzat transfruntier tal-evidenza, f’konformità mal-prinċipju ta’ darba biss. Dawn il-proċeduri jinkludu l-applikazzjoni għar-reġistrazzjoni ta’ assoċjazzjoni transfruntiera Ewropea u l-proċedura tat-trasferiment tal-uffiċċju rreġistrat tagħha.</w:t>
      </w:r>
    </w:p>
    <w:p w:rsidR="00836FBD" w:rsidRPr="005E62C3" w:rsidRDefault="00F47CE6">
      <w:pPr>
        <w:pStyle w:val="Considrant"/>
        <w:rPr>
          <w:lang w:val="it-IT"/>
        </w:rPr>
      </w:pPr>
      <w:r>
        <w:rPr>
          <w:lang w:val="it-IT"/>
        </w:rPr>
        <w:br w:type="page"/>
      </w:r>
      <w:r w:rsidR="005E62C3" w:rsidRPr="005E62C3">
        <w:rPr>
          <w:lang w:val="it-IT"/>
        </w:rPr>
        <w:lastRenderedPageBreak/>
        <w:t>(5)</w:t>
      </w:r>
      <w:r w:rsidR="005E62C3" w:rsidRPr="005E62C3">
        <w:rPr>
          <w:lang w:val="it-IT"/>
        </w:rPr>
        <w:tab/>
        <w:t>Għalhekk, jenħtieġ li r-Regolamenti (UE) Nru 1024/2012 u (UE) 2018/1724 jiġu emendati skont dan,</w:t>
      </w:r>
    </w:p>
    <w:p w:rsidR="00836FBD" w:rsidRPr="001D2042" w:rsidRDefault="005E62C3">
      <w:pPr>
        <w:pStyle w:val="Considrant"/>
        <w:rPr>
          <w:b/>
          <w:lang w:val="it-IT"/>
        </w:rPr>
      </w:pPr>
      <w:r w:rsidRPr="005E62C3">
        <w:rPr>
          <w:b/>
          <w:i/>
          <w:lang w:val="it-IT"/>
        </w:rPr>
        <w:t>(5a)</w:t>
      </w:r>
      <w:r w:rsidRPr="005E62C3">
        <w:rPr>
          <w:lang w:val="it-IT"/>
        </w:rPr>
        <w:tab/>
      </w:r>
      <w:r w:rsidRPr="005E62C3">
        <w:rPr>
          <w:b/>
          <w:i/>
          <w:lang w:val="it-IT"/>
        </w:rPr>
        <w:t>Il-Kontrollur Ewropew għall-Protezzjoni tad-Data ġie kkonsultat skont l-Artikolu 42(1) tar-Regolament (UE) 2018/1725 u ta l-opinjoni tiegħu fil-31 ta’ Ottubru 2023,</w:t>
      </w:r>
      <w:r w:rsidR="001D2042">
        <w:rPr>
          <w:b/>
          <w:lang w:val="it-IT"/>
        </w:rPr>
        <w:t xml:space="preserve"> [Em. 3]</w:t>
      </w:r>
    </w:p>
    <w:p w:rsidR="00836FBD" w:rsidRPr="005E62C3" w:rsidRDefault="005E62C3">
      <w:pPr>
        <w:pStyle w:val="Formuledadoption"/>
        <w:rPr>
          <w:lang w:val="it-IT"/>
        </w:rPr>
      </w:pPr>
      <w:r w:rsidRPr="005E62C3">
        <w:rPr>
          <w:lang w:val="it-IT"/>
        </w:rPr>
        <w:t>ADOTTAW DAN IR-REGOLAMENT:</w:t>
      </w:r>
    </w:p>
    <w:p w:rsidR="00836FBD" w:rsidRPr="005E62C3" w:rsidRDefault="00F47CE6">
      <w:pPr>
        <w:jc w:val="center"/>
        <w:rPr>
          <w:lang w:val="it-IT"/>
        </w:rPr>
      </w:pPr>
      <w:r>
        <w:rPr>
          <w:lang w:val="it-IT"/>
        </w:rPr>
        <w:br w:type="page"/>
      </w:r>
      <w:r w:rsidR="005E62C3" w:rsidRPr="005E62C3">
        <w:rPr>
          <w:lang w:val="it-IT"/>
        </w:rPr>
        <w:lastRenderedPageBreak/>
        <w:t>Artikolu 1</w:t>
      </w:r>
      <w:r w:rsidR="005E62C3" w:rsidRPr="005E62C3">
        <w:rPr>
          <w:lang w:val="it-IT"/>
        </w:rPr>
        <w:br/>
        <w:t>Emenda għar-Regolament (UE) Nru 1024/2012</w:t>
      </w:r>
    </w:p>
    <w:p w:rsidR="00836FBD" w:rsidRPr="005E62C3" w:rsidRDefault="005E62C3" w:rsidP="00DA1813">
      <w:pPr>
        <w:ind w:left="850"/>
        <w:rPr>
          <w:lang w:val="it-IT"/>
        </w:rPr>
      </w:pPr>
      <w:r w:rsidRPr="005E62C3">
        <w:rPr>
          <w:lang w:val="it-IT"/>
        </w:rPr>
        <w:t>Fl-Anness tar-Regolament (UE) Nru 1024/2012, jiżdied il-punt (16) il-ġdid li ġej:</w:t>
      </w:r>
    </w:p>
    <w:p w:rsidR="00836FBD" w:rsidRPr="005E62C3" w:rsidRDefault="005E62C3">
      <w:pPr>
        <w:ind w:left="1416" w:hanging="566"/>
        <w:rPr>
          <w:lang w:val="it-IT"/>
        </w:rPr>
      </w:pPr>
      <w:r w:rsidRPr="005E62C3">
        <w:rPr>
          <w:lang w:val="it-IT"/>
        </w:rPr>
        <w:t>“16.</w:t>
      </w:r>
      <w:r w:rsidRPr="005E62C3">
        <w:rPr>
          <w:lang w:val="it-IT"/>
        </w:rPr>
        <w:tab/>
        <w:t>Id-Direttiva (UE) tal-Parlament Ewropew u tal-Kunsill dwar l-assoċjazzjonijiet transfruntiera Ewropej (COM(2023)516) *: L-Artikolu 19(2), l-Artikolu 19(4), l-Artikolu 23(5), l-Artikolu 23(6), l-Artikolu 23(7), l-Artikolu 24(3), l-Artikolu 25(6), u l-Artikolu 27.”</w:t>
      </w:r>
    </w:p>
    <w:p w:rsidR="00836FBD" w:rsidRPr="005E62C3" w:rsidRDefault="005E62C3">
      <w:pPr>
        <w:ind w:left="1416"/>
        <w:rPr>
          <w:lang w:val="it-IT"/>
        </w:rPr>
      </w:pPr>
      <w:r w:rsidRPr="005E62C3">
        <w:rPr>
          <w:lang w:val="it-IT"/>
        </w:rPr>
        <w:t>____________________</w:t>
      </w:r>
    </w:p>
    <w:p w:rsidR="00836FBD" w:rsidRPr="005E62C3" w:rsidRDefault="005E62C3">
      <w:pPr>
        <w:ind w:left="1416"/>
        <w:rPr>
          <w:lang w:val="it-IT"/>
        </w:rPr>
      </w:pPr>
      <w:r w:rsidRPr="005E62C3">
        <w:rPr>
          <w:lang w:val="it-IT"/>
        </w:rPr>
        <w:t>*(Ir-referenza tal-ĠU).”</w:t>
      </w:r>
    </w:p>
    <w:p w:rsidR="00836FBD" w:rsidRPr="005E62C3" w:rsidRDefault="00F47CE6">
      <w:pPr>
        <w:jc w:val="center"/>
        <w:rPr>
          <w:lang w:val="it-IT"/>
        </w:rPr>
      </w:pPr>
      <w:r>
        <w:rPr>
          <w:lang w:val="it-IT"/>
        </w:rPr>
        <w:br w:type="page"/>
      </w:r>
      <w:r w:rsidR="005E62C3" w:rsidRPr="005E62C3">
        <w:rPr>
          <w:lang w:val="it-IT"/>
        </w:rPr>
        <w:lastRenderedPageBreak/>
        <w:t>Artikolu 2</w:t>
      </w:r>
      <w:r w:rsidR="005E62C3" w:rsidRPr="005E62C3">
        <w:rPr>
          <w:lang w:val="it-IT"/>
        </w:rPr>
        <w:br/>
        <w:t>Emendi għar-Regolament (UE) 2018/1724</w:t>
      </w:r>
    </w:p>
    <w:p w:rsidR="00836FBD" w:rsidRPr="005E62C3" w:rsidRDefault="005E62C3">
      <w:pPr>
        <w:rPr>
          <w:lang w:val="it-IT"/>
        </w:rPr>
      </w:pPr>
      <w:r w:rsidRPr="005E62C3">
        <w:rPr>
          <w:lang w:val="it-IT"/>
        </w:rPr>
        <w:t>Ir-Regolament (UE) 2018/1724 huwa emendat kif ġej:</w:t>
      </w:r>
    </w:p>
    <w:p w:rsidR="00836FBD" w:rsidRPr="005E62C3" w:rsidRDefault="005E62C3">
      <w:pPr>
        <w:ind w:left="850" w:hanging="850"/>
        <w:rPr>
          <w:lang w:val="it-IT"/>
        </w:rPr>
      </w:pPr>
      <w:r w:rsidRPr="005E62C3">
        <w:rPr>
          <w:lang w:val="it-IT"/>
        </w:rPr>
        <w:t>(1)</w:t>
      </w:r>
      <w:r w:rsidRPr="005E62C3">
        <w:rPr>
          <w:lang w:val="it-IT"/>
        </w:rPr>
        <w:tab/>
        <w:t>fl-Artikolu 1(1), il-punt (a) huwa sostitwit b’dan li ġej:</w:t>
      </w:r>
    </w:p>
    <w:p w:rsidR="00836FBD" w:rsidRPr="005E62C3" w:rsidRDefault="005E62C3">
      <w:pPr>
        <w:ind w:left="1416" w:hanging="566"/>
        <w:rPr>
          <w:lang w:val="it-IT"/>
        </w:rPr>
      </w:pPr>
      <w:r w:rsidRPr="005E62C3">
        <w:rPr>
          <w:lang w:val="it-IT"/>
        </w:rPr>
        <w:t>“(a)</w:t>
      </w:r>
      <w:r w:rsidRPr="005E62C3">
        <w:rPr>
          <w:lang w:val="it-IT"/>
        </w:rPr>
        <w:tab/>
        <w:t>l-istabbiliment u l-operat ta’ gateway diġitali unika li tipprovdi aċċess faċli liċ-ċittadini, lin-negozji u lill-persuni ġuridiċi għajr lin-negozji għal informazzjoni ta’ kwalità għolja, għal proċeduri effiċjenti u għal servizzi effettivi ta’ assistenza u ta’ soluzzjoni tal-problemi fir-rigward tar-regoli tal-Unjoni u dawk nazzjonali applikabbli għaċ-ċittadini, għan-negozji u għall-persuni ġuridiċi għajr in-negozji li jeżerċitaw jew li għandhom il-ħsieb li jeżerċitaw id-drittijiet tagħhom li ġejjin mid-dritt tal-Unjoni fil-qasam tas-suq intern, skont it-tifsira tal-Artikolu 26(2) tat-TFUE;”</w:t>
      </w:r>
    </w:p>
    <w:p w:rsidR="00836FBD" w:rsidRPr="005E62C3" w:rsidRDefault="00F47CE6">
      <w:pPr>
        <w:ind w:left="850" w:hanging="850"/>
        <w:rPr>
          <w:lang w:val="it-IT"/>
        </w:rPr>
      </w:pPr>
      <w:r>
        <w:rPr>
          <w:lang w:val="it-IT"/>
        </w:rPr>
        <w:br w:type="page"/>
      </w:r>
      <w:r w:rsidR="005E62C3" w:rsidRPr="005E62C3">
        <w:rPr>
          <w:lang w:val="it-IT"/>
        </w:rPr>
        <w:lastRenderedPageBreak/>
        <w:t>(2)</w:t>
      </w:r>
      <w:r w:rsidR="005E62C3" w:rsidRPr="005E62C3">
        <w:rPr>
          <w:lang w:val="it-IT"/>
        </w:rPr>
        <w:tab/>
        <w:t>fl-Artikolu 1(1), il-punt (b) huwa sostitwit b’dan li ġej:</w:t>
      </w:r>
    </w:p>
    <w:p w:rsidR="00836FBD" w:rsidRPr="005E62C3" w:rsidRDefault="005E62C3">
      <w:pPr>
        <w:ind w:left="1416" w:hanging="566"/>
        <w:rPr>
          <w:lang w:val="it-IT"/>
        </w:rPr>
      </w:pPr>
      <w:r w:rsidRPr="005E62C3">
        <w:rPr>
          <w:lang w:val="it-IT"/>
        </w:rPr>
        <w:t>“(b)</w:t>
      </w:r>
      <w:r w:rsidRPr="005E62C3">
        <w:rPr>
          <w:lang w:val="it-IT"/>
        </w:rPr>
        <w:tab/>
        <w:t>l-użu tal-proċeduri mill-utenti transfruntiera u l-implimentazzjoni tal-prinċipju ta’ “darba biss” b’rabta mal-proċeduri elenkati fl-Anness II ta’ dan ir-Regolament u l-proċeduri previsti fid-Direttivi 2005/36/KE, 2006/123/KE, 2014/24/UE, 2014/25/UE u …/…*;”</w:t>
      </w:r>
    </w:p>
    <w:p w:rsidR="00836FBD" w:rsidRPr="005E62C3" w:rsidRDefault="005E62C3">
      <w:pPr>
        <w:ind w:left="1416"/>
        <w:rPr>
          <w:lang w:val="it-IT"/>
        </w:rPr>
      </w:pPr>
      <w:r w:rsidRPr="005E62C3">
        <w:rPr>
          <w:lang w:val="it-IT"/>
        </w:rPr>
        <w:t>____________________</w:t>
      </w:r>
    </w:p>
    <w:p w:rsidR="00836FBD" w:rsidRPr="005E62C3" w:rsidRDefault="005E62C3">
      <w:pPr>
        <w:ind w:left="1416"/>
        <w:rPr>
          <w:lang w:val="it-IT"/>
        </w:rPr>
      </w:pPr>
      <w:r w:rsidRPr="005E62C3">
        <w:rPr>
          <w:lang w:val="it-IT"/>
        </w:rPr>
        <w:t>“*Id-Direttiva tal-Parlament Ewropew u tal-Kunsill ta’ …. dwar l-assoċjazzjonijiet transfruntiera Ewropej (ir-referenza tal-ĠU).”</w:t>
      </w:r>
    </w:p>
    <w:p w:rsidR="00836FBD" w:rsidRPr="005E62C3" w:rsidRDefault="005E62C3">
      <w:pPr>
        <w:ind w:left="850" w:hanging="850"/>
        <w:rPr>
          <w:lang w:val="it-IT"/>
        </w:rPr>
      </w:pPr>
      <w:r w:rsidRPr="005E62C3">
        <w:rPr>
          <w:lang w:val="it-IT"/>
        </w:rPr>
        <w:t>(3)</w:t>
      </w:r>
      <w:r w:rsidRPr="005E62C3">
        <w:rPr>
          <w:lang w:val="it-IT"/>
        </w:rPr>
        <w:tab/>
        <w:t>fl-Artikolu 2(2), il-punt (c) huwa sostitwit b’dan li ġej:</w:t>
      </w:r>
    </w:p>
    <w:p w:rsidR="00836FBD" w:rsidRPr="005E62C3" w:rsidRDefault="005E62C3">
      <w:pPr>
        <w:ind w:left="1416" w:hanging="566"/>
        <w:rPr>
          <w:lang w:val="it-IT"/>
        </w:rPr>
      </w:pPr>
      <w:r w:rsidRPr="005E62C3">
        <w:rPr>
          <w:lang w:val="it-IT"/>
        </w:rPr>
        <w:t>“(c)</w:t>
      </w:r>
      <w:r w:rsidRPr="005E62C3">
        <w:rPr>
          <w:lang w:val="it-IT"/>
        </w:rPr>
        <w:tab/>
        <w:t>informazzjoni dwar is-servizzi ta’ assistenza u ta’ soluzzjoni tal-problemi, u l-links għalihom, elenkati fl-Anness III jew imsemmija fl-Artikolu 7 li ċ-ċittadini, in-negozji u l-persuni ġuridiċi għajr in-negozji jkunu jistgħu jirreferu għalihom f’każ li jkollhom mistoqsijiet jew problemi relatati mad-drittijiet, l-obbligi, ir-regoli jew il-proċeduri msemmija fil-punti (a) u (b) ta’ dan il-paragrafu.”</w:t>
      </w:r>
    </w:p>
    <w:p w:rsidR="00836FBD" w:rsidRPr="005E62C3" w:rsidRDefault="00F47CE6">
      <w:pPr>
        <w:ind w:left="850" w:hanging="850"/>
        <w:rPr>
          <w:lang w:val="it-IT"/>
        </w:rPr>
      </w:pPr>
      <w:r>
        <w:rPr>
          <w:lang w:val="it-IT"/>
        </w:rPr>
        <w:br w:type="page"/>
      </w:r>
      <w:r w:rsidR="005E62C3" w:rsidRPr="005E62C3">
        <w:rPr>
          <w:lang w:val="it-IT"/>
        </w:rPr>
        <w:lastRenderedPageBreak/>
        <w:t>(4)</w:t>
      </w:r>
      <w:r w:rsidR="005E62C3" w:rsidRPr="005E62C3">
        <w:rPr>
          <w:lang w:val="it-IT"/>
        </w:rPr>
        <w:tab/>
        <w:t>fl-Artikolu 14, il-paragrafu 1 huwa sostitwit b’dan li ġej:</w:t>
      </w:r>
    </w:p>
    <w:p w:rsidR="00836FBD" w:rsidRPr="005E62C3" w:rsidRDefault="005E62C3">
      <w:pPr>
        <w:ind w:left="1416" w:hanging="566"/>
        <w:rPr>
          <w:lang w:val="it-IT"/>
        </w:rPr>
      </w:pPr>
      <w:r w:rsidRPr="005E62C3">
        <w:rPr>
          <w:lang w:val="it-IT"/>
        </w:rPr>
        <w:t>“1.</w:t>
      </w:r>
      <w:r w:rsidRPr="005E62C3">
        <w:rPr>
          <w:lang w:val="it-IT"/>
        </w:rPr>
        <w:tab/>
        <w:t>Għall-finijiet tal-iskambju tal-evidenza għall-proċeduri online elenkati fl-Anness II ta’ dan ir-Regolament u l-proċeduri previsti fid-Direttivi 2005/36/KE, 2006/123/KE, 2014/24/UE, 2014/25/UE u …/…/…, b’kooperazzjoni mal-Istati Membri, il-Kummissjoni għandha tistabbilixxi sistema teknika għall-iskambju awtomatizzat tal-evidenza bejn l-awtoritajiet kompetenti fi Stati Membri differenti (“is-sistema teknika”).”</w:t>
      </w:r>
    </w:p>
    <w:p w:rsidR="00836FBD" w:rsidRPr="005E62C3" w:rsidRDefault="005E62C3">
      <w:pPr>
        <w:ind w:left="850" w:hanging="850"/>
        <w:rPr>
          <w:lang w:val="sv-SE"/>
        </w:rPr>
      </w:pPr>
      <w:r w:rsidRPr="005E62C3">
        <w:rPr>
          <w:lang w:val="sv-SE"/>
        </w:rPr>
        <w:t>(5)</w:t>
      </w:r>
      <w:r w:rsidRPr="005E62C3">
        <w:rPr>
          <w:lang w:val="sv-SE"/>
        </w:rPr>
        <w:tab/>
        <w:t>L-Anness I tar-Regolament (UE) 2018/1724 huwa emendat kif ġej:</w:t>
      </w:r>
    </w:p>
    <w:p w:rsidR="00836FBD" w:rsidRPr="005E62C3" w:rsidRDefault="005E62C3">
      <w:pPr>
        <w:ind w:left="1416" w:hanging="566"/>
        <w:rPr>
          <w:lang w:val="it-IT"/>
        </w:rPr>
      </w:pPr>
      <w:r w:rsidRPr="005E62C3">
        <w:rPr>
          <w:lang w:val="it-IT"/>
        </w:rPr>
        <w:t>(a)</w:t>
      </w:r>
      <w:r w:rsidRPr="005E62C3">
        <w:rPr>
          <w:lang w:val="it-IT"/>
        </w:rPr>
        <w:tab/>
        <w:t>it-titolu huwa sostitwit b’dan li ġej:</w:t>
      </w:r>
    </w:p>
    <w:p w:rsidR="00836FBD" w:rsidRPr="005E62C3" w:rsidRDefault="005E62C3">
      <w:pPr>
        <w:ind w:left="1416"/>
        <w:rPr>
          <w:lang w:val="it-IT"/>
        </w:rPr>
      </w:pPr>
      <w:r w:rsidRPr="005E62C3">
        <w:rPr>
          <w:lang w:val="it-IT"/>
        </w:rPr>
        <w:t>“Lista ta’ oqsma ta’ informazzjoni rilevanti għaċ-ċittadini, in-negozji u l-persuni ġuridiċi għajr in-negozji li għandhom l-uffiċċju rreġistrat tagħhom fi Stat Membru li jeżerċitaw id-drittijiet tagħhom tas-suq intern imsemmija fil-punt (a) tal-Artikolu 2(2).</w:t>
      </w:r>
    </w:p>
    <w:p w:rsidR="00836FBD" w:rsidRDefault="00F47CE6" w:rsidP="001D2042">
      <w:pPr>
        <w:ind w:left="851" w:hanging="567"/>
        <w:rPr>
          <w:b/>
          <w:i/>
          <w:lang w:val="it-IT"/>
        </w:rPr>
      </w:pPr>
      <w:r>
        <w:rPr>
          <w:b/>
          <w:i/>
          <w:lang w:val="it-IT"/>
        </w:rPr>
        <w:br w:type="page"/>
      </w:r>
      <w:r w:rsidR="005E62C3" w:rsidRPr="005E62C3">
        <w:rPr>
          <w:b/>
          <w:i/>
          <w:lang w:val="it-IT"/>
        </w:rPr>
        <w:lastRenderedPageBreak/>
        <w:t>(aa)</w:t>
      </w:r>
      <w:r w:rsidR="005E62C3" w:rsidRPr="005E62C3">
        <w:rPr>
          <w:lang w:val="it-IT"/>
        </w:rPr>
        <w:tab/>
      </w:r>
      <w:r w:rsidR="00335FBF" w:rsidRPr="0078231A">
        <w:rPr>
          <w:b/>
          <w:i/>
          <w:lang w:val="it-IT"/>
        </w:rPr>
        <w:t>fl-</w:t>
      </w:r>
      <w:r w:rsidR="003B1C7B" w:rsidRPr="0078231A">
        <w:rPr>
          <w:b/>
          <w:i/>
          <w:lang w:val="it-IT"/>
        </w:rPr>
        <w:t>“</w:t>
      </w:r>
      <w:r w:rsidR="00335FBF" w:rsidRPr="0078231A">
        <w:rPr>
          <w:b/>
          <w:i/>
          <w:lang w:val="it-IT"/>
        </w:rPr>
        <w:t>Oqsma ta’ informazzjoni marbuta man-negozji”, il-punt J huwa sositwit b’dan li ġej</w:t>
      </w:r>
      <w:r w:rsidR="005E62C3" w:rsidRPr="005E62C3">
        <w:rPr>
          <w:b/>
          <w:i/>
          <w:lang w:val="it-IT"/>
        </w:rPr>
        <w:t>:</w:t>
      </w:r>
    </w:p>
    <w:p w:rsidR="001D2042" w:rsidRPr="001D2042" w:rsidRDefault="003B1C7B" w:rsidP="001D2042">
      <w:pPr>
        <w:ind w:left="851" w:hanging="567"/>
        <w:rPr>
          <w:b/>
          <w:i/>
          <w:lang w:val="it-IT"/>
        </w:rPr>
      </w:pPr>
      <w:r w:rsidRPr="003B1C7B">
        <w:rPr>
          <w:b/>
          <w:i/>
          <w:szCs w:val="20"/>
          <w:lang w:val="mt-MT" w:eastAsia="en-GB"/>
        </w:rPr>
        <w:t>“</w:t>
      </w:r>
      <w:r w:rsidR="001D2042" w:rsidRPr="001D2042">
        <w:rPr>
          <w:b/>
          <w:i/>
          <w:szCs w:val="20"/>
          <w:lang w:val="mt-MT" w:eastAsia="en-GB"/>
        </w:rPr>
        <w:t>Oqsma ta’ informazzjoni marbuta man-negozji: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5E62C3" w:rsidRPr="00536CA7" w:rsidTr="001C0DA8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Qasam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INFORMAZZJONI RIGWARD DRITTIJIET, OBBLIGI U REGOLI</w:t>
            </w:r>
          </w:p>
        </w:tc>
      </w:tr>
      <w:tr w:rsidR="005E62C3" w:rsidRPr="00536CA7" w:rsidTr="001C0DA8">
        <w:trPr>
          <w:jc w:val="center"/>
        </w:trPr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J. Il-bidu, it-tmexxija u l-għeluq ta’ negozju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1. ir-reġistrazzjoni, il-bdil tal-forma legali jew l-għeluq ta’ negozju (il-proċeduri ta’ reġistrazzjoni u l-formoli legali għat-twettiq ta’ negozju)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2. it-trasferiment tal-uffiċċju reġistrat ta’ negozju lejn Stat Membru ieħor;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2a. obbligi fil-konfront tad-drittijiet tal-kredituri u l-ħaddiema b’rabta mat-trasferiment tal-uffiċċju reġistrat ta’ negozju lejn Stat Membru ieħor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3. id-drittijiet ta’ proprjetà intellettwali (l-applikazzjoni għal privattiva, ir-reġistrazzjoni ta’ trademark, ta’ tpinġija jew disinn, il-kisba ta’ liċenzja għar-riproduzzjoni)</w:t>
            </w:r>
          </w:p>
          <w:p w:rsidR="005E62C3" w:rsidRPr="00DA1813" w:rsidRDefault="00DA181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>
              <w:rPr>
                <w:b/>
                <w:i/>
                <w:szCs w:val="20"/>
                <w:lang w:val="mt-MT" w:eastAsia="en-GB"/>
              </w:rPr>
              <w:t>4.</w:t>
            </w:r>
            <w:r w:rsidR="005E62C3" w:rsidRPr="00DA1813">
              <w:rPr>
                <w:b/>
                <w:i/>
                <w:szCs w:val="20"/>
                <w:lang w:val="mt-MT" w:eastAsia="en-GB"/>
              </w:rPr>
              <w:t xml:space="preserve"> il-korrettezza u t-trasparenza fil-prattiki kummerċjali, inklużi d-drittijiet tal-konsumatur u l-garanziji relatati mal-bejgħ ta’ oġġetti u servizzi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 xml:space="preserve">5. l-offerta ta’ faċilitajiet online għall-pagamenti transfruntiera meta wieħed </w:t>
            </w:r>
            <w:r w:rsidRPr="00DA1813">
              <w:rPr>
                <w:b/>
                <w:bCs/>
                <w:i/>
                <w:iCs/>
                <w:szCs w:val="20"/>
                <w:lang w:val="mt-MT" w:eastAsia="en-GB"/>
              </w:rPr>
              <w:t>ibigħ</w:t>
            </w:r>
            <w:r w:rsidRPr="00DA1813">
              <w:rPr>
                <w:b/>
                <w:i/>
                <w:szCs w:val="20"/>
                <w:lang w:val="mt-MT" w:eastAsia="en-GB"/>
              </w:rPr>
              <w:t xml:space="preserve"> oġġetti u servizzi online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6. id-drittijiet u l-obbligi li jirriżultaw mil-liġi dwar il-kuntratti, inklużi l-imgħaxijiet fuq pagamenti tardivi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7. il-proċedimenti ta’ insolvenza u l-likwidazzjoni tal-kumpaniji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8. l-assigurazzjoni tal-krediti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9. l-amalgamazzjoni tal-kumpaniji jew il-bejgħ ta’ negozju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10. ir-responsabbiltà ċivili tal-membri tal-bord jew tad-diretturi ta’ kumpanija</w:t>
            </w:r>
          </w:p>
          <w:p w:rsidR="005E62C3" w:rsidRPr="00DA1813" w:rsidRDefault="005E62C3" w:rsidP="005E62C3">
            <w:pPr>
              <w:spacing w:before="0" w:line="240" w:lineRule="auto"/>
              <w:rPr>
                <w:b/>
                <w:i/>
                <w:szCs w:val="20"/>
                <w:lang w:val="mt-MT" w:eastAsia="en-GB"/>
              </w:rPr>
            </w:pPr>
            <w:r w:rsidRPr="00DA1813">
              <w:rPr>
                <w:b/>
                <w:i/>
                <w:szCs w:val="20"/>
                <w:lang w:val="mt-MT" w:eastAsia="en-GB"/>
              </w:rPr>
              <w:t>11. ir-regoli u l-obbligi li jirrigwardaw l-ipproċessar ta’ data personali</w:t>
            </w:r>
          </w:p>
        </w:tc>
      </w:tr>
    </w:tbl>
    <w:p w:rsidR="005E62C3" w:rsidRPr="00DA1813" w:rsidRDefault="00DA1813" w:rsidP="00DA1813">
      <w:pPr>
        <w:ind w:left="1982" w:hanging="566"/>
        <w:jc w:val="right"/>
        <w:rPr>
          <w:b/>
          <w:lang w:val="mt-MT"/>
        </w:rPr>
      </w:pPr>
      <w:r>
        <w:rPr>
          <w:b/>
          <w:lang w:val="mt-MT"/>
        </w:rPr>
        <w:t xml:space="preserve"> [Em. 4]</w:t>
      </w:r>
    </w:p>
    <w:p w:rsidR="00836FBD" w:rsidRPr="00EC35A9" w:rsidRDefault="00F47CE6">
      <w:pPr>
        <w:ind w:left="1416" w:hanging="566"/>
        <w:rPr>
          <w:lang w:val="mt-MT"/>
        </w:rPr>
      </w:pPr>
      <w:r>
        <w:rPr>
          <w:lang w:val="mt-MT"/>
        </w:rPr>
        <w:br w:type="page"/>
      </w:r>
      <w:r w:rsidR="005E62C3" w:rsidRPr="00EC35A9">
        <w:rPr>
          <w:lang w:val="mt-MT"/>
        </w:rPr>
        <w:lastRenderedPageBreak/>
        <w:t>(b)</w:t>
      </w:r>
      <w:r w:rsidR="005E62C3" w:rsidRPr="00EC35A9">
        <w:rPr>
          <w:lang w:val="mt-MT"/>
        </w:rPr>
        <w:tab/>
        <w:t>jiżdiedu l-oqsma tal-informazzjoni li ġejjin:</w:t>
      </w:r>
    </w:p>
    <w:p w:rsidR="00836FBD" w:rsidRPr="00EC35A9" w:rsidRDefault="005E62C3">
      <w:pPr>
        <w:ind w:left="850"/>
        <w:rPr>
          <w:lang w:val="mt-MT"/>
        </w:rPr>
      </w:pPr>
      <w:r w:rsidRPr="00EC35A9">
        <w:rPr>
          <w:lang w:val="mt-MT"/>
        </w:rPr>
        <w:t>“L-oqsma ta’ informazzjoni relatati mal-persuni ġuridiċi għajr in-negozji li għandhom l-uffiċċju rreġistrat tagħhom fi Stat Membru: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2182"/>
        <w:gridCol w:w="7570"/>
      </w:tblGrid>
      <w:tr w:rsidR="005E62C3" w:rsidRPr="00536CA7" w:rsidTr="003B1C7B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62C3" w:rsidRPr="00DA181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DA1813">
              <w:rPr>
                <w:szCs w:val="20"/>
                <w:lang w:val="mt-MT" w:eastAsia="en-GB"/>
              </w:rPr>
              <w:t>AA. Il-bidu, it-tmexxija u l-għeluq ta’ persuna ġuridika għajr negozju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1. ir-reġistrazzjoni, il-bdil tal-forma legali jew l-għeluq ta’ persuna ġuridika għajr negozju (il-proċeduri ta’ reġistrazzjoni u l-formoli legali)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 xml:space="preserve">2. </w:t>
            </w:r>
            <w:r w:rsidRPr="0078231A">
              <w:rPr>
                <w:szCs w:val="20"/>
                <w:lang w:val="mt-MT" w:eastAsia="en-GB"/>
              </w:rPr>
              <w:t>it-trasferiment</w:t>
            </w:r>
            <w:r w:rsidRPr="00DA1813">
              <w:rPr>
                <w:b/>
                <w:i/>
                <w:szCs w:val="20"/>
                <w:lang w:val="mt-MT" w:eastAsia="en-GB"/>
              </w:rPr>
              <w:t xml:space="preserve"> t</w:t>
            </w:r>
            <w:r w:rsidRPr="005E62C3">
              <w:rPr>
                <w:b/>
                <w:i/>
                <w:szCs w:val="20"/>
                <w:lang w:val="mt-MT" w:eastAsia="en-GB"/>
              </w:rPr>
              <w:t>al-uffiċċju reġistrat</w:t>
            </w:r>
            <w:r w:rsidRPr="005E62C3">
              <w:rPr>
                <w:szCs w:val="20"/>
                <w:lang w:val="mt-MT" w:eastAsia="en-GB"/>
              </w:rPr>
              <w:t xml:space="preserve"> </w:t>
            </w:r>
            <w:r w:rsidRPr="0078231A">
              <w:rPr>
                <w:szCs w:val="20"/>
                <w:lang w:val="mt-MT" w:eastAsia="en-GB"/>
              </w:rPr>
              <w:t>ta’</w:t>
            </w:r>
            <w:r w:rsidRPr="00DA1813">
              <w:rPr>
                <w:b/>
                <w:i/>
                <w:szCs w:val="20"/>
                <w:lang w:val="mt-MT" w:eastAsia="en-GB"/>
              </w:rPr>
              <w:t xml:space="preserve"> </w:t>
            </w:r>
            <w:r w:rsidRPr="005E62C3">
              <w:rPr>
                <w:szCs w:val="20"/>
                <w:lang w:val="mt-MT" w:eastAsia="en-GB"/>
              </w:rPr>
              <w:t>persuna ġuridika għajr negozju lejn Stat Membru ieħor</w:t>
            </w:r>
          </w:p>
          <w:p w:rsidR="005E62C3" w:rsidRPr="005E62C3" w:rsidRDefault="005E62C3" w:rsidP="00DA1813">
            <w:pPr>
              <w:spacing w:before="0"/>
              <w:rPr>
                <w:b/>
                <w:i/>
                <w:szCs w:val="20"/>
                <w:lang w:val="mt-MT" w:eastAsia="en-GB"/>
              </w:rPr>
            </w:pPr>
            <w:r w:rsidRPr="005E62C3">
              <w:rPr>
                <w:b/>
                <w:i/>
                <w:szCs w:val="20"/>
                <w:lang w:val="mt-MT" w:eastAsia="en-GB"/>
              </w:rPr>
              <w:t>2a. obbligi fil-konfront tad-drittijiet tal-kredituri u l-ħaddiema b’rabta mat-trasferiment tal-uffiċċju reġistrat ta’ persuna ġuridika għajr negozju lejn Stat Membru ieħor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3. id-drittijiet ta’ proprjetà intellettwali (l-applikazzjoni għal privattiva, ir-reġistrazzjoni ta’ trademark, ta’ tpinġija jew disinn, il-kisba ta’ liċenzja għar-riproduzzjoni)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4. il-korrettezza u t-trasparenza fil-prattiki kummerċjali, inklużi d-drittijiet tal-konsumatur u l-garanziji relatati mal-bejgħ ta’ oġġetti u servizzi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5. l-offerta ta’ faċilitajiet online għall-pagamenti transfruntiera meta wieħed ibigħ oġġetti u servizzi online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6. id-drittijiet u l-obbligi li jirriżultaw mil-liġi dwar il-kuntratti, inklużi l-imgħaxijiet fuq pagamenti tardivi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7. il-proċedimenti ta’ insolvenza u likwidazzjoni ta’ persuni ġuridiċi għajr negozji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8. l-assigurazzjoni tal-krediti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9. l-amalgamazzjoni jew il-bejgħ ta’ persuna ġuridika għajr negozju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 xml:space="preserve">10. ir-responsabbiltà ċivili </w:t>
            </w:r>
            <w:r w:rsidRPr="005E62C3">
              <w:rPr>
                <w:b/>
                <w:i/>
                <w:szCs w:val="20"/>
                <w:lang w:val="mt-MT" w:eastAsia="en-GB"/>
              </w:rPr>
              <w:t>ta’ membri tal-bord jew ta’ diretturi</w:t>
            </w:r>
            <w:r w:rsidRPr="005E62C3">
              <w:rPr>
                <w:szCs w:val="20"/>
                <w:lang w:val="mt-MT" w:eastAsia="en-GB"/>
              </w:rPr>
              <w:t xml:space="preserve"> ta’ persuna ġuridika għajr negozju</w:t>
            </w:r>
          </w:p>
          <w:p w:rsidR="005E62C3" w:rsidRPr="005E62C3" w:rsidRDefault="005E62C3" w:rsidP="00DA1813">
            <w:pPr>
              <w:spacing w:before="0"/>
              <w:rPr>
                <w:szCs w:val="20"/>
                <w:lang w:val="mt-MT" w:eastAsia="en-GB"/>
              </w:rPr>
            </w:pPr>
            <w:r w:rsidRPr="005E62C3">
              <w:rPr>
                <w:szCs w:val="20"/>
                <w:lang w:val="mt-MT" w:eastAsia="en-GB"/>
              </w:rPr>
              <w:t>11. ir-regoli u l-obbligi li jirrigwardaw l-ipproċessar ta’ data personali</w:t>
            </w:r>
          </w:p>
        </w:tc>
      </w:tr>
      <w:tr w:rsidR="003B1C7B" w:rsidRPr="00536CA7" w:rsidTr="003B1C7B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AB. Impjegati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 xml:space="preserve">1. it-termini tal-impjieg stipulati bil-liġi jew permezz ta’ strument statutorju (inklużi s-sigħat tax-xogħol, il-liv imħallas, l-intitolamenti </w:t>
            </w:r>
            <w:r w:rsidRPr="003B1C7B">
              <w:rPr>
                <w:szCs w:val="20"/>
                <w:lang w:val="mt-MT" w:eastAsia="en-GB"/>
              </w:rPr>
              <w:lastRenderedPageBreak/>
              <w:t>għall-btajjel, id-drittijiet u l-obbligi rigward is-sahra, il-kontrolli tas-saħħa, it-terminazzjoni tal-kuntratti, it-tkeċċijiet u s-sensji)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2. id-drittijiet u l-obbligi tas-sigurtà soċjali fl-Unjoni (ir-reġistrazzjoni bħala impjegatur, ir-reġistrazzjoni tal-impjegati, in-notifika ta’ tmiem ta’ kuntratt ta’ impjegat, il-ħlas tal-kontribuzzjonijiet soċjali, id-drittijiet u l-obbligi relatati mal-pensjonijiet)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3. l-impjieg tal-ħaddiema fi Stati Membri oħrajn (il-kollokament tal-ħaddiema, ir-regoli dwar il-libertà tal-forniment ta’ servizzi, ir-rekwiżiti ta’ residenza għall-ħaddiema)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4. it-trattament indaqs (regoli li jipprojbixxu d-diskriminazzjoni fil-post tax-xogħol, regoli dwar paga indaqs għan-nisa u l-irġiel u paga indaqs għall-impjegati b’kuntratti fissi jew b’kuntratti ta’ impjieg permanenti)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5. ir-regoli dwar ir-rappreżentazzjoni tal-persunal</w:t>
            </w:r>
          </w:p>
        </w:tc>
      </w:tr>
      <w:tr w:rsidR="003B1C7B" w:rsidRPr="00536CA7" w:rsidTr="003B1C7B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lastRenderedPageBreak/>
              <w:t>AC. Taxxi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1. VAT: informazzjoni dwar ir-regoli ġenerali, ir-rati u l-eżenzjonijiet, ir-reġistrazzjoni għall-VAT u l-ħlas tiegħu, kif tikseb rifużjoni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2. id-dazji tas-sisa: informazzjoni dwar ir-regoli ġenerali, ir-rati u l-eżenzjonijiet, ir-reġistrazzjoni għall-finijiet tat-taxxa tas-sisa u l-ħlas tat-taxxa tas-sisa, u kif tikseb rifużjoni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3. id-dazji doganali u taxxi u dazji oħrajn li jinġabru fuq l-importazzjonijiet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4. il-proċeduri doganali għall-importazzjonijiet u l-esportazzjonijiet skont il-Kodiċi Doganali tal-Unjoni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5. taxxi oħrajn: pagamenti, rati, dikjarazzjonijiet tat-taxxa</w:t>
            </w:r>
          </w:p>
        </w:tc>
      </w:tr>
      <w:tr w:rsidR="003B1C7B" w:rsidRPr="00536CA7" w:rsidTr="003B1C7B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 xml:space="preserve">AD. Oġġetti 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1. il-kisba ta’ markar CE 2. ir-regoli u r-rekwiżiti tal-prodott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3. l-identifikazzjoni ta’ standards applikabbli, speċifikazzjonijiet tekniċi u ċ-ċertifikazzjoni tal-prodotti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4. ir-rikonoxximent reċiproku ta’ prodotti li mhumiex soġġetti għall-ispeċifikazzjonijiet tal-Unjoni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5. ir-rekwiżiti rigward il-klassifikazzjoni, it-tikkettar u l-imballaġġ għas-sustanzi kimiċi perikolużi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6. il-bejgħ mill-bogħod/barra mill-post tan-negozju: l-informazzjoni li trid tingħata lill-klijenti minn qabel, il-konferma tal-kuntratt bil-miktub, l-irtirar minn kuntratt, il-konsenja tal-oġġetti, obbligi speċifiċi oħrajn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7. il-prodotti difettużi: id-drittijiet u l-garanziji tal-konsumatur, ir-responsabbiltajiet ta’ wara l-bejgħ, il-mezzi ta’ rimedju għal parti li ssofri dannu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8. iċ-ċertifikazzjoni, it-tikketti (EMAS, it-tikketti tal-enerġija, l-Ekodisinn, l-Ekotikketta tal-UE)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9. ir-riċiklaġġ u l-ġestjoni tal-iskart</w:t>
            </w:r>
          </w:p>
        </w:tc>
      </w:tr>
      <w:tr w:rsidR="003B1C7B" w:rsidRPr="00536CA7" w:rsidTr="003B1C7B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lastRenderedPageBreak/>
              <w:t xml:space="preserve">AE. Servizzi 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1.il-kisba ta’ liċenzji, awtorizzazzjonijiet jew permessi għall-bidu u l-operat ta’ persuna ġuridika għajr negozju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2. in-notifika lill-awtoritajiet dwar attivitajiet transfruntiera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3. ir-rikonoxximent tal-kwalifiki professjonali, inkluż l-edukazzjoni u t-taħriġ vokazzjonali</w:t>
            </w:r>
            <w:r>
              <w:rPr>
                <w:szCs w:val="20"/>
                <w:lang w:val="mt-MT" w:eastAsia="en-GB"/>
              </w:rPr>
              <w:t xml:space="preserve"> </w:t>
            </w:r>
          </w:p>
        </w:tc>
      </w:tr>
      <w:tr w:rsidR="003B1C7B" w:rsidRPr="00536CA7" w:rsidTr="003B1C7B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AF. Il-finanzjament ta’ persuna ġuridika għajr negozju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1. il-kisba ta’ aċċess għal finanzjament fil-livell tal-Unjoni, inklużi l-programmi ta’ finanzjament u l-għotjiet tal-Unjoni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2. il-kisba ta’ aċċess għal finanzjament fil-livell nazzjonali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3. inizjattivi indirizzati lill-persuni ġuridiċi għajr negozju (skambji, programmi ta’ mentoraġġ, eċċ.)</w:t>
            </w:r>
            <w:r>
              <w:rPr>
                <w:szCs w:val="20"/>
                <w:lang w:val="mt-MT" w:eastAsia="en-GB"/>
              </w:rPr>
              <w:t xml:space="preserve"> </w:t>
            </w:r>
          </w:p>
        </w:tc>
      </w:tr>
      <w:tr w:rsidR="003B1C7B" w:rsidRPr="00536CA7" w:rsidTr="003B1C7B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AG. Kuntratti pubbliċi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1. il-parteċipazzjoni f’offerti pubbliċi: regoli u proċeduri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2. il-preżentazzjoni ta’ offerta online bi tweġiba għal sejħa għall-offerti pubblika</w:t>
            </w:r>
            <w:r>
              <w:rPr>
                <w:szCs w:val="20"/>
                <w:lang w:val="mt-MT" w:eastAsia="en-GB"/>
              </w:rPr>
              <w:t xml:space="preserve"> </w:t>
            </w:r>
            <w:r w:rsidRPr="003B1C7B">
              <w:rPr>
                <w:szCs w:val="20"/>
                <w:lang w:val="mt-MT" w:eastAsia="en-GB"/>
              </w:rPr>
              <w:t>3. ir-rapportar ta’ irregolaritajiet fir-rigward tal-proċess ta’ sejħiet għall-offerti</w:t>
            </w:r>
            <w:r>
              <w:rPr>
                <w:szCs w:val="20"/>
                <w:lang w:val="mt-MT" w:eastAsia="en-GB"/>
              </w:rPr>
              <w:t xml:space="preserve"> </w:t>
            </w:r>
          </w:p>
        </w:tc>
      </w:tr>
      <w:tr w:rsidR="003B1C7B" w:rsidRPr="00536CA7" w:rsidTr="003B1C7B">
        <w:trPr>
          <w:jc w:val="center"/>
        </w:trPr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AH. Saħħa u sikurezza fuq ix-xogħol</w:t>
            </w:r>
          </w:p>
        </w:tc>
        <w:tc>
          <w:tcPr>
            <w:tcW w:w="7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C7B" w:rsidRPr="003B1C7B" w:rsidRDefault="003B1C7B" w:rsidP="003B1C7B">
            <w:pPr>
              <w:spacing w:before="0"/>
              <w:rPr>
                <w:szCs w:val="20"/>
                <w:lang w:val="mt-MT" w:eastAsia="en-GB"/>
              </w:rPr>
            </w:pPr>
            <w:r w:rsidRPr="003B1C7B">
              <w:rPr>
                <w:szCs w:val="20"/>
                <w:lang w:val="mt-MT" w:eastAsia="en-GB"/>
              </w:rPr>
              <w:t>1. l-obbligi dwar is-saħħa u s-sikurezza fir-rigward ta’ tipi differenti ta’ attività, inklużi l-prevenzjoni tar-riskji, l-informazzjoni u t-taħriġ”</w:t>
            </w:r>
          </w:p>
        </w:tc>
      </w:tr>
    </w:tbl>
    <w:p w:rsidR="00DA1813" w:rsidRPr="003B1C7B" w:rsidRDefault="003B1C7B" w:rsidP="003B1C7B">
      <w:pPr>
        <w:jc w:val="right"/>
        <w:rPr>
          <w:b/>
          <w:lang w:val="mt-MT"/>
        </w:rPr>
      </w:pPr>
      <w:r>
        <w:rPr>
          <w:b/>
          <w:lang w:val="mt-MT"/>
        </w:rPr>
        <w:t xml:space="preserve"> [Em. 5]</w:t>
      </w:r>
    </w:p>
    <w:p w:rsidR="00836FBD" w:rsidRPr="00EC35A9" w:rsidRDefault="00DA1813">
      <w:pPr>
        <w:jc w:val="center"/>
        <w:rPr>
          <w:lang w:val="mt-MT"/>
        </w:rPr>
      </w:pPr>
      <w:r>
        <w:rPr>
          <w:lang w:val="mt-MT"/>
        </w:rPr>
        <w:br w:type="page"/>
      </w:r>
      <w:r w:rsidR="005E62C3" w:rsidRPr="00EC35A9">
        <w:rPr>
          <w:lang w:val="mt-MT"/>
        </w:rPr>
        <w:lastRenderedPageBreak/>
        <w:t>Artikolu 3</w:t>
      </w:r>
      <w:r w:rsidR="005E62C3" w:rsidRPr="00EC35A9">
        <w:rPr>
          <w:lang w:val="mt-MT"/>
        </w:rPr>
        <w:br/>
        <w:t>Dħul fis-seħħ</w:t>
      </w:r>
    </w:p>
    <w:p w:rsidR="00836FBD" w:rsidRPr="00EC35A9" w:rsidRDefault="005E62C3">
      <w:pPr>
        <w:pStyle w:val="Applicationdirecte"/>
        <w:rPr>
          <w:lang w:val="mt-MT"/>
        </w:rPr>
      </w:pPr>
      <w:r w:rsidRPr="00EC35A9">
        <w:rPr>
          <w:lang w:val="mt-MT"/>
        </w:rPr>
        <w:t>Dan ir-Regolament għandu jidħol fis-seħħ fl-għoxrin jum wara dak tal-pubblikazzjoni tiegħu f’</w:t>
      </w:r>
      <w:r w:rsidRPr="00F47CE6">
        <w:rPr>
          <w:i/>
          <w:lang w:val="mt-MT"/>
        </w:rPr>
        <w:t>Il-Ġurnal Uffiċjali tal-Unjoni Ewropea</w:t>
      </w:r>
      <w:r w:rsidRPr="00EC35A9">
        <w:rPr>
          <w:lang w:val="mt-MT"/>
        </w:rPr>
        <w:t>.</w:t>
      </w:r>
    </w:p>
    <w:p w:rsidR="00836FBD" w:rsidRPr="00EC35A9" w:rsidRDefault="005E62C3">
      <w:pPr>
        <w:pStyle w:val="Applicationdirecte"/>
        <w:rPr>
          <w:lang w:val="mt-MT"/>
        </w:rPr>
      </w:pPr>
      <w:r w:rsidRPr="00EC35A9">
        <w:rPr>
          <w:lang w:val="mt-MT"/>
        </w:rPr>
        <w:t>Dan ir-Regolament għandu jorbot fl-intier tiegħu u japplika direttament fl-Istati Membri kollha.</w:t>
      </w:r>
    </w:p>
    <w:p w:rsidR="00836FBD" w:rsidRPr="00EC35A9" w:rsidRDefault="005E62C3">
      <w:pPr>
        <w:pStyle w:val="Fait"/>
        <w:rPr>
          <w:lang w:val="mt-MT"/>
        </w:rPr>
      </w:pPr>
      <w:r w:rsidRPr="00EC35A9">
        <w:rPr>
          <w:lang w:val="mt-MT"/>
        </w:rPr>
        <w:t xml:space="preserve">Magħmul fi </w:t>
      </w:r>
      <w:r w:rsidR="00536CA7">
        <w:rPr>
          <w:lang w:val="mt-MT"/>
        </w:rPr>
        <w:t>…</w:t>
      </w:r>
      <w:r w:rsidRPr="00EC35A9">
        <w:rPr>
          <w:lang w:val="mt-MT"/>
        </w:rPr>
        <w:t>,</w:t>
      </w:r>
    </w:p>
    <w:p w:rsidR="00836FBD" w:rsidRPr="00EC35A9" w:rsidRDefault="005E62C3">
      <w:pPr>
        <w:pStyle w:val="SignatureInstitution"/>
        <w:rPr>
          <w:lang w:val="mt-MT"/>
        </w:rPr>
      </w:pPr>
      <w:r w:rsidRPr="00EC35A9">
        <w:rPr>
          <w:lang w:val="mt-MT"/>
        </w:rPr>
        <w:t>Għall-Parlament Ewropew</w:t>
      </w:r>
      <w:r w:rsidRPr="00EC35A9">
        <w:rPr>
          <w:lang w:val="mt-MT"/>
        </w:rPr>
        <w:tab/>
        <w:t>Għall-Kunsill</w:t>
      </w:r>
    </w:p>
    <w:p w:rsidR="00836FBD" w:rsidRDefault="005E62C3">
      <w:pPr>
        <w:pStyle w:val="SignaturePersonne"/>
      </w:pPr>
      <w:r>
        <w:t>Il-President</w:t>
      </w:r>
      <w:r>
        <w:tab/>
        <w:t>Il-President</w:t>
      </w:r>
    </w:p>
    <w:sectPr w:rsidR="00836FBD">
      <w:footnotePr>
        <w:numRestart w:val="eachSect"/>
      </w:footnotePr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23B" w:rsidRDefault="005E62C3">
      <w:pPr>
        <w:spacing w:before="0" w:after="0" w:line="240" w:lineRule="auto"/>
      </w:pPr>
      <w:r>
        <w:separator/>
      </w:r>
    </w:p>
  </w:endnote>
  <w:endnote w:type="continuationSeparator" w:id="0">
    <w:p w:rsidR="007A423B" w:rsidRDefault="005E62C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FBD" w:rsidRDefault="005E62C3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FBD" w:rsidRDefault="005E62C3">
    <w:pPr>
      <w:pStyle w:val="Footer1"/>
    </w:pPr>
    <w:r>
      <w:rPr>
        <w:rStyle w:val="Footer2"/>
      </w:rPr>
      <w:t>EN</w:t>
    </w:r>
    <w:r>
      <w:tab/>
    </w:r>
    <w:r>
      <w:fldChar w:fldCharType="begin"/>
    </w:r>
    <w:r>
      <w:instrText xml:space="preserve"> PAGE </w:instrText>
    </w:r>
    <w:r>
      <w:fldChar w:fldCharType="end"/>
    </w:r>
    <w:r>
      <w:tab/>
    </w:r>
    <w:r>
      <w:rPr>
        <w:rStyle w:val="Footer2"/>
      </w:rPr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FBD" w:rsidRDefault="005E62C3">
      <w:pPr>
        <w:spacing w:after="0" w:line="240" w:lineRule="auto"/>
      </w:pPr>
      <w:r>
        <w:separator/>
      </w:r>
    </w:p>
  </w:footnote>
  <w:footnote w:type="continuationSeparator" w:id="0">
    <w:p w:rsidR="00836FBD" w:rsidRDefault="005E62C3">
      <w:pPr>
        <w:spacing w:after="0" w:line="240" w:lineRule="auto"/>
      </w:pPr>
      <w:r>
        <w:continuationSeparator/>
      </w:r>
    </w:p>
  </w:footnote>
  <w:footnote w:id="1">
    <w:p w:rsidR="00EC35A9" w:rsidRPr="0078231A" w:rsidRDefault="00EC35A9" w:rsidP="00EC35A9">
      <w:pPr>
        <w:pStyle w:val="FootnoteText"/>
        <w:rPr>
          <w:sz w:val="24"/>
          <w:szCs w:val="24"/>
          <w:lang w:val="mt-MT"/>
        </w:rPr>
      </w:pPr>
      <w:r w:rsidRPr="0078231A">
        <w:rPr>
          <w:rStyle w:val="FootnoteReference"/>
          <w:sz w:val="24"/>
          <w:szCs w:val="24"/>
        </w:rPr>
        <w:footnoteRef/>
      </w:r>
      <w:r w:rsidRPr="0078231A">
        <w:rPr>
          <w:sz w:val="24"/>
          <w:szCs w:val="24"/>
        </w:rPr>
        <w:t xml:space="preserve"> </w:t>
      </w:r>
      <w:r w:rsidRPr="0078231A">
        <w:rPr>
          <w:sz w:val="24"/>
          <w:szCs w:val="24"/>
        </w:rPr>
        <w:tab/>
      </w:r>
      <w:r w:rsidRPr="0078231A">
        <w:rPr>
          <w:sz w:val="24"/>
          <w:szCs w:val="24"/>
          <w:lang w:val="mt-MT"/>
        </w:rPr>
        <w:t>Għadha ma ġietx ippubblikata fil-Ġurnal Uffiċjali.</w:t>
      </w:r>
    </w:p>
  </w:footnote>
  <w:footnote w:id="2">
    <w:p w:rsidR="00836FBD" w:rsidRPr="00DA1813" w:rsidRDefault="005E62C3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A1813">
        <w:rPr>
          <w:lang w:val="mt-MT"/>
        </w:rPr>
        <w:tab/>
        <w:t>Ref. għall-opinjoni</w:t>
      </w:r>
    </w:p>
  </w:footnote>
  <w:footnote w:id="3">
    <w:p w:rsidR="00836FBD" w:rsidRPr="00DA1813" w:rsidRDefault="005E62C3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DA1813">
        <w:rPr>
          <w:lang w:val="mt-MT"/>
        </w:rPr>
        <w:tab/>
        <w:t>Id-Direttiva tal-Parlament Ewropew u tal-Kunsill ta’ ... dwar l-Assoċjazzjonijiet Transfruntiera Ewropej (ir-referenza tal-ĠU).</w:t>
      </w:r>
    </w:p>
  </w:footnote>
  <w:footnote w:id="4">
    <w:p w:rsidR="00836FBD" w:rsidRPr="003460F4" w:rsidRDefault="005E62C3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3460F4">
        <w:rPr>
          <w:lang w:val="mt-MT"/>
        </w:rPr>
        <w:tab/>
        <w:t>Ir-Regolament (UE) Nru 1024/2012 tal-Parlament Ewropew u tal-Kunsill tal-25 ta’ Ottubru 2012 dwar il-kooperazzjoni amministrattiva permezz tas-Sistema ta’ Informazzjoni tas-Suq Intern u li jħassar id-Deċiżjoni tal-Kummissjoni 2008/49/KE (“ir-Regolament tal-IMI”) (ĠU L 316, 14.11.2012, p. 1).</w:t>
      </w:r>
    </w:p>
  </w:footnote>
  <w:footnote w:id="5">
    <w:p w:rsidR="00836FBD" w:rsidRPr="0078231A" w:rsidRDefault="005E62C3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78231A">
        <w:rPr>
          <w:lang w:val="mt-MT"/>
        </w:rPr>
        <w:tab/>
        <w:t>Ir-Regolament (UE) 2018/1724 tal-Parlament Ewropew u tal-Kunsill tat-2 ta’ Ottubru 2018 li jistabbilixxi gateway diġitali unika li tipprovdi aċċess għal informazzjoni, għal proċeduri u għas-servizzi ta’ assistenza u ta’ soluzzjoni tal-problemi u li jemenda r-Regolament (UE) Nru 1024/2012 (ĠU L 295, 21.11.2018, p. 1).</w:t>
      </w:r>
    </w:p>
  </w:footnote>
  <w:footnote w:id="6">
    <w:p w:rsidR="00836FBD" w:rsidRPr="0078231A" w:rsidRDefault="005E62C3">
      <w:pPr>
        <w:pStyle w:val="FootnoteTextForceStyle"/>
        <w:rPr>
          <w:lang w:val="mt-MT"/>
        </w:rPr>
      </w:pPr>
      <w:r>
        <w:rPr>
          <w:vertAlign w:val="superscript"/>
        </w:rPr>
        <w:footnoteRef/>
      </w:r>
      <w:r w:rsidRPr="0078231A">
        <w:rPr>
          <w:lang w:val="mt-MT"/>
        </w:rPr>
        <w:tab/>
        <w:t>Ir-Regolament (UE) 2018/1724 tal-Parlament Ewropew u tal-Kunsill tat-2 ta’ Ottubru 2018 li jistabbilixxi gateway diġitali unika li tipprovdi aċċess għal informazzjoni, għal proċeduri u għas-servizzi ta’ assistenza u ta’ soluzzjoni tal-problemi u li jemenda r-Regolament (UE) Nru 1024/2012 (ĠU L 295, 21.11.2018, p. 1).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1D2042"/>
    <w:rsid w:val="00335FBF"/>
    <w:rsid w:val="003460F4"/>
    <w:rsid w:val="003B1C7B"/>
    <w:rsid w:val="00536CA7"/>
    <w:rsid w:val="005E62C3"/>
    <w:rsid w:val="0078231A"/>
    <w:rsid w:val="007A423B"/>
    <w:rsid w:val="00836FBD"/>
    <w:rsid w:val="008856C3"/>
    <w:rsid w:val="008F6C1E"/>
    <w:rsid w:val="00A77B3E"/>
    <w:rsid w:val="00BB0420"/>
    <w:rsid w:val="00CA2A55"/>
    <w:rsid w:val="00DA1813"/>
    <w:rsid w:val="00EC35A9"/>
    <w:rsid w:val="00F4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19B4D5"/>
  <w15:docId w15:val="{117CE4E8-6B4A-4E23-A455-006507204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spacing w:before="120" w:after="120" w:line="36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gnaturePersonne">
    <w:name w:val="Signature Personne"/>
    <w:basedOn w:val="Normal"/>
    <w:pPr>
      <w:widowControl/>
      <w:tabs>
        <w:tab w:val="left" w:pos="4252"/>
      </w:tabs>
      <w:spacing w:before="0" w:after="0"/>
    </w:pPr>
    <w:rPr>
      <w:i/>
    </w:rPr>
  </w:style>
  <w:style w:type="character" w:customStyle="1" w:styleId="Heading4Char">
    <w:name w:val="Heading 4 Char"/>
    <w:rPr>
      <w:rFonts w:ascii="Times New Roman" w:eastAsia="Times New Roman" w:hAnsi="Times New Roman" w:cs="Times New Roman"/>
      <w:sz w:val="24"/>
    </w:rPr>
  </w:style>
  <w:style w:type="paragraph" w:customStyle="1" w:styleId="Considrant">
    <w:name w:val="Considérant"/>
    <w:basedOn w:val="Normal"/>
    <w:pPr>
      <w:ind w:left="850" w:hanging="850"/>
    </w:pPr>
  </w:style>
  <w:style w:type="paragraph" w:customStyle="1" w:styleId="Institutionquiagit">
    <w:name w:val="Institution qui agit"/>
    <w:basedOn w:val="Normal"/>
    <w:next w:val="Normal"/>
    <w:pPr>
      <w:keepNext/>
      <w:spacing w:before="600"/>
    </w:pPr>
  </w:style>
  <w:style w:type="paragraph" w:customStyle="1" w:styleId="Institutionquisigne">
    <w:name w:val="Institution qui signe"/>
    <w:basedOn w:val="Normal"/>
    <w:next w:val="Normal"/>
    <w:pPr>
      <w:keepNext/>
      <w:tabs>
        <w:tab w:val="left" w:pos="4252"/>
      </w:tabs>
      <w:spacing w:before="720" w:after="0"/>
    </w:pPr>
    <w:rPr>
      <w:i/>
    </w:rPr>
  </w:style>
  <w:style w:type="paragraph" w:customStyle="1" w:styleId="Fait">
    <w:name w:val="Fait à"/>
    <w:basedOn w:val="Normal"/>
    <w:pPr>
      <w:keepNext/>
      <w:widowControl/>
      <w:spacing w:after="0"/>
    </w:p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character" w:customStyle="1" w:styleId="Heading1Char">
    <w:name w:val="Heading 1 Char"/>
    <w:rPr>
      <w:rFonts w:ascii="Times New Roman" w:eastAsia="Times New Roman" w:hAnsi="Times New Roman" w:cs="Times New Roman"/>
      <w:b/>
      <w:smallCaps/>
      <w:sz w:val="24"/>
    </w:rPr>
  </w:style>
  <w:style w:type="character" w:customStyle="1" w:styleId="Heading2Char">
    <w:name w:val="Heading 2 Char"/>
    <w:rPr>
      <w:rFonts w:ascii="Times New Roman" w:eastAsia="Times New Roman" w:hAnsi="Times New Roman" w:cs="Times New Roman"/>
      <w:b/>
      <w:sz w:val="24"/>
    </w:rPr>
  </w:style>
  <w:style w:type="character" w:customStyle="1" w:styleId="Heading3Char">
    <w:name w:val="Heading 3 Char"/>
    <w:rPr>
      <w:rFonts w:ascii="Times New Roman" w:eastAsia="Times New Roman" w:hAnsi="Times New Roman" w:cs="Times New Roman"/>
      <w:i/>
      <w:sz w:val="24"/>
    </w:rPr>
  </w:style>
  <w:style w:type="paragraph" w:customStyle="1" w:styleId="FootnoteTextForceStyle">
    <w:name w:val="Footnote Text ForceStyle"/>
    <w:pPr>
      <w:keepLines/>
      <w:widowControl w:val="0"/>
      <w:ind w:left="850" w:hanging="850"/>
    </w:pPr>
    <w:rPr>
      <w:sz w:val="24"/>
    </w:rPr>
  </w:style>
  <w:style w:type="character" w:customStyle="1" w:styleId="Footer2">
    <w:name w:val="Footer2"/>
    <w:rPr>
      <w:rFonts w:ascii="Arial" w:hAnsi="Arial"/>
      <w:b/>
      <w:sz w:val="48"/>
    </w:rPr>
  </w:style>
  <w:style w:type="paragraph" w:customStyle="1" w:styleId="Applicationdirecte">
    <w:name w:val="Application directe"/>
    <w:basedOn w:val="Normal"/>
    <w:next w:val="Normal"/>
  </w:style>
  <w:style w:type="paragraph" w:customStyle="1" w:styleId="Normale">
    <w:name w:val="Normale"/>
    <w:pPr>
      <w:widowControl w:val="0"/>
      <w:spacing w:before="120" w:after="120" w:line="360" w:lineRule="auto"/>
    </w:pPr>
    <w:rPr>
      <w:sz w:val="24"/>
    </w:rPr>
  </w:style>
  <w:style w:type="paragraph" w:customStyle="1" w:styleId="Formuledadoption">
    <w:name w:val="Formule d'adoption"/>
    <w:basedOn w:val="Normal"/>
    <w:next w:val="Normal"/>
    <w:pPr>
      <w:keepNext/>
      <w:widowControl/>
    </w:pPr>
  </w:style>
  <w:style w:type="paragraph" w:customStyle="1" w:styleId="Rfrenceinstitutionnelle">
    <w:name w:val="Référence institutionnelle"/>
    <w:basedOn w:val="Normal"/>
    <w:next w:val="Normal"/>
    <w:pPr>
      <w:widowControl/>
      <w:spacing w:before="0" w:after="240"/>
      <w:ind w:left="5102"/>
    </w:pPr>
  </w:style>
  <w:style w:type="paragraph" w:customStyle="1" w:styleId="Footer1">
    <w:name w:val="Footer1"/>
    <w:basedOn w:val="Normal"/>
    <w:pPr>
      <w:widowControl/>
      <w:tabs>
        <w:tab w:val="center" w:pos="4150"/>
        <w:tab w:val="right" w:pos="8306"/>
        <w:tab w:val="right" w:pos="9638"/>
      </w:tabs>
      <w:spacing w:before="0" w:after="0"/>
    </w:pPr>
  </w:style>
  <w:style w:type="paragraph" w:customStyle="1" w:styleId="SignatureInstitution">
    <w:name w:val="Signature Institution"/>
    <w:basedOn w:val="Normal"/>
    <w:pPr>
      <w:keepNext/>
      <w:widowControl/>
      <w:tabs>
        <w:tab w:val="left" w:pos="4252"/>
      </w:tabs>
      <w:spacing w:before="720" w:after="100"/>
      <w:jc w:val="both"/>
    </w:pPr>
    <w:rPr>
      <w:i/>
    </w:rPr>
  </w:style>
  <w:style w:type="paragraph" w:customStyle="1" w:styleId="Statut">
    <w:name w:val="Statut"/>
    <w:basedOn w:val="Normal"/>
    <w:next w:val="Normal"/>
    <w:pPr>
      <w:widowControl/>
      <w:spacing w:before="840" w:after="0"/>
      <w:jc w:val="center"/>
    </w:pPr>
  </w:style>
  <w:style w:type="paragraph" w:customStyle="1" w:styleId="Typedudocument">
    <w:name w:val="Type du document"/>
    <w:basedOn w:val="Normal"/>
    <w:next w:val="Normal"/>
    <w:pPr>
      <w:widowControl/>
      <w:spacing w:before="360" w:after="0"/>
      <w:jc w:val="center"/>
    </w:pPr>
    <w:rPr>
      <w:b/>
    </w:rPr>
  </w:style>
  <w:style w:type="paragraph" w:customStyle="1" w:styleId="Titreobjet">
    <w:name w:val="Titre objet"/>
    <w:basedOn w:val="Normal"/>
    <w:next w:val="Normal"/>
    <w:pPr>
      <w:widowControl/>
      <w:spacing w:before="360" w:after="360"/>
      <w:jc w:val="center"/>
    </w:pPr>
    <w:rPr>
      <w:b/>
    </w:rPr>
  </w:style>
  <w:style w:type="paragraph" w:customStyle="1" w:styleId="IntrtEEE">
    <w:name w:val="Intérêt EEE"/>
    <w:basedOn w:val="Normal"/>
    <w:next w:val="Normal"/>
    <w:pPr>
      <w:widowControl/>
      <w:spacing w:before="360" w:after="240"/>
      <w:jc w:val="center"/>
    </w:p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character" w:customStyle="1" w:styleId="HideTWBExt">
    <w:name w:val="HideTWBExt"/>
    <w:rsid w:val="00EC35A9"/>
    <w:rPr>
      <w:rFonts w:ascii="Arial" w:hAnsi="Arial"/>
      <w:noProof/>
      <w:vanish/>
      <w:color w:val="000080"/>
      <w:sz w:val="20"/>
    </w:rPr>
  </w:style>
  <w:style w:type="paragraph" w:customStyle="1" w:styleId="EPBodyTA1">
    <w:name w:val="EPBodyTA1"/>
    <w:basedOn w:val="Normal"/>
    <w:rsid w:val="00EC35A9"/>
    <w:pPr>
      <w:spacing w:before="0" w:after="0" w:line="240" w:lineRule="auto"/>
      <w:jc w:val="center"/>
    </w:pPr>
    <w:rPr>
      <w:rFonts w:ascii="Arial" w:hAnsi="Arial" w:cs="Arial"/>
      <w:b/>
      <w:sz w:val="22"/>
      <w:szCs w:val="22"/>
      <w:lang w:val="mt-MT" w:eastAsia="en-GB"/>
    </w:rPr>
  </w:style>
  <w:style w:type="paragraph" w:customStyle="1" w:styleId="LineTop">
    <w:name w:val="LineTop"/>
    <w:basedOn w:val="Normal"/>
    <w:next w:val="Normal"/>
    <w:rsid w:val="00EC35A9"/>
    <w:pPr>
      <w:pBdr>
        <w:top w:val="single" w:sz="4" w:space="1" w:color="auto"/>
      </w:pBdr>
      <w:spacing w:before="0" w:after="0" w:line="240" w:lineRule="auto"/>
      <w:jc w:val="center"/>
    </w:pPr>
    <w:rPr>
      <w:rFonts w:ascii="Arial" w:hAnsi="Arial" w:cs="Arial"/>
      <w:sz w:val="16"/>
      <w:szCs w:val="16"/>
      <w:lang w:val="mt-MT" w:eastAsia="en-GB"/>
    </w:rPr>
  </w:style>
  <w:style w:type="paragraph" w:customStyle="1" w:styleId="LineBottom">
    <w:name w:val="LineBottom"/>
    <w:basedOn w:val="Normal"/>
    <w:next w:val="Normal"/>
    <w:rsid w:val="00EC35A9"/>
    <w:pPr>
      <w:pBdr>
        <w:bottom w:val="single" w:sz="4" w:space="1" w:color="auto"/>
      </w:pBdr>
      <w:spacing w:before="0" w:after="240" w:line="240" w:lineRule="auto"/>
      <w:jc w:val="center"/>
    </w:pPr>
    <w:rPr>
      <w:rFonts w:ascii="Arial" w:hAnsi="Arial" w:cs="Arial"/>
      <w:sz w:val="16"/>
      <w:szCs w:val="16"/>
      <w:lang w:val="mt-MT" w:eastAsia="en-GB"/>
    </w:rPr>
  </w:style>
  <w:style w:type="paragraph" w:customStyle="1" w:styleId="ATHeading1">
    <w:name w:val="AT Heading 1"/>
    <w:basedOn w:val="Normal"/>
    <w:next w:val="Normal"/>
    <w:rsid w:val="00EC35A9"/>
    <w:pPr>
      <w:keepNext/>
      <w:keepLines/>
      <w:widowControl/>
      <w:spacing w:before="480" w:line="240" w:lineRule="auto"/>
      <w:outlineLvl w:val="0"/>
    </w:pPr>
    <w:rPr>
      <w:b/>
      <w:sz w:val="28"/>
      <w:szCs w:val="20"/>
      <w:lang w:val="mt-MT" w:eastAsia="fr-FR"/>
    </w:rPr>
  </w:style>
  <w:style w:type="paragraph" w:customStyle="1" w:styleId="ATHeading2">
    <w:name w:val="AT Heading 2"/>
    <w:basedOn w:val="Normal"/>
    <w:next w:val="Normal"/>
    <w:rsid w:val="00EC35A9"/>
    <w:pPr>
      <w:widowControl/>
      <w:spacing w:line="240" w:lineRule="auto"/>
      <w:outlineLvl w:val="1"/>
    </w:pPr>
    <w:rPr>
      <w:b/>
      <w:sz w:val="28"/>
      <w:szCs w:val="20"/>
      <w:lang w:val="mt-MT" w:eastAsia="fr-FR"/>
    </w:rPr>
  </w:style>
  <w:style w:type="paragraph" w:customStyle="1" w:styleId="ATHeading3">
    <w:name w:val="AT Heading 3"/>
    <w:basedOn w:val="Normal"/>
    <w:next w:val="Normal"/>
    <w:rsid w:val="00EC35A9"/>
    <w:pPr>
      <w:keepNext/>
      <w:keepLines/>
      <w:widowControl/>
      <w:spacing w:line="240" w:lineRule="auto"/>
      <w:outlineLvl w:val="2"/>
    </w:pPr>
    <w:rPr>
      <w:b/>
      <w:szCs w:val="20"/>
      <w:lang w:val="mt-MT" w:eastAsia="fr-FR"/>
    </w:rPr>
  </w:style>
  <w:style w:type="paragraph" w:styleId="FootnoteText">
    <w:name w:val="footnote text"/>
    <w:basedOn w:val="Normal"/>
    <w:link w:val="FootnoteTextChar"/>
    <w:semiHidden/>
    <w:rsid w:val="00EC35A9"/>
    <w:pPr>
      <w:keepLines/>
      <w:widowControl/>
      <w:spacing w:before="0" w:after="0" w:line="260" w:lineRule="exact"/>
      <w:ind w:left="425" w:hanging="425"/>
    </w:pPr>
    <w:rPr>
      <w:sz w:val="22"/>
      <w:szCs w:val="20"/>
      <w:lang w:val="fr-FR" w:eastAsia="fr-FR"/>
    </w:rPr>
  </w:style>
  <w:style w:type="character" w:customStyle="1" w:styleId="FootnoteTextChar">
    <w:name w:val="Footnote Text Char"/>
    <w:basedOn w:val="DefaultParagraphFont"/>
    <w:link w:val="FootnoteText"/>
    <w:semiHidden/>
    <w:rsid w:val="00EC35A9"/>
    <w:rPr>
      <w:sz w:val="22"/>
      <w:lang w:val="fr-FR" w:eastAsia="fr-FR"/>
    </w:rPr>
  </w:style>
  <w:style w:type="paragraph" w:customStyle="1" w:styleId="EPName">
    <w:name w:val="EPName"/>
    <w:basedOn w:val="Normal"/>
    <w:rsid w:val="00EC35A9"/>
    <w:pPr>
      <w:spacing w:before="80" w:after="80" w:line="240" w:lineRule="auto"/>
    </w:pPr>
    <w:rPr>
      <w:rFonts w:ascii="Arial Narrow" w:hAnsi="Arial Narrow" w:cs="Arial"/>
      <w:b/>
      <w:sz w:val="32"/>
      <w:szCs w:val="22"/>
      <w:lang w:val="mt-MT" w:eastAsia="en-GB"/>
    </w:rPr>
  </w:style>
  <w:style w:type="paragraph" w:customStyle="1" w:styleId="EPTerm">
    <w:name w:val="EPTerm"/>
    <w:basedOn w:val="Normal"/>
    <w:next w:val="Normal"/>
    <w:rsid w:val="00EC35A9"/>
    <w:pPr>
      <w:spacing w:before="0" w:after="80" w:line="240" w:lineRule="auto"/>
    </w:pPr>
    <w:rPr>
      <w:rFonts w:ascii="Arial" w:hAnsi="Arial" w:cs="Arial"/>
      <w:sz w:val="20"/>
      <w:szCs w:val="22"/>
      <w:lang w:val="mt-MT" w:eastAsia="en-GB"/>
    </w:rPr>
  </w:style>
  <w:style w:type="paragraph" w:customStyle="1" w:styleId="EPLogo">
    <w:name w:val="EPLogo"/>
    <w:basedOn w:val="Normal"/>
    <w:qFormat/>
    <w:rsid w:val="00EC35A9"/>
    <w:pPr>
      <w:spacing w:before="0" w:after="0" w:line="240" w:lineRule="auto"/>
      <w:jc w:val="right"/>
    </w:pPr>
    <w:rPr>
      <w:szCs w:val="20"/>
      <w:lang w:val="mt-MT" w:eastAsia="en-GB"/>
    </w:rPr>
  </w:style>
  <w:style w:type="paragraph" w:customStyle="1" w:styleId="NormalBold">
    <w:name w:val="NormalBold"/>
    <w:basedOn w:val="Normal"/>
    <w:link w:val="NormalBoldChar"/>
    <w:rsid w:val="00EC35A9"/>
    <w:pPr>
      <w:spacing w:before="0" w:after="0" w:line="240" w:lineRule="auto"/>
    </w:pPr>
    <w:rPr>
      <w:b/>
      <w:szCs w:val="20"/>
      <w:lang w:val="mt-MT" w:eastAsia="en-GB"/>
    </w:rPr>
  </w:style>
  <w:style w:type="paragraph" w:customStyle="1" w:styleId="NormalHanging12a">
    <w:name w:val="NormalHanging12a"/>
    <w:basedOn w:val="Normal"/>
    <w:rsid w:val="00EC35A9"/>
    <w:pPr>
      <w:spacing w:before="0" w:after="240" w:line="240" w:lineRule="auto"/>
      <w:ind w:left="567" w:hanging="567"/>
    </w:pPr>
    <w:rPr>
      <w:szCs w:val="20"/>
      <w:lang w:val="mt-MT" w:eastAsia="en-GB"/>
    </w:rPr>
  </w:style>
  <w:style w:type="paragraph" w:customStyle="1" w:styleId="EPComma">
    <w:name w:val="EPComma"/>
    <w:basedOn w:val="Normal"/>
    <w:rsid w:val="00EC35A9"/>
    <w:pPr>
      <w:spacing w:before="480" w:after="240" w:line="240" w:lineRule="auto"/>
    </w:pPr>
    <w:rPr>
      <w:szCs w:val="20"/>
      <w:lang w:val="mt-MT" w:eastAsia="en-GB"/>
    </w:rPr>
  </w:style>
  <w:style w:type="character" w:customStyle="1" w:styleId="NormalBoldChar">
    <w:name w:val="NormalBold Char"/>
    <w:basedOn w:val="DefaultParagraphFont"/>
    <w:link w:val="NormalBold"/>
    <w:locked/>
    <w:rsid w:val="00EC35A9"/>
    <w:rPr>
      <w:b/>
      <w:sz w:val="24"/>
      <w:lang w:val="mt-MT" w:eastAsia="en-GB"/>
    </w:rPr>
  </w:style>
  <w:style w:type="paragraph" w:styleId="Header">
    <w:name w:val="header"/>
    <w:basedOn w:val="Normal"/>
    <w:link w:val="HeaderChar"/>
    <w:unhideWhenUsed/>
    <w:rsid w:val="00EC35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rsid w:val="00EC35A9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EC35A9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1">
    <w:name w:val="Footer Char1"/>
    <w:basedOn w:val="DefaultParagraphFont"/>
    <w:link w:val="Footer"/>
    <w:semiHidden/>
    <w:rsid w:val="00EC35A9"/>
    <w:rPr>
      <w:sz w:val="24"/>
      <w:szCs w:val="24"/>
    </w:rPr>
  </w:style>
  <w:style w:type="table" w:styleId="TableGrid">
    <w:name w:val="Table Grid"/>
    <w:basedOn w:val="TableNormal"/>
    <w:uiPriority w:val="39"/>
    <w:rsid w:val="003B1C7B"/>
    <w:rPr>
      <w:rFonts w:asciiTheme="minorHAnsi" w:eastAsiaTheme="minorHAnsi" w:hAnsiTheme="minorHAnsi" w:cstheme="min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3460F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46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3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956A3-FEC5-4DE0-9564-1ECA3876B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2385</Words>
  <Characters>13595</Characters>
  <Application>Microsoft Office Word</Application>
  <DocSecurity>4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GOROPECNIK Tina</cp:lastModifiedBy>
  <cp:revision>2</cp:revision>
  <dcterms:created xsi:type="dcterms:W3CDTF">2024-12-19T10:04:00Z</dcterms:created>
  <dcterms:modified xsi:type="dcterms:W3CDTF">2024-12-19T10:04:00Z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64729</vt:lpwstr>
  </property>
  <property fmtid="{D5CDD505-2E9C-101B-9397-08002B2CF9AE}" pid="3" name="dmxml.render.traceId">
    <vt:lpwstr>66d80bc81b8d456dbddd72a58514d193</vt:lpwstr>
  </property>
  <property fmtid="{D5CDD505-2E9C-101B-9397-08002B2CF9AE}" pid="4" name="UID">
    <vt:lpwstr>eu.europa.europarl-TMP1-0000-0000000001_00.00-en-00.00_text-xml</vt:lpwstr>
  </property>
</Properties>
</file>