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D3A9E" w:rsidRPr="005E7B73" w14:paraId="6E0D4211" w14:textId="77777777" w:rsidTr="000947C8">
        <w:trPr>
          <w:trHeight w:hRule="exact" w:val="1418"/>
        </w:trPr>
        <w:tc>
          <w:tcPr>
            <w:tcW w:w="6804" w:type="dxa"/>
            <w:shd w:val="clear" w:color="auto" w:fill="auto"/>
            <w:vAlign w:val="center"/>
          </w:tcPr>
          <w:p w14:paraId="4125913C" w14:textId="77777777" w:rsidR="005D3A9E" w:rsidRPr="005E7B73" w:rsidRDefault="005D3A9E" w:rsidP="005D3A9E">
            <w:pPr>
              <w:widowControl w:val="0"/>
              <w:spacing w:before="80" w:after="80"/>
              <w:jc w:val="left"/>
              <w:rPr>
                <w:rFonts w:ascii="Arial Narrow" w:eastAsia="Times New Roman" w:hAnsi="Arial Narrow" w:cs="Arial"/>
                <w:b/>
                <w:sz w:val="32"/>
                <w:szCs w:val="22"/>
                <w:lang w:val="nl-NL" w:eastAsia="en-GB"/>
              </w:rPr>
            </w:pPr>
            <w:r w:rsidRPr="005E7B73">
              <w:rPr>
                <w:rFonts w:ascii="Arial Narrow" w:eastAsia="Times New Roman" w:hAnsi="Arial Narrow" w:cs="Arial"/>
                <w:b/>
                <w:sz w:val="32"/>
                <w:szCs w:val="22"/>
                <w:lang w:val="nl-NL" w:eastAsia="en-GB"/>
              </w:rPr>
              <w:t>Europees Parlement</w:t>
            </w:r>
          </w:p>
          <w:p w14:paraId="59417AE5" w14:textId="77777777" w:rsidR="005D3A9E" w:rsidRPr="005E7B73" w:rsidRDefault="005D3A9E" w:rsidP="005D3A9E">
            <w:pPr>
              <w:widowControl w:val="0"/>
              <w:spacing w:after="80"/>
              <w:jc w:val="left"/>
              <w:rPr>
                <w:rFonts w:ascii="Arial" w:eastAsia="Times New Roman" w:hAnsi="Arial" w:cs="Arial"/>
                <w:sz w:val="20"/>
                <w:szCs w:val="22"/>
                <w:lang w:val="nl-NL" w:eastAsia="en-GB"/>
              </w:rPr>
            </w:pPr>
            <w:r w:rsidRPr="005E7B73">
              <w:rPr>
                <w:rFonts w:ascii="Arial" w:eastAsia="Times New Roman" w:hAnsi="Arial" w:cs="Arial"/>
                <w:sz w:val="20"/>
                <w:szCs w:val="22"/>
                <w:lang w:val="nl-NL" w:eastAsia="en-GB"/>
              </w:rPr>
              <w:t>2019-2024</w:t>
            </w:r>
          </w:p>
        </w:tc>
        <w:tc>
          <w:tcPr>
            <w:tcW w:w="2268" w:type="dxa"/>
            <w:shd w:val="clear" w:color="auto" w:fill="auto"/>
          </w:tcPr>
          <w:p w14:paraId="401483B3" w14:textId="77777777" w:rsidR="005D3A9E" w:rsidRPr="005E7B73" w:rsidRDefault="005D3A9E" w:rsidP="005D3A9E">
            <w:pPr>
              <w:widowControl w:val="0"/>
              <w:jc w:val="right"/>
              <w:rPr>
                <w:rFonts w:eastAsia="Times New Roman"/>
                <w:szCs w:val="20"/>
                <w:lang w:val="nl-NL" w:eastAsia="en-GB"/>
              </w:rPr>
            </w:pPr>
            <w:r w:rsidRPr="005E7B73">
              <w:rPr>
                <w:rFonts w:eastAsia="Times New Roman"/>
                <w:noProof/>
                <w:szCs w:val="20"/>
                <w:lang w:eastAsia="en-GB"/>
              </w:rPr>
              <w:drawing>
                <wp:inline distT="0" distB="0" distL="0" distR="0" wp14:anchorId="18008C8B" wp14:editId="681C634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AC706D" w14:textId="77777777" w:rsidR="005D3A9E" w:rsidRPr="005E7B73" w:rsidRDefault="005D3A9E" w:rsidP="005D3A9E">
      <w:pPr>
        <w:widowControl w:val="0"/>
        <w:pBdr>
          <w:top w:val="single" w:sz="4" w:space="1" w:color="auto"/>
        </w:pBdr>
        <w:jc w:val="center"/>
        <w:rPr>
          <w:rFonts w:ascii="Arial" w:eastAsia="Times New Roman" w:hAnsi="Arial" w:cs="Arial"/>
          <w:sz w:val="16"/>
          <w:szCs w:val="16"/>
          <w:lang w:val="nl-NL" w:eastAsia="en-GB"/>
        </w:rPr>
      </w:pPr>
    </w:p>
    <w:p w14:paraId="2B61CEF4" w14:textId="77777777" w:rsidR="005D3A9E" w:rsidRPr="005E7B73" w:rsidRDefault="005D3A9E" w:rsidP="005D3A9E">
      <w:pPr>
        <w:widowControl w:val="0"/>
        <w:jc w:val="center"/>
        <w:rPr>
          <w:rFonts w:ascii="Arial" w:eastAsia="Times New Roman" w:hAnsi="Arial" w:cs="Arial"/>
          <w:b/>
          <w:sz w:val="22"/>
          <w:szCs w:val="22"/>
          <w:lang w:val="nl-NL" w:eastAsia="en-GB"/>
        </w:rPr>
      </w:pPr>
      <w:r w:rsidRPr="005E7B73">
        <w:rPr>
          <w:rFonts w:ascii="Arial" w:eastAsia="Times New Roman" w:hAnsi="Arial" w:cs="Arial"/>
          <w:b/>
          <w:sz w:val="22"/>
          <w:szCs w:val="22"/>
          <w:lang w:val="nl-NL" w:eastAsia="en-GB"/>
        </w:rPr>
        <w:t>AANGENOMEN TEKSTEN</w:t>
      </w:r>
    </w:p>
    <w:p w14:paraId="624D39CF" w14:textId="77777777" w:rsidR="005D3A9E" w:rsidRPr="005E7B73" w:rsidRDefault="005D3A9E" w:rsidP="005D3A9E">
      <w:pPr>
        <w:widowControl w:val="0"/>
        <w:pBdr>
          <w:bottom w:val="single" w:sz="4" w:space="1" w:color="auto"/>
        </w:pBdr>
        <w:spacing w:after="240"/>
        <w:jc w:val="center"/>
        <w:rPr>
          <w:rFonts w:ascii="Arial" w:eastAsia="Times New Roman" w:hAnsi="Arial" w:cs="Arial"/>
          <w:sz w:val="16"/>
          <w:szCs w:val="16"/>
          <w:lang w:val="nl-NL" w:eastAsia="en-GB"/>
        </w:rPr>
      </w:pPr>
    </w:p>
    <w:p w14:paraId="47AFABDE" w14:textId="77777777" w:rsidR="00B80227" w:rsidRPr="005E7B73" w:rsidRDefault="005D3A9E" w:rsidP="00B80227">
      <w:pPr>
        <w:pStyle w:val="ATHeading1"/>
        <w:rPr>
          <w:lang w:val="nl-BE"/>
        </w:rPr>
      </w:pPr>
      <w:bookmarkStart w:id="0" w:name="TANumber"/>
      <w:proofErr w:type="spellStart"/>
      <w:r w:rsidRPr="005E7B73">
        <w:rPr>
          <w:lang w:val="nl-NL"/>
        </w:rPr>
        <w:t>P9_</w:t>
      </w:r>
      <w:proofErr w:type="gramStart"/>
      <w:r w:rsidRPr="005E7B73">
        <w:rPr>
          <w:lang w:val="nl-NL"/>
        </w:rPr>
        <w:t>TA</w:t>
      </w:r>
      <w:proofErr w:type="spellEnd"/>
      <w:r w:rsidRPr="005E7B73">
        <w:rPr>
          <w:lang w:val="nl-NL"/>
        </w:rPr>
        <w:t>(</w:t>
      </w:r>
      <w:proofErr w:type="gramEnd"/>
      <w:r w:rsidRPr="005E7B73">
        <w:rPr>
          <w:lang w:val="nl-NL"/>
        </w:rPr>
        <w:t>2024)</w:t>
      </w:r>
      <w:bookmarkEnd w:id="0"/>
      <w:r w:rsidRPr="005E7B73">
        <w:rPr>
          <w:lang w:val="nl-NL"/>
        </w:rPr>
        <w:t>0142</w:t>
      </w:r>
      <w:bookmarkStart w:id="1" w:name="title"/>
    </w:p>
    <w:p w14:paraId="39612C2E" w14:textId="77777777" w:rsidR="00B80227" w:rsidRPr="005E7B73" w:rsidRDefault="005D3A9E" w:rsidP="00B80227">
      <w:pPr>
        <w:pStyle w:val="ATHeading2"/>
        <w:rPr>
          <w:lang w:val="nl-BE"/>
        </w:rPr>
      </w:pPr>
      <w:r w:rsidRPr="005E7B73">
        <w:rPr>
          <w:lang w:val="nl-NL"/>
        </w:rPr>
        <w:t>Gebruik van het Informatiesysteem interne markt en één digitale toegangspoort om aan bepaalde vereisten van de richtlijn betreffende Europese grensoverschrijdende verenigingen te voldoen</w:t>
      </w:r>
      <w:bookmarkEnd w:id="1"/>
    </w:p>
    <w:p w14:paraId="5FE8B3F4" w14:textId="49DF8991" w:rsidR="005D3A9E" w:rsidRPr="005E7B73" w:rsidRDefault="005D3A9E" w:rsidP="0076105D">
      <w:pPr>
        <w:keepNext/>
        <w:keepLines/>
        <w:jc w:val="left"/>
        <w:outlineLvl w:val="0"/>
        <w:rPr>
          <w:rFonts w:eastAsia="Times New Roman"/>
          <w:i/>
          <w:vanish/>
          <w:szCs w:val="20"/>
          <w:lang w:val="nl-NL" w:eastAsia="en-GB"/>
        </w:rPr>
      </w:pPr>
      <w:r w:rsidRPr="005E7B73">
        <w:rPr>
          <w:rFonts w:eastAsia="Times New Roman"/>
          <w:i/>
          <w:szCs w:val="20"/>
          <w:lang w:val="nl-NL" w:eastAsia="en-GB"/>
        </w:rPr>
        <w:fldChar w:fldCharType="begin"/>
      </w:r>
      <w:r w:rsidRPr="005E7B73">
        <w:rPr>
          <w:rFonts w:eastAsia="Times New Roman"/>
          <w:i/>
          <w:szCs w:val="20"/>
          <w:lang w:val="nl-NL" w:eastAsia="en-GB"/>
        </w:rPr>
        <w:instrText xml:space="preserve"> TC"(</w:instrText>
      </w:r>
      <w:bookmarkStart w:id="2" w:name="DocNumber"/>
      <w:proofErr w:type="spellStart"/>
      <w:r w:rsidRPr="005E7B73">
        <w:rPr>
          <w:rFonts w:eastAsia="Times New Roman"/>
          <w:i/>
          <w:szCs w:val="20"/>
          <w:lang w:val="nl-NL" w:eastAsia="en-GB"/>
        </w:rPr>
        <w:instrText>A9</w:instrText>
      </w:r>
      <w:proofErr w:type="spellEnd"/>
      <w:r w:rsidRPr="005E7B73">
        <w:rPr>
          <w:rFonts w:eastAsia="Times New Roman"/>
          <w:i/>
          <w:szCs w:val="20"/>
          <w:lang w:val="nl-NL" w:eastAsia="en-GB"/>
        </w:rPr>
        <w:instrText>-0006/2024</w:instrText>
      </w:r>
      <w:bookmarkEnd w:id="2"/>
      <w:r w:rsidRPr="005E7B73">
        <w:rPr>
          <w:rFonts w:eastAsia="Times New Roman"/>
          <w:i/>
          <w:szCs w:val="20"/>
          <w:lang w:val="nl-NL" w:eastAsia="en-GB"/>
        </w:rPr>
        <w:instrText xml:space="preserve"> - Rapporteur: </w:instrText>
      </w:r>
      <w:r w:rsidR="005E7B73" w:rsidRPr="00100C19">
        <w:rPr>
          <w:i/>
          <w:szCs w:val="20"/>
          <w:lang w:val="nl-NL" w:eastAsia="en-GB"/>
        </w:rPr>
        <w:instrText>Anne</w:instrText>
      </w:r>
      <w:r w:rsidR="005E7B73" w:rsidRPr="00100C19">
        <w:rPr>
          <w:i/>
          <w:szCs w:val="20"/>
          <w:lang w:val="nl-NL" w:eastAsia="en-GB"/>
        </w:rPr>
        <w:noBreakHyphen/>
        <w:instrText xml:space="preserve">Sophie </w:instrText>
      </w:r>
      <w:proofErr w:type="spellStart"/>
      <w:r w:rsidR="005E7B73" w:rsidRPr="00100C19">
        <w:rPr>
          <w:i/>
          <w:szCs w:val="20"/>
          <w:lang w:val="nl-NL" w:eastAsia="en-GB"/>
        </w:rPr>
        <w:instrText>Pelletier</w:instrText>
      </w:r>
      <w:proofErr w:type="spellEnd"/>
      <w:r w:rsidRPr="005E7B73">
        <w:rPr>
          <w:rFonts w:eastAsia="Times New Roman"/>
          <w:i/>
          <w:szCs w:val="20"/>
          <w:lang w:val="nl-NL" w:eastAsia="en-GB"/>
        </w:rPr>
        <w:instrText>)"\</w:instrText>
      </w:r>
      <w:proofErr w:type="spellStart"/>
      <w:r w:rsidRPr="005E7B73">
        <w:rPr>
          <w:rFonts w:eastAsia="Times New Roman"/>
          <w:i/>
          <w:szCs w:val="20"/>
          <w:lang w:val="nl-NL" w:eastAsia="en-GB"/>
        </w:rPr>
        <w:instrText>l3</w:instrText>
      </w:r>
      <w:proofErr w:type="spellEnd"/>
      <w:r w:rsidRPr="005E7B73">
        <w:rPr>
          <w:rFonts w:eastAsia="Times New Roman"/>
          <w:i/>
          <w:szCs w:val="20"/>
          <w:lang w:val="nl-NL" w:eastAsia="en-GB"/>
        </w:rPr>
        <w:instrText xml:space="preserve"> \n&gt; \* </w:instrText>
      </w:r>
      <w:proofErr w:type="spellStart"/>
      <w:r w:rsidRPr="005E7B73">
        <w:rPr>
          <w:rFonts w:eastAsia="Times New Roman"/>
          <w:i/>
          <w:szCs w:val="20"/>
          <w:lang w:val="nl-NL" w:eastAsia="en-GB"/>
        </w:rPr>
        <w:instrText>MERGEFORMAT</w:instrText>
      </w:r>
      <w:proofErr w:type="spellEnd"/>
      <w:r w:rsidRPr="005E7B73">
        <w:rPr>
          <w:rFonts w:eastAsia="Times New Roman"/>
          <w:i/>
          <w:szCs w:val="20"/>
          <w:lang w:val="nl-NL" w:eastAsia="en-GB"/>
        </w:rPr>
        <w:instrText xml:space="preserve"> </w:instrText>
      </w:r>
      <w:r w:rsidRPr="005E7B73">
        <w:rPr>
          <w:rFonts w:eastAsia="Times New Roman"/>
          <w:i/>
          <w:szCs w:val="20"/>
          <w:lang w:val="nl-NL" w:eastAsia="en-GB"/>
        </w:rPr>
        <w:fldChar w:fldCharType="end"/>
      </w:r>
    </w:p>
    <w:p w14:paraId="7D4C9046" w14:textId="77777777" w:rsidR="005D3A9E" w:rsidRPr="005E7B73" w:rsidRDefault="005D3A9E" w:rsidP="005D3A9E">
      <w:pPr>
        <w:widowControl w:val="0"/>
        <w:jc w:val="left"/>
        <w:rPr>
          <w:rFonts w:eastAsia="Times New Roman"/>
          <w:vanish/>
          <w:szCs w:val="20"/>
          <w:lang w:val="nl-NL" w:eastAsia="en-GB"/>
        </w:rPr>
      </w:pPr>
      <w:bookmarkStart w:id="3" w:name="Commission"/>
      <w:r w:rsidRPr="005E7B73">
        <w:rPr>
          <w:rFonts w:eastAsia="Times New Roman"/>
          <w:vanish/>
          <w:szCs w:val="20"/>
          <w:lang w:val="nl-NL" w:eastAsia="en-GB"/>
        </w:rPr>
        <w:t>Commissie interne markt en consumentenbescherming</w:t>
      </w:r>
      <w:bookmarkEnd w:id="3"/>
    </w:p>
    <w:p w14:paraId="7D47B833" w14:textId="77777777" w:rsidR="005D3A9E" w:rsidRPr="005E7B73" w:rsidRDefault="005D3A9E" w:rsidP="005D3A9E">
      <w:pPr>
        <w:widowControl w:val="0"/>
        <w:jc w:val="left"/>
        <w:rPr>
          <w:rFonts w:eastAsia="Times New Roman"/>
          <w:vanish/>
          <w:szCs w:val="20"/>
          <w:lang w:val="nl-NL" w:eastAsia="en-GB"/>
        </w:rPr>
      </w:pPr>
      <w:bookmarkStart w:id="4" w:name="PE"/>
      <w:proofErr w:type="spellStart"/>
      <w:r w:rsidRPr="005E7B73">
        <w:rPr>
          <w:rFonts w:eastAsia="Times New Roman"/>
          <w:vanish/>
          <w:szCs w:val="20"/>
          <w:lang w:val="nl-NL" w:eastAsia="en-GB"/>
        </w:rPr>
        <w:t>PE756.195</w:t>
      </w:r>
      <w:bookmarkEnd w:id="4"/>
      <w:proofErr w:type="spellEnd"/>
    </w:p>
    <w:p w14:paraId="43727696" w14:textId="10E3D142" w:rsidR="00B80227" w:rsidRPr="005E7B73" w:rsidRDefault="005D3A9E" w:rsidP="00B80227">
      <w:pPr>
        <w:pStyle w:val="ATHeading3"/>
        <w:rPr>
          <w:lang w:val="nl-BE"/>
        </w:rPr>
      </w:pPr>
      <w:bookmarkStart w:id="5" w:name="Sujet"/>
      <w:r w:rsidRPr="005E7B73">
        <w:rPr>
          <w:lang w:val="nl-NL"/>
        </w:rPr>
        <w:t>Wetgevingsresolutie van het Europees Parlement van 13 maart 2024 over het voorstel voor een verordening van het Europees Parlement en de Raad tot wijziging van de Verordeningen (EU) nr. 1024/2012 en (EU) 2018/1724 wat betreft het gebruik van het Informatiesysteem interne markt en één digitale toegangspoort om aan bepaalde vereisten van Richtlijn (EU) .../... van het Europees Parlement en de Raad betreffende Europese grensoverschrijdende verenigingen (COM(2023)</w:t>
      </w:r>
      <w:r w:rsidR="00C4569A" w:rsidRPr="005E7B73">
        <w:rPr>
          <w:lang w:val="nl-NL"/>
        </w:rPr>
        <w:t>0</w:t>
      </w:r>
      <w:r w:rsidRPr="005E7B73">
        <w:rPr>
          <w:lang w:val="nl-NL"/>
        </w:rPr>
        <w:t>516) te voldoen</w:t>
      </w:r>
      <w:bookmarkEnd w:id="5"/>
      <w:r w:rsidRPr="005E7B73">
        <w:rPr>
          <w:lang w:val="nl-NL"/>
        </w:rPr>
        <w:t xml:space="preserve"> </w:t>
      </w:r>
      <w:bookmarkStart w:id="6" w:name="References"/>
      <w:r w:rsidRPr="005E7B73">
        <w:rPr>
          <w:lang w:val="nl-NL"/>
        </w:rPr>
        <w:t xml:space="preserve">(COM(2023)0515 – </w:t>
      </w:r>
      <w:proofErr w:type="spellStart"/>
      <w:r w:rsidRPr="005E7B73">
        <w:rPr>
          <w:lang w:val="nl-NL"/>
        </w:rPr>
        <w:t>C9</w:t>
      </w:r>
      <w:proofErr w:type="spellEnd"/>
      <w:r w:rsidRPr="005E7B73">
        <w:rPr>
          <w:lang w:val="nl-NL"/>
        </w:rPr>
        <w:t>-0327/2023 – 2023/0314(COD))</w:t>
      </w:r>
      <w:bookmarkEnd w:id="6"/>
    </w:p>
    <w:p w14:paraId="193C2E4A" w14:textId="77777777" w:rsidR="005D3A9E" w:rsidRPr="005E7B73" w:rsidRDefault="005D3A9E" w:rsidP="0076105D">
      <w:pPr>
        <w:widowControl w:val="0"/>
        <w:spacing w:before="240"/>
        <w:jc w:val="left"/>
        <w:rPr>
          <w:rFonts w:eastAsia="Times New Roman"/>
          <w:b/>
          <w:szCs w:val="20"/>
          <w:lang w:val="nl-NL" w:eastAsia="en-GB"/>
        </w:rPr>
      </w:pPr>
      <w:bookmarkStart w:id="7" w:name="TextBodyBegin"/>
      <w:bookmarkEnd w:id="7"/>
      <w:r w:rsidRPr="005E7B73">
        <w:rPr>
          <w:rFonts w:eastAsia="Times New Roman"/>
          <w:b/>
          <w:szCs w:val="20"/>
          <w:lang w:val="nl-NL" w:eastAsia="en-GB"/>
        </w:rPr>
        <w:t>(Gewone wetgevingsprocedure: eerste lezing)</w:t>
      </w:r>
    </w:p>
    <w:p w14:paraId="34C87F89" w14:textId="77777777" w:rsidR="005D3A9E" w:rsidRPr="005E7B73" w:rsidRDefault="005D3A9E" w:rsidP="005D3A9E">
      <w:pPr>
        <w:widowControl w:val="0"/>
        <w:spacing w:before="480" w:after="240"/>
        <w:jc w:val="left"/>
        <w:rPr>
          <w:rFonts w:eastAsia="Times New Roman"/>
          <w:szCs w:val="20"/>
          <w:lang w:val="nl-NL" w:eastAsia="en-GB"/>
        </w:rPr>
      </w:pPr>
      <w:r w:rsidRPr="005E7B73">
        <w:rPr>
          <w:rFonts w:eastAsia="Times New Roman"/>
          <w:i/>
          <w:szCs w:val="20"/>
          <w:lang w:val="nl-NL" w:eastAsia="en-GB"/>
        </w:rPr>
        <w:t>Het Europees Parlement</w:t>
      </w:r>
      <w:r w:rsidRPr="005E7B73">
        <w:rPr>
          <w:rFonts w:eastAsia="Times New Roman"/>
          <w:szCs w:val="20"/>
          <w:lang w:val="nl-NL" w:eastAsia="en-GB"/>
        </w:rPr>
        <w:t>,</w:t>
      </w:r>
    </w:p>
    <w:p w14:paraId="0AD17C85" w14:textId="77777777" w:rsidR="005D3A9E" w:rsidRPr="005E7B73" w:rsidRDefault="005D3A9E" w:rsidP="005D3A9E">
      <w:pPr>
        <w:widowControl w:val="0"/>
        <w:spacing w:after="240"/>
        <w:ind w:left="567" w:hanging="567"/>
        <w:jc w:val="left"/>
        <w:rPr>
          <w:rFonts w:eastAsia="Times New Roman"/>
          <w:szCs w:val="20"/>
          <w:lang w:val="nl-NL" w:eastAsia="en-GB"/>
        </w:rPr>
      </w:pPr>
      <w:r w:rsidRPr="005E7B73">
        <w:rPr>
          <w:rFonts w:eastAsia="Times New Roman"/>
          <w:szCs w:val="20"/>
          <w:lang w:val="nl-NL" w:eastAsia="en-GB"/>
        </w:rPr>
        <w:t>–</w:t>
      </w:r>
      <w:r w:rsidRPr="005E7B73">
        <w:rPr>
          <w:rFonts w:eastAsia="Times New Roman"/>
          <w:szCs w:val="20"/>
          <w:lang w:val="nl-NL" w:eastAsia="en-GB"/>
        </w:rPr>
        <w:tab/>
        <w:t>gezien het voorstel van de Commissie aan het Europees Parlement en de Raad (</w:t>
      </w:r>
      <w:proofErr w:type="gramStart"/>
      <w:r w:rsidRPr="005E7B73">
        <w:rPr>
          <w:rFonts w:eastAsia="Times New Roman"/>
          <w:szCs w:val="20"/>
          <w:lang w:val="nl-NL" w:eastAsia="en-GB"/>
        </w:rPr>
        <w:t>COM(</w:t>
      </w:r>
      <w:proofErr w:type="gramEnd"/>
      <w:r w:rsidRPr="005E7B73">
        <w:rPr>
          <w:rFonts w:eastAsia="Times New Roman"/>
          <w:szCs w:val="20"/>
          <w:lang w:val="nl-NL" w:eastAsia="en-GB"/>
        </w:rPr>
        <w:t>2023)0515),</w:t>
      </w:r>
    </w:p>
    <w:p w14:paraId="21A2B450" w14:textId="77777777" w:rsidR="005D3A9E" w:rsidRPr="005E7B73" w:rsidRDefault="005D3A9E" w:rsidP="005D3A9E">
      <w:pPr>
        <w:widowControl w:val="0"/>
        <w:spacing w:after="240"/>
        <w:ind w:left="567" w:hanging="567"/>
        <w:jc w:val="left"/>
        <w:rPr>
          <w:rFonts w:eastAsia="Times New Roman"/>
          <w:szCs w:val="20"/>
          <w:lang w:val="nl-NL" w:eastAsia="en-GB"/>
        </w:rPr>
      </w:pPr>
      <w:r w:rsidRPr="005E7B73">
        <w:rPr>
          <w:rFonts w:eastAsia="Times New Roman"/>
          <w:szCs w:val="20"/>
          <w:lang w:val="nl-NL" w:eastAsia="en-GB"/>
        </w:rPr>
        <w:t>–</w:t>
      </w:r>
      <w:r w:rsidRPr="005E7B73">
        <w:rPr>
          <w:rFonts w:eastAsia="Times New Roman"/>
          <w:szCs w:val="20"/>
          <w:lang w:val="nl-NL" w:eastAsia="en-GB"/>
        </w:rPr>
        <w:tab/>
        <w:t>gezien artikel 294, lid 2, en artikel 21, lid 2, en artikel 114 van het Verdrag betreffende de werking van de Europese Unie, op grond waarvan het voorstel door de Commissie bij het Parlement is ingediend (</w:t>
      </w:r>
      <w:proofErr w:type="spellStart"/>
      <w:r w:rsidRPr="005E7B73">
        <w:rPr>
          <w:rFonts w:eastAsia="Times New Roman"/>
          <w:szCs w:val="20"/>
          <w:lang w:val="nl-NL" w:eastAsia="en-GB"/>
        </w:rPr>
        <w:t>C9</w:t>
      </w:r>
      <w:proofErr w:type="spellEnd"/>
      <w:r w:rsidRPr="005E7B73">
        <w:rPr>
          <w:rFonts w:eastAsia="Times New Roman"/>
          <w:szCs w:val="20"/>
          <w:lang w:val="nl-NL" w:eastAsia="en-GB"/>
        </w:rPr>
        <w:noBreakHyphen/>
        <w:t>0327/2023),</w:t>
      </w:r>
    </w:p>
    <w:p w14:paraId="79EC2B2A" w14:textId="77777777" w:rsidR="005D3A9E" w:rsidRPr="005E7B73" w:rsidRDefault="005D3A9E" w:rsidP="005D3A9E">
      <w:pPr>
        <w:widowControl w:val="0"/>
        <w:spacing w:after="240"/>
        <w:ind w:left="567" w:hanging="567"/>
        <w:jc w:val="left"/>
        <w:rPr>
          <w:rFonts w:eastAsia="Times New Roman"/>
          <w:szCs w:val="20"/>
          <w:lang w:val="nl-NL" w:eastAsia="en-GB"/>
        </w:rPr>
      </w:pPr>
      <w:r w:rsidRPr="005E7B73">
        <w:rPr>
          <w:rFonts w:eastAsia="Times New Roman"/>
          <w:szCs w:val="20"/>
          <w:lang w:val="nl-NL" w:eastAsia="en-GB"/>
        </w:rPr>
        <w:t>–</w:t>
      </w:r>
      <w:r w:rsidRPr="005E7B73">
        <w:rPr>
          <w:rFonts w:eastAsia="Times New Roman"/>
          <w:szCs w:val="20"/>
          <w:lang w:val="nl-NL" w:eastAsia="en-GB"/>
        </w:rPr>
        <w:tab/>
        <w:t>gezien artikel 294, lid 3, van het Verdrag betreffende de werking van de Europese Unie,</w:t>
      </w:r>
    </w:p>
    <w:p w14:paraId="7440DCBF" w14:textId="77777777" w:rsidR="005D3A9E" w:rsidRPr="005E7B73" w:rsidRDefault="005D3A9E" w:rsidP="005D3A9E">
      <w:pPr>
        <w:widowControl w:val="0"/>
        <w:spacing w:after="240"/>
        <w:ind w:left="567" w:hanging="567"/>
        <w:jc w:val="left"/>
        <w:rPr>
          <w:rFonts w:eastAsia="Times New Roman"/>
          <w:szCs w:val="20"/>
          <w:lang w:val="nl-NL" w:eastAsia="en-GB"/>
        </w:rPr>
      </w:pPr>
      <w:r w:rsidRPr="005E7B73">
        <w:rPr>
          <w:rFonts w:eastAsia="Times New Roman"/>
          <w:szCs w:val="20"/>
          <w:lang w:val="nl-NL" w:eastAsia="en-GB"/>
        </w:rPr>
        <w:t>–</w:t>
      </w:r>
      <w:r w:rsidRPr="005E7B73">
        <w:rPr>
          <w:rFonts w:eastAsia="Times New Roman"/>
          <w:szCs w:val="20"/>
          <w:lang w:val="nl-NL" w:eastAsia="en-GB"/>
        </w:rPr>
        <w:tab/>
        <w:t>gezien het advies van het Europees Economisch en Sociaal Comité van 17 januari 2024</w:t>
      </w:r>
      <w:r w:rsidRPr="005E7B73">
        <w:rPr>
          <w:rFonts w:eastAsia="Times New Roman"/>
          <w:szCs w:val="20"/>
          <w:vertAlign w:val="superscript"/>
          <w:lang w:val="nl-NL" w:eastAsia="en-GB"/>
        </w:rPr>
        <w:footnoteReference w:id="1"/>
      </w:r>
      <w:r w:rsidRPr="005E7B73">
        <w:rPr>
          <w:rFonts w:eastAsia="Times New Roman"/>
          <w:szCs w:val="20"/>
          <w:lang w:val="nl-NL" w:eastAsia="en-GB"/>
        </w:rPr>
        <w:t>,</w:t>
      </w:r>
    </w:p>
    <w:p w14:paraId="77617A34" w14:textId="77777777" w:rsidR="005D3A9E" w:rsidRPr="005E7B73" w:rsidRDefault="005D3A9E" w:rsidP="005D3A9E">
      <w:pPr>
        <w:widowControl w:val="0"/>
        <w:spacing w:after="240"/>
        <w:ind w:left="567" w:hanging="567"/>
        <w:jc w:val="left"/>
        <w:rPr>
          <w:rFonts w:eastAsia="Times New Roman"/>
          <w:szCs w:val="20"/>
          <w:lang w:val="nl-NL" w:eastAsia="en-GB"/>
        </w:rPr>
      </w:pPr>
      <w:r w:rsidRPr="005E7B73">
        <w:rPr>
          <w:rFonts w:eastAsia="Times New Roman"/>
          <w:szCs w:val="20"/>
          <w:lang w:val="nl-NL" w:eastAsia="en-GB"/>
        </w:rPr>
        <w:t>–</w:t>
      </w:r>
      <w:r w:rsidRPr="005E7B73">
        <w:rPr>
          <w:rFonts w:eastAsia="Times New Roman"/>
          <w:szCs w:val="20"/>
          <w:lang w:val="nl-NL" w:eastAsia="en-GB"/>
        </w:rPr>
        <w:tab/>
        <w:t>gezien artikel 59 van zijn Reglement,</w:t>
      </w:r>
    </w:p>
    <w:p w14:paraId="719A0F9A" w14:textId="77777777" w:rsidR="005D3A9E" w:rsidRPr="005E7B73" w:rsidRDefault="005D3A9E" w:rsidP="005D3A9E">
      <w:pPr>
        <w:widowControl w:val="0"/>
        <w:spacing w:after="240"/>
        <w:ind w:left="567" w:hanging="567"/>
        <w:jc w:val="left"/>
        <w:rPr>
          <w:rFonts w:eastAsia="Times New Roman"/>
          <w:szCs w:val="20"/>
          <w:lang w:val="nl-NL" w:eastAsia="en-GB"/>
        </w:rPr>
      </w:pPr>
      <w:r w:rsidRPr="005E7B73">
        <w:rPr>
          <w:rFonts w:eastAsia="Times New Roman"/>
          <w:szCs w:val="20"/>
          <w:lang w:val="nl-NL" w:eastAsia="en-GB"/>
        </w:rPr>
        <w:t>–</w:t>
      </w:r>
      <w:r w:rsidRPr="005E7B73">
        <w:rPr>
          <w:rFonts w:eastAsia="Times New Roman"/>
          <w:szCs w:val="20"/>
          <w:lang w:val="nl-NL" w:eastAsia="en-GB"/>
        </w:rPr>
        <w:tab/>
        <w:t>gezien het advies van de Commissie juridische zaken,</w:t>
      </w:r>
    </w:p>
    <w:p w14:paraId="3E558ABF" w14:textId="77777777" w:rsidR="005D3A9E" w:rsidRPr="005E7B73" w:rsidRDefault="005D3A9E" w:rsidP="005D3A9E">
      <w:pPr>
        <w:widowControl w:val="0"/>
        <w:spacing w:after="240"/>
        <w:ind w:left="567" w:hanging="567"/>
        <w:jc w:val="left"/>
        <w:rPr>
          <w:rFonts w:eastAsia="Times New Roman"/>
          <w:szCs w:val="20"/>
          <w:lang w:val="nl-NL" w:eastAsia="en-GB"/>
        </w:rPr>
      </w:pPr>
      <w:r w:rsidRPr="005E7B73">
        <w:rPr>
          <w:rFonts w:eastAsia="Times New Roman"/>
          <w:szCs w:val="20"/>
          <w:lang w:val="nl-NL" w:eastAsia="en-GB"/>
        </w:rPr>
        <w:t>–</w:t>
      </w:r>
      <w:r w:rsidRPr="005E7B73">
        <w:rPr>
          <w:rFonts w:eastAsia="Times New Roman"/>
          <w:szCs w:val="20"/>
          <w:lang w:val="nl-NL" w:eastAsia="en-GB"/>
        </w:rPr>
        <w:tab/>
        <w:t xml:space="preserve">gezien het verslag van de Commissie interne markt en consumentenbescherming </w:t>
      </w:r>
      <w:r w:rsidRPr="005E7B73">
        <w:rPr>
          <w:rFonts w:eastAsia="Times New Roman"/>
          <w:szCs w:val="20"/>
          <w:lang w:val="nl-NL" w:eastAsia="en-GB"/>
        </w:rPr>
        <w:lastRenderedPageBreak/>
        <w:t>(</w:t>
      </w:r>
      <w:proofErr w:type="spellStart"/>
      <w:r w:rsidRPr="005E7B73">
        <w:rPr>
          <w:rFonts w:eastAsia="Times New Roman"/>
          <w:szCs w:val="20"/>
          <w:lang w:val="nl-NL" w:eastAsia="en-GB"/>
        </w:rPr>
        <w:t>A9</w:t>
      </w:r>
      <w:proofErr w:type="spellEnd"/>
      <w:r w:rsidRPr="005E7B73">
        <w:rPr>
          <w:rFonts w:eastAsia="Times New Roman"/>
          <w:szCs w:val="20"/>
          <w:lang w:val="nl-NL" w:eastAsia="en-GB"/>
        </w:rPr>
        <w:noBreakHyphen/>
        <w:t>0006/2024),</w:t>
      </w:r>
    </w:p>
    <w:p w14:paraId="72B88857" w14:textId="77777777" w:rsidR="005D3A9E" w:rsidRPr="005E7B73" w:rsidRDefault="005D3A9E" w:rsidP="005D3A9E">
      <w:pPr>
        <w:widowControl w:val="0"/>
        <w:spacing w:after="240"/>
        <w:ind w:left="567" w:hanging="567"/>
        <w:jc w:val="left"/>
        <w:rPr>
          <w:rFonts w:eastAsia="Times New Roman"/>
          <w:szCs w:val="20"/>
          <w:lang w:val="nl-NL" w:eastAsia="en-GB"/>
        </w:rPr>
      </w:pPr>
      <w:r w:rsidRPr="005E7B73">
        <w:rPr>
          <w:rFonts w:eastAsia="Times New Roman"/>
          <w:szCs w:val="20"/>
          <w:lang w:val="nl-NL" w:eastAsia="en-GB"/>
        </w:rPr>
        <w:t>1.</w:t>
      </w:r>
      <w:r w:rsidRPr="005E7B73">
        <w:rPr>
          <w:rFonts w:eastAsia="Times New Roman"/>
          <w:szCs w:val="20"/>
          <w:lang w:val="nl-NL" w:eastAsia="en-GB"/>
        </w:rPr>
        <w:tab/>
        <w:t>stelt onderstaand standpunt in eerste lezing vast;</w:t>
      </w:r>
    </w:p>
    <w:p w14:paraId="2C537255" w14:textId="77777777" w:rsidR="005D3A9E" w:rsidRPr="005E7B73" w:rsidRDefault="005D3A9E" w:rsidP="005D3A9E">
      <w:pPr>
        <w:widowControl w:val="0"/>
        <w:spacing w:after="240"/>
        <w:ind w:left="567" w:hanging="567"/>
        <w:jc w:val="left"/>
        <w:rPr>
          <w:rFonts w:eastAsia="Times New Roman"/>
          <w:szCs w:val="20"/>
          <w:lang w:val="nl-NL" w:eastAsia="en-GB"/>
        </w:rPr>
      </w:pPr>
      <w:r w:rsidRPr="005E7B73">
        <w:rPr>
          <w:rFonts w:eastAsia="Times New Roman"/>
          <w:szCs w:val="20"/>
          <w:lang w:val="nl-NL" w:eastAsia="en-GB"/>
        </w:rPr>
        <w:t>2.</w:t>
      </w:r>
      <w:r w:rsidRPr="005E7B73">
        <w:rPr>
          <w:rFonts w:eastAsia="Times New Roman"/>
          <w:szCs w:val="20"/>
          <w:lang w:val="nl-NL" w:eastAsia="en-GB"/>
        </w:rPr>
        <w:tab/>
        <w:t>verzoekt de Commissie om hernieuwde voorlegging aan het Parlement indien zij haar voorstel vervangt, ingrijpend wijzigt of voornemens is het ingrijpend te wijzigen;</w:t>
      </w:r>
    </w:p>
    <w:p w14:paraId="7627AE0B" w14:textId="77777777" w:rsidR="00100C19" w:rsidRDefault="005D3A9E" w:rsidP="0076105D">
      <w:pPr>
        <w:widowControl w:val="0"/>
        <w:spacing w:after="240"/>
        <w:ind w:left="567" w:hanging="567"/>
        <w:jc w:val="left"/>
        <w:rPr>
          <w:rFonts w:eastAsia="Times New Roman"/>
          <w:szCs w:val="20"/>
          <w:lang w:val="nl-NL" w:eastAsia="en-GB"/>
        </w:rPr>
        <w:sectPr w:rsidR="00100C19">
          <w:pgSz w:w="11906" w:h="16838"/>
          <w:pgMar w:top="1440" w:right="1440" w:bottom="1440" w:left="1440" w:header="708" w:footer="708" w:gutter="0"/>
          <w:cols w:space="708"/>
          <w:docGrid w:linePitch="360"/>
        </w:sectPr>
      </w:pPr>
      <w:r w:rsidRPr="005E7B73">
        <w:rPr>
          <w:rFonts w:eastAsia="Times New Roman"/>
          <w:szCs w:val="20"/>
          <w:lang w:val="nl-NL" w:eastAsia="en-GB"/>
        </w:rPr>
        <w:t>3.</w:t>
      </w:r>
      <w:r w:rsidRPr="005E7B73">
        <w:rPr>
          <w:rFonts w:eastAsia="Times New Roman"/>
          <w:szCs w:val="20"/>
          <w:lang w:val="nl-NL" w:eastAsia="en-GB"/>
        </w:rPr>
        <w:tab/>
        <w:t>verzoekt zijn Voorzitter het standpunt van het Parlement te doen toekomen aan de Raad en aan de Commissie, alsmede aan de nationale parlementen.</w:t>
      </w:r>
    </w:p>
    <w:p w14:paraId="59F831D8" w14:textId="77777777" w:rsidR="005D3A9E" w:rsidRPr="005E7B73" w:rsidRDefault="005D3A9E" w:rsidP="0076105D">
      <w:pPr>
        <w:widowControl w:val="0"/>
        <w:spacing w:after="240"/>
        <w:ind w:left="567" w:hanging="567"/>
        <w:jc w:val="left"/>
        <w:rPr>
          <w:szCs w:val="20"/>
          <w:lang w:val="nl-NL" w:eastAsia="en-GB"/>
        </w:rPr>
      </w:pPr>
      <w:proofErr w:type="spellStart"/>
      <w:r w:rsidRPr="005E7B73">
        <w:rPr>
          <w:b/>
          <w:bCs/>
          <w:color w:val="000000"/>
          <w:lang w:val="nl-NL" w:eastAsia="en-GB"/>
        </w:rPr>
        <w:lastRenderedPageBreak/>
        <w:t>P9_TC1</w:t>
      </w:r>
      <w:proofErr w:type="spellEnd"/>
      <w:r w:rsidRPr="005E7B73">
        <w:rPr>
          <w:b/>
          <w:bCs/>
          <w:color w:val="000000"/>
          <w:lang w:val="nl-NL" w:eastAsia="en-GB"/>
        </w:rPr>
        <w:t>-</w:t>
      </w:r>
      <w:proofErr w:type="gramStart"/>
      <w:r w:rsidRPr="005E7B73">
        <w:rPr>
          <w:b/>
          <w:bCs/>
          <w:color w:val="000000"/>
          <w:lang w:val="nl-NL" w:eastAsia="en-GB"/>
        </w:rPr>
        <w:t>COD(</w:t>
      </w:r>
      <w:proofErr w:type="gramEnd"/>
      <w:r w:rsidRPr="005E7B73">
        <w:rPr>
          <w:b/>
          <w:bCs/>
          <w:color w:val="000000"/>
          <w:lang w:val="nl-NL" w:eastAsia="en-GB"/>
        </w:rPr>
        <w:t>2023)0314</w:t>
      </w:r>
    </w:p>
    <w:p w14:paraId="219D05AF" w14:textId="55AA7F54" w:rsidR="005D3A9E" w:rsidRPr="005E7B73" w:rsidRDefault="005D3A9E" w:rsidP="005D3A9E">
      <w:pPr>
        <w:autoSpaceDE w:val="0"/>
        <w:autoSpaceDN w:val="0"/>
        <w:adjustRightInd w:val="0"/>
        <w:jc w:val="left"/>
        <w:rPr>
          <w:b/>
          <w:bCs/>
          <w:lang w:val="nl-NL" w:eastAsia="en-GB"/>
        </w:rPr>
      </w:pPr>
      <w:bookmarkStart w:id="8" w:name="_DV_M1"/>
      <w:bookmarkStart w:id="9" w:name="_DV_M2"/>
      <w:bookmarkEnd w:id="8"/>
      <w:bookmarkEnd w:id="9"/>
      <w:r w:rsidRPr="005E7B73">
        <w:rPr>
          <w:b/>
          <w:lang w:val="nl-NL"/>
        </w:rPr>
        <w:t xml:space="preserve">Standpunt van het Europees Parlement in eerste lezing vastgesteld op 13 maart 2024 met het oog op de vaststelling van Verordening (EU) 2024/... van het Europees Parlement en de Raad </w:t>
      </w:r>
      <w:r w:rsidRPr="005E7B73">
        <w:rPr>
          <w:rFonts w:eastAsia="Times New Roman"/>
          <w:b/>
          <w:lang w:val="nl-NL"/>
        </w:rPr>
        <w:t xml:space="preserve">tot wijziging van de Verordeningen (EU) nr. 1024/2012 en (EU) 2018/1724 wat betreft het gebruik van het Informatiesysteem interne markt en één digitale toegangspoort om aan bepaalde vereisten van Richtlijn (EU) .../... van het Europees Parlement en de Raad betreffende Europese grensoverschrijdende verenigingen </w:t>
      </w:r>
      <w:r w:rsidR="0076105D" w:rsidRPr="005E7B73">
        <w:rPr>
          <w:rFonts w:eastAsia="Times New Roman"/>
          <w:b/>
          <w:lang w:val="nl-NL"/>
        </w:rPr>
        <w:t>(</w:t>
      </w:r>
      <w:r w:rsidR="00C4569A" w:rsidRPr="005E7B73">
        <w:rPr>
          <w:rFonts w:eastAsia="Times New Roman"/>
          <w:b/>
          <w:lang w:val="nl-NL"/>
        </w:rPr>
        <w:t>COM(2023)0</w:t>
      </w:r>
      <w:r w:rsidRPr="005E7B73">
        <w:rPr>
          <w:rFonts w:eastAsia="Times New Roman"/>
          <w:b/>
          <w:lang w:val="nl-NL"/>
        </w:rPr>
        <w:t>516</w:t>
      </w:r>
      <w:r w:rsidR="0076105D" w:rsidRPr="005E7B73">
        <w:rPr>
          <w:rFonts w:eastAsia="Times New Roman"/>
          <w:b/>
          <w:lang w:val="nl-NL"/>
        </w:rPr>
        <w:t>)</w:t>
      </w:r>
      <w:r w:rsidRPr="005E7B73">
        <w:rPr>
          <w:rFonts w:eastAsia="Times New Roman"/>
          <w:b/>
          <w:lang w:val="nl-NL"/>
        </w:rPr>
        <w:t xml:space="preserve"> te voldoen</w:t>
      </w:r>
      <w:r w:rsidRPr="005E7B73">
        <w:rPr>
          <w:b/>
          <w:bCs/>
          <w:lang w:val="nl-NL" w:eastAsia="en-GB"/>
        </w:rPr>
        <w:t xml:space="preserve"> </w:t>
      </w:r>
    </w:p>
    <w:p w14:paraId="1FEFD8BA" w14:textId="77777777" w:rsidR="005D3A9E" w:rsidRPr="005E7B73" w:rsidRDefault="005D3A9E" w:rsidP="005D3A9E">
      <w:pPr>
        <w:spacing w:before="360" w:after="240" w:line="360" w:lineRule="auto"/>
        <w:jc w:val="center"/>
        <w:rPr>
          <w:rFonts w:eastAsia="Times New Roman"/>
          <w:lang w:val="nl-NL"/>
        </w:rPr>
      </w:pPr>
      <w:r w:rsidRPr="005E7B73">
        <w:rPr>
          <w:rFonts w:eastAsia="Times New Roman"/>
          <w:lang w:val="nl-NL"/>
        </w:rPr>
        <w:t xml:space="preserve">(Voor de </w:t>
      </w:r>
      <w:proofErr w:type="gramStart"/>
      <w:r w:rsidRPr="005E7B73">
        <w:rPr>
          <w:rFonts w:eastAsia="Times New Roman"/>
          <w:lang w:val="nl-NL"/>
        </w:rPr>
        <w:t>EER</w:t>
      </w:r>
      <w:proofErr w:type="gramEnd"/>
      <w:r w:rsidRPr="005E7B73">
        <w:rPr>
          <w:rFonts w:eastAsia="Times New Roman"/>
          <w:lang w:val="nl-NL"/>
        </w:rPr>
        <w:t xml:space="preserve"> relevante tekst)</w:t>
      </w:r>
    </w:p>
    <w:p w14:paraId="4F5A1C5B" w14:textId="77777777" w:rsidR="005D3A9E" w:rsidRPr="005E7B73" w:rsidRDefault="005D3A9E" w:rsidP="005D3A9E">
      <w:pPr>
        <w:keepNext/>
        <w:widowControl w:val="0"/>
        <w:spacing w:before="600" w:after="120" w:line="360" w:lineRule="auto"/>
        <w:jc w:val="left"/>
        <w:rPr>
          <w:rFonts w:eastAsia="Times New Roman"/>
          <w:lang w:val="nl-NL"/>
        </w:rPr>
      </w:pPr>
      <w:r w:rsidRPr="005E7B73">
        <w:rPr>
          <w:rFonts w:eastAsia="Times New Roman"/>
          <w:lang w:val="nl-NL"/>
        </w:rPr>
        <w:t>HET EUROPEES PARLEMENT EN DE RAAD VAN DE EUROPESE UNIE,</w:t>
      </w:r>
    </w:p>
    <w:p w14:paraId="4EFE9F28" w14:textId="77777777" w:rsidR="005D3A9E" w:rsidRPr="005E7B73" w:rsidRDefault="005D3A9E" w:rsidP="005D3A9E">
      <w:pPr>
        <w:widowControl w:val="0"/>
        <w:spacing w:before="120" w:after="120" w:line="360" w:lineRule="auto"/>
        <w:jc w:val="left"/>
        <w:rPr>
          <w:rFonts w:eastAsia="Times New Roman"/>
          <w:szCs w:val="20"/>
          <w:lang w:val="nl-NL"/>
        </w:rPr>
      </w:pPr>
      <w:r w:rsidRPr="005E7B73">
        <w:rPr>
          <w:rFonts w:eastAsia="Times New Roman"/>
          <w:szCs w:val="20"/>
          <w:lang w:val="nl-NL"/>
        </w:rPr>
        <w:t>Gezien het Verdrag betreffende de werking van de Europese Unie, en met name artikel 21, lid 2, en artikel 114,</w:t>
      </w:r>
    </w:p>
    <w:p w14:paraId="192CA20B" w14:textId="77777777" w:rsidR="005D3A9E" w:rsidRPr="005E7B73" w:rsidRDefault="005D3A9E" w:rsidP="005D3A9E">
      <w:pPr>
        <w:widowControl w:val="0"/>
        <w:spacing w:before="120" w:after="120" w:line="360" w:lineRule="auto"/>
        <w:jc w:val="left"/>
        <w:rPr>
          <w:rFonts w:eastAsia="Times New Roman"/>
          <w:szCs w:val="20"/>
          <w:lang w:val="nl-NL"/>
        </w:rPr>
      </w:pPr>
      <w:r w:rsidRPr="005E7B73">
        <w:rPr>
          <w:rFonts w:eastAsia="Times New Roman"/>
          <w:szCs w:val="20"/>
          <w:lang w:val="nl-NL"/>
        </w:rPr>
        <w:t>Gezien het voorstel van de Europese Commissie,</w:t>
      </w:r>
    </w:p>
    <w:p w14:paraId="605131AC" w14:textId="77777777" w:rsidR="005D3A9E" w:rsidRPr="005E7B73" w:rsidRDefault="005D3A9E" w:rsidP="005D3A9E">
      <w:pPr>
        <w:widowControl w:val="0"/>
        <w:spacing w:before="120" w:after="120" w:line="360" w:lineRule="auto"/>
        <w:jc w:val="left"/>
        <w:rPr>
          <w:rFonts w:eastAsia="Times New Roman"/>
          <w:szCs w:val="20"/>
          <w:lang w:val="nl-NL"/>
        </w:rPr>
      </w:pPr>
      <w:r w:rsidRPr="005E7B73">
        <w:rPr>
          <w:rFonts w:eastAsia="Times New Roman"/>
          <w:szCs w:val="20"/>
          <w:lang w:val="nl-NL"/>
        </w:rPr>
        <w:t>Na toezending van het ontwerp van wetgevingshandeling aan de nationale parlementen,</w:t>
      </w:r>
    </w:p>
    <w:p w14:paraId="25EB7DBC" w14:textId="77777777" w:rsidR="005D3A9E" w:rsidRPr="005E7B73" w:rsidRDefault="005D3A9E" w:rsidP="005D3A9E">
      <w:pPr>
        <w:widowControl w:val="0"/>
        <w:spacing w:before="120" w:after="120" w:line="360" w:lineRule="auto"/>
        <w:jc w:val="left"/>
        <w:rPr>
          <w:rFonts w:eastAsia="Times New Roman"/>
          <w:szCs w:val="20"/>
          <w:lang w:val="nl-NL"/>
        </w:rPr>
      </w:pPr>
      <w:r w:rsidRPr="005E7B73">
        <w:rPr>
          <w:rFonts w:eastAsia="Times New Roman"/>
          <w:szCs w:val="20"/>
          <w:lang w:val="nl-NL"/>
        </w:rPr>
        <w:t>Gezien het advies van het Europees Economisch en Sociaal Comité</w:t>
      </w:r>
      <w:r w:rsidRPr="005E7B73">
        <w:rPr>
          <w:rFonts w:eastAsia="Times New Roman"/>
          <w:szCs w:val="20"/>
          <w:vertAlign w:val="superscript"/>
          <w:lang w:val="nl-NL"/>
        </w:rPr>
        <w:footnoteReference w:id="2"/>
      </w:r>
      <w:r w:rsidRPr="005E7B73">
        <w:rPr>
          <w:rFonts w:eastAsia="Times New Roman"/>
          <w:szCs w:val="20"/>
          <w:lang w:val="nl-NL"/>
        </w:rPr>
        <w:t>,</w:t>
      </w:r>
    </w:p>
    <w:p w14:paraId="56435E80" w14:textId="77777777" w:rsidR="005D3A9E" w:rsidRPr="005E7B73" w:rsidRDefault="005D3A9E" w:rsidP="005D3A9E">
      <w:pPr>
        <w:widowControl w:val="0"/>
        <w:spacing w:before="120" w:after="120" w:line="360" w:lineRule="auto"/>
        <w:jc w:val="left"/>
        <w:rPr>
          <w:rFonts w:eastAsia="Times New Roman"/>
          <w:szCs w:val="20"/>
          <w:lang w:val="nl-NL"/>
        </w:rPr>
      </w:pPr>
      <w:r w:rsidRPr="005E7B73">
        <w:rPr>
          <w:rFonts w:eastAsia="Times New Roman"/>
          <w:szCs w:val="20"/>
          <w:lang w:val="nl-NL"/>
        </w:rPr>
        <w:t>Handelend volgens de gewone wetgevingsprocedure,</w:t>
      </w:r>
    </w:p>
    <w:p w14:paraId="718D4018" w14:textId="77777777" w:rsidR="00B80227" w:rsidRPr="005E7B73" w:rsidRDefault="00B80227">
      <w:pPr>
        <w:jc w:val="left"/>
        <w:rPr>
          <w:rFonts w:eastAsia="Times New Roman"/>
          <w:szCs w:val="20"/>
          <w:lang w:val="nl-NL"/>
        </w:rPr>
      </w:pPr>
      <w:r w:rsidRPr="005E7B73">
        <w:rPr>
          <w:rFonts w:eastAsia="Times New Roman"/>
          <w:szCs w:val="20"/>
          <w:lang w:val="nl-NL"/>
        </w:rPr>
        <w:br w:type="page"/>
      </w:r>
    </w:p>
    <w:p w14:paraId="52E0D2A0" w14:textId="77777777" w:rsidR="005D3A9E" w:rsidRPr="005E7B73" w:rsidRDefault="005D3A9E" w:rsidP="005D3A9E">
      <w:pPr>
        <w:widowControl w:val="0"/>
        <w:spacing w:before="120" w:after="120" w:line="360" w:lineRule="auto"/>
        <w:jc w:val="left"/>
        <w:rPr>
          <w:rFonts w:eastAsia="Times New Roman"/>
          <w:szCs w:val="20"/>
          <w:lang w:val="nl-NL"/>
        </w:rPr>
      </w:pPr>
      <w:r w:rsidRPr="005E7B73">
        <w:rPr>
          <w:rFonts w:eastAsia="Times New Roman"/>
          <w:szCs w:val="20"/>
          <w:lang w:val="nl-NL"/>
        </w:rPr>
        <w:lastRenderedPageBreak/>
        <w:t>Overwegende hetgeen volgt:</w:t>
      </w:r>
    </w:p>
    <w:p w14:paraId="15FD3259" w14:textId="77777777" w:rsidR="005D3A9E" w:rsidRPr="005E7B73" w:rsidRDefault="005D3A9E" w:rsidP="005D3A9E">
      <w:pPr>
        <w:widowControl w:val="0"/>
        <w:spacing w:before="120" w:after="120" w:line="360" w:lineRule="auto"/>
        <w:ind w:left="850" w:hanging="850"/>
        <w:jc w:val="left"/>
        <w:rPr>
          <w:rFonts w:eastAsia="Times New Roman"/>
          <w:lang w:val="nl-NL"/>
        </w:rPr>
      </w:pPr>
      <w:r w:rsidRPr="005E7B73">
        <w:rPr>
          <w:rFonts w:eastAsia="Times New Roman"/>
          <w:lang w:val="nl-NL"/>
        </w:rPr>
        <w:t>(1)</w:t>
      </w:r>
      <w:r w:rsidRPr="005E7B73">
        <w:rPr>
          <w:rFonts w:eastAsia="Times New Roman"/>
          <w:lang w:val="nl-NL"/>
        </w:rPr>
        <w:tab/>
        <w:t>In Richtlijn (EU) .../... van het Europees Parlement en de Raad betreffende Europese grensoverschrijdende verenigingen</w:t>
      </w:r>
      <w:r w:rsidRPr="005E7B73">
        <w:rPr>
          <w:rFonts w:eastAsia="Times New Roman"/>
          <w:vertAlign w:val="superscript"/>
          <w:lang w:val="nl-NL"/>
        </w:rPr>
        <w:footnoteReference w:id="3"/>
      </w:r>
      <w:r w:rsidRPr="005E7B73">
        <w:rPr>
          <w:rFonts w:eastAsia="Times New Roman"/>
          <w:lang w:val="nl-NL"/>
        </w:rPr>
        <w:t xml:space="preserve"> [COM(2023) 516] zijn maatregelen vastgesteld om de voorwaarden voor het oprichten en exploiteren van Europese grensoverschrijdende verenigingen te coördineren, teneinde organisaties zonder winstoogmerk die actief zijn op de interne markt, te helpen hun recht op vrij verkeer, zoals gedefinieerd in Richtlijn (EU) .../..., uit te oefenen.</w:t>
      </w:r>
    </w:p>
    <w:p w14:paraId="2D813B3A" w14:textId="77777777" w:rsidR="005D3A9E" w:rsidRPr="005E7B73" w:rsidRDefault="005D3A9E" w:rsidP="005D3A9E">
      <w:pPr>
        <w:widowControl w:val="0"/>
        <w:spacing w:before="120" w:after="120" w:line="360" w:lineRule="auto"/>
        <w:ind w:left="850" w:hanging="850"/>
        <w:jc w:val="left"/>
        <w:rPr>
          <w:rFonts w:eastAsia="Times New Roman"/>
          <w:b/>
          <w:lang w:val="nl-NL"/>
        </w:rPr>
      </w:pPr>
      <w:r w:rsidRPr="005E7B73">
        <w:rPr>
          <w:rFonts w:eastAsia="Times New Roman"/>
          <w:lang w:val="nl-NL"/>
        </w:rPr>
        <w:t>(2)</w:t>
      </w:r>
      <w:r w:rsidRPr="005E7B73">
        <w:rPr>
          <w:rFonts w:eastAsia="Times New Roman"/>
          <w:lang w:val="nl-NL"/>
        </w:rPr>
        <w:tab/>
        <w:t xml:space="preserve">Overeenkomstig artikel </w:t>
      </w:r>
      <w:r w:rsidRPr="005E7B73">
        <w:rPr>
          <w:rFonts w:eastAsia="Times New Roman"/>
          <w:strike/>
          <w:lang w:val="nl-NL"/>
        </w:rPr>
        <w:t>30</w:t>
      </w:r>
      <w:r w:rsidRPr="005E7B73">
        <w:rPr>
          <w:rFonts w:eastAsia="Times New Roman"/>
          <w:b/>
          <w:i/>
          <w:lang w:val="nl-NL"/>
        </w:rPr>
        <w:t>28</w:t>
      </w:r>
      <w:r w:rsidRPr="005E7B73">
        <w:rPr>
          <w:rFonts w:eastAsia="Times New Roman"/>
          <w:lang w:val="nl-NL"/>
        </w:rPr>
        <w:t xml:space="preserve">, lid 2, van Richtlijn (EU) </w:t>
      </w:r>
      <w:r w:rsidRPr="005E7B73">
        <w:rPr>
          <w:rFonts w:eastAsia="Times New Roman"/>
          <w:strike/>
          <w:lang w:val="nl-NL"/>
        </w:rPr>
        <w:t>...</w:t>
      </w:r>
      <w:r w:rsidRPr="005E7B73">
        <w:rPr>
          <w:rFonts w:eastAsia="Times New Roman"/>
          <w:b/>
          <w:i/>
          <w:lang w:val="nl-NL"/>
        </w:rPr>
        <w:t>…</w:t>
      </w:r>
      <w:r w:rsidRPr="005E7B73">
        <w:rPr>
          <w:rFonts w:eastAsia="Times New Roman"/>
          <w:lang w:val="nl-NL"/>
        </w:rPr>
        <w:t>/</w:t>
      </w:r>
      <w:r w:rsidRPr="005E7B73">
        <w:rPr>
          <w:rFonts w:eastAsia="Times New Roman"/>
          <w:strike/>
          <w:lang w:val="nl-NL"/>
        </w:rPr>
        <w:t>...</w:t>
      </w:r>
      <w:r w:rsidRPr="005E7B73">
        <w:rPr>
          <w:rFonts w:eastAsia="Times New Roman"/>
          <w:b/>
          <w:i/>
          <w:lang w:val="nl-NL"/>
        </w:rPr>
        <w:t>…</w:t>
      </w:r>
      <w:r w:rsidRPr="005E7B73">
        <w:rPr>
          <w:rFonts w:eastAsia="Times New Roman"/>
          <w:lang w:val="nl-NL"/>
        </w:rPr>
        <w:t xml:space="preserve"> [COM(2023) 516] moet de administratieve samenwerking en de uitwisseling van informatie tussen de bevoegde autoriteiten van de lidstaten plaatsvinden via het Informatiesysteem interne markt (“</w:t>
      </w:r>
      <w:proofErr w:type="spellStart"/>
      <w:r w:rsidRPr="005E7B73">
        <w:rPr>
          <w:rFonts w:eastAsia="Times New Roman"/>
          <w:lang w:val="nl-NL"/>
        </w:rPr>
        <w:t>IMI</w:t>
      </w:r>
      <w:proofErr w:type="spellEnd"/>
      <w:r w:rsidRPr="005E7B73">
        <w:rPr>
          <w:rFonts w:eastAsia="Times New Roman"/>
          <w:lang w:val="nl-NL"/>
        </w:rPr>
        <w:t>-systeem”) als opgericht bij Verordening (EU) nr. 1024/2012 van het Europees Parlement en de Raad</w:t>
      </w:r>
      <w:r w:rsidRPr="005E7B73">
        <w:rPr>
          <w:rFonts w:eastAsia="Times New Roman"/>
          <w:vertAlign w:val="superscript"/>
          <w:lang w:val="nl-NL"/>
        </w:rPr>
        <w:footnoteReference w:id="4"/>
      </w:r>
      <w:r w:rsidRPr="005E7B73">
        <w:rPr>
          <w:rFonts w:eastAsia="Times New Roman"/>
          <w:lang w:val="nl-NL"/>
        </w:rPr>
        <w:t xml:space="preserve">. Daarom moeten de nodige procedures voor administratieve samenwerking </w:t>
      </w:r>
      <w:r w:rsidRPr="005E7B73">
        <w:rPr>
          <w:rFonts w:eastAsia="Times New Roman"/>
          <w:b/>
          <w:i/>
          <w:lang w:val="nl-NL"/>
        </w:rPr>
        <w:t xml:space="preserve">en de procedures voor de uitwisseling van informatie tussen de bevoegde autoriteiten </w:t>
      </w:r>
      <w:r w:rsidRPr="005E7B73">
        <w:rPr>
          <w:rFonts w:eastAsia="Times New Roman"/>
          <w:lang w:val="nl-NL"/>
        </w:rPr>
        <w:t xml:space="preserve">in het </w:t>
      </w:r>
      <w:proofErr w:type="spellStart"/>
      <w:r w:rsidRPr="005E7B73">
        <w:rPr>
          <w:rFonts w:eastAsia="Times New Roman"/>
          <w:lang w:val="nl-NL"/>
        </w:rPr>
        <w:t>IMI</w:t>
      </w:r>
      <w:proofErr w:type="spellEnd"/>
      <w:r w:rsidRPr="005E7B73">
        <w:rPr>
          <w:rFonts w:eastAsia="Times New Roman"/>
          <w:lang w:val="nl-NL"/>
        </w:rPr>
        <w:t>-systeem worden vastgelegd.</w:t>
      </w:r>
      <w:r w:rsidR="00B80227" w:rsidRPr="005E7B73">
        <w:rPr>
          <w:rFonts w:eastAsia="Times New Roman"/>
          <w:lang w:val="nl-NL"/>
        </w:rPr>
        <w:t xml:space="preserve"> </w:t>
      </w:r>
      <w:r w:rsidR="00B80227" w:rsidRPr="005E7B73">
        <w:rPr>
          <w:rFonts w:eastAsia="Times New Roman"/>
          <w:b/>
          <w:lang w:val="nl-NL"/>
        </w:rPr>
        <w:t>[Am. 1]</w:t>
      </w:r>
    </w:p>
    <w:p w14:paraId="51C9F111" w14:textId="77777777" w:rsidR="00B80227" w:rsidRPr="005E7B73" w:rsidRDefault="00B80227">
      <w:pPr>
        <w:jc w:val="left"/>
        <w:rPr>
          <w:rFonts w:eastAsia="Times New Roman"/>
          <w:lang w:val="nl-NL"/>
        </w:rPr>
      </w:pPr>
      <w:r w:rsidRPr="005E7B73">
        <w:rPr>
          <w:rFonts w:eastAsia="Times New Roman"/>
          <w:lang w:val="nl-NL"/>
        </w:rPr>
        <w:br w:type="page"/>
      </w:r>
    </w:p>
    <w:p w14:paraId="4B320094" w14:textId="77777777" w:rsidR="005D3A9E" w:rsidRPr="005E7B73" w:rsidRDefault="005D3A9E" w:rsidP="005D3A9E">
      <w:pPr>
        <w:widowControl w:val="0"/>
        <w:spacing w:before="120" w:after="120" w:line="360" w:lineRule="auto"/>
        <w:ind w:left="850" w:hanging="850"/>
        <w:jc w:val="left"/>
        <w:rPr>
          <w:rFonts w:eastAsia="Times New Roman"/>
          <w:b/>
          <w:lang w:val="nl-NL"/>
        </w:rPr>
      </w:pPr>
      <w:r w:rsidRPr="005E7B73">
        <w:rPr>
          <w:rFonts w:eastAsia="Times New Roman"/>
          <w:lang w:val="nl-NL"/>
        </w:rPr>
        <w:lastRenderedPageBreak/>
        <w:t>(3)</w:t>
      </w:r>
      <w:r w:rsidRPr="005E7B73">
        <w:rPr>
          <w:rFonts w:eastAsia="Times New Roman"/>
          <w:lang w:val="nl-NL"/>
        </w:rPr>
        <w:tab/>
        <w:t>Overeenkomstig de artikelen 2 en 3 van Verordening (EU) 2018/1724 van het Europees Parlement en de Raad</w:t>
      </w:r>
      <w:r w:rsidRPr="005E7B73">
        <w:rPr>
          <w:rFonts w:eastAsia="Times New Roman"/>
          <w:vertAlign w:val="superscript"/>
          <w:lang w:val="nl-NL"/>
        </w:rPr>
        <w:footnoteReference w:id="5"/>
      </w:r>
      <w:r w:rsidRPr="005E7B73">
        <w:rPr>
          <w:rFonts w:eastAsia="Times New Roman"/>
          <w:strike/>
          <w:lang w:val="nl-NL"/>
        </w:rPr>
        <w:t>,</w:t>
      </w:r>
      <w:r w:rsidRPr="005E7B73">
        <w:rPr>
          <w:rFonts w:eastAsia="Times New Roman"/>
          <w:lang w:val="nl-NL"/>
        </w:rPr>
        <w:t xml:space="preserve"> biedt de toegangspoort burgers van de Unie, natuurlijke personen met verblijfplaats in een lidstaat en rechtspersonen met statutaire zetel in een lidstaat toegang tot informatie, procedures of diensten voor ondersteuning of probleemoplossing. Het dispositief van en bijlage I bij Verordening (EU) 2018/1724 moeten </w:t>
      </w:r>
      <w:r w:rsidRPr="005E7B73">
        <w:rPr>
          <w:rFonts w:eastAsia="Times New Roman"/>
          <w:b/>
          <w:i/>
          <w:lang w:val="nl-NL"/>
        </w:rPr>
        <w:t xml:space="preserve">bij deze verordening </w:t>
      </w:r>
      <w:r w:rsidRPr="005E7B73">
        <w:rPr>
          <w:rFonts w:eastAsia="Times New Roman"/>
          <w:lang w:val="nl-NL"/>
        </w:rPr>
        <w:t>worden gewijzigd, zodat niet wordt aangenomen dat het toepassingsgebied alleen van toepassing is op burgers en bedrijven, maar duidelijk is dat ook rechtspersonen die geen onderneming zijn, zoals Europese grensoverschrijdende verenigingen, eronder vallen.</w:t>
      </w:r>
      <w:r w:rsidR="00B80227" w:rsidRPr="005E7B73">
        <w:rPr>
          <w:rFonts w:eastAsia="Times New Roman"/>
          <w:lang w:val="nl-NL"/>
        </w:rPr>
        <w:t xml:space="preserve"> </w:t>
      </w:r>
      <w:r w:rsidR="00B80227" w:rsidRPr="005E7B73">
        <w:rPr>
          <w:rFonts w:eastAsia="Times New Roman"/>
          <w:b/>
          <w:lang w:val="nl-NL"/>
        </w:rPr>
        <w:t>[Am. 2]</w:t>
      </w:r>
    </w:p>
    <w:p w14:paraId="584CFAB7" w14:textId="77777777" w:rsidR="005D3A9E" w:rsidRPr="005E7B73" w:rsidRDefault="005D3A9E" w:rsidP="005D3A9E">
      <w:pPr>
        <w:widowControl w:val="0"/>
        <w:spacing w:before="120" w:after="120" w:line="360" w:lineRule="auto"/>
        <w:ind w:left="850" w:hanging="850"/>
        <w:jc w:val="left"/>
        <w:rPr>
          <w:rFonts w:eastAsia="Times New Roman"/>
          <w:lang w:val="nl-NL"/>
        </w:rPr>
      </w:pPr>
      <w:r w:rsidRPr="005E7B73">
        <w:rPr>
          <w:rFonts w:eastAsia="Times New Roman"/>
          <w:lang w:val="nl-NL"/>
        </w:rPr>
        <w:t>(4)</w:t>
      </w:r>
      <w:r w:rsidRPr="005E7B73">
        <w:rPr>
          <w:rFonts w:eastAsia="Times New Roman"/>
          <w:lang w:val="nl-NL"/>
        </w:rPr>
        <w:tab/>
        <w:t>Verordening (EU) 2018/1724 van het Europees Parlement en de Raad</w:t>
      </w:r>
      <w:r w:rsidRPr="005E7B73">
        <w:rPr>
          <w:rFonts w:eastAsia="Times New Roman"/>
          <w:vertAlign w:val="superscript"/>
          <w:lang w:val="nl-NL"/>
        </w:rPr>
        <w:footnoteReference w:id="6"/>
      </w:r>
      <w:r w:rsidRPr="005E7B73">
        <w:rPr>
          <w:rFonts w:eastAsia="Times New Roman"/>
          <w:lang w:val="nl-NL"/>
        </w:rPr>
        <w:t>, waarbij één digitale toegangspoort is opgericht, bevat algemene regels inzake het online verstrekken van informatie, procedures en diensten voor ondersteuning met relevantie voor de werking van de interne markt. De procedures die onder deze verordening vallen, moeten voldoen aan de vereisten van Verordening (EU) 2018/1724 om ervoor te zorgen dat alle Europese grensoverschrijdende verenigingen de vruchten kunnen plukken van procedures die volledig online worden aangeboden en van de geautomatiseerde grensoverschrijdende uitwisseling van bewijs overeenkomstig het eenmaligheidsbeginsel. Deze procedures omvatten de aanvraag voor registratie van een Europese grensoverschrijdende vereniging en de procedure voor verplaatsing van de statutaire zetel ervan.</w:t>
      </w:r>
    </w:p>
    <w:p w14:paraId="1C3B2D3A" w14:textId="77777777" w:rsidR="00B80227" w:rsidRPr="005E7B73" w:rsidRDefault="00B80227">
      <w:pPr>
        <w:jc w:val="left"/>
        <w:rPr>
          <w:rFonts w:eastAsia="Times New Roman"/>
          <w:lang w:val="nl-NL"/>
        </w:rPr>
      </w:pPr>
      <w:r w:rsidRPr="005E7B73">
        <w:rPr>
          <w:rFonts w:eastAsia="Times New Roman"/>
          <w:lang w:val="nl-NL"/>
        </w:rPr>
        <w:br w:type="page"/>
      </w:r>
    </w:p>
    <w:p w14:paraId="2542CF62" w14:textId="77777777" w:rsidR="005D3A9E" w:rsidRPr="005E7B73" w:rsidRDefault="005D3A9E" w:rsidP="005D3A9E">
      <w:pPr>
        <w:widowControl w:val="0"/>
        <w:spacing w:before="120" w:after="120" w:line="360" w:lineRule="auto"/>
        <w:ind w:left="850" w:hanging="850"/>
        <w:jc w:val="left"/>
        <w:rPr>
          <w:rFonts w:eastAsia="Times New Roman"/>
          <w:lang w:val="nl-NL"/>
        </w:rPr>
      </w:pPr>
      <w:r w:rsidRPr="005E7B73">
        <w:rPr>
          <w:rFonts w:eastAsia="Times New Roman"/>
          <w:lang w:val="nl-NL"/>
        </w:rPr>
        <w:lastRenderedPageBreak/>
        <w:t>(5)</w:t>
      </w:r>
      <w:r w:rsidRPr="005E7B73">
        <w:rPr>
          <w:rFonts w:eastAsia="Times New Roman"/>
          <w:lang w:val="nl-NL"/>
        </w:rPr>
        <w:tab/>
        <w:t>De Verordeningen (EU) nr. 1024/2012 en (EU) 2018/1724 moeten daarom dienovereenkomstig worden gewijzigd,</w:t>
      </w:r>
    </w:p>
    <w:p w14:paraId="0F1A96C1" w14:textId="344697E5" w:rsidR="005D3A9E" w:rsidRPr="005E7B73" w:rsidRDefault="005D3A9E" w:rsidP="005D3A9E">
      <w:pPr>
        <w:widowControl w:val="0"/>
        <w:spacing w:before="120" w:after="120" w:line="360" w:lineRule="auto"/>
        <w:ind w:left="850" w:hanging="850"/>
        <w:jc w:val="left"/>
        <w:rPr>
          <w:rFonts w:eastAsia="Times New Roman"/>
          <w:b/>
          <w:lang w:val="nl-NL"/>
        </w:rPr>
      </w:pPr>
      <w:r w:rsidRPr="005E7B73">
        <w:rPr>
          <w:rFonts w:eastAsia="Times New Roman"/>
          <w:b/>
          <w:i/>
          <w:lang w:val="nl-NL"/>
        </w:rPr>
        <w:t>(5 bis)</w:t>
      </w:r>
      <w:r w:rsidRPr="005E7B73">
        <w:rPr>
          <w:rFonts w:eastAsia="Times New Roman"/>
          <w:b/>
          <w:i/>
          <w:lang w:val="nl-NL"/>
        </w:rPr>
        <w:tab/>
        <w:t>Overeenkomstig artikel 42, lid 1, van Verordening (EU) 2018/1725 is de Europese Toezichthouder voor gegevensbescherming geraadpleegd en op 31 oktober 2023 heeft die een advies uitgebracht,</w:t>
      </w:r>
      <w:r w:rsidR="00B80227" w:rsidRPr="005E7B73">
        <w:rPr>
          <w:rFonts w:eastAsia="Times New Roman"/>
          <w:b/>
          <w:lang w:val="nl-NL"/>
        </w:rPr>
        <w:t xml:space="preserve"> [Am. 3]</w:t>
      </w:r>
    </w:p>
    <w:p w14:paraId="0A162DC7" w14:textId="77777777" w:rsidR="005D3A9E" w:rsidRPr="005E7B73" w:rsidRDefault="005D3A9E" w:rsidP="005D3A9E">
      <w:pPr>
        <w:keepNext/>
        <w:spacing w:before="120" w:after="120" w:line="360" w:lineRule="auto"/>
        <w:jc w:val="left"/>
        <w:rPr>
          <w:rFonts w:eastAsia="Times New Roman"/>
          <w:lang w:val="nl-NL"/>
        </w:rPr>
      </w:pPr>
      <w:r w:rsidRPr="005E7B73">
        <w:rPr>
          <w:rFonts w:eastAsia="Times New Roman"/>
          <w:lang w:val="nl-NL"/>
        </w:rPr>
        <w:t>HEBBEN DE VOLGENDE VERORDENING VASTGESTELD:</w:t>
      </w:r>
    </w:p>
    <w:p w14:paraId="0FE6DF99" w14:textId="77777777" w:rsidR="00B80227" w:rsidRPr="005E7B73" w:rsidRDefault="00B80227">
      <w:pPr>
        <w:jc w:val="left"/>
        <w:rPr>
          <w:rFonts w:eastAsia="Times New Roman"/>
          <w:lang w:val="nl-NL"/>
        </w:rPr>
      </w:pPr>
      <w:r w:rsidRPr="005E7B73">
        <w:rPr>
          <w:rFonts w:eastAsia="Times New Roman"/>
          <w:lang w:val="nl-NL"/>
        </w:rPr>
        <w:br w:type="page"/>
      </w:r>
    </w:p>
    <w:p w14:paraId="271C9BD1" w14:textId="77777777" w:rsidR="005D3A9E" w:rsidRPr="005E7B73" w:rsidRDefault="005D3A9E" w:rsidP="005D3A9E">
      <w:pPr>
        <w:widowControl w:val="0"/>
        <w:spacing w:before="120" w:after="120" w:line="360" w:lineRule="auto"/>
        <w:jc w:val="center"/>
        <w:rPr>
          <w:rFonts w:eastAsia="Times New Roman"/>
          <w:lang w:val="nl-NL"/>
        </w:rPr>
      </w:pPr>
      <w:r w:rsidRPr="005E7B73">
        <w:rPr>
          <w:rFonts w:eastAsia="Times New Roman"/>
          <w:lang w:val="nl-NL"/>
        </w:rPr>
        <w:lastRenderedPageBreak/>
        <w:t>Artikel 1</w:t>
      </w:r>
      <w:r w:rsidRPr="005E7B73">
        <w:rPr>
          <w:rFonts w:eastAsia="Times New Roman"/>
          <w:lang w:val="nl-NL"/>
        </w:rPr>
        <w:br/>
        <w:t>Wijziging van Verordening (EU) nr. 1024/2012</w:t>
      </w:r>
    </w:p>
    <w:p w14:paraId="0F92735A" w14:textId="133E03EF" w:rsidR="005D3A9E" w:rsidRPr="005E7B73" w:rsidRDefault="005D3A9E" w:rsidP="005D3A9E">
      <w:pPr>
        <w:widowControl w:val="0"/>
        <w:spacing w:before="120" w:after="120" w:line="360" w:lineRule="auto"/>
        <w:ind w:left="850" w:hanging="850"/>
        <w:jc w:val="left"/>
        <w:rPr>
          <w:rFonts w:eastAsia="Times New Roman"/>
          <w:lang w:val="nl-NL"/>
        </w:rPr>
      </w:pPr>
      <w:r w:rsidRPr="005E7B73">
        <w:rPr>
          <w:rFonts w:eastAsia="Times New Roman"/>
          <w:lang w:val="nl-NL"/>
        </w:rPr>
        <w:tab/>
        <w:t>In de bijlage bij Verordening (EU) nr. 1024/2012 wordt het volgende nieuwe punt 16 toegevoegd:</w:t>
      </w:r>
    </w:p>
    <w:p w14:paraId="005FEFAF" w14:textId="77777777" w:rsidR="005D3A9E" w:rsidRPr="005E7B73" w:rsidRDefault="005D3A9E" w:rsidP="005D3A9E">
      <w:pPr>
        <w:widowControl w:val="0"/>
        <w:spacing w:before="120" w:after="120" w:line="360" w:lineRule="auto"/>
        <w:ind w:left="1416" w:hanging="566"/>
        <w:jc w:val="left"/>
        <w:rPr>
          <w:rFonts w:eastAsia="Times New Roman"/>
          <w:lang w:val="nl-NL"/>
        </w:rPr>
      </w:pPr>
      <w:r w:rsidRPr="005E7B73">
        <w:rPr>
          <w:rFonts w:eastAsia="Times New Roman"/>
          <w:lang w:val="nl-NL"/>
        </w:rPr>
        <w:t>“16.</w:t>
      </w:r>
      <w:r w:rsidRPr="005E7B73">
        <w:rPr>
          <w:rFonts w:eastAsia="Times New Roman"/>
          <w:lang w:val="nl-NL"/>
        </w:rPr>
        <w:tab/>
        <w:t>Richtlijn (EU) .../... van het Europees Parlement en de Raad betreffende Europese grensoverschrijdende verenigingen [</w:t>
      </w:r>
      <w:proofErr w:type="gramStart"/>
      <w:r w:rsidRPr="005E7B73">
        <w:rPr>
          <w:rFonts w:eastAsia="Times New Roman"/>
          <w:lang w:val="nl-NL"/>
        </w:rPr>
        <w:t>COM(</w:t>
      </w:r>
      <w:proofErr w:type="gramEnd"/>
      <w:r w:rsidRPr="005E7B73">
        <w:rPr>
          <w:rFonts w:eastAsia="Times New Roman"/>
          <w:lang w:val="nl-NL"/>
        </w:rPr>
        <w:t>2023) 516]*: artikel 19, leden 2 en 4, artikel 23, leden 5, 6 en 7, artikel 24, lid 3, artikel 25, lid 6, en artikel 27.</w:t>
      </w:r>
    </w:p>
    <w:p w14:paraId="7B7AB196" w14:textId="77777777" w:rsidR="005D3A9E" w:rsidRPr="005E7B73" w:rsidRDefault="005D3A9E" w:rsidP="005D3A9E">
      <w:pPr>
        <w:widowControl w:val="0"/>
        <w:spacing w:before="120" w:after="120" w:line="360" w:lineRule="auto"/>
        <w:ind w:left="1416"/>
        <w:jc w:val="left"/>
        <w:rPr>
          <w:rFonts w:eastAsia="Times New Roman"/>
          <w:lang w:val="nl-NL"/>
        </w:rPr>
      </w:pPr>
      <w:r w:rsidRPr="005E7B73">
        <w:rPr>
          <w:rFonts w:eastAsia="Times New Roman"/>
          <w:lang w:val="nl-NL"/>
        </w:rPr>
        <w:t>____________________</w:t>
      </w:r>
    </w:p>
    <w:p w14:paraId="2CFBBD5B" w14:textId="6DC4F74C" w:rsidR="005D3A9E" w:rsidRPr="005E7B73" w:rsidRDefault="005D3A9E" w:rsidP="005D3A9E">
      <w:pPr>
        <w:widowControl w:val="0"/>
        <w:spacing w:before="120" w:after="120" w:line="360" w:lineRule="auto"/>
        <w:ind w:left="1416"/>
        <w:jc w:val="left"/>
        <w:rPr>
          <w:rFonts w:eastAsia="Times New Roman"/>
          <w:lang w:val="nl-NL"/>
        </w:rPr>
      </w:pPr>
      <w:r w:rsidRPr="005E7B73">
        <w:rPr>
          <w:rFonts w:eastAsia="Times New Roman"/>
          <w:lang w:val="nl-NL"/>
        </w:rPr>
        <w:t>* [Verwijzing naar het PB].”</w:t>
      </w:r>
    </w:p>
    <w:p w14:paraId="509C29A5" w14:textId="77777777" w:rsidR="00B80227" w:rsidRPr="005E7B73" w:rsidRDefault="00B80227">
      <w:pPr>
        <w:jc w:val="left"/>
        <w:rPr>
          <w:rFonts w:eastAsia="Times New Roman"/>
          <w:lang w:val="nl-NL"/>
        </w:rPr>
      </w:pPr>
      <w:r w:rsidRPr="005E7B73">
        <w:rPr>
          <w:rFonts w:eastAsia="Times New Roman"/>
          <w:lang w:val="nl-NL"/>
        </w:rPr>
        <w:br w:type="page"/>
      </w:r>
    </w:p>
    <w:p w14:paraId="11F673C3" w14:textId="77777777" w:rsidR="005D3A9E" w:rsidRPr="005E7B73" w:rsidRDefault="005D3A9E" w:rsidP="005D3A9E">
      <w:pPr>
        <w:widowControl w:val="0"/>
        <w:spacing w:before="120" w:after="120" w:line="360" w:lineRule="auto"/>
        <w:jc w:val="center"/>
        <w:rPr>
          <w:rFonts w:eastAsia="Times New Roman"/>
          <w:lang w:val="nl-NL"/>
        </w:rPr>
      </w:pPr>
      <w:r w:rsidRPr="005E7B73">
        <w:rPr>
          <w:rFonts w:eastAsia="Times New Roman"/>
          <w:lang w:val="nl-NL"/>
        </w:rPr>
        <w:lastRenderedPageBreak/>
        <w:t>Artikel 2</w:t>
      </w:r>
      <w:r w:rsidRPr="005E7B73">
        <w:rPr>
          <w:rFonts w:eastAsia="Times New Roman"/>
          <w:lang w:val="nl-NL"/>
        </w:rPr>
        <w:br/>
        <w:t>Wijziging van Verordening (EU) 2018/1724</w:t>
      </w:r>
    </w:p>
    <w:p w14:paraId="36C3CAFE" w14:textId="77777777" w:rsidR="005D3A9E" w:rsidRPr="005E7B73" w:rsidRDefault="005D3A9E" w:rsidP="005D3A9E">
      <w:pPr>
        <w:widowControl w:val="0"/>
        <w:spacing w:before="120" w:after="120" w:line="360" w:lineRule="auto"/>
        <w:jc w:val="left"/>
        <w:rPr>
          <w:rFonts w:eastAsia="Times New Roman"/>
          <w:lang w:val="nl-NL"/>
        </w:rPr>
      </w:pPr>
      <w:r w:rsidRPr="005E7B73">
        <w:rPr>
          <w:rFonts w:eastAsia="Times New Roman"/>
          <w:lang w:val="nl-NL"/>
        </w:rPr>
        <w:t>Verordening (EU) 2018/1724 wordt als volgt gewijzigd:</w:t>
      </w:r>
    </w:p>
    <w:p w14:paraId="104F533C" w14:textId="77777777" w:rsidR="005D3A9E" w:rsidRPr="005E7B73" w:rsidRDefault="005D3A9E" w:rsidP="005D3A9E">
      <w:pPr>
        <w:widowControl w:val="0"/>
        <w:spacing w:before="120" w:after="120" w:line="360" w:lineRule="auto"/>
        <w:ind w:left="850" w:hanging="850"/>
        <w:jc w:val="left"/>
        <w:rPr>
          <w:rFonts w:eastAsia="Times New Roman"/>
          <w:lang w:val="nl-NL"/>
        </w:rPr>
      </w:pPr>
      <w:r w:rsidRPr="005E7B73">
        <w:rPr>
          <w:rFonts w:eastAsia="Times New Roman"/>
          <w:lang w:val="nl-NL"/>
        </w:rPr>
        <w:t>1)</w:t>
      </w:r>
      <w:r w:rsidRPr="005E7B73">
        <w:rPr>
          <w:rFonts w:eastAsia="Times New Roman"/>
          <w:lang w:val="nl-NL"/>
        </w:rPr>
        <w:tab/>
        <w:t>In artikel 1, lid 1, wordt punt a) vervangen door:</w:t>
      </w:r>
    </w:p>
    <w:p w14:paraId="4E38D9EC" w14:textId="77777777" w:rsidR="005D3A9E" w:rsidRPr="005E7B73" w:rsidRDefault="005D3A9E" w:rsidP="005D3A9E">
      <w:pPr>
        <w:widowControl w:val="0"/>
        <w:spacing w:before="120" w:after="120" w:line="360" w:lineRule="auto"/>
        <w:ind w:left="1416" w:hanging="566"/>
        <w:jc w:val="left"/>
        <w:rPr>
          <w:rFonts w:eastAsia="Times New Roman"/>
          <w:lang w:val="nl-NL"/>
        </w:rPr>
      </w:pPr>
      <w:r w:rsidRPr="005E7B73">
        <w:rPr>
          <w:rFonts w:eastAsia="Times New Roman"/>
          <w:lang w:val="nl-NL"/>
        </w:rPr>
        <w:t>“a)</w:t>
      </w:r>
      <w:r w:rsidRPr="005E7B73">
        <w:rPr>
          <w:rFonts w:eastAsia="Times New Roman"/>
          <w:lang w:val="nl-NL"/>
        </w:rPr>
        <w:tab/>
        <w:t xml:space="preserve">de oprichting en werking van één digitale toegangspoort om burgers, bedrijven en rechtspersonen die geen onderneming zijn eenvoudig toegang te verlenen tot informatie van goede kwaliteit, efficiënte procedures en doeltreffende diensten voor ondersteuning en probleemoplossing met betrekking tot regels van de Unie en van de lidstaten die van toepassing zijn op burgers, bedrijven en rechtspersonen die geen onderneming zijn, die hun op de rechtsorde van de Unie gebaseerde rechten op het gebied van de in artikel 26, lid 2, </w:t>
      </w:r>
      <w:proofErr w:type="spellStart"/>
      <w:r w:rsidRPr="005E7B73">
        <w:rPr>
          <w:rFonts w:eastAsia="Times New Roman"/>
          <w:lang w:val="nl-NL"/>
        </w:rPr>
        <w:t>VWEU</w:t>
      </w:r>
      <w:proofErr w:type="spellEnd"/>
      <w:r w:rsidRPr="005E7B73">
        <w:rPr>
          <w:rFonts w:eastAsia="Times New Roman"/>
          <w:lang w:val="nl-NL"/>
        </w:rPr>
        <w:t>, bedoelde interne markt uitoefenen of wensen uit te oefenen;.”</w:t>
      </w:r>
    </w:p>
    <w:p w14:paraId="760D0441" w14:textId="77777777" w:rsidR="00B80227" w:rsidRPr="005E7B73" w:rsidRDefault="00B80227">
      <w:pPr>
        <w:jc w:val="left"/>
        <w:rPr>
          <w:rFonts w:eastAsia="Times New Roman"/>
          <w:lang w:val="nl-NL"/>
        </w:rPr>
      </w:pPr>
      <w:r w:rsidRPr="005E7B73">
        <w:rPr>
          <w:rFonts w:eastAsia="Times New Roman"/>
          <w:lang w:val="nl-NL"/>
        </w:rPr>
        <w:br w:type="page"/>
      </w:r>
    </w:p>
    <w:p w14:paraId="6C69236D" w14:textId="77777777" w:rsidR="005D3A9E" w:rsidRPr="005E7B73" w:rsidRDefault="005D3A9E" w:rsidP="005D3A9E">
      <w:pPr>
        <w:widowControl w:val="0"/>
        <w:spacing w:before="120" w:after="120" w:line="360" w:lineRule="auto"/>
        <w:ind w:left="850" w:hanging="850"/>
        <w:jc w:val="left"/>
        <w:rPr>
          <w:rFonts w:eastAsia="Times New Roman"/>
          <w:lang w:val="nl-NL"/>
        </w:rPr>
      </w:pPr>
      <w:r w:rsidRPr="005E7B73">
        <w:rPr>
          <w:rFonts w:eastAsia="Times New Roman"/>
          <w:lang w:val="nl-NL"/>
        </w:rPr>
        <w:lastRenderedPageBreak/>
        <w:t>2)</w:t>
      </w:r>
      <w:r w:rsidRPr="005E7B73">
        <w:rPr>
          <w:rFonts w:eastAsia="Times New Roman"/>
          <w:lang w:val="nl-NL"/>
        </w:rPr>
        <w:tab/>
        <w:t>In artikel 1, lid 1, wordt punt b) vervangen door:</w:t>
      </w:r>
    </w:p>
    <w:p w14:paraId="18810981" w14:textId="77777777" w:rsidR="005D3A9E" w:rsidRPr="005E7B73" w:rsidRDefault="005D3A9E" w:rsidP="005D3A9E">
      <w:pPr>
        <w:widowControl w:val="0"/>
        <w:spacing w:before="120" w:after="120" w:line="360" w:lineRule="auto"/>
        <w:ind w:left="1416" w:hanging="566"/>
        <w:jc w:val="left"/>
        <w:rPr>
          <w:rFonts w:eastAsia="Times New Roman"/>
          <w:lang w:val="nl-NL"/>
        </w:rPr>
      </w:pPr>
      <w:r w:rsidRPr="005E7B73">
        <w:rPr>
          <w:rFonts w:eastAsia="Times New Roman"/>
          <w:lang w:val="nl-NL"/>
        </w:rPr>
        <w:t>“</w:t>
      </w:r>
      <w:proofErr w:type="gramStart"/>
      <w:r w:rsidRPr="005E7B73">
        <w:rPr>
          <w:rFonts w:eastAsia="Times New Roman"/>
          <w:lang w:val="nl-NL"/>
        </w:rPr>
        <w:t>b</w:t>
      </w:r>
      <w:proofErr w:type="gramEnd"/>
      <w:r w:rsidRPr="005E7B73">
        <w:rPr>
          <w:rFonts w:eastAsia="Times New Roman"/>
          <w:lang w:val="nl-NL"/>
        </w:rPr>
        <w:t>)</w:t>
      </w:r>
      <w:r w:rsidRPr="005E7B73">
        <w:rPr>
          <w:rFonts w:eastAsia="Times New Roman"/>
          <w:lang w:val="nl-NL"/>
        </w:rPr>
        <w:tab/>
        <w:t>het gebruik van procedures door grensoverschrijdende gebruikers en de toepassing van het eenmaligheidsbeginsel in verband met de in bijlage II bij deze verordening en in de Richtlijnen 2005/36/EG, 2006/123/EG, 2014/24/EU, 2014/25/EU en .../...* vermelde procedures;</w:t>
      </w:r>
    </w:p>
    <w:p w14:paraId="29566BE9" w14:textId="77777777" w:rsidR="005D3A9E" w:rsidRPr="005E7B73" w:rsidRDefault="005D3A9E" w:rsidP="005D3A9E">
      <w:pPr>
        <w:widowControl w:val="0"/>
        <w:spacing w:before="120" w:after="120" w:line="360" w:lineRule="auto"/>
        <w:ind w:left="1416"/>
        <w:jc w:val="left"/>
        <w:rPr>
          <w:rFonts w:eastAsia="Times New Roman"/>
          <w:lang w:val="nl-NL"/>
        </w:rPr>
      </w:pPr>
      <w:r w:rsidRPr="005E7B73">
        <w:rPr>
          <w:rFonts w:eastAsia="Times New Roman"/>
          <w:lang w:val="nl-NL"/>
        </w:rPr>
        <w:t>____________________</w:t>
      </w:r>
    </w:p>
    <w:p w14:paraId="73769F82" w14:textId="77777777" w:rsidR="005D3A9E" w:rsidRPr="005E7B73" w:rsidRDefault="005D3A9E" w:rsidP="005D3A9E">
      <w:pPr>
        <w:widowControl w:val="0"/>
        <w:spacing w:before="120" w:after="120" w:line="360" w:lineRule="auto"/>
        <w:ind w:left="1416"/>
        <w:jc w:val="left"/>
        <w:rPr>
          <w:rFonts w:eastAsia="Times New Roman"/>
          <w:lang w:val="nl-NL"/>
        </w:rPr>
      </w:pPr>
      <w:r w:rsidRPr="005E7B73">
        <w:rPr>
          <w:rFonts w:eastAsia="Times New Roman"/>
          <w:lang w:val="nl-NL"/>
        </w:rPr>
        <w:t>* Richtlijn van het Europees Parlement en de Raad van ... betreffende Europese grensoverschrijdende verenigingen ([PB-</w:t>
      </w:r>
      <w:proofErr w:type="gramStart"/>
      <w:r w:rsidRPr="005E7B73">
        <w:rPr>
          <w:rFonts w:eastAsia="Times New Roman"/>
          <w:lang w:val="nl-NL"/>
        </w:rPr>
        <w:t>verwijzing])..</w:t>
      </w:r>
      <w:proofErr w:type="gramEnd"/>
      <w:r w:rsidRPr="005E7B73">
        <w:rPr>
          <w:rFonts w:eastAsia="Times New Roman"/>
          <w:lang w:val="nl-NL"/>
        </w:rPr>
        <w:t>”</w:t>
      </w:r>
    </w:p>
    <w:p w14:paraId="28D24493" w14:textId="77777777" w:rsidR="005D3A9E" w:rsidRPr="005E7B73" w:rsidRDefault="005D3A9E" w:rsidP="005D3A9E">
      <w:pPr>
        <w:widowControl w:val="0"/>
        <w:spacing w:before="120" w:after="120" w:line="360" w:lineRule="auto"/>
        <w:ind w:left="850" w:hanging="850"/>
        <w:jc w:val="left"/>
        <w:rPr>
          <w:rFonts w:eastAsia="Times New Roman"/>
          <w:lang w:val="nl-NL"/>
        </w:rPr>
      </w:pPr>
      <w:r w:rsidRPr="005E7B73">
        <w:rPr>
          <w:rFonts w:eastAsia="Times New Roman"/>
          <w:lang w:val="nl-NL"/>
        </w:rPr>
        <w:t>3)</w:t>
      </w:r>
      <w:r w:rsidRPr="005E7B73">
        <w:rPr>
          <w:rFonts w:eastAsia="Times New Roman"/>
          <w:lang w:val="nl-NL"/>
        </w:rPr>
        <w:tab/>
        <w:t>In artikel 2, lid 2, wordt punt c) vervangen door:</w:t>
      </w:r>
    </w:p>
    <w:p w14:paraId="259D891B" w14:textId="77777777" w:rsidR="005D3A9E" w:rsidRPr="005E7B73" w:rsidRDefault="005D3A9E" w:rsidP="005D3A9E">
      <w:pPr>
        <w:widowControl w:val="0"/>
        <w:spacing w:before="120" w:after="120" w:line="360" w:lineRule="auto"/>
        <w:ind w:left="1416" w:hanging="566"/>
        <w:jc w:val="left"/>
        <w:rPr>
          <w:rFonts w:eastAsia="Times New Roman"/>
          <w:lang w:val="nl-NL"/>
        </w:rPr>
      </w:pPr>
      <w:r w:rsidRPr="005E7B73">
        <w:rPr>
          <w:rFonts w:eastAsia="Times New Roman"/>
          <w:lang w:val="nl-NL"/>
        </w:rPr>
        <w:t>“</w:t>
      </w:r>
      <w:proofErr w:type="gramStart"/>
      <w:r w:rsidRPr="005E7B73">
        <w:rPr>
          <w:rFonts w:eastAsia="Times New Roman"/>
          <w:lang w:val="nl-NL"/>
        </w:rPr>
        <w:t>c</w:t>
      </w:r>
      <w:proofErr w:type="gramEnd"/>
      <w:r w:rsidRPr="005E7B73">
        <w:rPr>
          <w:rFonts w:eastAsia="Times New Roman"/>
          <w:lang w:val="nl-NL"/>
        </w:rPr>
        <w:t>)</w:t>
      </w:r>
      <w:r w:rsidRPr="005E7B73">
        <w:rPr>
          <w:rFonts w:eastAsia="Times New Roman"/>
          <w:lang w:val="nl-NL"/>
        </w:rPr>
        <w:tab/>
        <w:t>informatie over en links naar de in bijlage III vermelde of in artikel 7 bedoelde diensten voor ondersteuning en probleemoplossing waartoe burgers, bedrijven en rechtspersonen die geen onderneming zijn zich kunnen richten als zij vragen of problemen hebben in verband met de in de punten a) en b) van dit lid bedoelde rechten, verplichtingen, regels of procedures..”</w:t>
      </w:r>
    </w:p>
    <w:p w14:paraId="27A19226" w14:textId="77777777" w:rsidR="00B80227" w:rsidRPr="005E7B73" w:rsidRDefault="00B80227">
      <w:pPr>
        <w:jc w:val="left"/>
        <w:rPr>
          <w:rFonts w:eastAsia="Times New Roman"/>
          <w:lang w:val="nl-NL"/>
        </w:rPr>
      </w:pPr>
      <w:r w:rsidRPr="005E7B73">
        <w:rPr>
          <w:rFonts w:eastAsia="Times New Roman"/>
          <w:lang w:val="nl-NL"/>
        </w:rPr>
        <w:br w:type="page"/>
      </w:r>
    </w:p>
    <w:p w14:paraId="7C707E43" w14:textId="77777777" w:rsidR="005D3A9E" w:rsidRPr="005E7B73" w:rsidRDefault="005D3A9E" w:rsidP="005D3A9E">
      <w:pPr>
        <w:widowControl w:val="0"/>
        <w:spacing w:before="120" w:after="120" w:line="360" w:lineRule="auto"/>
        <w:ind w:left="850" w:hanging="850"/>
        <w:jc w:val="left"/>
        <w:rPr>
          <w:rFonts w:eastAsia="Times New Roman"/>
          <w:lang w:val="nl-NL"/>
        </w:rPr>
      </w:pPr>
      <w:r w:rsidRPr="005E7B73">
        <w:rPr>
          <w:rFonts w:eastAsia="Times New Roman"/>
          <w:lang w:val="nl-NL"/>
        </w:rPr>
        <w:lastRenderedPageBreak/>
        <w:t>4)</w:t>
      </w:r>
      <w:r w:rsidRPr="005E7B73">
        <w:rPr>
          <w:rFonts w:eastAsia="Times New Roman"/>
          <w:lang w:val="nl-NL"/>
        </w:rPr>
        <w:tab/>
        <w:t>In artikel 14 wordt lid 1 vervangen door:</w:t>
      </w:r>
    </w:p>
    <w:p w14:paraId="02A8D4F8" w14:textId="77777777" w:rsidR="005D3A9E" w:rsidRPr="005E7B73" w:rsidRDefault="005D3A9E" w:rsidP="005D3A9E">
      <w:pPr>
        <w:widowControl w:val="0"/>
        <w:spacing w:before="120" w:after="120" w:line="360" w:lineRule="auto"/>
        <w:ind w:left="1416" w:hanging="566"/>
        <w:jc w:val="left"/>
        <w:rPr>
          <w:rFonts w:eastAsia="Times New Roman"/>
          <w:lang w:val="nl-NL"/>
        </w:rPr>
      </w:pPr>
      <w:r w:rsidRPr="005E7B73">
        <w:rPr>
          <w:rFonts w:eastAsia="Times New Roman"/>
          <w:lang w:val="nl-NL"/>
        </w:rPr>
        <w:t>“1.</w:t>
      </w:r>
      <w:r w:rsidRPr="005E7B73">
        <w:rPr>
          <w:rFonts w:eastAsia="Times New Roman"/>
          <w:lang w:val="nl-NL"/>
        </w:rPr>
        <w:tab/>
        <w:t xml:space="preserve">De Commissie stelt in samenwerking met de lidstaten een technisch systeem in voor de geautomatiseerde uitwisseling van bewijs tussen de bevoegde instanties in verschillende lidstaten (“het technische systeem”) met het oog op de uitwisseling van bewijs voor de in bijlage II bij deze verordening vermelde onlineprocedures en de bij de Richtlijnen 2005/36/EG, 2006/123/EG, 2014/24/EU, 2014/25/EU en .../.../... vastgestelde </w:t>
      </w:r>
      <w:proofErr w:type="gramStart"/>
      <w:r w:rsidRPr="005E7B73">
        <w:rPr>
          <w:rFonts w:eastAsia="Times New Roman"/>
          <w:lang w:val="nl-NL"/>
        </w:rPr>
        <w:t>procedures..</w:t>
      </w:r>
      <w:proofErr w:type="gramEnd"/>
      <w:r w:rsidRPr="005E7B73">
        <w:rPr>
          <w:rFonts w:eastAsia="Times New Roman"/>
          <w:lang w:val="nl-NL"/>
        </w:rPr>
        <w:t>”</w:t>
      </w:r>
    </w:p>
    <w:p w14:paraId="21FECEB1" w14:textId="77777777" w:rsidR="005D3A9E" w:rsidRPr="005E7B73" w:rsidRDefault="005D3A9E" w:rsidP="005D3A9E">
      <w:pPr>
        <w:widowControl w:val="0"/>
        <w:spacing w:before="120" w:after="120" w:line="360" w:lineRule="auto"/>
        <w:ind w:left="850" w:hanging="850"/>
        <w:jc w:val="left"/>
        <w:rPr>
          <w:rFonts w:eastAsia="Times New Roman"/>
          <w:lang w:val="nl-NL"/>
        </w:rPr>
      </w:pPr>
      <w:r w:rsidRPr="005E7B73">
        <w:rPr>
          <w:rFonts w:eastAsia="Times New Roman"/>
          <w:lang w:val="nl-NL"/>
        </w:rPr>
        <w:t>5)</w:t>
      </w:r>
      <w:r w:rsidRPr="005E7B73">
        <w:rPr>
          <w:rFonts w:eastAsia="Times New Roman"/>
          <w:lang w:val="nl-NL"/>
        </w:rPr>
        <w:tab/>
        <w:t>Bijlage I bij Verordening (EU) 2018/1724 wordt als volgt gewijzigd:</w:t>
      </w:r>
    </w:p>
    <w:p w14:paraId="474C104E" w14:textId="77777777" w:rsidR="005D3A9E" w:rsidRPr="005E7B73" w:rsidRDefault="005D3A9E" w:rsidP="005D3A9E">
      <w:pPr>
        <w:widowControl w:val="0"/>
        <w:spacing w:before="120" w:after="120" w:line="360" w:lineRule="auto"/>
        <w:ind w:left="1416" w:hanging="566"/>
        <w:jc w:val="left"/>
        <w:rPr>
          <w:rFonts w:eastAsia="Times New Roman"/>
          <w:lang w:val="nl-NL"/>
        </w:rPr>
      </w:pPr>
      <w:r w:rsidRPr="005E7B73">
        <w:rPr>
          <w:rFonts w:eastAsia="Times New Roman"/>
          <w:lang w:val="nl-NL"/>
        </w:rPr>
        <w:t>a)</w:t>
      </w:r>
      <w:r w:rsidRPr="005E7B73">
        <w:rPr>
          <w:rFonts w:eastAsia="Times New Roman"/>
          <w:lang w:val="nl-NL"/>
        </w:rPr>
        <w:tab/>
        <w:t>de titel wordt vervangen door:</w:t>
      </w:r>
    </w:p>
    <w:p w14:paraId="4C1A4D10" w14:textId="77777777" w:rsidR="005D3A9E" w:rsidRPr="005E7B73" w:rsidRDefault="005D3A9E" w:rsidP="005D3A9E">
      <w:pPr>
        <w:widowControl w:val="0"/>
        <w:spacing w:before="120" w:after="120" w:line="360" w:lineRule="auto"/>
        <w:ind w:left="1416"/>
        <w:jc w:val="left"/>
        <w:rPr>
          <w:rFonts w:eastAsia="Times New Roman"/>
          <w:lang w:val="nl-NL"/>
        </w:rPr>
      </w:pPr>
      <w:r w:rsidRPr="005E7B73">
        <w:rPr>
          <w:rFonts w:eastAsia="Times New Roman"/>
          <w:lang w:val="nl-NL"/>
        </w:rPr>
        <w:t>“Lijst van informatiegebieden die voor in een lidstaat gevestigde burgers, bedrijven en rechtspersonen zijn geen onderneming zijn van belang zijn bij de uitoefening van hun in artikel 2, lid 2, punt a), bedoelde rechten uit hoofde van de interne markt;</w:t>
      </w:r>
    </w:p>
    <w:p w14:paraId="280B38A7" w14:textId="77777777" w:rsidR="00B80227" w:rsidRPr="005E7B73" w:rsidRDefault="00B80227" w:rsidP="005E7B73">
      <w:pPr>
        <w:ind w:left="1418" w:hanging="567"/>
        <w:jc w:val="left"/>
        <w:rPr>
          <w:rFonts w:eastAsia="Times New Roman"/>
          <w:b/>
          <w:i/>
          <w:lang w:val="nl-NL"/>
        </w:rPr>
      </w:pPr>
      <w:r w:rsidRPr="005E7B73">
        <w:rPr>
          <w:rFonts w:eastAsia="Times New Roman"/>
          <w:b/>
          <w:i/>
          <w:lang w:val="nl-NL"/>
        </w:rPr>
        <w:br w:type="page"/>
      </w:r>
    </w:p>
    <w:p w14:paraId="51893057" w14:textId="6D2A02D2" w:rsidR="005D3A9E" w:rsidRPr="005E7B73" w:rsidRDefault="005D3A9E" w:rsidP="00C4569A">
      <w:pPr>
        <w:widowControl w:val="0"/>
        <w:spacing w:before="120" w:after="120" w:line="360" w:lineRule="auto"/>
        <w:ind w:left="1416" w:hanging="565"/>
        <w:jc w:val="left"/>
        <w:rPr>
          <w:rFonts w:eastAsia="Times New Roman"/>
          <w:lang w:val="nl-NL"/>
        </w:rPr>
      </w:pPr>
      <w:proofErr w:type="gramStart"/>
      <w:r w:rsidRPr="005E7B73">
        <w:rPr>
          <w:rFonts w:eastAsia="Times New Roman"/>
          <w:b/>
          <w:i/>
          <w:lang w:val="nl-NL"/>
        </w:rPr>
        <w:lastRenderedPageBreak/>
        <w:t>a</w:t>
      </w:r>
      <w:proofErr w:type="gramEnd"/>
      <w:r w:rsidRPr="005E7B73">
        <w:rPr>
          <w:rFonts w:eastAsia="Times New Roman"/>
          <w:b/>
          <w:i/>
          <w:lang w:val="nl-NL"/>
        </w:rPr>
        <w:t xml:space="preserve"> bis)</w:t>
      </w:r>
      <w:r w:rsidRPr="005E7B73">
        <w:rPr>
          <w:rFonts w:eastAsia="Times New Roman"/>
          <w:b/>
          <w:i/>
          <w:lang w:val="nl-NL"/>
        </w:rPr>
        <w:tab/>
      </w:r>
      <w:r w:rsidR="005E7B73" w:rsidRPr="005E7B73">
        <w:rPr>
          <w:rFonts w:eastAsia="Times New Roman"/>
          <w:b/>
          <w:i/>
          <w:lang w:val="nl-NL"/>
        </w:rPr>
        <w:t>in</w:t>
      </w:r>
      <w:r w:rsidRPr="005E7B73">
        <w:rPr>
          <w:rFonts w:eastAsia="Times New Roman"/>
          <w:b/>
          <w:i/>
          <w:lang w:val="nl-NL"/>
        </w:rPr>
        <w:t xml:space="preserve"> </w:t>
      </w:r>
      <w:r w:rsidR="005E7B73" w:rsidRPr="005E7B73">
        <w:rPr>
          <w:rFonts w:eastAsia="Times New Roman"/>
          <w:b/>
          <w:i/>
          <w:lang w:val="nl-NL"/>
        </w:rPr>
        <w:t>“I</w:t>
      </w:r>
      <w:r w:rsidRPr="005E7B73">
        <w:rPr>
          <w:rFonts w:eastAsia="Times New Roman"/>
          <w:b/>
          <w:i/>
          <w:lang w:val="nl-NL"/>
        </w:rPr>
        <w:t xml:space="preserve">nformatiegebieden </w:t>
      </w:r>
      <w:r w:rsidR="005E7B73" w:rsidRPr="005E7B73">
        <w:rPr>
          <w:rFonts w:eastAsia="Times New Roman"/>
          <w:b/>
          <w:i/>
          <w:lang w:val="nl-NL"/>
        </w:rPr>
        <w:t xml:space="preserve">in verband met bedrijven” wordt punt J </w:t>
      </w:r>
      <w:r w:rsidRPr="005E7B73">
        <w:rPr>
          <w:rFonts w:eastAsia="Times New Roman"/>
          <w:b/>
          <w:i/>
          <w:lang w:val="nl-NL"/>
        </w:rPr>
        <w:t>vervangen</w:t>
      </w:r>
      <w:r w:rsidR="005E7B73" w:rsidRPr="005E7B73">
        <w:rPr>
          <w:rFonts w:eastAsia="Times New Roman"/>
          <w:b/>
          <w:i/>
          <w:lang w:val="nl-NL"/>
        </w:rPr>
        <w:t xml:space="preserve"> door</w:t>
      </w:r>
      <w:r w:rsidRPr="005E7B73">
        <w:rPr>
          <w:rFonts w:eastAsia="Times New Roman"/>
          <w:b/>
          <w:i/>
          <w:lang w:val="nl-NL"/>
        </w:rPr>
        <w:t>:</w:t>
      </w:r>
    </w:p>
    <w:p w14:paraId="6551DA8F" w14:textId="2DCCD777" w:rsidR="005E7B73" w:rsidRPr="005E7B73" w:rsidRDefault="005E7B73" w:rsidP="00C4569A">
      <w:pPr>
        <w:widowControl w:val="0"/>
        <w:spacing w:before="120" w:after="120" w:line="360" w:lineRule="auto"/>
        <w:ind w:left="1416" w:hanging="565"/>
        <w:jc w:val="left"/>
        <w:rPr>
          <w:rFonts w:eastAsia="Times New Roman"/>
          <w:b/>
          <w:i/>
          <w:lang w:val="nl-NL"/>
        </w:rPr>
      </w:pPr>
      <w:r w:rsidRPr="005E7B73">
        <w:rPr>
          <w:rFonts w:eastAsia="Times New Roman"/>
          <w:b/>
          <w:i/>
          <w:lang w:val="nl-NL"/>
        </w:rPr>
        <w:t>“Informatiegebieden in verband met bedrijven:</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D3A9E" w:rsidRPr="00345D87" w14:paraId="2BD75C1B" w14:textId="77777777" w:rsidTr="000947C8">
        <w:trPr>
          <w:jc w:val="center"/>
        </w:trPr>
        <w:tc>
          <w:tcPr>
            <w:tcW w:w="4876" w:type="dxa"/>
            <w:tcBorders>
              <w:top w:val="single" w:sz="4" w:space="0" w:color="auto"/>
              <w:left w:val="single" w:sz="4" w:space="0" w:color="auto"/>
              <w:bottom w:val="single" w:sz="4" w:space="0" w:color="auto"/>
              <w:right w:val="single" w:sz="4" w:space="0" w:color="auto"/>
            </w:tcBorders>
            <w:hideMark/>
          </w:tcPr>
          <w:p w14:paraId="15DC0B9D" w14:textId="77777777" w:rsidR="005D3A9E" w:rsidRPr="005E7B73" w:rsidRDefault="005D3A9E" w:rsidP="005D3A9E">
            <w:pPr>
              <w:widowControl w:val="0"/>
              <w:spacing w:after="120"/>
              <w:jc w:val="left"/>
              <w:rPr>
                <w:rFonts w:eastAsia="Times New Roman"/>
                <w:b/>
                <w:i/>
                <w:szCs w:val="20"/>
                <w:lang w:val="nl-NL" w:eastAsia="en-GB"/>
              </w:rPr>
            </w:pPr>
            <w:r w:rsidRPr="005E7B73">
              <w:rPr>
                <w:rFonts w:eastAsia="Times New Roman"/>
                <w:b/>
                <w:i/>
                <w:szCs w:val="20"/>
                <w:lang w:val="nl-NL" w:eastAsia="en-GB"/>
              </w:rPr>
              <w:t>Gebied</w:t>
            </w:r>
          </w:p>
        </w:tc>
        <w:tc>
          <w:tcPr>
            <w:tcW w:w="4876" w:type="dxa"/>
            <w:tcBorders>
              <w:top w:val="single" w:sz="4" w:space="0" w:color="auto"/>
              <w:left w:val="single" w:sz="4" w:space="0" w:color="auto"/>
              <w:bottom w:val="single" w:sz="4" w:space="0" w:color="auto"/>
              <w:right w:val="single" w:sz="4" w:space="0" w:color="auto"/>
            </w:tcBorders>
            <w:hideMark/>
          </w:tcPr>
          <w:p w14:paraId="35B6408E" w14:textId="77777777" w:rsidR="005D3A9E" w:rsidRPr="005E7B73" w:rsidRDefault="005D3A9E" w:rsidP="005D3A9E">
            <w:pPr>
              <w:widowControl w:val="0"/>
              <w:spacing w:after="120"/>
              <w:jc w:val="left"/>
              <w:rPr>
                <w:rFonts w:eastAsia="Times New Roman"/>
                <w:b/>
                <w:i/>
                <w:szCs w:val="20"/>
                <w:lang w:val="nl-NL" w:eastAsia="en-GB"/>
              </w:rPr>
            </w:pPr>
            <w:r w:rsidRPr="005E7B73">
              <w:rPr>
                <w:rFonts w:eastAsia="Times New Roman"/>
                <w:b/>
                <w:i/>
                <w:szCs w:val="20"/>
                <w:lang w:val="nl-NL" w:eastAsia="en-GB"/>
              </w:rPr>
              <w:t>INFORMATIE OVER RECHTEN, VERPLICHTINGEN EN REGELS</w:t>
            </w:r>
          </w:p>
        </w:tc>
      </w:tr>
      <w:tr w:rsidR="005D3A9E" w:rsidRPr="00345D87" w14:paraId="0CF31580" w14:textId="77777777" w:rsidTr="000947C8">
        <w:trPr>
          <w:jc w:val="center"/>
        </w:trPr>
        <w:tc>
          <w:tcPr>
            <w:tcW w:w="4876" w:type="dxa"/>
            <w:tcBorders>
              <w:top w:val="single" w:sz="4" w:space="0" w:color="auto"/>
              <w:left w:val="single" w:sz="4" w:space="0" w:color="auto"/>
              <w:bottom w:val="single" w:sz="4" w:space="0" w:color="auto"/>
              <w:right w:val="single" w:sz="4" w:space="0" w:color="auto"/>
            </w:tcBorders>
            <w:hideMark/>
          </w:tcPr>
          <w:p w14:paraId="7FF54D73" w14:textId="77777777" w:rsidR="005D3A9E" w:rsidRPr="005E7B73" w:rsidRDefault="005D3A9E" w:rsidP="005D3A9E">
            <w:pPr>
              <w:widowControl w:val="0"/>
              <w:spacing w:after="120"/>
              <w:jc w:val="left"/>
              <w:rPr>
                <w:rFonts w:eastAsia="Times New Roman"/>
                <w:b/>
                <w:i/>
                <w:szCs w:val="20"/>
                <w:lang w:val="nl-NL" w:eastAsia="en-GB"/>
              </w:rPr>
            </w:pPr>
            <w:r w:rsidRPr="005E7B73">
              <w:rPr>
                <w:rFonts w:eastAsia="Times New Roman"/>
                <w:b/>
                <w:i/>
                <w:szCs w:val="20"/>
                <w:lang w:val="nl-NL" w:eastAsia="en-GB"/>
              </w:rPr>
              <w:t>J. Oprichten, beheren en opheffen van een bedrijf</w:t>
            </w:r>
          </w:p>
        </w:tc>
        <w:tc>
          <w:tcPr>
            <w:tcW w:w="4876" w:type="dxa"/>
            <w:tcBorders>
              <w:top w:val="single" w:sz="4" w:space="0" w:color="auto"/>
              <w:left w:val="single" w:sz="4" w:space="0" w:color="auto"/>
              <w:bottom w:val="single" w:sz="4" w:space="0" w:color="auto"/>
              <w:right w:val="single" w:sz="4" w:space="0" w:color="auto"/>
            </w:tcBorders>
          </w:tcPr>
          <w:p w14:paraId="00A92639" w14:textId="77777777" w:rsidR="005D3A9E" w:rsidRPr="005E7B73" w:rsidRDefault="005D3A9E" w:rsidP="005D3A9E">
            <w:pPr>
              <w:widowControl w:val="0"/>
              <w:spacing w:after="120"/>
              <w:jc w:val="left"/>
              <w:rPr>
                <w:rFonts w:eastAsia="Times New Roman"/>
                <w:b/>
                <w:i/>
                <w:szCs w:val="20"/>
                <w:lang w:val="nl-NL" w:eastAsia="en-GB"/>
              </w:rPr>
            </w:pPr>
            <w:r w:rsidRPr="005E7B73">
              <w:rPr>
                <w:rFonts w:eastAsia="Times New Roman"/>
                <w:b/>
                <w:i/>
                <w:szCs w:val="20"/>
                <w:lang w:val="nl-NL" w:eastAsia="en-GB"/>
              </w:rPr>
              <w:t>1. registratie, wijziging van de rechtsvorm of sluiting van een bedrijf (registratieprocedures en rechtsvormen voor bedrijven);</w:t>
            </w:r>
          </w:p>
          <w:p w14:paraId="742C0C7B" w14:textId="77777777" w:rsidR="005D3A9E" w:rsidRPr="005E7B73" w:rsidRDefault="005D3A9E" w:rsidP="005D3A9E">
            <w:pPr>
              <w:widowControl w:val="0"/>
              <w:spacing w:after="120"/>
              <w:jc w:val="left"/>
              <w:rPr>
                <w:rFonts w:eastAsia="Times New Roman"/>
                <w:b/>
                <w:i/>
                <w:szCs w:val="20"/>
                <w:lang w:val="nl-NL" w:eastAsia="en-GB"/>
              </w:rPr>
            </w:pPr>
            <w:r w:rsidRPr="005E7B73">
              <w:rPr>
                <w:rFonts w:eastAsia="Times New Roman"/>
                <w:b/>
                <w:i/>
                <w:szCs w:val="20"/>
                <w:lang w:val="nl-NL" w:eastAsia="en-GB"/>
              </w:rPr>
              <w:t>2. verplaatsing van de statutaire zetel van een bedrijf naar een andere lidstaat;</w:t>
            </w:r>
          </w:p>
          <w:p w14:paraId="58E7B83B" w14:textId="77777777" w:rsidR="005D3A9E" w:rsidRPr="005E7B73" w:rsidRDefault="005D3A9E" w:rsidP="005D3A9E">
            <w:pPr>
              <w:widowControl w:val="0"/>
              <w:spacing w:after="120"/>
              <w:jc w:val="left"/>
              <w:rPr>
                <w:rFonts w:eastAsia="Times New Roman"/>
                <w:b/>
                <w:i/>
                <w:szCs w:val="20"/>
                <w:lang w:val="nl-NL" w:eastAsia="en-GB"/>
              </w:rPr>
            </w:pPr>
            <w:r w:rsidRPr="005E7B73">
              <w:rPr>
                <w:rFonts w:eastAsia="Times New Roman"/>
                <w:b/>
                <w:i/>
                <w:szCs w:val="20"/>
                <w:lang w:val="nl-NL" w:eastAsia="en-GB"/>
              </w:rPr>
              <w:t xml:space="preserve">2 bis. </w:t>
            </w:r>
            <w:proofErr w:type="gramStart"/>
            <w:r w:rsidRPr="005E7B73">
              <w:rPr>
                <w:rFonts w:eastAsia="Times New Roman"/>
                <w:b/>
                <w:i/>
                <w:szCs w:val="20"/>
                <w:lang w:val="nl-NL" w:eastAsia="en-GB"/>
              </w:rPr>
              <w:t>verplichtingen</w:t>
            </w:r>
            <w:proofErr w:type="gramEnd"/>
            <w:r w:rsidRPr="005E7B73">
              <w:rPr>
                <w:rFonts w:eastAsia="Times New Roman"/>
                <w:b/>
                <w:i/>
                <w:szCs w:val="20"/>
                <w:lang w:val="nl-NL" w:eastAsia="en-GB"/>
              </w:rPr>
              <w:t xml:space="preserve"> ten aanzien van schuldeisers en werknemersrechten met betrekking tot de verplaatsing van de statutaire zetel van een bedrijf naar een andere lidstaat</w:t>
            </w:r>
          </w:p>
          <w:p w14:paraId="4C9383E1" w14:textId="77777777" w:rsidR="005D3A9E" w:rsidRPr="005E7B73" w:rsidRDefault="005D3A9E" w:rsidP="005D3A9E">
            <w:pPr>
              <w:widowControl w:val="0"/>
              <w:spacing w:after="120"/>
              <w:jc w:val="left"/>
              <w:rPr>
                <w:rFonts w:eastAsia="Times New Roman"/>
                <w:b/>
                <w:i/>
                <w:szCs w:val="20"/>
                <w:lang w:val="nl-NL" w:eastAsia="en-GB"/>
              </w:rPr>
            </w:pPr>
            <w:r w:rsidRPr="005E7B73">
              <w:rPr>
                <w:rFonts w:eastAsia="Times New Roman"/>
                <w:b/>
                <w:i/>
                <w:szCs w:val="20"/>
                <w:lang w:val="nl-NL" w:eastAsia="en-GB"/>
              </w:rPr>
              <w:t>3. intellectuele-eigendomsrechten (octrooiaanvragen, registratie van handelsmerken, tekeningen of modellen, verwerving van licenties voor reproductie);</w:t>
            </w:r>
          </w:p>
          <w:p w14:paraId="52371D6A" w14:textId="77777777" w:rsidR="005D3A9E" w:rsidRPr="005E7B73" w:rsidRDefault="005D3A9E" w:rsidP="005D3A9E">
            <w:pPr>
              <w:widowControl w:val="0"/>
              <w:spacing w:after="120"/>
              <w:jc w:val="left"/>
              <w:rPr>
                <w:rFonts w:eastAsia="Times New Roman"/>
                <w:b/>
                <w:i/>
                <w:szCs w:val="20"/>
                <w:lang w:val="nl-NL" w:eastAsia="en-GB"/>
              </w:rPr>
            </w:pPr>
            <w:r w:rsidRPr="005E7B73">
              <w:rPr>
                <w:rFonts w:eastAsia="Times New Roman"/>
                <w:b/>
                <w:i/>
                <w:szCs w:val="20"/>
                <w:lang w:val="nl-NL" w:eastAsia="en-GB"/>
              </w:rPr>
              <w:t>4. billijkheid en transparantie bij handelspraktijken, met inbegrip van consumentenrechten en -waarborgen in verband met de verkoop van goederen en diensten;</w:t>
            </w:r>
          </w:p>
          <w:p w14:paraId="27703AB5" w14:textId="77777777" w:rsidR="005D3A9E" w:rsidRPr="005E7B73" w:rsidRDefault="005D3A9E" w:rsidP="005D3A9E">
            <w:pPr>
              <w:widowControl w:val="0"/>
              <w:spacing w:after="120"/>
              <w:jc w:val="left"/>
              <w:rPr>
                <w:rFonts w:eastAsia="Times New Roman"/>
                <w:b/>
                <w:i/>
                <w:szCs w:val="20"/>
                <w:lang w:val="nl-NL" w:eastAsia="en-GB"/>
              </w:rPr>
            </w:pPr>
            <w:r w:rsidRPr="005E7B73">
              <w:rPr>
                <w:rFonts w:eastAsia="Times New Roman"/>
                <w:b/>
                <w:i/>
                <w:szCs w:val="20"/>
                <w:lang w:val="nl-NL" w:eastAsia="en-GB"/>
              </w:rPr>
              <w:t xml:space="preserve">5. aanbieden van grensoverschrijdende </w:t>
            </w:r>
            <w:proofErr w:type="spellStart"/>
            <w:r w:rsidRPr="005E7B73">
              <w:rPr>
                <w:rFonts w:eastAsia="Times New Roman"/>
                <w:b/>
                <w:i/>
                <w:szCs w:val="20"/>
                <w:lang w:val="nl-NL" w:eastAsia="en-GB"/>
              </w:rPr>
              <w:t>onlinebetaalfuncties</w:t>
            </w:r>
            <w:proofErr w:type="spellEnd"/>
            <w:r w:rsidRPr="005E7B73">
              <w:rPr>
                <w:rFonts w:eastAsia="Times New Roman"/>
                <w:b/>
                <w:i/>
                <w:szCs w:val="20"/>
                <w:lang w:val="nl-NL" w:eastAsia="en-GB"/>
              </w:rPr>
              <w:t xml:space="preserve"> bij de onlineverkoop van goederen en diensten;</w:t>
            </w:r>
          </w:p>
          <w:p w14:paraId="17890B5F" w14:textId="77777777" w:rsidR="005D3A9E" w:rsidRPr="005E7B73" w:rsidRDefault="005D3A9E" w:rsidP="005D3A9E">
            <w:pPr>
              <w:widowControl w:val="0"/>
              <w:spacing w:after="120"/>
              <w:jc w:val="left"/>
              <w:rPr>
                <w:rFonts w:eastAsia="Times New Roman"/>
                <w:b/>
                <w:i/>
                <w:szCs w:val="20"/>
                <w:lang w:val="nl-NL" w:eastAsia="en-GB"/>
              </w:rPr>
            </w:pPr>
            <w:r w:rsidRPr="005E7B73">
              <w:rPr>
                <w:rFonts w:eastAsia="Times New Roman"/>
                <w:b/>
                <w:i/>
                <w:szCs w:val="20"/>
                <w:lang w:val="nl-NL" w:eastAsia="en-GB"/>
              </w:rPr>
              <w:t>6. rechten en verplichtingen uit hoofde van het overeenkomstenrecht, met inbegrip van verschuldigde rente wegens achterstallige betaling;</w:t>
            </w:r>
          </w:p>
          <w:p w14:paraId="7F85F846" w14:textId="77777777" w:rsidR="005D3A9E" w:rsidRPr="005E7B73" w:rsidRDefault="005D3A9E" w:rsidP="005D3A9E">
            <w:pPr>
              <w:widowControl w:val="0"/>
              <w:spacing w:after="120"/>
              <w:jc w:val="left"/>
              <w:rPr>
                <w:rFonts w:eastAsia="Times New Roman"/>
                <w:b/>
                <w:i/>
                <w:szCs w:val="20"/>
                <w:lang w:val="nl-NL" w:eastAsia="en-GB"/>
              </w:rPr>
            </w:pPr>
            <w:r w:rsidRPr="005E7B73">
              <w:rPr>
                <w:rFonts w:eastAsia="Times New Roman"/>
                <w:b/>
                <w:i/>
                <w:szCs w:val="20"/>
                <w:lang w:val="nl-NL" w:eastAsia="en-GB"/>
              </w:rPr>
              <w:t>7. insolventieprocedures en liquidatie van bedrijven;</w:t>
            </w:r>
          </w:p>
          <w:p w14:paraId="5192A18B" w14:textId="77777777" w:rsidR="005D3A9E" w:rsidRPr="005E7B73" w:rsidRDefault="005D3A9E" w:rsidP="005D3A9E">
            <w:pPr>
              <w:widowControl w:val="0"/>
              <w:spacing w:after="120"/>
              <w:jc w:val="left"/>
              <w:rPr>
                <w:rFonts w:eastAsia="Times New Roman"/>
                <w:b/>
                <w:i/>
                <w:szCs w:val="20"/>
                <w:lang w:val="nl-NL" w:eastAsia="en-GB"/>
              </w:rPr>
            </w:pPr>
            <w:r w:rsidRPr="005E7B73">
              <w:rPr>
                <w:rFonts w:eastAsia="Times New Roman"/>
                <w:b/>
                <w:i/>
                <w:szCs w:val="20"/>
                <w:lang w:val="nl-NL" w:eastAsia="en-GB"/>
              </w:rPr>
              <w:t>8. kredietverzekering;</w:t>
            </w:r>
          </w:p>
          <w:p w14:paraId="014C451D" w14:textId="77777777" w:rsidR="005D3A9E" w:rsidRPr="005E7B73" w:rsidRDefault="005D3A9E" w:rsidP="005D3A9E">
            <w:pPr>
              <w:widowControl w:val="0"/>
              <w:spacing w:after="120"/>
              <w:jc w:val="left"/>
              <w:rPr>
                <w:rFonts w:eastAsia="Times New Roman"/>
                <w:b/>
                <w:i/>
                <w:szCs w:val="20"/>
                <w:lang w:val="nl-NL" w:eastAsia="en-GB"/>
              </w:rPr>
            </w:pPr>
            <w:r w:rsidRPr="005E7B73">
              <w:rPr>
                <w:rFonts w:eastAsia="Times New Roman"/>
                <w:b/>
                <w:i/>
                <w:szCs w:val="20"/>
                <w:lang w:val="nl-NL" w:eastAsia="en-GB"/>
              </w:rPr>
              <w:t>9. bedrijfsfusies of verkoop van een bedrijf;</w:t>
            </w:r>
          </w:p>
          <w:p w14:paraId="6604276D" w14:textId="77777777" w:rsidR="005D3A9E" w:rsidRPr="005E7B73" w:rsidRDefault="005D3A9E" w:rsidP="005D3A9E">
            <w:pPr>
              <w:widowControl w:val="0"/>
              <w:spacing w:after="120"/>
              <w:jc w:val="left"/>
              <w:rPr>
                <w:rFonts w:eastAsia="Times New Roman"/>
                <w:b/>
                <w:i/>
                <w:szCs w:val="20"/>
                <w:lang w:val="nl-NL" w:eastAsia="en-GB"/>
              </w:rPr>
            </w:pPr>
            <w:r w:rsidRPr="005E7B73">
              <w:rPr>
                <w:rFonts w:eastAsia="Times New Roman"/>
                <w:b/>
                <w:i/>
                <w:szCs w:val="20"/>
                <w:lang w:val="nl-NL" w:eastAsia="en-GB"/>
              </w:rPr>
              <w:t>10. wettelijke aansprakelijkheid van de leden van de raad van bestuur of bestuurders en commissarissen van een bedrijf;</w:t>
            </w:r>
          </w:p>
          <w:p w14:paraId="48695BC9" w14:textId="77777777" w:rsidR="005D3A9E" w:rsidRPr="005E7B73" w:rsidRDefault="005D3A9E" w:rsidP="005D3A9E">
            <w:pPr>
              <w:widowControl w:val="0"/>
              <w:spacing w:after="120"/>
              <w:jc w:val="left"/>
              <w:rPr>
                <w:rFonts w:eastAsia="Times New Roman"/>
                <w:b/>
                <w:i/>
                <w:szCs w:val="20"/>
                <w:lang w:val="nl-NL" w:eastAsia="en-GB"/>
              </w:rPr>
            </w:pPr>
            <w:r w:rsidRPr="005E7B73">
              <w:rPr>
                <w:rFonts w:eastAsia="Times New Roman"/>
                <w:b/>
                <w:i/>
                <w:szCs w:val="20"/>
                <w:lang w:val="nl-NL" w:eastAsia="en-GB"/>
              </w:rPr>
              <w:lastRenderedPageBreak/>
              <w:t>11. regels en verplichtingen met betrekking tot de verwerking van persoonsgegevens.”;</w:t>
            </w:r>
          </w:p>
        </w:tc>
      </w:tr>
    </w:tbl>
    <w:p w14:paraId="648C7D0E" w14:textId="77777777" w:rsidR="005D3A9E" w:rsidRPr="005E7B73" w:rsidRDefault="005D3A9E" w:rsidP="0076105D">
      <w:pPr>
        <w:widowControl w:val="0"/>
        <w:spacing w:before="120" w:after="120" w:line="360" w:lineRule="auto"/>
        <w:ind w:left="1416"/>
        <w:jc w:val="right"/>
        <w:rPr>
          <w:rFonts w:eastAsia="Times New Roman"/>
          <w:b/>
          <w:lang w:val="nl-NL"/>
        </w:rPr>
      </w:pPr>
      <w:r w:rsidRPr="005E7B73">
        <w:rPr>
          <w:rFonts w:eastAsia="Times New Roman"/>
          <w:b/>
          <w:lang w:val="nl-NL"/>
        </w:rPr>
        <w:lastRenderedPageBreak/>
        <w:t>[Am. 4]</w:t>
      </w:r>
    </w:p>
    <w:p w14:paraId="7CA66CB5" w14:textId="77777777" w:rsidR="00B80227" w:rsidRPr="005E7B73" w:rsidRDefault="00B80227">
      <w:pPr>
        <w:jc w:val="left"/>
        <w:rPr>
          <w:rFonts w:eastAsia="Times New Roman"/>
          <w:lang w:val="nl-NL"/>
        </w:rPr>
      </w:pPr>
      <w:r w:rsidRPr="005E7B73">
        <w:rPr>
          <w:rFonts w:eastAsia="Times New Roman"/>
          <w:lang w:val="nl-NL"/>
        </w:rPr>
        <w:br w:type="page"/>
      </w:r>
    </w:p>
    <w:p w14:paraId="17A547CE" w14:textId="77777777" w:rsidR="005D3A9E" w:rsidRPr="005E7B73" w:rsidRDefault="005D3A9E" w:rsidP="005D3A9E">
      <w:pPr>
        <w:widowControl w:val="0"/>
        <w:spacing w:before="120" w:after="120" w:line="360" w:lineRule="auto"/>
        <w:ind w:left="1416" w:hanging="566"/>
        <w:jc w:val="left"/>
        <w:rPr>
          <w:rFonts w:eastAsia="Times New Roman"/>
          <w:lang w:val="nl-NL"/>
        </w:rPr>
      </w:pPr>
      <w:r w:rsidRPr="005E7B73">
        <w:rPr>
          <w:rFonts w:eastAsia="Times New Roman"/>
          <w:lang w:val="nl-NL"/>
        </w:rPr>
        <w:lastRenderedPageBreak/>
        <w:t>b)</w:t>
      </w:r>
      <w:r w:rsidRPr="005E7B73">
        <w:rPr>
          <w:rFonts w:eastAsia="Times New Roman"/>
          <w:lang w:val="nl-NL"/>
        </w:rPr>
        <w:tab/>
        <w:t>de volgende informatiegebieden worden toegevoegd:</w:t>
      </w:r>
    </w:p>
    <w:p w14:paraId="3AC05A9D" w14:textId="77777777" w:rsidR="005D3A9E" w:rsidRPr="005E7B73" w:rsidRDefault="005D3A9E" w:rsidP="005D3A9E">
      <w:pPr>
        <w:widowControl w:val="0"/>
        <w:spacing w:before="120" w:after="120" w:line="360" w:lineRule="auto"/>
        <w:ind w:left="850"/>
        <w:jc w:val="left"/>
        <w:rPr>
          <w:rFonts w:eastAsia="Times New Roman"/>
          <w:lang w:val="nl-NL"/>
        </w:rPr>
      </w:pPr>
      <w:r w:rsidRPr="005E7B73">
        <w:rPr>
          <w:rFonts w:eastAsia="Times New Roman"/>
          <w:lang w:val="nl-NL"/>
        </w:rPr>
        <w:t>“Informatiegebieden in verband met in een lidstaat gevestigde rechtspersonen die geen onderneming zijn: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800"/>
        <w:gridCol w:w="6216"/>
      </w:tblGrid>
      <w:tr w:rsidR="005D3A9E" w:rsidRPr="00345D87" w14:paraId="7B45FB6B" w14:textId="77777777" w:rsidTr="00C4569A">
        <w:tc>
          <w:tcPr>
            <w:tcW w:w="1412" w:type="pct"/>
            <w:tcBorders>
              <w:top w:val="single" w:sz="4" w:space="0" w:color="auto"/>
              <w:left w:val="single" w:sz="4" w:space="0" w:color="auto"/>
              <w:bottom w:val="single" w:sz="4" w:space="0" w:color="auto"/>
              <w:right w:val="single" w:sz="4" w:space="0" w:color="auto"/>
            </w:tcBorders>
            <w:hideMark/>
          </w:tcPr>
          <w:p w14:paraId="00611C65" w14:textId="77777777" w:rsidR="005D3A9E" w:rsidRPr="005E7B73" w:rsidRDefault="005D3A9E" w:rsidP="005D3A9E">
            <w:pPr>
              <w:widowControl w:val="0"/>
              <w:spacing w:before="120" w:after="120" w:line="360" w:lineRule="auto"/>
              <w:jc w:val="left"/>
              <w:rPr>
                <w:rFonts w:eastAsia="Times New Roman"/>
                <w:lang w:val="nl-NL"/>
              </w:rPr>
            </w:pPr>
            <w:r w:rsidRPr="005E7B73">
              <w:rPr>
                <w:rFonts w:eastAsia="Times New Roman"/>
                <w:lang w:val="nl-NL"/>
              </w:rPr>
              <w:t>AA. Oprichten, beheren en opheffen van een rechtspersoon die geen onderneming is:</w:t>
            </w:r>
          </w:p>
        </w:tc>
        <w:tc>
          <w:tcPr>
            <w:tcW w:w="3588" w:type="pct"/>
            <w:tcBorders>
              <w:top w:val="single" w:sz="4" w:space="0" w:color="auto"/>
              <w:left w:val="single" w:sz="4" w:space="0" w:color="auto"/>
              <w:bottom w:val="single" w:sz="4" w:space="0" w:color="auto"/>
              <w:right w:val="single" w:sz="4" w:space="0" w:color="auto"/>
            </w:tcBorders>
            <w:hideMark/>
          </w:tcPr>
          <w:p w14:paraId="288AFCA0" w14:textId="77777777" w:rsidR="00B80227" w:rsidRPr="005E7B73" w:rsidRDefault="00B80227" w:rsidP="0076105D">
            <w:pPr>
              <w:widowControl w:val="0"/>
              <w:spacing w:line="360" w:lineRule="auto"/>
              <w:jc w:val="left"/>
              <w:rPr>
                <w:rFonts w:eastAsia="Times New Roman"/>
                <w:szCs w:val="20"/>
                <w:lang w:val="nl-NL" w:eastAsia="en-GB"/>
              </w:rPr>
            </w:pPr>
            <w:r w:rsidRPr="005E7B73">
              <w:rPr>
                <w:rFonts w:eastAsia="Times New Roman"/>
                <w:szCs w:val="20"/>
                <w:lang w:val="nl-NL" w:eastAsia="en-GB"/>
              </w:rPr>
              <w:t>1. registratie, wijziging van de rechtsvorm of opheffing van een rechtspersoon die geen onderneming is (registratieprocedures en rechtsvormen);</w:t>
            </w:r>
          </w:p>
          <w:p w14:paraId="770A46DD" w14:textId="77777777" w:rsidR="00B80227" w:rsidRPr="005E7B73" w:rsidRDefault="00B80227" w:rsidP="0076105D">
            <w:pPr>
              <w:widowControl w:val="0"/>
              <w:spacing w:line="360" w:lineRule="auto"/>
              <w:jc w:val="left"/>
              <w:rPr>
                <w:rFonts w:eastAsia="Times New Roman"/>
                <w:szCs w:val="20"/>
                <w:lang w:val="nl-NL" w:eastAsia="en-GB"/>
              </w:rPr>
            </w:pPr>
            <w:r w:rsidRPr="005E7B73">
              <w:rPr>
                <w:rFonts w:eastAsia="Times New Roman"/>
                <w:szCs w:val="20"/>
                <w:lang w:val="nl-NL" w:eastAsia="en-GB"/>
              </w:rPr>
              <w:t xml:space="preserve">2. verplaatsing van </w:t>
            </w:r>
            <w:r w:rsidRPr="005E7B73">
              <w:rPr>
                <w:rFonts w:eastAsia="Times New Roman"/>
                <w:b/>
                <w:i/>
                <w:szCs w:val="20"/>
                <w:lang w:val="nl-NL" w:eastAsia="en-GB"/>
              </w:rPr>
              <w:t>de statutaire zetel van</w:t>
            </w:r>
            <w:r w:rsidRPr="005E7B73">
              <w:rPr>
                <w:rFonts w:eastAsia="Times New Roman"/>
                <w:szCs w:val="20"/>
                <w:lang w:val="nl-NL" w:eastAsia="en-GB"/>
              </w:rPr>
              <w:t xml:space="preserve"> een rechtspersoon die geen onderneming is naar een andere lidstaat</w:t>
            </w:r>
          </w:p>
          <w:p w14:paraId="604D721C" w14:textId="77777777" w:rsidR="00B80227" w:rsidRPr="005E7B73" w:rsidRDefault="00B80227" w:rsidP="0076105D">
            <w:pPr>
              <w:widowControl w:val="0"/>
              <w:spacing w:line="360" w:lineRule="auto"/>
              <w:jc w:val="left"/>
              <w:rPr>
                <w:rFonts w:eastAsia="Times New Roman"/>
                <w:b/>
                <w:i/>
                <w:szCs w:val="20"/>
                <w:lang w:val="nl-NL" w:eastAsia="en-GB"/>
              </w:rPr>
            </w:pPr>
            <w:r w:rsidRPr="005E7B73">
              <w:rPr>
                <w:rFonts w:eastAsia="Times New Roman"/>
                <w:b/>
                <w:i/>
                <w:szCs w:val="20"/>
                <w:lang w:val="nl-NL" w:eastAsia="en-GB"/>
              </w:rPr>
              <w:t xml:space="preserve">2 bis. </w:t>
            </w:r>
            <w:proofErr w:type="gramStart"/>
            <w:r w:rsidRPr="005E7B73">
              <w:rPr>
                <w:rFonts w:eastAsia="Times New Roman"/>
                <w:b/>
                <w:i/>
                <w:szCs w:val="20"/>
                <w:lang w:val="nl-NL" w:eastAsia="en-GB"/>
              </w:rPr>
              <w:t>verplichtingen</w:t>
            </w:r>
            <w:proofErr w:type="gramEnd"/>
            <w:r w:rsidRPr="005E7B73">
              <w:rPr>
                <w:rFonts w:eastAsia="Times New Roman"/>
                <w:b/>
                <w:i/>
                <w:szCs w:val="20"/>
                <w:lang w:val="nl-NL" w:eastAsia="en-GB"/>
              </w:rPr>
              <w:t xml:space="preserve"> ten aanzien van schuldeisers en werknemersrechten met betrekking tot de verplaatsing van de statutaire zetel van een rechtspersoon die geen onderneming is naar een andere lidstaat</w:t>
            </w:r>
          </w:p>
          <w:p w14:paraId="161F96AF" w14:textId="77777777" w:rsidR="00B80227" w:rsidRPr="005E7B73" w:rsidRDefault="00B80227" w:rsidP="0076105D">
            <w:pPr>
              <w:widowControl w:val="0"/>
              <w:spacing w:line="360" w:lineRule="auto"/>
              <w:jc w:val="left"/>
              <w:rPr>
                <w:rFonts w:eastAsia="Times New Roman"/>
                <w:szCs w:val="20"/>
                <w:lang w:val="nl-NL" w:eastAsia="en-GB"/>
              </w:rPr>
            </w:pPr>
            <w:r w:rsidRPr="005E7B73">
              <w:rPr>
                <w:rFonts w:eastAsia="Times New Roman"/>
                <w:szCs w:val="20"/>
                <w:lang w:val="nl-NL" w:eastAsia="en-GB"/>
              </w:rPr>
              <w:t>3. intellectuele-eigendomsrechten (octrooiaanvragen, registratie van handelsmerken, tekeningen of modellen, verwerving van licenties voor reproductie);</w:t>
            </w:r>
          </w:p>
          <w:p w14:paraId="54E46A60" w14:textId="77777777" w:rsidR="00B80227" w:rsidRPr="005E7B73" w:rsidRDefault="00B80227" w:rsidP="0076105D">
            <w:pPr>
              <w:widowControl w:val="0"/>
              <w:spacing w:line="360" w:lineRule="auto"/>
              <w:jc w:val="left"/>
              <w:rPr>
                <w:rFonts w:eastAsia="Times New Roman"/>
                <w:szCs w:val="20"/>
                <w:lang w:val="nl-NL" w:eastAsia="en-GB"/>
              </w:rPr>
            </w:pPr>
            <w:r w:rsidRPr="005E7B73">
              <w:rPr>
                <w:rFonts w:eastAsia="Times New Roman"/>
                <w:szCs w:val="20"/>
                <w:lang w:val="nl-NL" w:eastAsia="en-GB"/>
              </w:rPr>
              <w:t>4. billijkheid en transparantie bij handelspraktijken, met inbegrip van consumentenrechten en -waarborgen in verband met de verkoop van goederen en diensten;</w:t>
            </w:r>
          </w:p>
          <w:p w14:paraId="59D1C48F" w14:textId="77777777" w:rsidR="00B80227" w:rsidRPr="005E7B73" w:rsidRDefault="00B80227" w:rsidP="0076105D">
            <w:pPr>
              <w:widowControl w:val="0"/>
              <w:spacing w:line="360" w:lineRule="auto"/>
              <w:jc w:val="left"/>
              <w:rPr>
                <w:rFonts w:eastAsia="Times New Roman"/>
                <w:szCs w:val="20"/>
                <w:lang w:val="nl-NL" w:eastAsia="en-GB"/>
              </w:rPr>
            </w:pPr>
            <w:r w:rsidRPr="005E7B73">
              <w:rPr>
                <w:rFonts w:eastAsia="Times New Roman"/>
                <w:szCs w:val="20"/>
                <w:lang w:val="nl-NL" w:eastAsia="en-GB"/>
              </w:rPr>
              <w:t xml:space="preserve">5. aanbieden van grensoverschrijdende </w:t>
            </w:r>
            <w:proofErr w:type="spellStart"/>
            <w:r w:rsidRPr="005E7B73">
              <w:rPr>
                <w:rFonts w:eastAsia="Times New Roman"/>
                <w:szCs w:val="20"/>
                <w:lang w:val="nl-NL" w:eastAsia="en-GB"/>
              </w:rPr>
              <w:t>onlinebetaalfuncties</w:t>
            </w:r>
            <w:proofErr w:type="spellEnd"/>
            <w:r w:rsidRPr="005E7B73">
              <w:rPr>
                <w:rFonts w:eastAsia="Times New Roman"/>
                <w:szCs w:val="20"/>
                <w:lang w:val="nl-NL" w:eastAsia="en-GB"/>
              </w:rPr>
              <w:t xml:space="preserve"> bij de onlineverkoop van goederen en diensten;</w:t>
            </w:r>
          </w:p>
          <w:p w14:paraId="5F6E7A10" w14:textId="77777777" w:rsidR="00B80227" w:rsidRPr="005E7B73" w:rsidRDefault="00B80227" w:rsidP="0076105D">
            <w:pPr>
              <w:widowControl w:val="0"/>
              <w:spacing w:line="360" w:lineRule="auto"/>
              <w:jc w:val="left"/>
              <w:rPr>
                <w:rFonts w:eastAsia="Times New Roman"/>
                <w:szCs w:val="20"/>
                <w:lang w:val="nl-NL" w:eastAsia="en-GB"/>
              </w:rPr>
            </w:pPr>
            <w:r w:rsidRPr="005E7B73">
              <w:rPr>
                <w:rFonts w:eastAsia="Times New Roman"/>
                <w:szCs w:val="20"/>
                <w:lang w:val="nl-NL" w:eastAsia="en-GB"/>
              </w:rPr>
              <w:t>6. rechten en verplichtingen uit hoofde van het overeenkomstenrecht, met inbegrip van verschuldigde rente wegens achterstallige betaling;</w:t>
            </w:r>
          </w:p>
          <w:p w14:paraId="2C4DA908" w14:textId="77777777" w:rsidR="00B80227" w:rsidRPr="005E7B73" w:rsidRDefault="00B80227" w:rsidP="0076105D">
            <w:pPr>
              <w:widowControl w:val="0"/>
              <w:spacing w:line="360" w:lineRule="auto"/>
              <w:jc w:val="left"/>
              <w:rPr>
                <w:rFonts w:eastAsia="Times New Roman"/>
                <w:szCs w:val="20"/>
                <w:lang w:val="nl-NL" w:eastAsia="en-GB"/>
              </w:rPr>
            </w:pPr>
            <w:r w:rsidRPr="005E7B73">
              <w:rPr>
                <w:rFonts w:eastAsia="Times New Roman"/>
                <w:szCs w:val="20"/>
                <w:lang w:val="nl-NL" w:eastAsia="en-GB"/>
              </w:rPr>
              <w:t>7. insolventieprocedures en liquidatie van rechtspersonen die geen onderneming zijn;</w:t>
            </w:r>
          </w:p>
          <w:p w14:paraId="3A5A5CFE" w14:textId="77777777" w:rsidR="00B80227" w:rsidRPr="005E7B73" w:rsidRDefault="00B80227" w:rsidP="0076105D">
            <w:pPr>
              <w:widowControl w:val="0"/>
              <w:spacing w:line="360" w:lineRule="auto"/>
              <w:jc w:val="left"/>
              <w:rPr>
                <w:rFonts w:eastAsia="Times New Roman"/>
                <w:szCs w:val="20"/>
                <w:lang w:val="nl-NL" w:eastAsia="en-GB"/>
              </w:rPr>
            </w:pPr>
            <w:r w:rsidRPr="005E7B73">
              <w:rPr>
                <w:rFonts w:eastAsia="Times New Roman"/>
                <w:szCs w:val="20"/>
                <w:lang w:val="nl-NL" w:eastAsia="en-GB"/>
              </w:rPr>
              <w:t>8. kredietverzekering;</w:t>
            </w:r>
          </w:p>
          <w:p w14:paraId="37AE41E2" w14:textId="77777777" w:rsidR="00B80227" w:rsidRPr="005E7B73" w:rsidRDefault="00B80227" w:rsidP="0076105D">
            <w:pPr>
              <w:widowControl w:val="0"/>
              <w:spacing w:line="360" w:lineRule="auto"/>
              <w:jc w:val="left"/>
              <w:rPr>
                <w:rFonts w:eastAsia="Times New Roman"/>
                <w:szCs w:val="20"/>
                <w:lang w:val="nl-NL" w:eastAsia="en-GB"/>
              </w:rPr>
            </w:pPr>
            <w:r w:rsidRPr="005E7B73">
              <w:rPr>
                <w:rFonts w:eastAsia="Times New Roman"/>
                <w:szCs w:val="20"/>
                <w:lang w:val="nl-NL" w:eastAsia="en-GB"/>
              </w:rPr>
              <w:t>9. fusies of verkoop van rechtspersonen die geen onderneming zijn;</w:t>
            </w:r>
          </w:p>
          <w:p w14:paraId="33224B20" w14:textId="77777777" w:rsidR="00B80227" w:rsidRPr="005E7B73" w:rsidRDefault="00B80227" w:rsidP="0076105D">
            <w:pPr>
              <w:widowControl w:val="0"/>
              <w:spacing w:line="360" w:lineRule="auto"/>
              <w:jc w:val="left"/>
              <w:rPr>
                <w:rFonts w:eastAsia="Times New Roman"/>
                <w:szCs w:val="20"/>
                <w:lang w:val="nl-NL" w:eastAsia="en-GB"/>
              </w:rPr>
            </w:pPr>
            <w:r w:rsidRPr="005E7B73">
              <w:rPr>
                <w:rFonts w:eastAsia="Times New Roman"/>
                <w:szCs w:val="20"/>
                <w:lang w:val="nl-NL" w:eastAsia="en-GB"/>
              </w:rPr>
              <w:t xml:space="preserve">10. wettelijke aansprakelijkheid van </w:t>
            </w:r>
            <w:r w:rsidRPr="005E7B73">
              <w:rPr>
                <w:rFonts w:eastAsia="Times New Roman"/>
                <w:b/>
                <w:i/>
                <w:szCs w:val="20"/>
                <w:lang w:val="nl-NL" w:eastAsia="en-GB"/>
              </w:rPr>
              <w:t>de leden van de raad van bestuur of</w:t>
            </w:r>
            <w:r w:rsidRPr="005E7B73">
              <w:rPr>
                <w:rFonts w:eastAsia="Times New Roman"/>
                <w:szCs w:val="20"/>
                <w:lang w:val="nl-NL" w:eastAsia="en-GB"/>
              </w:rPr>
              <w:t xml:space="preserve"> bestuurders en commissarissen van een rechtspersoon die geen onderneming is</w:t>
            </w:r>
          </w:p>
          <w:p w14:paraId="45A8E42A" w14:textId="17DBC1AE" w:rsidR="005D3A9E" w:rsidRPr="005E7B73" w:rsidRDefault="00B80227">
            <w:pPr>
              <w:widowControl w:val="0"/>
              <w:spacing w:before="120" w:after="120" w:line="360" w:lineRule="auto"/>
              <w:jc w:val="left"/>
              <w:rPr>
                <w:rFonts w:eastAsia="Times New Roman"/>
                <w:lang w:val="nl-NL"/>
              </w:rPr>
            </w:pPr>
            <w:r w:rsidRPr="005E7B73">
              <w:rPr>
                <w:rFonts w:eastAsia="Times New Roman"/>
                <w:szCs w:val="20"/>
                <w:lang w:val="nl-NL" w:eastAsia="en-GB"/>
              </w:rPr>
              <w:lastRenderedPageBreak/>
              <w:t>11. regels en verplichtingen met betrekking tot de verwerking van persoonsgegevens.</w:t>
            </w:r>
          </w:p>
        </w:tc>
      </w:tr>
      <w:tr w:rsidR="005D3A9E" w:rsidRPr="00345D87" w14:paraId="4B02373F" w14:textId="77777777" w:rsidTr="00C4569A">
        <w:tc>
          <w:tcPr>
            <w:tcW w:w="1412" w:type="pct"/>
            <w:tcBorders>
              <w:top w:val="single" w:sz="4" w:space="0" w:color="auto"/>
              <w:left w:val="single" w:sz="4" w:space="0" w:color="auto"/>
              <w:bottom w:val="single" w:sz="4" w:space="0" w:color="auto"/>
              <w:right w:val="single" w:sz="4" w:space="0" w:color="auto"/>
            </w:tcBorders>
            <w:hideMark/>
          </w:tcPr>
          <w:p w14:paraId="46CB21BF" w14:textId="77777777" w:rsidR="005D3A9E" w:rsidRPr="005E7B73" w:rsidRDefault="005D3A9E" w:rsidP="005D3A9E">
            <w:pPr>
              <w:widowControl w:val="0"/>
              <w:spacing w:before="120" w:after="120" w:line="360" w:lineRule="auto"/>
              <w:jc w:val="left"/>
              <w:rPr>
                <w:rFonts w:eastAsia="Times New Roman"/>
                <w:lang w:val="nl-NL"/>
              </w:rPr>
            </w:pPr>
            <w:r w:rsidRPr="005E7B73">
              <w:rPr>
                <w:rFonts w:eastAsia="Times New Roman"/>
                <w:lang w:val="nl-NL"/>
              </w:rPr>
              <w:lastRenderedPageBreak/>
              <w:t>AB. Werknemers:</w:t>
            </w:r>
          </w:p>
        </w:tc>
        <w:tc>
          <w:tcPr>
            <w:tcW w:w="3588" w:type="pct"/>
            <w:tcBorders>
              <w:top w:val="single" w:sz="4" w:space="0" w:color="auto"/>
              <w:left w:val="single" w:sz="4" w:space="0" w:color="auto"/>
              <w:bottom w:val="single" w:sz="4" w:space="0" w:color="auto"/>
              <w:right w:val="single" w:sz="4" w:space="0" w:color="auto"/>
            </w:tcBorders>
            <w:hideMark/>
          </w:tcPr>
          <w:p w14:paraId="79DA692F" w14:textId="77777777" w:rsidR="005D3A9E" w:rsidRPr="005E7B73" w:rsidRDefault="005D3A9E" w:rsidP="005D3A9E">
            <w:pPr>
              <w:widowControl w:val="0"/>
              <w:spacing w:before="120" w:after="120" w:line="360" w:lineRule="auto"/>
              <w:jc w:val="left"/>
              <w:rPr>
                <w:rFonts w:eastAsia="Times New Roman"/>
                <w:lang w:val="nl-NL"/>
              </w:rPr>
            </w:pPr>
            <w:r w:rsidRPr="005E7B73">
              <w:rPr>
                <w:rFonts w:eastAsia="Times New Roman"/>
                <w:lang w:val="nl-NL"/>
              </w:rPr>
              <w:t xml:space="preserve">1. bij wet of wettelijk instrument vastgestelde arbeidsvoorwaarden (met inbegrip van werktijden, betaald verlof, vakantierechten, rechten en verplichtingen in verband met overuren, medisch onderzoek, beëindiging van contracten en ontslag); 2. socialezekerheidsrechten en </w:t>
            </w:r>
            <w:r w:rsidRPr="005E7B73">
              <w:rPr>
                <w:rFonts w:eastAsia="Times New Roman"/>
                <w:lang w:val="nl-NL"/>
              </w:rPr>
              <w:noBreakHyphen/>
              <w:t>verplichtingen in de Unie (aanmelding als werkgever, aanmelding van werknemers, kennisgeving van beëindiging van een arbeidsovereenkomst, betaling van sociale bijdragen, rechten en verplichtingen in verband met pensioenen); 3. tewerkstelling van werknemers in andere lidstaten (detachering, regels betreffende het vrij verrichten van diensten, woonplaatsvereisten voor werknemers); 4. gelijke behandeling (regels die discriminatie op het werk verbieden, regels inzake gelijke betaling van mannen en vrouwen en inzake gelijke betaling van werknemers met contracten voor bepaalde of onbepaalde tijd); 5. regels voor personeelsvertegenwoordiging.</w:t>
            </w:r>
          </w:p>
        </w:tc>
      </w:tr>
      <w:tr w:rsidR="005D3A9E" w:rsidRPr="00345D87" w14:paraId="542DC7D8" w14:textId="77777777" w:rsidTr="00C4569A">
        <w:tc>
          <w:tcPr>
            <w:tcW w:w="1412" w:type="pct"/>
            <w:tcBorders>
              <w:top w:val="single" w:sz="4" w:space="0" w:color="auto"/>
              <w:left w:val="single" w:sz="4" w:space="0" w:color="auto"/>
              <w:bottom w:val="single" w:sz="4" w:space="0" w:color="auto"/>
              <w:right w:val="single" w:sz="4" w:space="0" w:color="auto"/>
            </w:tcBorders>
            <w:hideMark/>
          </w:tcPr>
          <w:p w14:paraId="2F0E3970" w14:textId="77777777" w:rsidR="005D3A9E" w:rsidRPr="005E7B73" w:rsidRDefault="005D3A9E" w:rsidP="005D3A9E">
            <w:pPr>
              <w:widowControl w:val="0"/>
              <w:spacing w:before="120" w:after="120" w:line="360" w:lineRule="auto"/>
              <w:jc w:val="left"/>
              <w:rPr>
                <w:rFonts w:eastAsia="Times New Roman"/>
                <w:lang w:val="nl-NL"/>
              </w:rPr>
            </w:pPr>
            <w:r w:rsidRPr="005E7B73">
              <w:rPr>
                <w:rFonts w:eastAsia="Times New Roman"/>
                <w:lang w:val="nl-NL"/>
              </w:rPr>
              <w:t>AC. Belastingen:</w:t>
            </w:r>
          </w:p>
        </w:tc>
        <w:tc>
          <w:tcPr>
            <w:tcW w:w="3588" w:type="pct"/>
            <w:tcBorders>
              <w:top w:val="single" w:sz="4" w:space="0" w:color="auto"/>
              <w:left w:val="single" w:sz="4" w:space="0" w:color="auto"/>
              <w:bottom w:val="single" w:sz="4" w:space="0" w:color="auto"/>
              <w:right w:val="single" w:sz="4" w:space="0" w:color="auto"/>
            </w:tcBorders>
            <w:hideMark/>
          </w:tcPr>
          <w:p w14:paraId="4FBE5773" w14:textId="77777777" w:rsidR="005D3A9E" w:rsidRPr="005E7B73" w:rsidRDefault="005D3A9E" w:rsidP="005D3A9E">
            <w:pPr>
              <w:widowControl w:val="0"/>
              <w:spacing w:before="120" w:after="120" w:line="360" w:lineRule="auto"/>
              <w:jc w:val="left"/>
              <w:rPr>
                <w:rFonts w:eastAsia="Times New Roman"/>
                <w:lang w:val="nl-NL"/>
              </w:rPr>
            </w:pPr>
            <w:r w:rsidRPr="005E7B73">
              <w:rPr>
                <w:rFonts w:eastAsia="Times New Roman"/>
                <w:lang w:val="nl-NL"/>
              </w:rPr>
              <w:t>1. btw: informatie over de algemene regels, tarieven en vrijstellingen, registratie voor en betaling van btw, verkrijging van teruggave; 2. accijnzen: informatie over de algemene regels, tarieven en vrijstellingen, registratie voor en betaling van accijnzen, verkrijging van teruggave; 3. douanerechten en andere belastingen en rechten op ingevoerde producten; 4. douaneprocedures voor invoer en uitvoer in het kader van het douanewetboek van de Unie; 5. overige belastingen: betaling, tarieven, belastingaangiften.</w:t>
            </w:r>
          </w:p>
        </w:tc>
      </w:tr>
      <w:tr w:rsidR="005D3A9E" w:rsidRPr="00345D87" w14:paraId="25B03D9F" w14:textId="77777777" w:rsidTr="00C4569A">
        <w:tc>
          <w:tcPr>
            <w:tcW w:w="1412" w:type="pct"/>
            <w:tcBorders>
              <w:top w:val="single" w:sz="4" w:space="0" w:color="auto"/>
              <w:left w:val="single" w:sz="4" w:space="0" w:color="auto"/>
              <w:bottom w:val="single" w:sz="4" w:space="0" w:color="auto"/>
              <w:right w:val="single" w:sz="4" w:space="0" w:color="auto"/>
            </w:tcBorders>
            <w:hideMark/>
          </w:tcPr>
          <w:p w14:paraId="7B5886FA" w14:textId="77777777" w:rsidR="005D3A9E" w:rsidRPr="005E7B73" w:rsidRDefault="005D3A9E" w:rsidP="005D3A9E">
            <w:pPr>
              <w:widowControl w:val="0"/>
              <w:spacing w:before="120" w:after="120" w:line="360" w:lineRule="auto"/>
              <w:jc w:val="left"/>
              <w:rPr>
                <w:rFonts w:eastAsia="Times New Roman"/>
                <w:lang w:val="nl-NL"/>
              </w:rPr>
            </w:pPr>
            <w:r w:rsidRPr="005E7B73">
              <w:rPr>
                <w:rFonts w:eastAsia="Times New Roman"/>
                <w:lang w:val="nl-NL"/>
              </w:rPr>
              <w:t>AD. Goederen:</w:t>
            </w:r>
          </w:p>
        </w:tc>
        <w:tc>
          <w:tcPr>
            <w:tcW w:w="3588" w:type="pct"/>
            <w:tcBorders>
              <w:top w:val="single" w:sz="4" w:space="0" w:color="auto"/>
              <w:left w:val="single" w:sz="4" w:space="0" w:color="auto"/>
              <w:bottom w:val="single" w:sz="4" w:space="0" w:color="auto"/>
              <w:right w:val="single" w:sz="4" w:space="0" w:color="auto"/>
            </w:tcBorders>
            <w:hideMark/>
          </w:tcPr>
          <w:p w14:paraId="0E3F190A" w14:textId="77777777" w:rsidR="005D3A9E" w:rsidRPr="005E7B73" w:rsidRDefault="005D3A9E" w:rsidP="005D3A9E">
            <w:pPr>
              <w:widowControl w:val="0"/>
              <w:spacing w:before="120" w:after="120" w:line="360" w:lineRule="auto"/>
              <w:jc w:val="left"/>
              <w:rPr>
                <w:rFonts w:eastAsia="Times New Roman"/>
                <w:lang w:val="nl-NL"/>
              </w:rPr>
            </w:pPr>
            <w:r w:rsidRPr="005E7B73">
              <w:rPr>
                <w:rFonts w:eastAsia="Times New Roman"/>
                <w:lang w:val="nl-NL"/>
              </w:rPr>
              <w:t xml:space="preserve">1. verkrijging van CE-markering; 2. voorschriften en </w:t>
            </w:r>
            <w:r w:rsidRPr="005E7B73">
              <w:rPr>
                <w:rFonts w:eastAsia="Times New Roman"/>
                <w:lang w:val="nl-NL"/>
              </w:rPr>
              <w:lastRenderedPageBreak/>
              <w:t>vereisten voor producten; 3. vaststelling van toepasselijke normen, technische specificaties en productcertificering; 4. wederzijdse erkenning van producten waarvoor geen EU-specificaties gelden; 5. voorschriften voor de indeling, etikettering en verpakking van gevaarlijke stoffen; 6. verkoop op afstand en buiten verkoopruimten: informatie die vooraf aan klanten moet worden gegeven, schriftelijke bevestiging van overeenkomsten, herroeping van overeenkomsten, aflevering van goederen, andere specifieke verplichtingen; 7. producten met gebreken: consumentenrechten en garantie, verantwoordelijkheid na verkoop, rechtsmiddelen voor benadeelde partij; 8. certificering, keurmerken (</w:t>
            </w:r>
            <w:proofErr w:type="spellStart"/>
            <w:r w:rsidRPr="005E7B73">
              <w:rPr>
                <w:rFonts w:eastAsia="Times New Roman"/>
                <w:lang w:val="nl-NL"/>
              </w:rPr>
              <w:t>EMAS</w:t>
            </w:r>
            <w:proofErr w:type="spellEnd"/>
            <w:r w:rsidRPr="005E7B73">
              <w:rPr>
                <w:rFonts w:eastAsia="Times New Roman"/>
                <w:lang w:val="nl-NL"/>
              </w:rPr>
              <w:t xml:space="preserve">, </w:t>
            </w:r>
            <w:proofErr w:type="spellStart"/>
            <w:r w:rsidRPr="005E7B73">
              <w:rPr>
                <w:rFonts w:eastAsia="Times New Roman"/>
                <w:lang w:val="nl-NL"/>
              </w:rPr>
              <w:t>energielabels</w:t>
            </w:r>
            <w:proofErr w:type="spellEnd"/>
            <w:r w:rsidRPr="005E7B73">
              <w:rPr>
                <w:rFonts w:eastAsia="Times New Roman"/>
                <w:lang w:val="nl-NL"/>
              </w:rPr>
              <w:t xml:space="preserve">, </w:t>
            </w:r>
            <w:proofErr w:type="spellStart"/>
            <w:r w:rsidRPr="005E7B73">
              <w:rPr>
                <w:rFonts w:eastAsia="Times New Roman"/>
                <w:lang w:val="nl-NL"/>
              </w:rPr>
              <w:t>ecodesign</w:t>
            </w:r>
            <w:proofErr w:type="spellEnd"/>
            <w:r w:rsidRPr="005E7B73">
              <w:rPr>
                <w:rFonts w:eastAsia="Times New Roman"/>
                <w:lang w:val="nl-NL"/>
              </w:rPr>
              <w:t>, EU-milieukeur); 9. recyclage en afvalbeheer.</w:t>
            </w:r>
          </w:p>
        </w:tc>
      </w:tr>
      <w:tr w:rsidR="005D3A9E" w:rsidRPr="00345D87" w14:paraId="3C4CA7D6" w14:textId="77777777" w:rsidTr="00C4569A">
        <w:tc>
          <w:tcPr>
            <w:tcW w:w="1412" w:type="pct"/>
            <w:tcBorders>
              <w:top w:val="single" w:sz="4" w:space="0" w:color="auto"/>
              <w:left w:val="single" w:sz="4" w:space="0" w:color="auto"/>
              <w:bottom w:val="single" w:sz="4" w:space="0" w:color="auto"/>
              <w:right w:val="single" w:sz="4" w:space="0" w:color="auto"/>
            </w:tcBorders>
            <w:hideMark/>
          </w:tcPr>
          <w:p w14:paraId="7538BDF2" w14:textId="77777777" w:rsidR="005D3A9E" w:rsidRPr="005E7B73" w:rsidRDefault="005D3A9E" w:rsidP="005D3A9E">
            <w:pPr>
              <w:widowControl w:val="0"/>
              <w:spacing w:before="120" w:after="120" w:line="360" w:lineRule="auto"/>
              <w:jc w:val="left"/>
              <w:rPr>
                <w:rFonts w:eastAsia="Times New Roman"/>
                <w:lang w:val="nl-NL"/>
              </w:rPr>
            </w:pPr>
            <w:r w:rsidRPr="005E7B73">
              <w:rPr>
                <w:rFonts w:eastAsia="Times New Roman"/>
                <w:lang w:val="nl-NL"/>
              </w:rPr>
              <w:lastRenderedPageBreak/>
              <w:t>AE. Diensten:</w:t>
            </w:r>
          </w:p>
        </w:tc>
        <w:tc>
          <w:tcPr>
            <w:tcW w:w="3588" w:type="pct"/>
            <w:tcBorders>
              <w:top w:val="single" w:sz="4" w:space="0" w:color="auto"/>
              <w:left w:val="single" w:sz="4" w:space="0" w:color="auto"/>
              <w:bottom w:val="single" w:sz="4" w:space="0" w:color="auto"/>
              <w:right w:val="single" w:sz="4" w:space="0" w:color="auto"/>
            </w:tcBorders>
            <w:hideMark/>
          </w:tcPr>
          <w:p w14:paraId="1CDBEE2B" w14:textId="77777777" w:rsidR="005D3A9E" w:rsidRPr="005E7B73" w:rsidRDefault="005D3A9E" w:rsidP="005D3A9E">
            <w:pPr>
              <w:widowControl w:val="0"/>
              <w:spacing w:before="120" w:after="120" w:line="360" w:lineRule="auto"/>
              <w:jc w:val="left"/>
              <w:rPr>
                <w:rFonts w:eastAsia="Times New Roman"/>
                <w:lang w:val="nl-NL"/>
              </w:rPr>
            </w:pPr>
            <w:r w:rsidRPr="005E7B73">
              <w:rPr>
                <w:rFonts w:eastAsia="Times New Roman"/>
                <w:lang w:val="nl-NL"/>
              </w:rPr>
              <w:t xml:space="preserve">1. verkrijging van licenties, vergunningen en toestemming voor oprichting van een rechtspersoon die geen onderneming is; 2. kennisgeving van grensoverschrijdende activiteiten aan de autoriteiten; 3. erkenning van beroepskwalificaties, met inbegrip van beroepsonderwijs en </w:t>
            </w:r>
            <w:r w:rsidRPr="005E7B73">
              <w:rPr>
                <w:rFonts w:eastAsia="Times New Roman"/>
                <w:lang w:val="nl-NL"/>
              </w:rPr>
              <w:noBreakHyphen/>
              <w:t>opleiding.</w:t>
            </w:r>
          </w:p>
        </w:tc>
      </w:tr>
      <w:tr w:rsidR="005D3A9E" w:rsidRPr="00345D87" w14:paraId="0F200D90" w14:textId="77777777" w:rsidTr="00C4569A">
        <w:tc>
          <w:tcPr>
            <w:tcW w:w="1412" w:type="pct"/>
            <w:tcBorders>
              <w:top w:val="single" w:sz="4" w:space="0" w:color="auto"/>
              <w:left w:val="single" w:sz="4" w:space="0" w:color="auto"/>
              <w:bottom w:val="single" w:sz="4" w:space="0" w:color="auto"/>
              <w:right w:val="single" w:sz="4" w:space="0" w:color="auto"/>
            </w:tcBorders>
            <w:hideMark/>
          </w:tcPr>
          <w:p w14:paraId="63CF89C4" w14:textId="77777777" w:rsidR="005D3A9E" w:rsidRPr="005E7B73" w:rsidRDefault="005D3A9E" w:rsidP="005D3A9E">
            <w:pPr>
              <w:widowControl w:val="0"/>
              <w:spacing w:before="120" w:after="120" w:line="360" w:lineRule="auto"/>
              <w:jc w:val="left"/>
              <w:rPr>
                <w:rFonts w:eastAsia="Times New Roman"/>
                <w:lang w:val="nl-NL"/>
              </w:rPr>
            </w:pPr>
            <w:proofErr w:type="gramStart"/>
            <w:r w:rsidRPr="005E7B73">
              <w:rPr>
                <w:rFonts w:eastAsia="Times New Roman"/>
                <w:lang w:val="nl-NL"/>
              </w:rPr>
              <w:t>AF</w:t>
            </w:r>
            <w:proofErr w:type="gramEnd"/>
            <w:r w:rsidRPr="005E7B73">
              <w:rPr>
                <w:rFonts w:eastAsia="Times New Roman"/>
                <w:lang w:val="nl-NL"/>
              </w:rPr>
              <w:t>. Financiering van een rechtspersoon die geen onderneming is:</w:t>
            </w:r>
          </w:p>
        </w:tc>
        <w:tc>
          <w:tcPr>
            <w:tcW w:w="3588" w:type="pct"/>
            <w:tcBorders>
              <w:top w:val="single" w:sz="4" w:space="0" w:color="auto"/>
              <w:left w:val="single" w:sz="4" w:space="0" w:color="auto"/>
              <w:bottom w:val="single" w:sz="4" w:space="0" w:color="auto"/>
              <w:right w:val="single" w:sz="4" w:space="0" w:color="auto"/>
            </w:tcBorders>
            <w:hideMark/>
          </w:tcPr>
          <w:p w14:paraId="2BE519EB" w14:textId="77777777" w:rsidR="005D3A9E" w:rsidRPr="005E7B73" w:rsidRDefault="005D3A9E" w:rsidP="005D3A9E">
            <w:pPr>
              <w:widowControl w:val="0"/>
              <w:spacing w:before="120" w:after="120" w:line="360" w:lineRule="auto"/>
              <w:jc w:val="left"/>
              <w:rPr>
                <w:rFonts w:eastAsia="Times New Roman"/>
                <w:lang w:val="nl-NL"/>
              </w:rPr>
            </w:pPr>
            <w:r w:rsidRPr="005E7B73">
              <w:rPr>
                <w:rFonts w:eastAsia="Times New Roman"/>
                <w:lang w:val="nl-NL"/>
              </w:rPr>
              <w:t>1. verkrijging van toegang tot financiering op Unieniveau, met inbegrip van financieringsprogramma’s en subsidies van de Unie; 2. verkrijging van toegang tot financiering op nationaal niveau; 3. initiatieven gericht op rechtspersonen die geen onderneming zijn (uitwisselingen, mentorprogramma’s enz.).</w:t>
            </w:r>
          </w:p>
        </w:tc>
      </w:tr>
      <w:tr w:rsidR="005D3A9E" w:rsidRPr="00345D87" w14:paraId="091717F3" w14:textId="77777777" w:rsidTr="00C4569A">
        <w:tc>
          <w:tcPr>
            <w:tcW w:w="1412" w:type="pct"/>
            <w:tcBorders>
              <w:top w:val="single" w:sz="4" w:space="0" w:color="auto"/>
              <w:left w:val="single" w:sz="4" w:space="0" w:color="auto"/>
              <w:bottom w:val="single" w:sz="4" w:space="0" w:color="auto"/>
              <w:right w:val="single" w:sz="4" w:space="0" w:color="auto"/>
            </w:tcBorders>
            <w:hideMark/>
          </w:tcPr>
          <w:p w14:paraId="5BB501D6" w14:textId="77777777" w:rsidR="005D3A9E" w:rsidRPr="005E7B73" w:rsidRDefault="005D3A9E" w:rsidP="005D3A9E">
            <w:pPr>
              <w:widowControl w:val="0"/>
              <w:spacing w:before="120" w:after="120" w:line="360" w:lineRule="auto"/>
              <w:jc w:val="left"/>
              <w:rPr>
                <w:rFonts w:eastAsia="Times New Roman"/>
                <w:lang w:val="nl-NL"/>
              </w:rPr>
            </w:pPr>
            <w:r w:rsidRPr="005E7B73">
              <w:rPr>
                <w:rFonts w:eastAsia="Times New Roman"/>
                <w:lang w:val="nl-NL"/>
              </w:rPr>
              <w:t>AG. Overheidsopdrachten:</w:t>
            </w:r>
          </w:p>
        </w:tc>
        <w:tc>
          <w:tcPr>
            <w:tcW w:w="3588" w:type="pct"/>
            <w:tcBorders>
              <w:top w:val="single" w:sz="4" w:space="0" w:color="auto"/>
              <w:left w:val="single" w:sz="4" w:space="0" w:color="auto"/>
              <w:bottom w:val="single" w:sz="4" w:space="0" w:color="auto"/>
              <w:right w:val="single" w:sz="4" w:space="0" w:color="auto"/>
            </w:tcBorders>
            <w:hideMark/>
          </w:tcPr>
          <w:p w14:paraId="4A14553E" w14:textId="77777777" w:rsidR="005D3A9E" w:rsidRPr="005E7B73" w:rsidRDefault="005D3A9E" w:rsidP="005D3A9E">
            <w:pPr>
              <w:widowControl w:val="0"/>
              <w:spacing w:before="120" w:after="120" w:line="360" w:lineRule="auto"/>
              <w:jc w:val="left"/>
              <w:rPr>
                <w:rFonts w:eastAsia="Times New Roman"/>
                <w:lang w:val="nl-NL"/>
              </w:rPr>
            </w:pPr>
            <w:r w:rsidRPr="005E7B73">
              <w:rPr>
                <w:rFonts w:eastAsia="Times New Roman"/>
                <w:lang w:val="nl-NL"/>
              </w:rPr>
              <w:t>1. deelname aan openbare aanbestedingen: regels en procedures; 2. online-inschrijving op openbare aanbestedingen; 3. melding van onregelmatigheden in verband met aanbestedingsprocedures.</w:t>
            </w:r>
          </w:p>
        </w:tc>
      </w:tr>
      <w:tr w:rsidR="005D3A9E" w:rsidRPr="00345D87" w14:paraId="7965B0B3" w14:textId="77777777" w:rsidTr="00C4569A">
        <w:tc>
          <w:tcPr>
            <w:tcW w:w="1412" w:type="pct"/>
            <w:tcBorders>
              <w:top w:val="single" w:sz="4" w:space="0" w:color="auto"/>
              <w:left w:val="single" w:sz="4" w:space="0" w:color="auto"/>
              <w:bottom w:val="single" w:sz="4" w:space="0" w:color="auto"/>
              <w:right w:val="single" w:sz="4" w:space="0" w:color="auto"/>
            </w:tcBorders>
            <w:hideMark/>
          </w:tcPr>
          <w:p w14:paraId="55FE7262" w14:textId="77777777" w:rsidR="005D3A9E" w:rsidRPr="005E7B73" w:rsidRDefault="005D3A9E" w:rsidP="005D3A9E">
            <w:pPr>
              <w:widowControl w:val="0"/>
              <w:spacing w:before="120" w:after="120" w:line="360" w:lineRule="auto"/>
              <w:jc w:val="left"/>
              <w:rPr>
                <w:rFonts w:eastAsia="Times New Roman"/>
                <w:lang w:val="nl-NL"/>
              </w:rPr>
            </w:pPr>
            <w:r w:rsidRPr="005E7B73">
              <w:rPr>
                <w:rFonts w:eastAsia="Times New Roman"/>
                <w:lang w:val="nl-NL"/>
              </w:rPr>
              <w:lastRenderedPageBreak/>
              <w:t>AH. Gezondheid en veiligheid op het werk:</w:t>
            </w:r>
          </w:p>
        </w:tc>
        <w:tc>
          <w:tcPr>
            <w:tcW w:w="3588" w:type="pct"/>
            <w:tcBorders>
              <w:top w:val="single" w:sz="4" w:space="0" w:color="auto"/>
              <w:left w:val="single" w:sz="4" w:space="0" w:color="auto"/>
              <w:bottom w:val="single" w:sz="4" w:space="0" w:color="auto"/>
              <w:right w:val="single" w:sz="4" w:space="0" w:color="auto"/>
            </w:tcBorders>
            <w:hideMark/>
          </w:tcPr>
          <w:p w14:paraId="1D7700C8" w14:textId="77777777" w:rsidR="005D3A9E" w:rsidRPr="005E7B73" w:rsidRDefault="005D3A9E" w:rsidP="005D3A9E">
            <w:pPr>
              <w:widowControl w:val="0"/>
              <w:spacing w:before="120" w:after="120" w:line="360" w:lineRule="auto"/>
              <w:jc w:val="left"/>
              <w:rPr>
                <w:rFonts w:eastAsia="Times New Roman"/>
                <w:lang w:val="nl-NL"/>
              </w:rPr>
            </w:pPr>
            <w:r w:rsidRPr="005E7B73">
              <w:rPr>
                <w:rFonts w:eastAsia="Times New Roman"/>
                <w:lang w:val="nl-NL"/>
              </w:rPr>
              <w:t>1. verplichtingen in verband met gezondheid en veiligheid voor verschillende soorten activiteiten, waaronder risicopreventie, voorlichting en opleiding.</w:t>
            </w:r>
          </w:p>
        </w:tc>
      </w:tr>
    </w:tbl>
    <w:p w14:paraId="4D38BE22" w14:textId="77777777" w:rsidR="00B80227" w:rsidRPr="005E7B73" w:rsidRDefault="00B80227" w:rsidP="0076105D">
      <w:pPr>
        <w:widowControl w:val="0"/>
        <w:spacing w:before="120" w:after="120" w:line="360" w:lineRule="auto"/>
        <w:jc w:val="right"/>
        <w:rPr>
          <w:rFonts w:eastAsia="Times New Roman"/>
          <w:b/>
          <w:lang w:val="nl-NL"/>
        </w:rPr>
      </w:pPr>
      <w:r w:rsidRPr="005E7B73">
        <w:rPr>
          <w:rFonts w:eastAsia="Times New Roman"/>
          <w:b/>
          <w:lang w:val="nl-NL"/>
        </w:rPr>
        <w:t>[Am. 5]</w:t>
      </w:r>
    </w:p>
    <w:p w14:paraId="14E308FA" w14:textId="77777777" w:rsidR="00B80227" w:rsidRPr="005E7B73" w:rsidRDefault="00B80227">
      <w:pPr>
        <w:jc w:val="left"/>
        <w:rPr>
          <w:rFonts w:eastAsia="Times New Roman"/>
          <w:lang w:val="nl-NL"/>
        </w:rPr>
      </w:pPr>
      <w:r w:rsidRPr="005E7B73">
        <w:rPr>
          <w:rFonts w:eastAsia="Times New Roman"/>
          <w:lang w:val="nl-NL"/>
        </w:rPr>
        <w:br w:type="page"/>
      </w:r>
    </w:p>
    <w:p w14:paraId="64DC2480" w14:textId="77777777" w:rsidR="005D3A9E" w:rsidRPr="005E7B73" w:rsidRDefault="005D3A9E" w:rsidP="005D3A9E">
      <w:pPr>
        <w:widowControl w:val="0"/>
        <w:spacing w:before="120" w:after="120" w:line="360" w:lineRule="auto"/>
        <w:jc w:val="center"/>
        <w:rPr>
          <w:rFonts w:eastAsia="Times New Roman"/>
          <w:lang w:val="nl-NL"/>
        </w:rPr>
      </w:pPr>
      <w:r w:rsidRPr="005E7B73">
        <w:rPr>
          <w:rFonts w:eastAsia="Times New Roman"/>
          <w:lang w:val="nl-NL"/>
        </w:rPr>
        <w:lastRenderedPageBreak/>
        <w:t>Artikel 3</w:t>
      </w:r>
      <w:r w:rsidRPr="005E7B73">
        <w:rPr>
          <w:rFonts w:eastAsia="Times New Roman"/>
          <w:lang w:val="nl-NL"/>
        </w:rPr>
        <w:br/>
        <w:t>Inwerkingtreding</w:t>
      </w:r>
    </w:p>
    <w:p w14:paraId="6C713FDA" w14:textId="77777777" w:rsidR="005D3A9E" w:rsidRPr="005E7B73" w:rsidRDefault="005D3A9E" w:rsidP="005D3A9E">
      <w:pPr>
        <w:widowControl w:val="0"/>
        <w:spacing w:before="120" w:after="120" w:line="360" w:lineRule="auto"/>
        <w:jc w:val="left"/>
        <w:rPr>
          <w:rFonts w:eastAsia="Times New Roman"/>
          <w:lang w:val="nl-NL"/>
        </w:rPr>
      </w:pPr>
      <w:r w:rsidRPr="005E7B73">
        <w:rPr>
          <w:rFonts w:eastAsia="Times New Roman"/>
          <w:lang w:val="nl-NL"/>
        </w:rPr>
        <w:t xml:space="preserve">Deze verordening treedt in werking op de twintigste dag na die van de bekendmaking ervan in het </w:t>
      </w:r>
      <w:r w:rsidRPr="005E7B73">
        <w:rPr>
          <w:rFonts w:eastAsia="Times New Roman"/>
          <w:i/>
          <w:lang w:val="nl-NL"/>
        </w:rPr>
        <w:t>Publicatieblad van de Europese Unie</w:t>
      </w:r>
      <w:r w:rsidRPr="005E7B73">
        <w:rPr>
          <w:rFonts w:eastAsia="Times New Roman"/>
          <w:lang w:val="nl-NL"/>
        </w:rPr>
        <w:t>.</w:t>
      </w:r>
    </w:p>
    <w:p w14:paraId="4FAB89FA" w14:textId="77777777" w:rsidR="005D3A9E" w:rsidRPr="005E7B73" w:rsidRDefault="005D3A9E" w:rsidP="005D3A9E">
      <w:pPr>
        <w:widowControl w:val="0"/>
        <w:spacing w:before="120" w:after="120" w:line="360" w:lineRule="auto"/>
        <w:jc w:val="left"/>
        <w:rPr>
          <w:rFonts w:eastAsia="Times New Roman"/>
          <w:lang w:val="nl-NL"/>
        </w:rPr>
      </w:pPr>
      <w:r w:rsidRPr="005E7B73">
        <w:rPr>
          <w:rFonts w:eastAsia="Times New Roman"/>
          <w:lang w:val="nl-NL"/>
        </w:rPr>
        <w:t>Deze verordening is verbindend in al haar onderdelen en is rechtstreeks toepasselijk in elke lidstaat.</w:t>
      </w:r>
    </w:p>
    <w:p w14:paraId="02D9185C" w14:textId="10A25337" w:rsidR="005D3A9E" w:rsidRPr="005E7B73" w:rsidRDefault="005D3A9E" w:rsidP="005D3A9E">
      <w:pPr>
        <w:keepNext/>
        <w:spacing w:before="120" w:line="360" w:lineRule="auto"/>
        <w:jc w:val="left"/>
        <w:rPr>
          <w:rFonts w:eastAsia="Times New Roman"/>
          <w:lang w:val="nl-NL"/>
        </w:rPr>
      </w:pPr>
      <w:r w:rsidRPr="005E7B73">
        <w:rPr>
          <w:rFonts w:eastAsia="Times New Roman"/>
          <w:lang w:val="nl-NL"/>
        </w:rPr>
        <w:t xml:space="preserve">Gedaan te </w:t>
      </w:r>
      <w:r w:rsidR="00100C19">
        <w:rPr>
          <w:rFonts w:eastAsia="Times New Roman"/>
          <w:lang w:val="nl-NL"/>
        </w:rPr>
        <w:t>…</w:t>
      </w:r>
      <w:r w:rsidRPr="005E7B73">
        <w:rPr>
          <w:rFonts w:eastAsia="Times New Roman"/>
          <w:lang w:val="nl-NL"/>
        </w:rPr>
        <w:t>,</w:t>
      </w:r>
    </w:p>
    <w:p w14:paraId="5D884169" w14:textId="77777777" w:rsidR="005D3A9E" w:rsidRPr="005E7B73" w:rsidRDefault="005D3A9E" w:rsidP="005D3A9E">
      <w:pPr>
        <w:keepNext/>
        <w:tabs>
          <w:tab w:val="left" w:pos="4252"/>
        </w:tabs>
        <w:spacing w:before="720" w:after="100" w:line="360" w:lineRule="auto"/>
        <w:rPr>
          <w:rFonts w:eastAsia="Times New Roman"/>
          <w:i/>
          <w:lang w:val="nl-NL"/>
        </w:rPr>
      </w:pPr>
      <w:r w:rsidRPr="005E7B73">
        <w:rPr>
          <w:rFonts w:eastAsia="Times New Roman"/>
          <w:i/>
          <w:lang w:val="nl-NL"/>
        </w:rPr>
        <w:t>Voor het Europees Parlement</w:t>
      </w:r>
      <w:r w:rsidRPr="005E7B73">
        <w:rPr>
          <w:rFonts w:eastAsia="Times New Roman"/>
          <w:i/>
          <w:lang w:val="nl-NL"/>
        </w:rPr>
        <w:tab/>
        <w:t>Voor de Raad</w:t>
      </w:r>
    </w:p>
    <w:p w14:paraId="3A5D0E34" w14:textId="0CDDEA6A" w:rsidR="008765BE" w:rsidRPr="005E7B73" w:rsidRDefault="005D3A9E" w:rsidP="00345D87">
      <w:pPr>
        <w:tabs>
          <w:tab w:val="left" w:pos="4252"/>
        </w:tabs>
        <w:spacing w:line="360" w:lineRule="auto"/>
        <w:jc w:val="left"/>
        <w:rPr>
          <w:lang w:val="nl-NL"/>
        </w:rPr>
      </w:pPr>
      <w:r w:rsidRPr="005E7B73">
        <w:rPr>
          <w:rFonts w:eastAsia="Times New Roman"/>
          <w:i/>
          <w:lang w:val="nl-NL"/>
        </w:rPr>
        <w:t>De voorzitter</w:t>
      </w:r>
      <w:r w:rsidRPr="005E7B73">
        <w:rPr>
          <w:rFonts w:eastAsia="Times New Roman"/>
          <w:i/>
          <w:lang w:val="nl-NL"/>
        </w:rPr>
        <w:tab/>
        <w:t>De voorzitter</w:t>
      </w:r>
      <w:bookmarkStart w:id="10" w:name="_GoBack"/>
      <w:bookmarkEnd w:id="10"/>
    </w:p>
    <w:sectPr w:rsidR="008765BE" w:rsidRPr="005E7B73">
      <w:footnotePr>
        <w:numRestart w:val="eachSect"/>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C3B647" w14:textId="77777777" w:rsidR="005D3A9E" w:rsidRDefault="005D3A9E" w:rsidP="005D3A9E">
      <w:r>
        <w:separator/>
      </w:r>
    </w:p>
  </w:endnote>
  <w:endnote w:type="continuationSeparator" w:id="0">
    <w:p w14:paraId="118F54BC" w14:textId="77777777" w:rsidR="005D3A9E" w:rsidRDefault="005D3A9E" w:rsidP="005D3A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B389AA" w14:textId="77777777" w:rsidR="005D3A9E" w:rsidRDefault="005D3A9E" w:rsidP="005D3A9E">
      <w:r>
        <w:separator/>
      </w:r>
    </w:p>
  </w:footnote>
  <w:footnote w:type="continuationSeparator" w:id="0">
    <w:p w14:paraId="707565AC" w14:textId="77777777" w:rsidR="005D3A9E" w:rsidRDefault="005D3A9E" w:rsidP="005D3A9E">
      <w:r>
        <w:continuationSeparator/>
      </w:r>
    </w:p>
  </w:footnote>
  <w:footnote w:id="1">
    <w:p w14:paraId="7D0F4CA9" w14:textId="77777777" w:rsidR="005D3A9E" w:rsidRPr="005D3A9E" w:rsidRDefault="005D3A9E" w:rsidP="005D3A9E">
      <w:pPr>
        <w:pStyle w:val="FootnoteText"/>
        <w:rPr>
          <w:sz w:val="24"/>
          <w:szCs w:val="24"/>
          <w:lang w:val="nl-NL"/>
        </w:rPr>
      </w:pPr>
      <w:r w:rsidRPr="005D3A9E">
        <w:rPr>
          <w:rStyle w:val="FootnoteReference"/>
          <w:lang w:val="nl-NL"/>
        </w:rPr>
        <w:footnoteRef/>
      </w:r>
      <w:r w:rsidRPr="005D3A9E">
        <w:rPr>
          <w:sz w:val="24"/>
          <w:szCs w:val="24"/>
          <w:lang w:val="nl-NL"/>
        </w:rPr>
        <w:tab/>
        <w:t>Nog niet bekendgemaakt in het Publicatieblad.</w:t>
      </w:r>
    </w:p>
  </w:footnote>
  <w:footnote w:id="2">
    <w:p w14:paraId="4EFCFAD6" w14:textId="77777777" w:rsidR="005D3A9E" w:rsidRPr="005D3A9E" w:rsidRDefault="005D3A9E" w:rsidP="005D3A9E">
      <w:pPr>
        <w:pStyle w:val="FootnoteTextForceStyle"/>
        <w:rPr>
          <w:lang w:val="nl-NL"/>
        </w:rPr>
      </w:pPr>
      <w:r w:rsidRPr="005D3A9E">
        <w:rPr>
          <w:vertAlign w:val="superscript"/>
          <w:lang w:val="nl-NL"/>
        </w:rPr>
        <w:footnoteRef/>
      </w:r>
      <w:r w:rsidRPr="005D3A9E">
        <w:rPr>
          <w:lang w:val="nl-NL"/>
        </w:rPr>
        <w:tab/>
        <w:t>[Referentie van het advies].</w:t>
      </w:r>
    </w:p>
  </w:footnote>
  <w:footnote w:id="3">
    <w:p w14:paraId="5A2FBEEE" w14:textId="77777777" w:rsidR="005D3A9E" w:rsidRPr="005D3A9E" w:rsidRDefault="005D3A9E" w:rsidP="005D3A9E">
      <w:pPr>
        <w:pStyle w:val="FootnoteTextForceStyle"/>
        <w:rPr>
          <w:lang w:val="nl-NL"/>
        </w:rPr>
      </w:pPr>
      <w:r w:rsidRPr="005D3A9E">
        <w:rPr>
          <w:vertAlign w:val="superscript"/>
          <w:lang w:val="nl-NL"/>
        </w:rPr>
        <w:footnoteRef/>
      </w:r>
      <w:r w:rsidRPr="005D3A9E">
        <w:rPr>
          <w:lang w:val="nl-NL"/>
        </w:rPr>
        <w:tab/>
        <w:t>Richtlijn van het Europees Parlement en de Raad van ... betreffende Europese grensoverschrijdende verenigingen ([PB-verwijzing]).</w:t>
      </w:r>
    </w:p>
  </w:footnote>
  <w:footnote w:id="4">
    <w:p w14:paraId="74BC8C78" w14:textId="77777777" w:rsidR="005D3A9E" w:rsidRPr="005D3A9E" w:rsidRDefault="005D3A9E" w:rsidP="005D3A9E">
      <w:pPr>
        <w:pStyle w:val="FootnoteTextForceStyle"/>
        <w:rPr>
          <w:lang w:val="nl-NL"/>
        </w:rPr>
      </w:pPr>
      <w:r w:rsidRPr="005D3A9E">
        <w:rPr>
          <w:vertAlign w:val="superscript"/>
          <w:lang w:val="nl-NL"/>
        </w:rPr>
        <w:footnoteRef/>
      </w:r>
      <w:r w:rsidRPr="005D3A9E">
        <w:rPr>
          <w:lang w:val="nl-NL"/>
        </w:rPr>
        <w:tab/>
        <w:t xml:space="preserve">Verordening (EU) nr. 1024/2012 van het Europees Parlement en de Raad van 25 oktober 2012 betreffende de administratieve samenwerking via het Informatiesysteem interne markt en tot intrekking van Beschikking 2008/49/EG van de Commissie (“de </w:t>
      </w:r>
      <w:proofErr w:type="spellStart"/>
      <w:r w:rsidRPr="005D3A9E">
        <w:rPr>
          <w:lang w:val="nl-NL"/>
        </w:rPr>
        <w:t>IMI</w:t>
      </w:r>
      <w:proofErr w:type="spellEnd"/>
      <w:r w:rsidRPr="005D3A9E">
        <w:rPr>
          <w:lang w:val="nl-NL"/>
        </w:rPr>
        <w:t>-verordening”) (PB L 316 van 14.11.2012, blz. 1).</w:t>
      </w:r>
    </w:p>
  </w:footnote>
  <w:footnote w:id="5">
    <w:p w14:paraId="0065D9E6" w14:textId="77777777" w:rsidR="005D3A9E" w:rsidRPr="005D3A9E" w:rsidRDefault="005D3A9E" w:rsidP="005D3A9E">
      <w:pPr>
        <w:pStyle w:val="FootnoteTextForceStyle"/>
        <w:rPr>
          <w:lang w:val="nl-NL"/>
        </w:rPr>
      </w:pPr>
      <w:r w:rsidRPr="005D3A9E">
        <w:rPr>
          <w:vertAlign w:val="superscript"/>
          <w:lang w:val="nl-NL"/>
        </w:rPr>
        <w:footnoteRef/>
      </w:r>
      <w:r w:rsidRPr="005D3A9E">
        <w:rPr>
          <w:lang w:val="nl-NL"/>
        </w:rPr>
        <w:tab/>
        <w:t>Verordening (EU) 2018/1724 van het Europees Parlement en de Raad van 2 oktober 2018 tot oprichting van één digitale toegangspoort voor informatie, procedures en diensten voor ondersteuning en probleemoplossing en houdende wijziging van Verordening (EU) nr. 1024/2012 (PB L 295 van 21.11.2018, blz. 1).</w:t>
      </w:r>
    </w:p>
  </w:footnote>
  <w:footnote w:id="6">
    <w:p w14:paraId="5E64FB3C" w14:textId="77777777" w:rsidR="005D3A9E" w:rsidRPr="005D3A9E" w:rsidRDefault="005D3A9E" w:rsidP="005D3A9E">
      <w:pPr>
        <w:pStyle w:val="FootnoteTextForceStyle"/>
        <w:rPr>
          <w:lang w:val="nl-NL"/>
        </w:rPr>
      </w:pPr>
      <w:r w:rsidRPr="005D3A9E">
        <w:rPr>
          <w:vertAlign w:val="superscript"/>
          <w:lang w:val="nl-NL"/>
        </w:rPr>
        <w:footnoteRef/>
      </w:r>
      <w:r w:rsidRPr="005D3A9E">
        <w:rPr>
          <w:lang w:val="nl-NL"/>
        </w:rPr>
        <w:tab/>
        <w:t>Verordening (EU) 2018/1724 van het Europees Parlement en de Raad van 2 oktober 2018 tot oprichting van één digitale toegangspoort voor informatie, procedures en diensten voor ondersteuning en probleemoplossing en houdende wijziging van Verordening (EU) nr. 1024/2012 (PB L 295 van 21.11.2018, blz. 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668"/>
    <w:rsid w:val="00100C19"/>
    <w:rsid w:val="00115AA4"/>
    <w:rsid w:val="00144E90"/>
    <w:rsid w:val="00345D87"/>
    <w:rsid w:val="005762E3"/>
    <w:rsid w:val="005D3A9E"/>
    <w:rsid w:val="005E7B73"/>
    <w:rsid w:val="0076105D"/>
    <w:rsid w:val="00846D4E"/>
    <w:rsid w:val="008765BE"/>
    <w:rsid w:val="009C5668"/>
    <w:rsid w:val="00B80227"/>
    <w:rsid w:val="00C4569A"/>
    <w:rsid w:val="00D105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0331D"/>
  <w15:chartTrackingRefBased/>
  <w15:docId w15:val="{9EA250E5-83D4-49EE-B77A-CF8677D52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uiPriority w:val="9"/>
    <w:semiHidden/>
    <w:unhideWhenUsed/>
    <w:qFormat/>
    <w:rsid w:val="005762E3"/>
    <w:pPr>
      <w:spacing w:before="240" w:after="60"/>
      <w:outlineLvl w:val="7"/>
    </w:pPr>
    <w:rPr>
      <w:i/>
      <w:iCs/>
    </w:rPr>
  </w:style>
  <w:style w:type="paragraph" w:styleId="Heading9">
    <w:name w:val="heading 9"/>
    <w:basedOn w:val="Normal"/>
    <w:next w:val="Normal"/>
    <w:link w:val="Heading9Char"/>
    <w:uiPriority w:val="9"/>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semiHidden/>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uiPriority w:val="9"/>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5762E3"/>
    <w:pPr>
      <w:outlineLvl w:val="9"/>
    </w:pPr>
  </w:style>
  <w:style w:type="paragraph" w:styleId="FootnoteText">
    <w:name w:val="footnote text"/>
    <w:basedOn w:val="Normal"/>
    <w:link w:val="FootnoteTextChar"/>
    <w:uiPriority w:val="99"/>
    <w:semiHidden/>
    <w:unhideWhenUsed/>
    <w:rsid w:val="005D3A9E"/>
    <w:rPr>
      <w:sz w:val="20"/>
      <w:szCs w:val="20"/>
    </w:rPr>
  </w:style>
  <w:style w:type="character" w:customStyle="1" w:styleId="FootnoteTextChar">
    <w:name w:val="Footnote Text Char"/>
    <w:basedOn w:val="DefaultParagraphFont"/>
    <w:link w:val="FootnoteText"/>
    <w:uiPriority w:val="99"/>
    <w:semiHidden/>
    <w:rsid w:val="005D3A9E"/>
    <w:rPr>
      <w:rFonts w:ascii="Times New Roman" w:hAnsi="Times New Roman"/>
      <w:sz w:val="20"/>
      <w:szCs w:val="20"/>
    </w:rPr>
  </w:style>
  <w:style w:type="character" w:styleId="FootnoteReference">
    <w:name w:val="footnote reference"/>
    <w:semiHidden/>
    <w:rsid w:val="005D3A9E"/>
    <w:rPr>
      <w:b w:val="0"/>
      <w:vertAlign w:val="superscript"/>
    </w:rPr>
  </w:style>
  <w:style w:type="paragraph" w:customStyle="1" w:styleId="IntrtEEE">
    <w:name w:val="Intérêt EEE"/>
    <w:basedOn w:val="Normal"/>
    <w:next w:val="Normal"/>
    <w:rsid w:val="005D3A9E"/>
    <w:pPr>
      <w:spacing w:before="360" w:after="240" w:line="360" w:lineRule="auto"/>
      <w:jc w:val="center"/>
    </w:pPr>
    <w:rPr>
      <w:rFonts w:eastAsia="Times New Roman"/>
    </w:rPr>
  </w:style>
  <w:style w:type="paragraph" w:styleId="BalloonText">
    <w:name w:val="Balloon Text"/>
    <w:basedOn w:val="Normal"/>
    <w:link w:val="BalloonTextChar"/>
    <w:uiPriority w:val="99"/>
    <w:semiHidden/>
    <w:unhideWhenUsed/>
    <w:rsid w:val="005D3A9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3A9E"/>
    <w:rPr>
      <w:rFonts w:ascii="Segoe UI" w:hAnsi="Segoe UI" w:cs="Segoe UI"/>
      <w:sz w:val="18"/>
      <w:szCs w:val="18"/>
    </w:rPr>
  </w:style>
  <w:style w:type="paragraph" w:customStyle="1" w:styleId="FootnoteTextForceStyle">
    <w:name w:val="Footnote Text ForceStyle"/>
    <w:rsid w:val="005D3A9E"/>
    <w:pPr>
      <w:keepLines/>
      <w:widowControl w:val="0"/>
      <w:ind w:left="850" w:hanging="850"/>
    </w:pPr>
    <w:rPr>
      <w:rFonts w:ascii="Times New Roman" w:eastAsia="Times New Roman" w:hAnsi="Times New Roman"/>
      <w:sz w:val="24"/>
      <w:szCs w:val="20"/>
    </w:rPr>
  </w:style>
  <w:style w:type="character" w:styleId="CommentReference">
    <w:name w:val="annotation reference"/>
    <w:basedOn w:val="DefaultParagraphFont"/>
    <w:semiHidden/>
    <w:unhideWhenUsed/>
    <w:rsid w:val="00B80227"/>
    <w:rPr>
      <w:sz w:val="16"/>
      <w:szCs w:val="16"/>
    </w:rPr>
  </w:style>
  <w:style w:type="paragraph" w:styleId="CommentText">
    <w:name w:val="annotation text"/>
    <w:basedOn w:val="Normal"/>
    <w:link w:val="CommentTextChar"/>
    <w:semiHidden/>
    <w:unhideWhenUsed/>
    <w:rsid w:val="00B80227"/>
    <w:rPr>
      <w:sz w:val="20"/>
      <w:szCs w:val="20"/>
    </w:rPr>
  </w:style>
  <w:style w:type="character" w:customStyle="1" w:styleId="CommentTextChar">
    <w:name w:val="Comment Text Char"/>
    <w:basedOn w:val="DefaultParagraphFont"/>
    <w:link w:val="CommentText"/>
    <w:semiHidden/>
    <w:rsid w:val="00B8022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B80227"/>
    <w:rPr>
      <w:b/>
      <w:bCs/>
    </w:rPr>
  </w:style>
  <w:style w:type="character" w:customStyle="1" w:styleId="CommentSubjectChar">
    <w:name w:val="Comment Subject Char"/>
    <w:basedOn w:val="CommentTextChar"/>
    <w:link w:val="CommentSubject"/>
    <w:uiPriority w:val="99"/>
    <w:semiHidden/>
    <w:rsid w:val="00B80227"/>
    <w:rPr>
      <w:rFonts w:ascii="Times New Roman" w:hAnsi="Times New Roman"/>
      <w:b/>
      <w:bCs/>
      <w:sz w:val="20"/>
      <w:szCs w:val="20"/>
    </w:rPr>
  </w:style>
  <w:style w:type="paragraph" w:customStyle="1" w:styleId="ATHeading1">
    <w:name w:val="AT Heading 1"/>
    <w:basedOn w:val="Normal"/>
    <w:next w:val="Normal"/>
    <w:rsid w:val="00B80227"/>
    <w:pPr>
      <w:keepNext/>
      <w:keepLines/>
      <w:spacing w:before="480" w:after="120"/>
      <w:jc w:val="left"/>
      <w:outlineLvl w:val="0"/>
    </w:pPr>
    <w:rPr>
      <w:rFonts w:eastAsia="Times New Roman"/>
      <w:b/>
      <w:sz w:val="28"/>
      <w:szCs w:val="20"/>
      <w:lang w:eastAsia="fr-FR"/>
    </w:rPr>
  </w:style>
  <w:style w:type="paragraph" w:customStyle="1" w:styleId="ATHeading2">
    <w:name w:val="AT Heading 2"/>
    <w:basedOn w:val="Normal"/>
    <w:next w:val="Normal"/>
    <w:rsid w:val="00B80227"/>
    <w:pPr>
      <w:spacing w:before="120" w:after="120"/>
      <w:jc w:val="left"/>
      <w:outlineLvl w:val="1"/>
    </w:pPr>
    <w:rPr>
      <w:rFonts w:eastAsia="Times New Roman"/>
      <w:b/>
      <w:sz w:val="28"/>
      <w:szCs w:val="20"/>
      <w:lang w:eastAsia="fr-FR"/>
    </w:rPr>
  </w:style>
  <w:style w:type="paragraph" w:customStyle="1" w:styleId="ATHeading3">
    <w:name w:val="AT Heading 3"/>
    <w:basedOn w:val="Normal"/>
    <w:next w:val="Normal"/>
    <w:rsid w:val="00B80227"/>
    <w:pPr>
      <w:keepNext/>
      <w:keepLines/>
      <w:spacing w:before="120" w:after="120"/>
      <w:jc w:val="left"/>
      <w:outlineLvl w:val="2"/>
    </w:pPr>
    <w:rPr>
      <w:rFonts w:eastAsia="Times New Roman"/>
      <w:b/>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9512429">
      <w:bodyDiv w:val="1"/>
      <w:marLeft w:val="0"/>
      <w:marRight w:val="0"/>
      <w:marTop w:val="0"/>
      <w:marBottom w:val="0"/>
      <w:divBdr>
        <w:top w:val="none" w:sz="0" w:space="0" w:color="auto"/>
        <w:left w:val="none" w:sz="0" w:space="0" w:color="auto"/>
        <w:bottom w:val="none" w:sz="0" w:space="0" w:color="auto"/>
        <w:right w:val="none" w:sz="0" w:space="0" w:color="auto"/>
      </w:divBdr>
    </w:div>
    <w:div w:id="2028481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CEAEF2-AC69-4B47-901C-E3D88F444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2365</Words>
  <Characters>13481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European Parliament</Company>
  <LinksUpToDate>false</LinksUpToDate>
  <CharactersWithSpaces>15815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SLOSSE Filiep</dc:creator>
  <cp:keywords/>
  <dc:description/>
  <cp:lastModifiedBy>LUKSITE Marija</cp:lastModifiedBy>
  <cp:revision>2</cp:revision>
  <dcterms:created xsi:type="dcterms:W3CDTF">2024-11-26T15:45:00Z</dcterms:created>
  <dcterms:modified xsi:type="dcterms:W3CDTF">2024-11-26T15:45:00Z</dcterms:modified>
</cp:coreProperties>
</file>