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A7E9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A7E9E" w:rsidRDefault="00F34377" w:rsidP="0010095E">
            <w:pPr>
              <w:pStyle w:val="EPName"/>
            </w:pPr>
            <w:r w:rsidRPr="001A7E9E">
              <w:t>Parlament Europejski</w:t>
            </w:r>
          </w:p>
          <w:p w:rsidR="00751A4A" w:rsidRPr="001A7E9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7E9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A7E9E" w:rsidRDefault="00187494" w:rsidP="0010095E">
            <w:pPr>
              <w:pStyle w:val="EPLogo"/>
            </w:pPr>
            <w:r w:rsidRPr="001A7E9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A7E9E" w:rsidRDefault="00D058B8" w:rsidP="004C5D52">
      <w:pPr>
        <w:pStyle w:val="LineTop"/>
      </w:pPr>
    </w:p>
    <w:p w:rsidR="00680577" w:rsidRPr="001A7E9E" w:rsidRDefault="00F34377" w:rsidP="00680577">
      <w:pPr>
        <w:pStyle w:val="EPBodyTA1"/>
      </w:pPr>
      <w:r w:rsidRPr="001A7E9E">
        <w:t>TEKSTY PRZYJĘTE</w:t>
      </w:r>
    </w:p>
    <w:p w:rsidR="00D058B8" w:rsidRPr="001A7E9E" w:rsidRDefault="00D058B8" w:rsidP="00D058B8">
      <w:pPr>
        <w:pStyle w:val="LineBottom"/>
      </w:pPr>
    </w:p>
    <w:p w:rsidR="00F34377" w:rsidRPr="001A7E9E" w:rsidRDefault="00F34377" w:rsidP="00F34377">
      <w:pPr>
        <w:pStyle w:val="ATHeading1"/>
      </w:pPr>
      <w:bookmarkStart w:id="0" w:name="TANumber"/>
      <w:r w:rsidRPr="001A7E9E">
        <w:t>P9_TA(2024)0</w:t>
      </w:r>
      <w:bookmarkEnd w:id="0"/>
      <w:r w:rsidR="009E20EF">
        <w:t>142</w:t>
      </w:r>
    </w:p>
    <w:p w:rsidR="00F34377" w:rsidRPr="001A7E9E" w:rsidRDefault="00F34377" w:rsidP="00F34377">
      <w:pPr>
        <w:pStyle w:val="ATHeading2"/>
      </w:pPr>
      <w:bookmarkStart w:id="1" w:name="title"/>
      <w:r w:rsidRPr="001A7E9E">
        <w:t>Europejskie stowarzyszenia transgraniczne</w:t>
      </w:r>
      <w:bookmarkEnd w:id="1"/>
    </w:p>
    <w:p w:rsidR="00F34377" w:rsidRPr="001A7E9E" w:rsidRDefault="00F34377" w:rsidP="00F34377">
      <w:pPr>
        <w:rPr>
          <w:i/>
          <w:vanish/>
        </w:rPr>
      </w:pPr>
      <w:r w:rsidRPr="001A7E9E">
        <w:rPr>
          <w:i/>
        </w:rPr>
        <w:fldChar w:fldCharType="begin"/>
      </w:r>
      <w:r w:rsidRPr="001A7E9E">
        <w:rPr>
          <w:i/>
        </w:rPr>
        <w:instrText xml:space="preserve"> TC"(</w:instrText>
      </w:r>
      <w:bookmarkStart w:id="2" w:name="DocNumber"/>
      <w:r w:rsidRPr="001A7E9E">
        <w:rPr>
          <w:i/>
        </w:rPr>
        <w:instrText>A9-0006/2024</w:instrText>
      </w:r>
      <w:bookmarkEnd w:id="2"/>
      <w:r w:rsidRPr="001A7E9E">
        <w:rPr>
          <w:i/>
        </w:rPr>
        <w:instrText xml:space="preserve"> - Sprawozdawca: Anne</w:instrText>
      </w:r>
      <w:r w:rsidRPr="001A7E9E">
        <w:rPr>
          <w:i/>
        </w:rPr>
        <w:noBreakHyphen/>
        <w:instrText xml:space="preserve">Sophie Pelletier)"\l3 \n&gt; \* MERGEFORMAT </w:instrText>
      </w:r>
      <w:r w:rsidRPr="001A7E9E">
        <w:rPr>
          <w:i/>
        </w:rPr>
        <w:fldChar w:fldCharType="end"/>
      </w:r>
    </w:p>
    <w:p w:rsidR="00F34377" w:rsidRPr="001A7E9E" w:rsidRDefault="00F34377" w:rsidP="00F34377">
      <w:pPr>
        <w:rPr>
          <w:vanish/>
        </w:rPr>
      </w:pPr>
      <w:bookmarkStart w:id="3" w:name="Commission"/>
      <w:r w:rsidRPr="001A7E9E">
        <w:rPr>
          <w:vanish/>
        </w:rPr>
        <w:t>Komisja Rynku Wewnętrznego i Ochrony Konsumentów</w:t>
      </w:r>
      <w:bookmarkEnd w:id="3"/>
    </w:p>
    <w:p w:rsidR="00F34377" w:rsidRPr="001A7E9E" w:rsidRDefault="00F34377" w:rsidP="00F34377">
      <w:pPr>
        <w:rPr>
          <w:vanish/>
        </w:rPr>
      </w:pPr>
      <w:bookmarkStart w:id="4" w:name="PE"/>
      <w:r w:rsidRPr="001A7E9E">
        <w:rPr>
          <w:vanish/>
        </w:rPr>
        <w:t>PE756.195</w:t>
      </w:r>
      <w:bookmarkEnd w:id="4"/>
    </w:p>
    <w:p w:rsidR="00F34377" w:rsidRPr="001A7E9E" w:rsidRDefault="00F34377" w:rsidP="00F34377">
      <w:pPr>
        <w:pStyle w:val="ATHeading3"/>
      </w:pPr>
      <w:bookmarkStart w:id="5" w:name="Sujet"/>
      <w:r w:rsidRPr="001A7E9E">
        <w:t xml:space="preserve">Rezolucja ustawodawcza Parlamentu Europejskiego z dnia </w:t>
      </w:r>
      <w:r w:rsidR="00150565">
        <w:t>13 marca</w:t>
      </w:r>
      <w:r w:rsidRPr="001A7E9E">
        <w:t xml:space="preserve"> 2024 r. w sprawie wniosku dotyczącego rozporządzenia Parlamentu Europejskiego i Rady zmieniającego rozporządzenia (UE) nr 1024/2012 oraz (UE) 2018/1724 w odniesieniu do korzystania z systemu wymiany informacji na rynku wewnętrznym i jednolitego portalu cyfrowego do celów spełnienia pewnych wymogów określonych w dyrektywie Parlamentu Europejskiego i Rady (UE) .../... w sprawie europejskich stowarzyszeń transgranicznych (COM</w:t>
      </w:r>
      <w:proofErr w:type="gramStart"/>
      <w:r w:rsidRPr="001A7E9E">
        <w:t>(2023)</w:t>
      </w:r>
      <w:r w:rsidR="00EF4B5C">
        <w:t>0</w:t>
      </w:r>
      <w:r w:rsidRPr="001A7E9E">
        <w:t>516)</w:t>
      </w:r>
      <w:bookmarkEnd w:id="5"/>
      <w:r w:rsidRPr="001A7E9E">
        <w:t xml:space="preserve"> </w:t>
      </w:r>
      <w:bookmarkStart w:id="6" w:name="References"/>
      <w:r w:rsidRPr="001A7E9E">
        <w:t>(COM</w:t>
      </w:r>
      <w:proofErr w:type="gramEnd"/>
      <w:r w:rsidRPr="001A7E9E">
        <w:t>(2023)0515 – C9-0327/2023 – 2023/0314(COD))</w:t>
      </w:r>
      <w:bookmarkEnd w:id="6"/>
    </w:p>
    <w:p w:rsidR="00C34716" w:rsidRPr="001A7E9E" w:rsidRDefault="00C34716" w:rsidP="00C34716">
      <w:pPr>
        <w:pStyle w:val="NormalBold"/>
      </w:pPr>
      <w:bookmarkStart w:id="7" w:name="TextBodyBegin"/>
      <w:bookmarkEnd w:id="7"/>
      <w:r w:rsidRPr="001A7E9E">
        <w:t>(Zwykła procedura ustawodawcza: pierwsze czytanie)</w:t>
      </w:r>
    </w:p>
    <w:p w:rsidR="00C34716" w:rsidRPr="001A7E9E" w:rsidRDefault="00C34716" w:rsidP="00C34716">
      <w:pPr>
        <w:pStyle w:val="EPComma"/>
      </w:pPr>
      <w:r w:rsidRPr="001A7E9E">
        <w:rPr>
          <w:i/>
        </w:rPr>
        <w:t>Parlament Europejski</w:t>
      </w:r>
      <w:r w:rsidRPr="001A7E9E">
        <w:t>,</w:t>
      </w:r>
    </w:p>
    <w:p w:rsidR="00C34716" w:rsidRPr="001A7E9E" w:rsidRDefault="00C34716" w:rsidP="00C34716">
      <w:pPr>
        <w:pStyle w:val="NormalHanging12a"/>
      </w:pPr>
      <w:r w:rsidRPr="001A7E9E">
        <w:t>–</w:t>
      </w:r>
      <w:r w:rsidRPr="001A7E9E">
        <w:tab/>
        <w:t>uwzględniając wniosek Komisji przedstawiony Parlamentowi Europejskiemu i Radzie (COM(2023)0515),</w:t>
      </w:r>
    </w:p>
    <w:p w:rsidR="00C34716" w:rsidRPr="001A7E9E" w:rsidRDefault="00C34716" w:rsidP="00C34716">
      <w:pPr>
        <w:pStyle w:val="NormalHanging12a"/>
      </w:pPr>
      <w:r w:rsidRPr="001A7E9E">
        <w:t>–</w:t>
      </w:r>
      <w:r w:rsidRPr="001A7E9E">
        <w:tab/>
        <w:t>uwzględniając art. 294 ust. 2, art. 21 ust. 2 i art. 114 Traktatu o funkcjonowaniu Unii Europejskiej, zgodnie z którymi Komisja przedstawiła wniosek Parlamentowi (C9</w:t>
      </w:r>
      <w:r w:rsidRPr="001A7E9E">
        <w:noBreakHyphen/>
        <w:t>0327/2023),</w:t>
      </w:r>
    </w:p>
    <w:p w:rsidR="00C34716" w:rsidRPr="001A7E9E" w:rsidRDefault="00C34716" w:rsidP="00C34716">
      <w:pPr>
        <w:pStyle w:val="NormalHanging12a"/>
      </w:pPr>
      <w:r w:rsidRPr="001A7E9E">
        <w:t>–</w:t>
      </w:r>
      <w:r w:rsidRPr="001A7E9E">
        <w:tab/>
        <w:t>uwzględniając art. 294 ust. 3 Traktatu o funkcjonowaniu Unii Europejskiej,</w:t>
      </w:r>
    </w:p>
    <w:p w:rsidR="00150565" w:rsidRDefault="00150565" w:rsidP="00C34716">
      <w:pPr>
        <w:pStyle w:val="NormalHanging12a"/>
      </w:pPr>
      <w:r w:rsidRPr="007D3C95">
        <w:t>–</w:t>
      </w:r>
      <w:r>
        <w:tab/>
        <w:t>u</w:t>
      </w:r>
      <w:r w:rsidRPr="00DF4082">
        <w:t xml:space="preserve">względniając opinię Europejskiego Komitetu Ekonomiczno-Społecznego z dnia </w:t>
      </w:r>
      <w:r>
        <w:t>17</w:t>
      </w:r>
      <w:r w:rsidRPr="00DF4082">
        <w:t xml:space="preserve"> </w:t>
      </w:r>
      <w:r>
        <w:t>stycznia</w:t>
      </w:r>
      <w:r w:rsidRPr="00DF4082">
        <w:t xml:space="preserve"> </w:t>
      </w:r>
      <w:r>
        <w:t>2024</w:t>
      </w:r>
      <w:r w:rsidRPr="00DF4082">
        <w:t xml:space="preserve"> r</w:t>
      </w:r>
      <w:r>
        <w:t>.</w:t>
      </w:r>
      <w:r>
        <w:rPr>
          <w:rStyle w:val="FootnoteReference"/>
        </w:rPr>
        <w:footnoteReference w:id="1"/>
      </w:r>
      <w:r>
        <w:t>,</w:t>
      </w:r>
    </w:p>
    <w:p w:rsidR="00C34716" w:rsidRPr="001A7E9E" w:rsidRDefault="00C34716" w:rsidP="00C34716">
      <w:pPr>
        <w:pStyle w:val="NormalHanging12a"/>
      </w:pPr>
      <w:r w:rsidRPr="001A7E9E">
        <w:t>–</w:t>
      </w:r>
      <w:r w:rsidRPr="001A7E9E">
        <w:tab/>
        <w:t>uwzględniając art. 59 Regulaminu,</w:t>
      </w:r>
    </w:p>
    <w:p w:rsidR="00C34716" w:rsidRPr="001A7E9E" w:rsidRDefault="00C34716" w:rsidP="00C34716">
      <w:pPr>
        <w:pStyle w:val="NormalHanging12a"/>
      </w:pPr>
      <w:r w:rsidRPr="001A7E9E">
        <w:t>–</w:t>
      </w:r>
      <w:r w:rsidRPr="001A7E9E">
        <w:tab/>
        <w:t>uwzględniając opinię przedstawioną przez Komisję Prawną,</w:t>
      </w:r>
    </w:p>
    <w:p w:rsidR="00C34716" w:rsidRPr="001A7E9E" w:rsidRDefault="00C34716" w:rsidP="00C34716">
      <w:pPr>
        <w:pStyle w:val="NormalHanging12a"/>
      </w:pPr>
      <w:r w:rsidRPr="001A7E9E">
        <w:t>–</w:t>
      </w:r>
      <w:r w:rsidRPr="001A7E9E">
        <w:tab/>
        <w:t>uwzględniając sprawozdanie Komisji Rynku Wewnętrznego i Ochrony Konsumentów (A9-0006/2024),</w:t>
      </w:r>
    </w:p>
    <w:p w:rsidR="00C34716" w:rsidRPr="001A7E9E" w:rsidRDefault="00C34716" w:rsidP="00C34716">
      <w:pPr>
        <w:pStyle w:val="NormalHanging12a"/>
      </w:pPr>
      <w:r w:rsidRPr="001A7E9E">
        <w:t>1.</w:t>
      </w:r>
      <w:r w:rsidRPr="001A7E9E">
        <w:tab/>
      </w:r>
      <w:proofErr w:type="gramStart"/>
      <w:r w:rsidRPr="001A7E9E">
        <w:t>przyjmuje</w:t>
      </w:r>
      <w:proofErr w:type="gramEnd"/>
      <w:r w:rsidRPr="001A7E9E">
        <w:t xml:space="preserve"> poniższe stanowisko w pierwszym czytaniu;</w:t>
      </w:r>
    </w:p>
    <w:p w:rsidR="00C34716" w:rsidRPr="001A7E9E" w:rsidRDefault="00C34716" w:rsidP="00C34716">
      <w:pPr>
        <w:pStyle w:val="NormalHanging12a"/>
      </w:pPr>
      <w:r w:rsidRPr="001A7E9E">
        <w:lastRenderedPageBreak/>
        <w:t>2.</w:t>
      </w:r>
      <w:r w:rsidRPr="001A7E9E">
        <w:tab/>
      </w:r>
      <w:proofErr w:type="gramStart"/>
      <w:r w:rsidRPr="001A7E9E">
        <w:t>zwraca</w:t>
      </w:r>
      <w:proofErr w:type="gramEnd"/>
      <w:r w:rsidRPr="001A7E9E">
        <w:t xml:space="preserve"> się do Komisji o ponowne przekazanie mu sprawy, jeśli zastąpi ona pierwotny wniosek, wprowadzi w nim istotne zmiany lub planuje ich wprowadzenie;</w:t>
      </w:r>
    </w:p>
    <w:p w:rsidR="00C34716" w:rsidRPr="001A7E9E" w:rsidRDefault="00C34716" w:rsidP="00C34716">
      <w:pPr>
        <w:pStyle w:val="NormalHanging12a"/>
      </w:pPr>
      <w:r w:rsidRPr="001A7E9E">
        <w:t>3.</w:t>
      </w:r>
      <w:r w:rsidRPr="001A7E9E">
        <w:tab/>
      </w:r>
      <w:proofErr w:type="gramStart"/>
      <w:r w:rsidRPr="001A7E9E">
        <w:t>zobowiązuje</w:t>
      </w:r>
      <w:proofErr w:type="gramEnd"/>
      <w:r w:rsidRPr="001A7E9E">
        <w:t xml:space="preserve"> swoją przewodniczącą do przekazania stanowiska Parlamentu Radzie i Komisji oraz parlamentom narodowym.</w:t>
      </w:r>
    </w:p>
    <w:p w:rsidR="00BD0A89" w:rsidRDefault="00BD0A89" w:rsidP="00C34716">
      <w:pPr>
        <w:widowControl/>
        <w:sectPr w:rsidR="00BD0A89" w:rsidSect="001A7E9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D0A89" w:rsidRPr="00C91426" w:rsidRDefault="00BD0A89" w:rsidP="00BD0A89">
      <w:pPr>
        <w:widowControl/>
        <w:spacing w:after="240"/>
      </w:pPr>
      <w:r w:rsidRPr="00C91426">
        <w:rPr>
          <w:b/>
          <w:bCs/>
          <w:color w:val="000000"/>
        </w:rPr>
        <w:lastRenderedPageBreak/>
        <w:t>P9_TC1-COD(2023)0314</w:t>
      </w:r>
    </w:p>
    <w:p w:rsidR="00BD0A89" w:rsidRPr="00BD0A89" w:rsidRDefault="00BD0A89" w:rsidP="00BD0A89">
      <w:pPr>
        <w:autoSpaceDE w:val="0"/>
        <w:autoSpaceDN w:val="0"/>
        <w:adjustRightInd w:val="0"/>
        <w:rPr>
          <w:b/>
          <w:bCs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13 marca 2024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2024/...</w:t>
      </w:r>
      <w:r w:rsidRPr="00741191">
        <w:rPr>
          <w:b/>
        </w:rPr>
        <w:t xml:space="preserve"> </w:t>
      </w:r>
      <w:proofErr w:type="gramStart"/>
      <w:r w:rsidRPr="00BD0A89">
        <w:rPr>
          <w:b/>
          <w:szCs w:val="24"/>
          <w:lang w:eastAsia="en-US"/>
        </w:rPr>
        <w:t>zmieniające</w:t>
      </w:r>
      <w:r>
        <w:rPr>
          <w:b/>
          <w:szCs w:val="24"/>
          <w:lang w:eastAsia="en-US"/>
        </w:rPr>
        <w:t>go</w:t>
      </w:r>
      <w:proofErr w:type="gramEnd"/>
      <w:r w:rsidRPr="00BD0A89">
        <w:rPr>
          <w:b/>
          <w:szCs w:val="24"/>
          <w:lang w:eastAsia="en-US"/>
        </w:rPr>
        <w:t xml:space="preserve"> rozporządzenia (UE) nr 1024/2012 oraz (UE) 2018/1724 w odniesieniu do korzystania z systemu wymiany informacji na rynku wewnętrznym i jednolitego portalu cyfrowego do celów spełnienia pewnych wymogów określonych w dyrektywie Parlamentu Europejskiego i Rady (UE) .../... </w:t>
      </w:r>
      <w:proofErr w:type="gramStart"/>
      <w:r w:rsidRPr="00BD0A89">
        <w:rPr>
          <w:b/>
          <w:szCs w:val="24"/>
          <w:lang w:eastAsia="en-US"/>
        </w:rPr>
        <w:t>w</w:t>
      </w:r>
      <w:proofErr w:type="gramEnd"/>
      <w:r w:rsidRPr="00BD0A89">
        <w:rPr>
          <w:b/>
          <w:szCs w:val="24"/>
          <w:lang w:eastAsia="en-US"/>
        </w:rPr>
        <w:t xml:space="preserve"> sprawie europejskich stowarzys</w:t>
      </w:r>
      <w:r w:rsidR="00C25B0A">
        <w:rPr>
          <w:b/>
          <w:szCs w:val="24"/>
          <w:lang w:eastAsia="en-US"/>
        </w:rPr>
        <w:t>zeń transgranicznych (COM(2023)0</w:t>
      </w:r>
      <w:r w:rsidRPr="00BD0A89">
        <w:rPr>
          <w:b/>
          <w:szCs w:val="24"/>
          <w:lang w:eastAsia="en-US"/>
        </w:rPr>
        <w:t>516)</w:t>
      </w:r>
    </w:p>
    <w:p w:rsidR="00BD0A89" w:rsidRPr="00DD5547" w:rsidRDefault="00BD0A89" w:rsidP="00BD0A89">
      <w:pPr>
        <w:widowControl/>
        <w:spacing w:before="360" w:after="240" w:line="360" w:lineRule="auto"/>
        <w:jc w:val="center"/>
        <w:rPr>
          <w:szCs w:val="24"/>
          <w:lang w:eastAsia="en-US"/>
        </w:rPr>
      </w:pPr>
      <w:r w:rsidRPr="00DD5547">
        <w:rPr>
          <w:szCs w:val="24"/>
          <w:lang w:eastAsia="en-US"/>
        </w:rPr>
        <w:t>(Tekst mający znaczenie dla EOG)</w:t>
      </w:r>
    </w:p>
    <w:p w:rsidR="00BD0A89" w:rsidRPr="00BD0A89" w:rsidRDefault="00BD0A89" w:rsidP="00BD0A89">
      <w:pPr>
        <w:keepNext/>
        <w:spacing w:before="600" w:after="120" w:line="360" w:lineRule="auto"/>
        <w:rPr>
          <w:szCs w:val="24"/>
          <w:lang w:eastAsia="en-US"/>
        </w:rPr>
      </w:pPr>
      <w:r w:rsidRPr="00BD0A89">
        <w:rPr>
          <w:szCs w:val="24"/>
          <w:lang w:eastAsia="en-US"/>
        </w:rPr>
        <w:t>PARLAMENT EUROPEJSKI I RADA UNII EUROPEJSKIEJ,</w:t>
      </w:r>
    </w:p>
    <w:p w:rsidR="00BD0A89" w:rsidRPr="00BD0A89" w:rsidRDefault="00BD0A89" w:rsidP="00BD0A89">
      <w:pPr>
        <w:spacing w:before="120" w:after="120" w:line="360" w:lineRule="auto"/>
        <w:rPr>
          <w:lang w:eastAsia="en-US"/>
        </w:rPr>
      </w:pPr>
      <w:proofErr w:type="gramStart"/>
      <w:r w:rsidRPr="00BD0A89">
        <w:rPr>
          <w:lang w:eastAsia="en-US"/>
        </w:rPr>
        <w:t>uwzględniając</w:t>
      </w:r>
      <w:proofErr w:type="gramEnd"/>
      <w:r w:rsidRPr="00BD0A89">
        <w:rPr>
          <w:lang w:eastAsia="en-US"/>
        </w:rPr>
        <w:t xml:space="preserve"> Traktat o funkcjonowaniu Unii Europejskiej, w szczególności jego art. 21 ust. 2 i art. 114,</w:t>
      </w:r>
    </w:p>
    <w:p w:rsidR="00BD0A89" w:rsidRPr="00BD0A89" w:rsidRDefault="00BD0A89" w:rsidP="00BD0A89">
      <w:pPr>
        <w:spacing w:before="120" w:after="120" w:line="360" w:lineRule="auto"/>
        <w:rPr>
          <w:lang w:eastAsia="en-US"/>
        </w:rPr>
      </w:pPr>
      <w:proofErr w:type="gramStart"/>
      <w:r w:rsidRPr="00BD0A89">
        <w:rPr>
          <w:lang w:eastAsia="en-US"/>
        </w:rPr>
        <w:t>uwzględniając</w:t>
      </w:r>
      <w:proofErr w:type="gramEnd"/>
      <w:r w:rsidRPr="00BD0A89">
        <w:rPr>
          <w:lang w:eastAsia="en-US"/>
        </w:rPr>
        <w:t xml:space="preserve"> wniosek Komisji Europejskiej,</w:t>
      </w:r>
    </w:p>
    <w:p w:rsidR="00BD0A89" w:rsidRPr="00BD0A89" w:rsidRDefault="00BD0A89" w:rsidP="00BD0A89">
      <w:pPr>
        <w:spacing w:before="120" w:after="120" w:line="360" w:lineRule="auto"/>
        <w:rPr>
          <w:lang w:eastAsia="en-US"/>
        </w:rPr>
      </w:pPr>
      <w:proofErr w:type="gramStart"/>
      <w:r w:rsidRPr="00BD0A89">
        <w:rPr>
          <w:lang w:eastAsia="en-US"/>
        </w:rPr>
        <w:t>po</w:t>
      </w:r>
      <w:proofErr w:type="gramEnd"/>
      <w:r w:rsidRPr="00BD0A89">
        <w:rPr>
          <w:lang w:eastAsia="en-US"/>
        </w:rPr>
        <w:t xml:space="preserve"> przekazaniu projektu aktu ustawodawczego parlamentom narodowym,</w:t>
      </w:r>
    </w:p>
    <w:p w:rsidR="00BD0A89" w:rsidRPr="00BD0A89" w:rsidRDefault="00BD0A89" w:rsidP="00BD0A89">
      <w:pPr>
        <w:spacing w:before="120" w:after="120" w:line="360" w:lineRule="auto"/>
        <w:rPr>
          <w:lang w:eastAsia="en-US"/>
        </w:rPr>
      </w:pPr>
      <w:proofErr w:type="gramStart"/>
      <w:r w:rsidRPr="00BD0A89">
        <w:rPr>
          <w:lang w:eastAsia="en-US"/>
        </w:rPr>
        <w:t>uwzględniając</w:t>
      </w:r>
      <w:proofErr w:type="gramEnd"/>
      <w:r w:rsidRPr="00BD0A89">
        <w:rPr>
          <w:lang w:eastAsia="en-US"/>
        </w:rPr>
        <w:t xml:space="preserve"> opinię Europejskiego Komitetu Ekonomiczno-Społecznego</w:t>
      </w:r>
      <w:r w:rsidRPr="00BD0A89">
        <w:rPr>
          <w:vertAlign w:val="superscript"/>
          <w:lang w:val="en-GB" w:eastAsia="en-US"/>
        </w:rPr>
        <w:footnoteReference w:id="2"/>
      </w:r>
      <w:r w:rsidRPr="00BD0A89">
        <w:rPr>
          <w:lang w:eastAsia="en-US"/>
        </w:rPr>
        <w:t>,</w:t>
      </w:r>
    </w:p>
    <w:p w:rsidR="00BD0A89" w:rsidRPr="00BD0A89" w:rsidRDefault="00BD0A89" w:rsidP="00BD0A89">
      <w:pPr>
        <w:spacing w:before="120" w:after="120" w:line="360" w:lineRule="auto"/>
        <w:rPr>
          <w:lang w:eastAsia="en-US"/>
        </w:rPr>
      </w:pPr>
      <w:proofErr w:type="gramStart"/>
      <w:r w:rsidRPr="00BD0A89">
        <w:rPr>
          <w:lang w:eastAsia="en-US"/>
        </w:rPr>
        <w:t>stanowiąc</w:t>
      </w:r>
      <w:proofErr w:type="gramEnd"/>
      <w:r w:rsidRPr="00BD0A89">
        <w:rPr>
          <w:lang w:eastAsia="en-US"/>
        </w:rPr>
        <w:t xml:space="preserve"> zgodnie ze zwykłą procedurą ustawodawczą,</w:t>
      </w:r>
    </w:p>
    <w:p w:rsidR="00BD0A89" w:rsidRDefault="00BD0A89">
      <w:pPr>
        <w:widowControl/>
        <w:rPr>
          <w:lang w:eastAsia="en-US"/>
        </w:rPr>
      </w:pPr>
      <w:r>
        <w:rPr>
          <w:lang w:eastAsia="en-US"/>
        </w:rPr>
        <w:br w:type="page"/>
      </w:r>
    </w:p>
    <w:p w:rsidR="00BD0A89" w:rsidRPr="00BD0A89" w:rsidRDefault="00BD0A89" w:rsidP="00BD0A89">
      <w:pPr>
        <w:spacing w:before="120" w:after="120" w:line="360" w:lineRule="auto"/>
        <w:rPr>
          <w:lang w:eastAsia="en-US"/>
        </w:rPr>
      </w:pPr>
      <w:proofErr w:type="gramStart"/>
      <w:r w:rsidRPr="00BD0A89">
        <w:rPr>
          <w:lang w:eastAsia="en-US"/>
        </w:rPr>
        <w:lastRenderedPageBreak/>
        <w:t>a</w:t>
      </w:r>
      <w:proofErr w:type="gramEnd"/>
      <w:r w:rsidRPr="00BD0A89">
        <w:rPr>
          <w:lang w:eastAsia="en-US"/>
        </w:rPr>
        <w:t xml:space="preserve"> także mając na uwadze, co następuje:</w:t>
      </w:r>
    </w:p>
    <w:p w:rsidR="00BD0A89" w:rsidRPr="00BD0A89" w:rsidRDefault="00BD0A89" w:rsidP="00BD0A89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BD0A89">
        <w:rPr>
          <w:szCs w:val="24"/>
          <w:lang w:eastAsia="en-US"/>
        </w:rPr>
        <w:t>(1)</w:t>
      </w:r>
      <w:r w:rsidRPr="00BD0A89">
        <w:rPr>
          <w:szCs w:val="24"/>
          <w:lang w:eastAsia="en-US"/>
        </w:rPr>
        <w:tab/>
        <w:t>W</w:t>
      </w:r>
      <w:proofErr w:type="gramEnd"/>
      <w:r w:rsidRPr="00BD0A89">
        <w:rPr>
          <w:szCs w:val="24"/>
          <w:lang w:eastAsia="en-US"/>
        </w:rPr>
        <w:t xml:space="preserve"> dyrektywie Parlamentu Europejskiego i Rady (UE) .../... w sprawie europejskich stowarzyszeń transgranicznych (COM</w:t>
      </w:r>
      <w:proofErr w:type="gramStart"/>
      <w:r w:rsidRPr="00BD0A89">
        <w:rPr>
          <w:szCs w:val="24"/>
          <w:lang w:eastAsia="en-US"/>
        </w:rPr>
        <w:t>(2023) 516)</w:t>
      </w:r>
      <w:r w:rsidRPr="00BD0A89">
        <w:rPr>
          <w:szCs w:val="24"/>
          <w:vertAlign w:val="superscript"/>
          <w:lang w:val="en-GB" w:eastAsia="en-US"/>
        </w:rPr>
        <w:footnoteReference w:id="3"/>
      </w:r>
      <w:r w:rsidRPr="00BD0A89">
        <w:rPr>
          <w:szCs w:val="24"/>
          <w:lang w:eastAsia="en-US"/>
        </w:rPr>
        <w:t xml:space="preserve"> określa</w:t>
      </w:r>
      <w:proofErr w:type="gramEnd"/>
      <w:r w:rsidRPr="00BD0A89">
        <w:rPr>
          <w:szCs w:val="24"/>
          <w:lang w:eastAsia="en-US"/>
        </w:rPr>
        <w:t xml:space="preserve"> się środki służące koordynacji warunków tworzenia i funkcjonowania „europejskich stowarzyszeń transgranicznych” z myślą o ułatwieniu skutecznego korzystania z prawa do swobodnego przemieszczania się przez organizacje niekomercyjne działające na rynku wewnętrznym.</w:t>
      </w:r>
    </w:p>
    <w:p w:rsidR="00BD0A89" w:rsidRPr="00BD0A89" w:rsidRDefault="00BD0A89" w:rsidP="00BD0A89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BD0A89">
        <w:rPr>
          <w:szCs w:val="24"/>
          <w:lang w:eastAsia="en-US"/>
        </w:rPr>
        <w:t>(2)</w:t>
      </w:r>
      <w:r w:rsidRPr="00BD0A89">
        <w:rPr>
          <w:szCs w:val="24"/>
          <w:lang w:eastAsia="en-US"/>
        </w:rPr>
        <w:tab/>
        <w:t>Zgodnie</w:t>
      </w:r>
      <w:proofErr w:type="gramEnd"/>
      <w:r w:rsidRPr="00BD0A89">
        <w:rPr>
          <w:szCs w:val="24"/>
          <w:lang w:eastAsia="en-US"/>
        </w:rPr>
        <w:t xml:space="preserve"> z art. </w:t>
      </w:r>
      <w:r w:rsidRPr="00BD0A89">
        <w:rPr>
          <w:strike/>
          <w:szCs w:val="24"/>
          <w:lang w:eastAsia="en-US"/>
        </w:rPr>
        <w:t>30</w:t>
      </w:r>
      <w:r w:rsidRPr="00BD0A89">
        <w:rPr>
          <w:b/>
          <w:i/>
          <w:szCs w:val="24"/>
          <w:lang w:eastAsia="en-US"/>
        </w:rPr>
        <w:t>28</w:t>
      </w:r>
      <w:r w:rsidRPr="00BD0A89">
        <w:rPr>
          <w:szCs w:val="24"/>
          <w:lang w:eastAsia="en-US"/>
        </w:rPr>
        <w:t xml:space="preserve"> ust. 2 dyrektywy COM(2023) 516 współpracę administracyjną i wymianę informacji między właściwymi organami państw członkowskich należy realizować za pośrednictwem systemu wymiany informacji na rynku wewnętrznym („system IMI”) ustanowionego rozporządzeniem Parlamentu Europejskiego i Rady (UE) nr 1024/2012</w:t>
      </w:r>
      <w:r w:rsidRPr="00BD0A89">
        <w:rPr>
          <w:szCs w:val="24"/>
          <w:vertAlign w:val="superscript"/>
          <w:lang w:val="en-GB" w:eastAsia="en-US"/>
        </w:rPr>
        <w:footnoteReference w:id="4"/>
      </w:r>
      <w:r w:rsidRPr="00BD0A89">
        <w:rPr>
          <w:szCs w:val="24"/>
          <w:lang w:eastAsia="en-US"/>
        </w:rPr>
        <w:t>. Z tego względu w systemie IMI należy ustanowić niezbędne procedury współpracy administracyjnej</w:t>
      </w:r>
      <w:r w:rsidRPr="00BD0A89">
        <w:rPr>
          <w:b/>
          <w:i/>
          <w:szCs w:val="24"/>
          <w:lang w:eastAsia="en-US"/>
        </w:rPr>
        <w:t xml:space="preserve"> oraz procedury wymiany informacji między właściwymi organami</w:t>
      </w:r>
      <w:r w:rsidRPr="00BD0A89">
        <w:rPr>
          <w:szCs w:val="24"/>
          <w:lang w:eastAsia="en-US"/>
        </w:rPr>
        <w:t>.</w:t>
      </w:r>
      <w:r>
        <w:rPr>
          <w:b/>
          <w:szCs w:val="24"/>
          <w:lang w:eastAsia="en-US"/>
        </w:rPr>
        <w:t xml:space="preserve"> [Popr. 1]</w:t>
      </w:r>
    </w:p>
    <w:p w:rsidR="00BD0A89" w:rsidRDefault="00BD0A89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BD0A89" w:rsidRPr="00BD0A89" w:rsidRDefault="00BD0A89" w:rsidP="00BD0A89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BD0A89">
        <w:rPr>
          <w:szCs w:val="24"/>
          <w:lang w:eastAsia="en-US"/>
        </w:rPr>
        <w:lastRenderedPageBreak/>
        <w:t>(3)</w:t>
      </w:r>
      <w:r w:rsidRPr="00BD0A89">
        <w:rPr>
          <w:szCs w:val="24"/>
          <w:lang w:eastAsia="en-US"/>
        </w:rPr>
        <w:tab/>
        <w:t>Zgodnie</w:t>
      </w:r>
      <w:proofErr w:type="gramEnd"/>
      <w:r w:rsidRPr="00BD0A89">
        <w:rPr>
          <w:szCs w:val="24"/>
          <w:lang w:eastAsia="en-US"/>
        </w:rPr>
        <w:t xml:space="preserve"> z art. 2 i 3 rozporządzenia Parlamentu Europejskiego i Rady (UE) 2018/1724</w:t>
      </w:r>
      <w:r w:rsidRPr="00BD0A89">
        <w:rPr>
          <w:szCs w:val="24"/>
          <w:vertAlign w:val="superscript"/>
          <w:lang w:val="en-GB" w:eastAsia="en-US"/>
        </w:rPr>
        <w:footnoteReference w:id="5"/>
      </w:r>
      <w:r w:rsidRPr="00BD0A89">
        <w:rPr>
          <w:szCs w:val="24"/>
          <w:lang w:eastAsia="en-US"/>
        </w:rPr>
        <w:t xml:space="preserve"> jednolity portal cyfrowy zapewnia dostęp do informacji, procedur oraz usług wsparcia i rozwiązywania problemów obywatelom Unii, osobom fizycznym zamieszkującym w państwie członkowskim oraz osobom prawnym mającym siedzibę statutową w państwie członkowskim. W części normatywnej rozporządzenia (UE) 2018/1724 oraz załączniku I do tego rozporządzenia należy wprowadzić zmiany </w:t>
      </w:r>
      <w:r w:rsidRPr="00BD0A89">
        <w:rPr>
          <w:b/>
          <w:i/>
          <w:szCs w:val="24"/>
          <w:lang w:eastAsia="en-US"/>
        </w:rPr>
        <w:t xml:space="preserve">niniejszym rozporządzeniem </w:t>
      </w:r>
      <w:r w:rsidRPr="00BD0A89">
        <w:rPr>
          <w:szCs w:val="24"/>
          <w:lang w:eastAsia="en-US"/>
        </w:rPr>
        <w:t>w celu zapewnienia, aby jego zakres nie był rozumiany jako odnoszący się wyłącznie do obywateli i przedsiębiorstw, ale by dotyczył także osób prawnych niebędących przedsiębiorstwami, takich jak europejskie stowarzyszenia transgraniczne.</w:t>
      </w:r>
      <w:r>
        <w:rPr>
          <w:b/>
          <w:szCs w:val="24"/>
          <w:lang w:eastAsia="en-US"/>
        </w:rPr>
        <w:t xml:space="preserve"> [Popr. 2]</w:t>
      </w:r>
    </w:p>
    <w:p w:rsidR="00BD0A89" w:rsidRPr="00BD0A89" w:rsidRDefault="00BD0A89" w:rsidP="00BD0A89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BD0A89">
        <w:rPr>
          <w:szCs w:val="24"/>
          <w:lang w:eastAsia="en-US"/>
        </w:rPr>
        <w:t>(4)</w:t>
      </w:r>
      <w:r w:rsidRPr="00BD0A89">
        <w:rPr>
          <w:szCs w:val="24"/>
          <w:lang w:eastAsia="en-US"/>
        </w:rPr>
        <w:tab/>
        <w:t>W</w:t>
      </w:r>
      <w:proofErr w:type="gramEnd"/>
      <w:r w:rsidRPr="00BD0A89">
        <w:rPr>
          <w:szCs w:val="24"/>
          <w:lang w:eastAsia="en-US"/>
        </w:rPr>
        <w:t xml:space="preserve"> rozporządzeniu Parlamentu Europejskiego i Rady (UE) 2018/1724</w:t>
      </w:r>
      <w:r w:rsidRPr="00BD0A89">
        <w:rPr>
          <w:szCs w:val="24"/>
          <w:vertAlign w:val="superscript"/>
          <w:lang w:val="en-GB" w:eastAsia="en-US"/>
        </w:rPr>
        <w:footnoteReference w:id="6"/>
      </w:r>
      <w:r w:rsidRPr="00BD0A89">
        <w:rPr>
          <w:szCs w:val="24"/>
          <w:lang w:eastAsia="en-US"/>
        </w:rPr>
        <w:t>, na mocy którego utworzono jednolity portal cyfrowy, ustanowiono ogólne zasady zapewniania dostępu online do informacji, procedur i usług wsparcia, które mają znaczenie dla funkcjonowania rynku wewnętrznego. Procedury objęte niniejszym rozporządzeniem powinny być zgodne z wymogami rozporządzenia (UE) 2018/1724, aby zapewnić każdemu europejskiemu stowarzyszeniu transgranicznemu możliwość czerpania korzyści z procedur w całości dostępnych online oraz transgranicznej zautomatyzowanej wymiany dowodów zgodnie z zasadą jednorazowości. Procedury te obejmują składanie wniosków o rejestrację europejskiego stowarzyszenia transgranicznego oraz procedurę przeniesienia siedziby statutowej europejskiego stowarzyszenia transgranicznego.</w:t>
      </w:r>
    </w:p>
    <w:p w:rsidR="00BD0A89" w:rsidRDefault="00BD0A89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BD0A89" w:rsidRPr="00BD0A89" w:rsidRDefault="00BD0A89" w:rsidP="00BD0A89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BD0A89">
        <w:rPr>
          <w:szCs w:val="24"/>
          <w:lang w:eastAsia="en-US"/>
        </w:rPr>
        <w:lastRenderedPageBreak/>
        <w:t>(5)</w:t>
      </w:r>
      <w:r w:rsidRPr="00BD0A89">
        <w:rPr>
          <w:szCs w:val="24"/>
          <w:lang w:eastAsia="en-US"/>
        </w:rPr>
        <w:tab/>
        <w:t>Należy</w:t>
      </w:r>
      <w:proofErr w:type="gramEnd"/>
      <w:r w:rsidRPr="00BD0A89">
        <w:rPr>
          <w:szCs w:val="24"/>
          <w:lang w:eastAsia="en-US"/>
        </w:rPr>
        <w:t xml:space="preserve"> zatem odpowiednio zmienić rozporządzenia (UE) nr 1024/2012 i (UE) 2018/1724,</w:t>
      </w:r>
    </w:p>
    <w:p w:rsidR="00BD0A89" w:rsidRPr="00BD0A89" w:rsidRDefault="00BD0A89" w:rsidP="00BD0A89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BD0A89">
        <w:rPr>
          <w:b/>
          <w:i/>
          <w:szCs w:val="24"/>
          <w:lang w:eastAsia="en-US"/>
        </w:rPr>
        <w:t>(5a</w:t>
      </w:r>
      <w:proofErr w:type="gramStart"/>
      <w:r w:rsidRPr="00BD0A89">
        <w:rPr>
          <w:b/>
          <w:i/>
          <w:szCs w:val="24"/>
          <w:lang w:eastAsia="en-US"/>
        </w:rPr>
        <w:t>)</w:t>
      </w:r>
      <w:r w:rsidRPr="00BD0A89">
        <w:rPr>
          <w:szCs w:val="24"/>
          <w:lang w:eastAsia="en-US"/>
        </w:rPr>
        <w:tab/>
      </w:r>
      <w:r w:rsidRPr="00BD0A89">
        <w:rPr>
          <w:b/>
          <w:i/>
          <w:szCs w:val="24"/>
          <w:lang w:eastAsia="en-US"/>
        </w:rPr>
        <w:t>Zgodnie</w:t>
      </w:r>
      <w:proofErr w:type="gramEnd"/>
      <w:r w:rsidRPr="00BD0A89">
        <w:rPr>
          <w:b/>
          <w:i/>
          <w:szCs w:val="24"/>
          <w:lang w:eastAsia="en-US"/>
        </w:rPr>
        <w:t xml:space="preserve"> z art. 42 ust. 1 rozporządzenia (UE) 2018/1725 skonsultowano się z Europejskim Inspektorem Ochrony Danych, który wydał opinię 31 października 2023 r.,</w:t>
      </w:r>
      <w:r>
        <w:rPr>
          <w:b/>
          <w:szCs w:val="24"/>
          <w:lang w:eastAsia="en-US"/>
        </w:rPr>
        <w:t xml:space="preserve"> [Popr. 3]</w:t>
      </w:r>
    </w:p>
    <w:p w:rsidR="00BD0A89" w:rsidRPr="00BD0A89" w:rsidRDefault="00BD0A89" w:rsidP="00BD0A89">
      <w:pPr>
        <w:keepNext/>
        <w:widowControl/>
        <w:spacing w:before="120" w:after="120" w:line="360" w:lineRule="auto"/>
        <w:rPr>
          <w:szCs w:val="24"/>
          <w:lang w:eastAsia="en-US"/>
        </w:rPr>
      </w:pPr>
      <w:r w:rsidRPr="00BD0A89">
        <w:rPr>
          <w:szCs w:val="24"/>
          <w:lang w:eastAsia="en-US"/>
        </w:rPr>
        <w:t>PRZYJMUJĄ NINIEJSZE ROZPORZĄDZENIE:</w:t>
      </w:r>
    </w:p>
    <w:p w:rsidR="00BD0A89" w:rsidRDefault="00BD0A89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BD0A89" w:rsidRPr="00BD0A89" w:rsidRDefault="00BD0A89" w:rsidP="00BD0A89">
      <w:pPr>
        <w:spacing w:before="120" w:after="120" w:line="360" w:lineRule="auto"/>
        <w:jc w:val="center"/>
        <w:rPr>
          <w:szCs w:val="24"/>
          <w:lang w:eastAsia="en-US"/>
        </w:rPr>
      </w:pPr>
      <w:r w:rsidRPr="00BD0A89">
        <w:rPr>
          <w:szCs w:val="24"/>
          <w:lang w:eastAsia="en-US"/>
        </w:rPr>
        <w:lastRenderedPageBreak/>
        <w:t>Artykuł 1</w:t>
      </w:r>
      <w:r w:rsidRPr="00BD0A89">
        <w:rPr>
          <w:szCs w:val="24"/>
          <w:lang w:eastAsia="en-US"/>
        </w:rPr>
        <w:br/>
        <w:t>Zmiana w rozporządzeniu (UE) nr 1024/2012</w:t>
      </w:r>
    </w:p>
    <w:p w:rsidR="00BD0A89" w:rsidRPr="00BD0A89" w:rsidRDefault="00BD0A89" w:rsidP="00BD0A89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BD0A89">
        <w:rPr>
          <w:szCs w:val="24"/>
          <w:lang w:eastAsia="en-US"/>
        </w:rPr>
        <w:t> </w:t>
      </w:r>
      <w:r w:rsidRPr="00BD0A89">
        <w:rPr>
          <w:szCs w:val="24"/>
          <w:lang w:eastAsia="en-US"/>
        </w:rPr>
        <w:tab/>
        <w:t>W załączniku do rozporządzenia (UE) nr 1024/2012 dodaje się nowy pkt 16 w brzmieniu:</w:t>
      </w:r>
    </w:p>
    <w:p w:rsidR="00BD0A89" w:rsidRPr="00BD0A89" w:rsidRDefault="00BD0A89" w:rsidP="00BD0A89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BD0A89">
        <w:rPr>
          <w:szCs w:val="24"/>
          <w:lang w:eastAsia="en-US"/>
        </w:rPr>
        <w:t>„16.</w:t>
      </w:r>
      <w:r w:rsidRPr="00BD0A89">
        <w:rPr>
          <w:szCs w:val="24"/>
          <w:lang w:eastAsia="en-US"/>
        </w:rPr>
        <w:tab/>
        <w:t>Dyrektywa Parlamentu Europejskiego i Rady (UE) .../... w sprawie europejskich stowarzyszeń transgranicznych (COM</w:t>
      </w:r>
      <w:proofErr w:type="gramStart"/>
      <w:r w:rsidRPr="00BD0A89">
        <w:rPr>
          <w:szCs w:val="24"/>
          <w:lang w:eastAsia="en-US"/>
        </w:rPr>
        <w:t>(2023) 516)*: art</w:t>
      </w:r>
      <w:proofErr w:type="gramEnd"/>
      <w:r w:rsidRPr="00BD0A89">
        <w:rPr>
          <w:szCs w:val="24"/>
          <w:lang w:eastAsia="en-US"/>
        </w:rPr>
        <w:t>. 19 ust. 2, art. 19 ust. 4, art. 23 ust. 5, art. 23 ust. 6, art. 23 ust. 7, art. 24 ust. 3, art. 25 ust. 6, art. 27.</w:t>
      </w:r>
    </w:p>
    <w:p w:rsidR="00BD0A89" w:rsidRPr="00BD0A89" w:rsidRDefault="00BD0A89" w:rsidP="00BD0A89">
      <w:pPr>
        <w:spacing w:before="120" w:after="120" w:line="360" w:lineRule="auto"/>
        <w:ind w:left="1416"/>
        <w:rPr>
          <w:szCs w:val="24"/>
          <w:lang w:eastAsia="en-US"/>
        </w:rPr>
      </w:pPr>
      <w:r w:rsidRPr="00BD0A89">
        <w:rPr>
          <w:szCs w:val="24"/>
          <w:lang w:eastAsia="en-US"/>
        </w:rPr>
        <w:t>____________________</w:t>
      </w:r>
    </w:p>
    <w:p w:rsidR="00BD0A89" w:rsidRPr="00BD0A89" w:rsidRDefault="00BD0A89" w:rsidP="00BD0A89">
      <w:pPr>
        <w:spacing w:before="120" w:after="120" w:line="360" w:lineRule="auto"/>
        <w:ind w:left="1416"/>
        <w:rPr>
          <w:szCs w:val="24"/>
          <w:lang w:eastAsia="en-US"/>
        </w:rPr>
      </w:pPr>
      <w:r w:rsidRPr="00BD0A89">
        <w:rPr>
          <w:szCs w:val="24"/>
          <w:lang w:eastAsia="en-US"/>
        </w:rPr>
        <w:t>*(odniesienie do Dz.U.)..”</w:t>
      </w:r>
    </w:p>
    <w:p w:rsidR="00BD0A89" w:rsidRDefault="00BD0A89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BD0A89" w:rsidRPr="00BD0A89" w:rsidRDefault="00BD0A89" w:rsidP="00BD0A89">
      <w:pPr>
        <w:spacing w:before="120" w:after="120" w:line="360" w:lineRule="auto"/>
        <w:jc w:val="center"/>
        <w:rPr>
          <w:szCs w:val="24"/>
          <w:lang w:eastAsia="en-US"/>
        </w:rPr>
      </w:pPr>
      <w:r w:rsidRPr="00BD0A89">
        <w:rPr>
          <w:szCs w:val="24"/>
          <w:lang w:eastAsia="en-US"/>
        </w:rPr>
        <w:lastRenderedPageBreak/>
        <w:t>Artykuł 2</w:t>
      </w:r>
      <w:r w:rsidRPr="00BD0A89">
        <w:rPr>
          <w:szCs w:val="24"/>
          <w:lang w:eastAsia="en-US"/>
        </w:rPr>
        <w:br/>
        <w:t>Zmiany w rozporządzeniu (UE) 2018/1724</w:t>
      </w:r>
    </w:p>
    <w:p w:rsidR="00BD0A89" w:rsidRPr="00BD0A89" w:rsidRDefault="00BD0A89" w:rsidP="00BD0A89">
      <w:pPr>
        <w:spacing w:before="120" w:after="120" w:line="360" w:lineRule="auto"/>
        <w:rPr>
          <w:szCs w:val="24"/>
          <w:lang w:eastAsia="en-US"/>
        </w:rPr>
      </w:pPr>
      <w:r w:rsidRPr="00BD0A89">
        <w:rPr>
          <w:szCs w:val="24"/>
          <w:lang w:eastAsia="en-US"/>
        </w:rPr>
        <w:t>W rozporządzeniu (UE) 2018/1724 wprowadza się następujące zmiany:</w:t>
      </w:r>
    </w:p>
    <w:p w:rsidR="00BD0A89" w:rsidRPr="00BD0A89" w:rsidRDefault="00BD0A89" w:rsidP="00BD0A89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BD0A89">
        <w:rPr>
          <w:szCs w:val="24"/>
          <w:lang w:eastAsia="en-US"/>
        </w:rPr>
        <w:t>1)</w:t>
      </w:r>
      <w:r w:rsidRPr="00BD0A89">
        <w:rPr>
          <w:szCs w:val="24"/>
          <w:lang w:eastAsia="en-US"/>
        </w:rPr>
        <w:tab/>
        <w:t>art</w:t>
      </w:r>
      <w:proofErr w:type="gramEnd"/>
      <w:r w:rsidRPr="00BD0A89">
        <w:rPr>
          <w:szCs w:val="24"/>
          <w:lang w:eastAsia="en-US"/>
        </w:rPr>
        <w:t>. 1 ust. 1 lit. a) otrzymuje brzmienie:</w:t>
      </w:r>
    </w:p>
    <w:p w:rsidR="00BD0A89" w:rsidRPr="00BD0A89" w:rsidRDefault="00BD0A89" w:rsidP="00BD0A89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BD0A89">
        <w:rPr>
          <w:szCs w:val="24"/>
          <w:lang w:eastAsia="en-US"/>
        </w:rPr>
        <w:t>„a</w:t>
      </w:r>
      <w:proofErr w:type="gramStart"/>
      <w:r w:rsidRPr="00BD0A89">
        <w:rPr>
          <w:szCs w:val="24"/>
          <w:lang w:eastAsia="en-US"/>
        </w:rPr>
        <w:t>)</w:t>
      </w:r>
      <w:r w:rsidRPr="00BD0A89">
        <w:rPr>
          <w:szCs w:val="24"/>
          <w:lang w:eastAsia="en-US"/>
        </w:rPr>
        <w:tab/>
        <w:t>tworzenia</w:t>
      </w:r>
      <w:proofErr w:type="gramEnd"/>
      <w:r w:rsidRPr="00BD0A89">
        <w:rPr>
          <w:szCs w:val="24"/>
          <w:lang w:eastAsia="en-US"/>
        </w:rPr>
        <w:t xml:space="preserve"> i funkcjonowania jednolitego portalu cyfrowego, aby zapewnić obywatelom, przedsiębiorstwom i osobom prawnym niebędącym przedsiębiorstwami łatwy dostęp do wysokiej jakości informacji, efektywnych procedur oraz skutecznych usług wsparcia i rozwiązywania problemów w odniesieniu do przepisów unijnych i krajowych mających zastosowanie do obywateli, przedsiębiorstw i osób prawnych niebędących przedsiębiorstwami, korzystających lub zamierzających korzystać ze swoich praw wynikających z prawa Unii w dziedzinie rynku wewnętrznego w rozumieniu art. 26 ust. 2 TFUE;”</w:t>
      </w:r>
    </w:p>
    <w:p w:rsidR="00BD0A89" w:rsidRDefault="00BD0A89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BD0A89" w:rsidRPr="00BD0A89" w:rsidRDefault="00BD0A89" w:rsidP="00BD0A89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BD0A89">
        <w:rPr>
          <w:szCs w:val="24"/>
          <w:lang w:eastAsia="en-US"/>
        </w:rPr>
        <w:lastRenderedPageBreak/>
        <w:t>2)</w:t>
      </w:r>
      <w:r w:rsidRPr="00BD0A89">
        <w:rPr>
          <w:szCs w:val="24"/>
          <w:lang w:eastAsia="en-US"/>
        </w:rPr>
        <w:tab/>
        <w:t>art</w:t>
      </w:r>
      <w:proofErr w:type="gramEnd"/>
      <w:r w:rsidRPr="00BD0A89">
        <w:rPr>
          <w:szCs w:val="24"/>
          <w:lang w:eastAsia="en-US"/>
        </w:rPr>
        <w:t>. 1 ust. 1 lit. b) otrzymuje brzmienie:</w:t>
      </w:r>
    </w:p>
    <w:p w:rsidR="00BD0A89" w:rsidRPr="00BD0A89" w:rsidRDefault="00BD0A89" w:rsidP="00BD0A89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BD0A89">
        <w:rPr>
          <w:szCs w:val="24"/>
          <w:lang w:eastAsia="en-US"/>
        </w:rPr>
        <w:t>„b</w:t>
      </w:r>
      <w:proofErr w:type="gramStart"/>
      <w:r w:rsidRPr="00BD0A89">
        <w:rPr>
          <w:szCs w:val="24"/>
          <w:lang w:eastAsia="en-US"/>
        </w:rPr>
        <w:t>)</w:t>
      </w:r>
      <w:r w:rsidRPr="00BD0A89">
        <w:rPr>
          <w:szCs w:val="24"/>
          <w:lang w:eastAsia="en-US"/>
        </w:rPr>
        <w:tab/>
        <w:t>korzystania</w:t>
      </w:r>
      <w:proofErr w:type="gramEnd"/>
      <w:r w:rsidRPr="00BD0A89">
        <w:rPr>
          <w:szCs w:val="24"/>
          <w:lang w:eastAsia="en-US"/>
        </w:rPr>
        <w:t xml:space="preserve"> z procedur przez użytkowników transgranicznych oraz wdrożenia zasady jednorazowości w związku z procedurami wymienionymi w załączniku II do niniejszego rozporządzenia oraz procedurami przewidzianymi w dyrektywach 2005/36/WE, 2006/123/WE, 2014/24/UE, 2014/25/UE i …/…*;</w:t>
      </w:r>
    </w:p>
    <w:p w:rsidR="00BD0A89" w:rsidRPr="00BD0A89" w:rsidRDefault="00BD0A89" w:rsidP="00BD0A89">
      <w:pPr>
        <w:spacing w:before="120" w:after="120" w:line="360" w:lineRule="auto"/>
        <w:ind w:left="1416"/>
        <w:rPr>
          <w:szCs w:val="24"/>
          <w:lang w:eastAsia="en-US"/>
        </w:rPr>
      </w:pPr>
      <w:r w:rsidRPr="00BD0A89">
        <w:rPr>
          <w:szCs w:val="24"/>
          <w:lang w:eastAsia="en-US"/>
        </w:rPr>
        <w:t>____________________</w:t>
      </w:r>
    </w:p>
    <w:p w:rsidR="00BD0A89" w:rsidRPr="00BD0A89" w:rsidRDefault="00BD0A89" w:rsidP="00BD0A89">
      <w:pPr>
        <w:spacing w:before="120" w:after="120" w:line="360" w:lineRule="auto"/>
        <w:ind w:left="1416"/>
        <w:rPr>
          <w:szCs w:val="24"/>
          <w:lang w:eastAsia="en-US"/>
        </w:rPr>
      </w:pPr>
      <w:r w:rsidRPr="00BD0A89">
        <w:rPr>
          <w:szCs w:val="24"/>
          <w:lang w:eastAsia="en-US"/>
        </w:rPr>
        <w:t xml:space="preserve">* Dyrektywa Parlamentu Europejskiego i Rady z dnia ... </w:t>
      </w:r>
      <w:proofErr w:type="gramStart"/>
      <w:r w:rsidRPr="00BD0A89">
        <w:rPr>
          <w:szCs w:val="24"/>
          <w:lang w:eastAsia="en-US"/>
        </w:rPr>
        <w:t>w</w:t>
      </w:r>
      <w:proofErr w:type="gramEnd"/>
      <w:r w:rsidRPr="00BD0A89">
        <w:rPr>
          <w:szCs w:val="24"/>
          <w:lang w:eastAsia="en-US"/>
        </w:rPr>
        <w:t xml:space="preserve"> sprawie europejskich stowarzyszeń transgranicznych (odniesienie do Dz.U.).;”</w:t>
      </w:r>
    </w:p>
    <w:p w:rsidR="00BD0A89" w:rsidRPr="00BD0A89" w:rsidRDefault="00BD0A89" w:rsidP="00BD0A89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BD0A89">
        <w:rPr>
          <w:szCs w:val="24"/>
          <w:lang w:eastAsia="en-US"/>
        </w:rPr>
        <w:t>3)</w:t>
      </w:r>
      <w:r w:rsidRPr="00BD0A89">
        <w:rPr>
          <w:szCs w:val="24"/>
          <w:lang w:eastAsia="en-US"/>
        </w:rPr>
        <w:tab/>
        <w:t>art</w:t>
      </w:r>
      <w:proofErr w:type="gramEnd"/>
      <w:r w:rsidRPr="00BD0A89">
        <w:rPr>
          <w:szCs w:val="24"/>
          <w:lang w:eastAsia="en-US"/>
        </w:rPr>
        <w:t>. 2 ust. 2 lit. c) otrzymuje brzmienie:</w:t>
      </w:r>
    </w:p>
    <w:p w:rsidR="00BD0A89" w:rsidRPr="00BD0A89" w:rsidRDefault="00BD0A89" w:rsidP="00BD0A89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BD0A89">
        <w:rPr>
          <w:szCs w:val="24"/>
          <w:lang w:eastAsia="en-US"/>
        </w:rPr>
        <w:t>„c</w:t>
      </w:r>
      <w:proofErr w:type="gramStart"/>
      <w:r w:rsidRPr="00BD0A89">
        <w:rPr>
          <w:szCs w:val="24"/>
          <w:lang w:eastAsia="en-US"/>
        </w:rPr>
        <w:t>)</w:t>
      </w:r>
      <w:r w:rsidRPr="00BD0A89">
        <w:rPr>
          <w:szCs w:val="24"/>
          <w:lang w:eastAsia="en-US"/>
        </w:rPr>
        <w:tab/>
        <w:t>informacji</w:t>
      </w:r>
      <w:proofErr w:type="gramEnd"/>
      <w:r w:rsidRPr="00BD0A89">
        <w:rPr>
          <w:szCs w:val="24"/>
          <w:lang w:eastAsia="en-US"/>
        </w:rPr>
        <w:t xml:space="preserve"> na temat usług wsparcia i rozwiązywania problemów oraz linków do tych usług, wymienionych w załączniku III lub o których mowa w art. 7, z których mogą korzystać obywatele, przedsiębiorstwa i osoby prawne niebędące przedsiębiorstwami w przypadku pytań lub problemów dotyczących praw, obowiązków, przepisów lub procedur, o których mowa w lit. a) i b) niniejszego ustępu;”</w:t>
      </w:r>
    </w:p>
    <w:p w:rsidR="00BD0A89" w:rsidRDefault="00BD0A89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BD0A89" w:rsidRPr="00BD0A89" w:rsidRDefault="00BD0A89" w:rsidP="00BD0A89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BD0A89">
        <w:rPr>
          <w:szCs w:val="24"/>
          <w:lang w:eastAsia="en-US"/>
        </w:rPr>
        <w:lastRenderedPageBreak/>
        <w:t>4)</w:t>
      </w:r>
      <w:r w:rsidRPr="00BD0A89">
        <w:rPr>
          <w:szCs w:val="24"/>
          <w:lang w:eastAsia="en-US"/>
        </w:rPr>
        <w:tab/>
        <w:t>art</w:t>
      </w:r>
      <w:proofErr w:type="gramEnd"/>
      <w:r w:rsidRPr="00BD0A89">
        <w:rPr>
          <w:szCs w:val="24"/>
          <w:lang w:eastAsia="en-US"/>
        </w:rPr>
        <w:t>. 14 ust. 1 otrzymuje brzmienie:</w:t>
      </w:r>
    </w:p>
    <w:p w:rsidR="00BD0A89" w:rsidRPr="00BD0A89" w:rsidRDefault="00BD0A89" w:rsidP="00BD0A89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BD0A89">
        <w:rPr>
          <w:szCs w:val="24"/>
          <w:lang w:eastAsia="en-US"/>
        </w:rPr>
        <w:t>„1.</w:t>
      </w:r>
      <w:r w:rsidRPr="00BD0A89">
        <w:rPr>
          <w:szCs w:val="24"/>
          <w:lang w:eastAsia="en-US"/>
        </w:rPr>
        <w:tab/>
        <w:t>Do celów wymiany dowodów w procedurach online wymienionych w załączniku II do niniejszego rozporządzenia oraz procedurach przewidzianych w dyrektywach 2005/36/WE, 2006/123/WE, 2014/24/UE, 2014/25/UE i …/… Komisja we współpracy z państwami członkowskimi tworzy system techniczny zautomatyzowanej wymiany dowodów między właściwymi organami w różnych państwach członkowskich (zwany dalej »systemem technicznym«).;”</w:t>
      </w:r>
    </w:p>
    <w:p w:rsidR="00BD0A89" w:rsidRPr="00BD0A89" w:rsidRDefault="00BD0A89" w:rsidP="00BD0A89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BD0A89">
        <w:rPr>
          <w:szCs w:val="24"/>
          <w:lang w:eastAsia="en-US"/>
        </w:rPr>
        <w:t>5)</w:t>
      </w:r>
      <w:r w:rsidRPr="00BD0A89">
        <w:rPr>
          <w:szCs w:val="24"/>
          <w:lang w:eastAsia="en-US"/>
        </w:rPr>
        <w:tab/>
        <w:t>w</w:t>
      </w:r>
      <w:proofErr w:type="gramEnd"/>
      <w:r w:rsidRPr="00BD0A89">
        <w:rPr>
          <w:szCs w:val="24"/>
          <w:lang w:eastAsia="en-US"/>
        </w:rPr>
        <w:t xml:space="preserve"> załączniku I do rozporządzenia (UE) 2018/1724 wprowadza się następujące zmiany:</w:t>
      </w:r>
    </w:p>
    <w:p w:rsidR="00BD0A89" w:rsidRPr="00BD0A89" w:rsidRDefault="00BD0A89" w:rsidP="00BD0A89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BD0A89">
        <w:rPr>
          <w:szCs w:val="24"/>
          <w:lang w:eastAsia="en-US"/>
        </w:rPr>
        <w:t>a</w:t>
      </w:r>
      <w:proofErr w:type="gramStart"/>
      <w:r w:rsidRPr="00BD0A89">
        <w:rPr>
          <w:szCs w:val="24"/>
          <w:lang w:eastAsia="en-US"/>
        </w:rPr>
        <w:t>)</w:t>
      </w:r>
      <w:r w:rsidRPr="00BD0A89">
        <w:rPr>
          <w:szCs w:val="24"/>
          <w:lang w:eastAsia="en-US"/>
        </w:rPr>
        <w:tab/>
        <w:t>tytuł</w:t>
      </w:r>
      <w:proofErr w:type="gramEnd"/>
      <w:r w:rsidRPr="00BD0A89">
        <w:rPr>
          <w:szCs w:val="24"/>
          <w:lang w:eastAsia="en-US"/>
        </w:rPr>
        <w:t xml:space="preserve"> otrzymuje brzmienie:</w:t>
      </w:r>
    </w:p>
    <w:p w:rsidR="00BD0A89" w:rsidRPr="00BD0A89" w:rsidRDefault="00BD0A89" w:rsidP="00BD0A89">
      <w:pPr>
        <w:spacing w:before="120" w:after="120" w:line="360" w:lineRule="auto"/>
        <w:ind w:left="1416"/>
        <w:rPr>
          <w:szCs w:val="24"/>
          <w:lang w:eastAsia="en-US"/>
        </w:rPr>
      </w:pPr>
      <w:r w:rsidRPr="00BD0A89">
        <w:rPr>
          <w:szCs w:val="24"/>
          <w:lang w:eastAsia="en-US"/>
        </w:rPr>
        <w:t>„Wykaz obszarów informacji, o których mowa w art. 2 ust. 2 lit. a), które mają znaczenie dla obywateli, przedsiębiorstw i osób prawnych niebędących przedsiębiorstwami, mających siedzibę statutową w państwie członkowskim, korzystających ze swoich praw na rynku wewnętrznym;</w:t>
      </w:r>
    </w:p>
    <w:p w:rsidR="00BD0A89" w:rsidRDefault="00BD0A89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BD0A89" w:rsidRDefault="00BD0A89" w:rsidP="00BD0A89">
      <w:pPr>
        <w:spacing w:before="120" w:after="120" w:line="360" w:lineRule="auto"/>
        <w:ind w:left="1416" w:hanging="565"/>
        <w:rPr>
          <w:szCs w:val="24"/>
          <w:lang w:eastAsia="en-US"/>
        </w:rPr>
      </w:pPr>
      <w:r w:rsidRPr="00BD0A89">
        <w:rPr>
          <w:b/>
          <w:i/>
          <w:szCs w:val="24"/>
          <w:lang w:eastAsia="en-US"/>
        </w:rPr>
        <w:lastRenderedPageBreak/>
        <w:t>aa</w:t>
      </w:r>
      <w:proofErr w:type="gramStart"/>
      <w:r w:rsidRPr="00BD0A89">
        <w:rPr>
          <w:b/>
          <w:i/>
          <w:szCs w:val="24"/>
          <w:lang w:eastAsia="en-US"/>
        </w:rPr>
        <w:t>)</w:t>
      </w:r>
      <w:r w:rsidRPr="00BD0A89">
        <w:rPr>
          <w:b/>
          <w:i/>
          <w:szCs w:val="24"/>
          <w:lang w:eastAsia="en-US"/>
        </w:rPr>
        <w:tab/>
      </w:r>
      <w:r w:rsidR="00083793" w:rsidRPr="00083793">
        <w:rPr>
          <w:b/>
          <w:i/>
          <w:szCs w:val="24"/>
          <w:lang w:eastAsia="en-US"/>
        </w:rPr>
        <w:t>Obszary</w:t>
      </w:r>
      <w:proofErr w:type="gramEnd"/>
      <w:r w:rsidR="00083793" w:rsidRPr="00083793">
        <w:rPr>
          <w:b/>
          <w:i/>
          <w:szCs w:val="24"/>
          <w:lang w:eastAsia="en-US"/>
        </w:rPr>
        <w:t xml:space="preserve"> informacji dotyczących przedsiębiorstw</w:t>
      </w:r>
      <w:r w:rsidR="00083793">
        <w:rPr>
          <w:b/>
          <w:i/>
          <w:szCs w:val="24"/>
          <w:lang w:eastAsia="en-US"/>
        </w:rPr>
        <w:t>, litera J otrzymuje brzmienie</w:t>
      </w:r>
      <w:r w:rsidRPr="00BD0A89">
        <w:rPr>
          <w:b/>
          <w:i/>
          <w:szCs w:val="24"/>
          <w:lang w:eastAsia="en-US"/>
        </w:rPr>
        <w:t>:</w:t>
      </w:r>
    </w:p>
    <w:p w:rsidR="00083793" w:rsidRDefault="00083793" w:rsidP="00BD0A89">
      <w:pPr>
        <w:spacing w:before="120" w:after="120" w:line="360" w:lineRule="auto"/>
        <w:ind w:left="1416" w:hanging="565"/>
        <w:rPr>
          <w:b/>
          <w:i/>
        </w:rPr>
      </w:pPr>
      <w:r w:rsidRPr="00083793">
        <w:rPr>
          <w:b/>
          <w:i/>
        </w:rPr>
        <w:t>„Obszary informacji dotyczących przedsiębiorstw: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3793" w:rsidRPr="001A7E9E" w:rsidTr="00546DC5">
        <w:trPr>
          <w:jc w:val="center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93" w:rsidRPr="00083793" w:rsidRDefault="00083793" w:rsidP="00546DC5">
            <w:pPr>
              <w:pStyle w:val="Normal6"/>
              <w:rPr>
                <w:b/>
                <w:i/>
              </w:rPr>
            </w:pPr>
            <w:r w:rsidRPr="00083793">
              <w:rPr>
                <w:b/>
                <w:i/>
              </w:rPr>
              <w:t>Obszar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93" w:rsidRPr="00083793" w:rsidRDefault="00083793" w:rsidP="00546DC5">
            <w:pPr>
              <w:pStyle w:val="Normal6"/>
              <w:rPr>
                <w:b/>
                <w:i/>
              </w:rPr>
            </w:pPr>
            <w:r w:rsidRPr="00083793">
              <w:rPr>
                <w:b/>
                <w:i/>
              </w:rPr>
              <w:t>INFORMACJE DOTYCZĄCE PRAW, OBOWIĄZKÓW I PRZEPISÓW</w:t>
            </w:r>
          </w:p>
        </w:tc>
      </w:tr>
      <w:tr w:rsidR="00083793" w:rsidRPr="001A7E9E" w:rsidTr="00546DC5">
        <w:trPr>
          <w:jc w:val="center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93" w:rsidRPr="00083793" w:rsidRDefault="00083793" w:rsidP="00546DC5">
            <w:pPr>
              <w:pStyle w:val="Normal6"/>
              <w:rPr>
                <w:b/>
                <w:i/>
              </w:rPr>
            </w:pPr>
            <w:r w:rsidRPr="00083793">
              <w:rPr>
                <w:b/>
                <w:i/>
              </w:rPr>
              <w:t>J. Rozpoczęcie, prowadzenie i zakończenie działalności gospodarczej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793" w:rsidRPr="00083793" w:rsidRDefault="00083793" w:rsidP="00546DC5">
            <w:pPr>
              <w:pStyle w:val="Normal6"/>
              <w:rPr>
                <w:b/>
                <w:i/>
              </w:rPr>
            </w:pPr>
            <w:r w:rsidRPr="00083793">
              <w:rPr>
                <w:b/>
                <w:i/>
              </w:rPr>
              <w:t xml:space="preserve">1. </w:t>
            </w:r>
            <w:proofErr w:type="gramStart"/>
            <w:r w:rsidRPr="00083793">
              <w:rPr>
                <w:b/>
                <w:i/>
              </w:rPr>
              <w:t>rejestracja</w:t>
            </w:r>
            <w:proofErr w:type="gramEnd"/>
            <w:r w:rsidRPr="00083793">
              <w:rPr>
                <w:b/>
                <w:i/>
              </w:rPr>
              <w:t>, zmiana formy prawnej lub zakończenie działalności gospodarczej (procedury rejestracji i formy prawne prowadzenia działalności gospodarczej)</w:t>
            </w:r>
          </w:p>
          <w:p w:rsidR="00083793" w:rsidRPr="00083793" w:rsidRDefault="00083793" w:rsidP="00546DC5">
            <w:pPr>
              <w:pStyle w:val="Normal6"/>
              <w:rPr>
                <w:b/>
                <w:i/>
              </w:rPr>
            </w:pPr>
            <w:r w:rsidRPr="00083793">
              <w:rPr>
                <w:b/>
                <w:i/>
              </w:rPr>
              <w:t xml:space="preserve">2. </w:t>
            </w:r>
            <w:proofErr w:type="gramStart"/>
            <w:r w:rsidRPr="00083793">
              <w:rPr>
                <w:b/>
                <w:i/>
              </w:rPr>
              <w:t>przeniesienie</w:t>
            </w:r>
            <w:proofErr w:type="gramEnd"/>
            <w:r w:rsidRPr="00083793">
              <w:rPr>
                <w:b/>
                <w:i/>
              </w:rPr>
              <w:t xml:space="preserve"> </w:t>
            </w:r>
            <w:r w:rsidRPr="00083793">
              <w:rPr>
                <w:b/>
                <w:bCs/>
                <w:i/>
                <w:iCs/>
              </w:rPr>
              <w:t>statutowej siedziby przedsiębiorstwa</w:t>
            </w:r>
            <w:r w:rsidRPr="00083793">
              <w:rPr>
                <w:b/>
                <w:i/>
              </w:rPr>
              <w:t xml:space="preserve"> do innego państwa członkowskiego</w:t>
            </w:r>
          </w:p>
          <w:p w:rsidR="00083793" w:rsidRPr="00083793" w:rsidRDefault="00083793" w:rsidP="00546DC5">
            <w:pPr>
              <w:pStyle w:val="Normal6"/>
              <w:rPr>
                <w:b/>
                <w:i/>
              </w:rPr>
            </w:pPr>
            <w:r w:rsidRPr="00083793">
              <w:rPr>
                <w:b/>
                <w:i/>
              </w:rPr>
              <w:t xml:space="preserve">2a. </w:t>
            </w:r>
            <w:proofErr w:type="gramStart"/>
            <w:r w:rsidRPr="00083793">
              <w:rPr>
                <w:b/>
                <w:i/>
              </w:rPr>
              <w:t>zobowiązania</w:t>
            </w:r>
            <w:proofErr w:type="gramEnd"/>
            <w:r w:rsidRPr="00083793">
              <w:rPr>
                <w:b/>
                <w:i/>
              </w:rPr>
              <w:t xml:space="preserve"> wobec wierzycieli i z tytułu praw pracowniczych w związku z przeniesieniem statutowej siedziby przedsiębiorstwa do innego państwa członkowskiego</w:t>
            </w:r>
          </w:p>
          <w:p w:rsidR="00083793" w:rsidRPr="00083793" w:rsidRDefault="00083793" w:rsidP="00546DC5">
            <w:pPr>
              <w:pStyle w:val="Normal6"/>
              <w:rPr>
                <w:b/>
                <w:i/>
              </w:rPr>
            </w:pPr>
            <w:r w:rsidRPr="00083793">
              <w:rPr>
                <w:b/>
                <w:i/>
              </w:rPr>
              <w:t xml:space="preserve">3. </w:t>
            </w:r>
            <w:proofErr w:type="gramStart"/>
            <w:r w:rsidRPr="00083793">
              <w:rPr>
                <w:b/>
                <w:i/>
              </w:rPr>
              <w:t>prawa</w:t>
            </w:r>
            <w:proofErr w:type="gramEnd"/>
            <w:r w:rsidRPr="00083793">
              <w:rPr>
                <w:b/>
                <w:i/>
              </w:rPr>
              <w:t xml:space="preserve"> własności intelektualnej (zgłoszenia patentowe, rejestracja znaku towarowego, rysunku lub wzoru, uzyskanie licencji na zwielokrotnianie)</w:t>
            </w:r>
          </w:p>
          <w:p w:rsidR="00083793" w:rsidRPr="00083793" w:rsidRDefault="00083793" w:rsidP="00546DC5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  <w:r w:rsidRPr="00083793">
              <w:rPr>
                <w:b/>
                <w:i/>
              </w:rPr>
              <w:t xml:space="preserve">. </w:t>
            </w:r>
            <w:proofErr w:type="gramStart"/>
            <w:r w:rsidRPr="00083793">
              <w:rPr>
                <w:b/>
                <w:i/>
              </w:rPr>
              <w:t>uczciwość</w:t>
            </w:r>
            <w:proofErr w:type="gramEnd"/>
            <w:r w:rsidRPr="00083793">
              <w:rPr>
                <w:b/>
                <w:i/>
              </w:rPr>
              <w:t xml:space="preserve"> i przejrzystość praktyk handlowych, w tym prawa i gwarancje konsumenckie związane ze sprzedażą towarów i usług</w:t>
            </w:r>
          </w:p>
          <w:p w:rsidR="00083793" w:rsidRPr="00083793" w:rsidRDefault="00083793" w:rsidP="00546DC5">
            <w:pPr>
              <w:pStyle w:val="Normal6"/>
              <w:rPr>
                <w:b/>
                <w:i/>
              </w:rPr>
            </w:pPr>
            <w:r w:rsidRPr="00083793">
              <w:rPr>
                <w:b/>
                <w:i/>
              </w:rPr>
              <w:t xml:space="preserve">5. </w:t>
            </w:r>
            <w:proofErr w:type="gramStart"/>
            <w:r w:rsidRPr="00083793">
              <w:rPr>
                <w:b/>
                <w:i/>
              </w:rPr>
              <w:t>udostępnianie</w:t>
            </w:r>
            <w:proofErr w:type="gramEnd"/>
            <w:r w:rsidRPr="00083793">
              <w:rPr>
                <w:b/>
                <w:i/>
              </w:rPr>
              <w:t xml:space="preserve"> narzędzi online do dokonywania płatności transgranicznych przy sprzedaży online towarów i usług</w:t>
            </w:r>
          </w:p>
          <w:p w:rsidR="00083793" w:rsidRPr="00083793" w:rsidRDefault="00083793" w:rsidP="00546DC5">
            <w:pPr>
              <w:pStyle w:val="Normal6"/>
              <w:rPr>
                <w:b/>
                <w:i/>
              </w:rPr>
            </w:pPr>
            <w:r w:rsidRPr="00083793">
              <w:rPr>
                <w:b/>
                <w:i/>
              </w:rPr>
              <w:t xml:space="preserve">6. </w:t>
            </w:r>
            <w:proofErr w:type="gramStart"/>
            <w:r w:rsidRPr="00083793">
              <w:rPr>
                <w:b/>
                <w:i/>
              </w:rPr>
              <w:t>prawa</w:t>
            </w:r>
            <w:proofErr w:type="gramEnd"/>
            <w:r w:rsidRPr="00083793">
              <w:rPr>
                <w:b/>
                <w:i/>
              </w:rPr>
              <w:t xml:space="preserve"> i obowiązki wynikające z prawa zobowiązań, w tym odsetki za opóźnienia w płatnościach</w:t>
            </w:r>
          </w:p>
          <w:p w:rsidR="00083793" w:rsidRPr="00083793" w:rsidRDefault="00083793" w:rsidP="00546DC5">
            <w:pPr>
              <w:pStyle w:val="Normal6"/>
              <w:rPr>
                <w:b/>
                <w:i/>
              </w:rPr>
            </w:pPr>
            <w:r w:rsidRPr="00083793">
              <w:rPr>
                <w:b/>
                <w:i/>
              </w:rPr>
              <w:t xml:space="preserve">7. </w:t>
            </w:r>
            <w:proofErr w:type="gramStart"/>
            <w:r w:rsidRPr="00083793">
              <w:rPr>
                <w:b/>
                <w:i/>
              </w:rPr>
              <w:t>postępowanie</w:t>
            </w:r>
            <w:proofErr w:type="gramEnd"/>
            <w:r w:rsidRPr="00083793">
              <w:rPr>
                <w:b/>
                <w:i/>
              </w:rPr>
              <w:t xml:space="preserve"> upadłościowe i likwidacja spółek</w:t>
            </w:r>
          </w:p>
          <w:p w:rsidR="00083793" w:rsidRPr="00083793" w:rsidRDefault="00083793" w:rsidP="00546DC5">
            <w:pPr>
              <w:pStyle w:val="Normal6"/>
              <w:rPr>
                <w:b/>
                <w:i/>
              </w:rPr>
            </w:pPr>
            <w:r w:rsidRPr="00083793">
              <w:rPr>
                <w:b/>
                <w:i/>
              </w:rPr>
              <w:t xml:space="preserve">8. </w:t>
            </w:r>
            <w:proofErr w:type="gramStart"/>
            <w:r w:rsidRPr="00083793">
              <w:rPr>
                <w:b/>
                <w:i/>
              </w:rPr>
              <w:t>ubezpieczenie</w:t>
            </w:r>
            <w:proofErr w:type="gramEnd"/>
            <w:r w:rsidRPr="00083793">
              <w:rPr>
                <w:b/>
                <w:i/>
              </w:rPr>
              <w:t xml:space="preserve"> kredytu</w:t>
            </w:r>
          </w:p>
          <w:p w:rsidR="00083793" w:rsidRPr="00083793" w:rsidRDefault="00083793" w:rsidP="00546DC5">
            <w:pPr>
              <w:pStyle w:val="Normal6"/>
              <w:rPr>
                <w:b/>
                <w:i/>
              </w:rPr>
            </w:pPr>
            <w:r w:rsidRPr="00083793">
              <w:rPr>
                <w:b/>
                <w:i/>
              </w:rPr>
              <w:t xml:space="preserve">9. </w:t>
            </w:r>
            <w:proofErr w:type="gramStart"/>
            <w:r w:rsidRPr="00083793">
              <w:rPr>
                <w:b/>
                <w:i/>
              </w:rPr>
              <w:t>łączenie</w:t>
            </w:r>
            <w:proofErr w:type="gramEnd"/>
            <w:r w:rsidRPr="00083793">
              <w:rPr>
                <w:b/>
                <w:i/>
              </w:rPr>
              <w:t xml:space="preserve"> spółek lub sprzedaż przedsiębiorstwa</w:t>
            </w:r>
          </w:p>
          <w:p w:rsidR="00083793" w:rsidRPr="00083793" w:rsidRDefault="00083793" w:rsidP="00546DC5">
            <w:pPr>
              <w:pStyle w:val="Normal6"/>
              <w:rPr>
                <w:b/>
                <w:i/>
              </w:rPr>
            </w:pPr>
            <w:r w:rsidRPr="00083793">
              <w:rPr>
                <w:b/>
                <w:i/>
              </w:rPr>
              <w:t xml:space="preserve">10. </w:t>
            </w:r>
            <w:proofErr w:type="gramStart"/>
            <w:r w:rsidRPr="00083793">
              <w:rPr>
                <w:b/>
                <w:i/>
              </w:rPr>
              <w:t>odpowiedzialność</w:t>
            </w:r>
            <w:proofErr w:type="gramEnd"/>
            <w:r w:rsidRPr="00083793">
              <w:rPr>
                <w:b/>
                <w:i/>
              </w:rPr>
              <w:t xml:space="preserve"> cywilna członków zarządu spółek </w:t>
            </w:r>
            <w:r w:rsidRPr="00083793">
              <w:rPr>
                <w:b/>
                <w:bCs/>
                <w:i/>
                <w:iCs/>
              </w:rPr>
              <w:t>lub osób zarządzających spółkami</w:t>
            </w:r>
          </w:p>
          <w:p w:rsidR="00083793" w:rsidRPr="00083793" w:rsidRDefault="00083793" w:rsidP="00546DC5">
            <w:pPr>
              <w:pStyle w:val="Normal6"/>
              <w:rPr>
                <w:b/>
                <w:i/>
              </w:rPr>
            </w:pPr>
            <w:r w:rsidRPr="00083793">
              <w:rPr>
                <w:b/>
                <w:i/>
              </w:rPr>
              <w:t xml:space="preserve">11. </w:t>
            </w:r>
            <w:proofErr w:type="gramStart"/>
            <w:r w:rsidRPr="00083793">
              <w:rPr>
                <w:b/>
                <w:i/>
              </w:rPr>
              <w:t>zasady</w:t>
            </w:r>
            <w:proofErr w:type="gramEnd"/>
            <w:r w:rsidRPr="00083793">
              <w:rPr>
                <w:b/>
                <w:i/>
              </w:rPr>
              <w:t xml:space="preserve"> i obowiązki dotyczące przetwarzania danych osobowych</w:t>
            </w:r>
            <w:r>
              <w:rPr>
                <w:b/>
                <w:i/>
              </w:rPr>
              <w:t>”</w:t>
            </w:r>
          </w:p>
        </w:tc>
      </w:tr>
    </w:tbl>
    <w:p w:rsidR="00083793" w:rsidRPr="00BD0A89" w:rsidRDefault="00083793" w:rsidP="00083793">
      <w:pPr>
        <w:spacing w:before="120" w:after="120" w:line="360" w:lineRule="auto"/>
        <w:ind w:left="1416" w:hanging="565"/>
        <w:jc w:val="right"/>
        <w:rPr>
          <w:b/>
          <w:szCs w:val="24"/>
          <w:lang w:eastAsia="en-US"/>
        </w:rPr>
      </w:pPr>
      <w:r>
        <w:rPr>
          <w:b/>
          <w:szCs w:val="24"/>
          <w:lang w:eastAsia="en-US"/>
        </w:rPr>
        <w:t xml:space="preserve"> [Popr. 4]</w:t>
      </w:r>
    </w:p>
    <w:p w:rsidR="00083793" w:rsidRDefault="00083793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BD0A89" w:rsidRPr="00BD0A89" w:rsidRDefault="00BD0A89" w:rsidP="00BD0A89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BD0A89">
        <w:rPr>
          <w:szCs w:val="24"/>
          <w:lang w:eastAsia="en-US"/>
        </w:rPr>
        <w:lastRenderedPageBreak/>
        <w:t>b</w:t>
      </w:r>
      <w:proofErr w:type="gramStart"/>
      <w:r w:rsidRPr="00BD0A89">
        <w:rPr>
          <w:szCs w:val="24"/>
          <w:lang w:eastAsia="en-US"/>
        </w:rPr>
        <w:t>)</w:t>
      </w:r>
      <w:r w:rsidRPr="00BD0A89">
        <w:rPr>
          <w:szCs w:val="24"/>
          <w:lang w:eastAsia="en-US"/>
        </w:rPr>
        <w:tab/>
        <w:t>dodaje</w:t>
      </w:r>
      <w:proofErr w:type="gramEnd"/>
      <w:r w:rsidRPr="00BD0A89">
        <w:rPr>
          <w:szCs w:val="24"/>
          <w:lang w:eastAsia="en-US"/>
        </w:rPr>
        <w:t xml:space="preserve"> się obszary informacji w brzmieniu:</w:t>
      </w:r>
    </w:p>
    <w:p w:rsidR="00BD0A89" w:rsidRPr="00BD0A89" w:rsidRDefault="00BD0A89" w:rsidP="00BD0A89">
      <w:pPr>
        <w:spacing w:before="120" w:after="120" w:line="360" w:lineRule="auto"/>
        <w:ind w:left="850"/>
        <w:rPr>
          <w:szCs w:val="24"/>
          <w:lang w:eastAsia="en-US"/>
        </w:rPr>
      </w:pPr>
      <w:r w:rsidRPr="00BD0A89">
        <w:rPr>
          <w:szCs w:val="24"/>
          <w:lang w:eastAsia="en-US"/>
        </w:rPr>
        <w:t>„Obszary informacji dotyczących osób prawnych niebędących przedsiębiorstwami, mających siedzibę statutową w państwie członkowskim: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3382"/>
        <w:gridCol w:w="6246"/>
      </w:tblGrid>
      <w:tr w:rsidR="00BD0A89" w:rsidRPr="00BD0A89" w:rsidTr="00C914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A89" w:rsidRPr="00BD0A89" w:rsidRDefault="00BD0A89" w:rsidP="00BD0A89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BD0A89">
              <w:rPr>
                <w:szCs w:val="24"/>
                <w:lang w:eastAsia="en-US"/>
              </w:rPr>
              <w:t>AA. Rozpoczęcie, prowadzenie i zakończenie osoby prawnej niebędącej przedsiębiorstwem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93" w:rsidRDefault="00BD0A89" w:rsidP="00BD0A89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BD0A89">
              <w:rPr>
                <w:szCs w:val="24"/>
                <w:lang w:eastAsia="en-US"/>
              </w:rPr>
              <w:t xml:space="preserve">1. </w:t>
            </w:r>
            <w:proofErr w:type="gramStart"/>
            <w:r w:rsidRPr="00BD0A89">
              <w:rPr>
                <w:szCs w:val="24"/>
                <w:lang w:eastAsia="en-US"/>
              </w:rPr>
              <w:t>rejestracja</w:t>
            </w:r>
            <w:proofErr w:type="gramEnd"/>
            <w:r w:rsidRPr="00BD0A89">
              <w:rPr>
                <w:szCs w:val="24"/>
                <w:lang w:eastAsia="en-US"/>
              </w:rPr>
              <w:t>, zmiana formy prawnej lub zakończenie działalności osoby prawnej niebędącej przedsiębiorstwem (proced</w:t>
            </w:r>
            <w:r w:rsidR="00083793">
              <w:rPr>
                <w:szCs w:val="24"/>
                <w:lang w:eastAsia="en-US"/>
              </w:rPr>
              <w:t>ury rejestracji i formy prawne)</w:t>
            </w:r>
          </w:p>
          <w:p w:rsidR="00083793" w:rsidRDefault="00BD0A89" w:rsidP="00BD0A89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BD0A89">
              <w:rPr>
                <w:szCs w:val="24"/>
                <w:lang w:eastAsia="en-US"/>
              </w:rPr>
              <w:t xml:space="preserve">2. </w:t>
            </w:r>
            <w:proofErr w:type="gramStart"/>
            <w:r w:rsidRPr="00BD0A89">
              <w:rPr>
                <w:szCs w:val="24"/>
                <w:lang w:eastAsia="en-US"/>
              </w:rPr>
              <w:t>przeniesienie</w:t>
            </w:r>
            <w:proofErr w:type="gramEnd"/>
            <w:r w:rsidRPr="00BD0A89">
              <w:rPr>
                <w:szCs w:val="24"/>
                <w:lang w:eastAsia="en-US"/>
              </w:rPr>
              <w:t xml:space="preserve"> </w:t>
            </w:r>
            <w:r w:rsidR="00083793" w:rsidRPr="001A7E9E">
              <w:rPr>
                <w:b/>
                <w:bCs/>
                <w:i/>
                <w:iCs/>
              </w:rPr>
              <w:t>statutowej siedziby</w:t>
            </w:r>
            <w:r w:rsidR="00083793">
              <w:rPr>
                <w:b/>
                <w:bCs/>
                <w:i/>
                <w:iCs/>
              </w:rPr>
              <w:t xml:space="preserve"> </w:t>
            </w:r>
            <w:r w:rsidRPr="00BD0A89">
              <w:rPr>
                <w:szCs w:val="24"/>
                <w:lang w:eastAsia="en-US"/>
              </w:rPr>
              <w:t xml:space="preserve">osoby prawnej niebędącej przedsiębiorstwem do innego państwa członkowskiego </w:t>
            </w:r>
          </w:p>
          <w:p w:rsidR="00C91426" w:rsidRDefault="00C91426" w:rsidP="00BD0A89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1A7E9E">
              <w:rPr>
                <w:b/>
                <w:i/>
              </w:rPr>
              <w:t xml:space="preserve">2a. </w:t>
            </w:r>
            <w:proofErr w:type="gramStart"/>
            <w:r w:rsidRPr="001A7E9E">
              <w:rPr>
                <w:b/>
                <w:i/>
              </w:rPr>
              <w:t>zobowiązania</w:t>
            </w:r>
            <w:proofErr w:type="gramEnd"/>
            <w:r w:rsidRPr="001A7E9E">
              <w:rPr>
                <w:b/>
                <w:i/>
              </w:rPr>
              <w:t xml:space="preserve"> wobec wierzycieli i z tytułu praw pracowniczych w związku z przeniesieniem statutowej siedziby osoby prawnej niebędącej przedsiębiorstwem do innego państwa członkowskiego</w:t>
            </w:r>
          </w:p>
          <w:p w:rsidR="00083793" w:rsidRDefault="00BD0A89" w:rsidP="00BD0A89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BD0A89">
              <w:rPr>
                <w:szCs w:val="24"/>
                <w:lang w:eastAsia="en-US"/>
              </w:rPr>
              <w:t xml:space="preserve">3. </w:t>
            </w:r>
            <w:proofErr w:type="gramStart"/>
            <w:r w:rsidRPr="00BD0A89">
              <w:rPr>
                <w:szCs w:val="24"/>
                <w:lang w:eastAsia="en-US"/>
              </w:rPr>
              <w:t>prawa</w:t>
            </w:r>
            <w:proofErr w:type="gramEnd"/>
            <w:r w:rsidRPr="00BD0A89">
              <w:rPr>
                <w:szCs w:val="24"/>
                <w:lang w:eastAsia="en-US"/>
              </w:rPr>
              <w:t xml:space="preserve"> własności intelektualnej (zgłoszenia patentowe, rejestracja znaku towarowego, rysunku lub wzoru, uzyskani</w:t>
            </w:r>
            <w:r w:rsidR="00083793">
              <w:rPr>
                <w:szCs w:val="24"/>
                <w:lang w:eastAsia="en-US"/>
              </w:rPr>
              <w:t>e licencji na zwielokrotnianie)</w:t>
            </w:r>
          </w:p>
          <w:p w:rsidR="00083793" w:rsidRDefault="00BD0A89" w:rsidP="00BD0A89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BD0A89">
              <w:rPr>
                <w:szCs w:val="24"/>
                <w:lang w:eastAsia="en-US"/>
              </w:rPr>
              <w:t xml:space="preserve">4. </w:t>
            </w:r>
            <w:proofErr w:type="gramStart"/>
            <w:r w:rsidRPr="00BD0A89">
              <w:rPr>
                <w:szCs w:val="24"/>
                <w:lang w:eastAsia="en-US"/>
              </w:rPr>
              <w:t>uczciwość</w:t>
            </w:r>
            <w:proofErr w:type="gramEnd"/>
            <w:r w:rsidRPr="00BD0A89">
              <w:rPr>
                <w:szCs w:val="24"/>
                <w:lang w:eastAsia="en-US"/>
              </w:rPr>
              <w:t xml:space="preserve"> i przejrzystość praktyk handlowych, w tym prawa i gwarancje konsumenckie związa</w:t>
            </w:r>
            <w:r w:rsidR="00083793">
              <w:rPr>
                <w:szCs w:val="24"/>
                <w:lang w:eastAsia="en-US"/>
              </w:rPr>
              <w:t>ne ze sprzedażą towarów i usług</w:t>
            </w:r>
          </w:p>
          <w:p w:rsidR="00083793" w:rsidRDefault="00BD0A89" w:rsidP="00BD0A89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BD0A89">
              <w:rPr>
                <w:szCs w:val="24"/>
                <w:lang w:eastAsia="en-US"/>
              </w:rPr>
              <w:t xml:space="preserve">5. </w:t>
            </w:r>
            <w:proofErr w:type="gramStart"/>
            <w:r w:rsidRPr="00BD0A89">
              <w:rPr>
                <w:szCs w:val="24"/>
                <w:lang w:eastAsia="en-US"/>
              </w:rPr>
              <w:t>udostępnianie</w:t>
            </w:r>
            <w:proofErr w:type="gramEnd"/>
            <w:r w:rsidRPr="00BD0A89">
              <w:rPr>
                <w:szCs w:val="24"/>
                <w:lang w:eastAsia="en-US"/>
              </w:rPr>
              <w:t xml:space="preserve"> narzędzi online do dokonywania płatności transgranicznych przy s</w:t>
            </w:r>
            <w:r w:rsidR="00083793">
              <w:rPr>
                <w:szCs w:val="24"/>
                <w:lang w:eastAsia="en-US"/>
              </w:rPr>
              <w:t>przedaży online towarów i usług</w:t>
            </w:r>
          </w:p>
          <w:p w:rsidR="00083793" w:rsidRDefault="00BD0A89" w:rsidP="00BD0A89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BD0A89">
              <w:rPr>
                <w:szCs w:val="24"/>
                <w:lang w:eastAsia="en-US"/>
              </w:rPr>
              <w:t xml:space="preserve">6. </w:t>
            </w:r>
            <w:proofErr w:type="gramStart"/>
            <w:r w:rsidRPr="00BD0A89">
              <w:rPr>
                <w:szCs w:val="24"/>
                <w:lang w:eastAsia="en-US"/>
              </w:rPr>
              <w:t>prawa</w:t>
            </w:r>
            <w:proofErr w:type="gramEnd"/>
            <w:r w:rsidRPr="00BD0A89">
              <w:rPr>
                <w:szCs w:val="24"/>
                <w:lang w:eastAsia="en-US"/>
              </w:rPr>
              <w:t xml:space="preserve"> i obowiązki wynikające z prawa zobowiązań, w tym odset</w:t>
            </w:r>
            <w:r w:rsidR="00083793">
              <w:rPr>
                <w:szCs w:val="24"/>
                <w:lang w:eastAsia="en-US"/>
              </w:rPr>
              <w:t>ki za opóźnienia w płatnościach</w:t>
            </w:r>
          </w:p>
          <w:p w:rsidR="00083793" w:rsidRDefault="00BD0A89" w:rsidP="00BD0A89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BD0A89">
              <w:rPr>
                <w:szCs w:val="24"/>
                <w:lang w:eastAsia="en-US"/>
              </w:rPr>
              <w:t xml:space="preserve">7. </w:t>
            </w:r>
            <w:proofErr w:type="gramStart"/>
            <w:r w:rsidRPr="00BD0A89">
              <w:rPr>
                <w:szCs w:val="24"/>
                <w:lang w:eastAsia="en-US"/>
              </w:rPr>
              <w:t>postępowanie</w:t>
            </w:r>
            <w:proofErr w:type="gramEnd"/>
            <w:r w:rsidRPr="00BD0A89">
              <w:rPr>
                <w:szCs w:val="24"/>
                <w:lang w:eastAsia="en-US"/>
              </w:rPr>
              <w:t xml:space="preserve"> upadłościowe i likwidacja osób prawnych niebędących przedsiębiorst</w:t>
            </w:r>
            <w:r w:rsidR="00083793">
              <w:rPr>
                <w:szCs w:val="24"/>
                <w:lang w:eastAsia="en-US"/>
              </w:rPr>
              <w:t>wami</w:t>
            </w:r>
          </w:p>
          <w:p w:rsidR="00083793" w:rsidRDefault="00083793" w:rsidP="00BD0A89">
            <w:pPr>
              <w:spacing w:before="120" w:after="120" w:line="36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8. </w:t>
            </w:r>
            <w:proofErr w:type="gramStart"/>
            <w:r>
              <w:rPr>
                <w:szCs w:val="24"/>
                <w:lang w:eastAsia="en-US"/>
              </w:rPr>
              <w:t>ubezpieczenie</w:t>
            </w:r>
            <w:proofErr w:type="gramEnd"/>
            <w:r>
              <w:rPr>
                <w:szCs w:val="24"/>
                <w:lang w:eastAsia="en-US"/>
              </w:rPr>
              <w:t xml:space="preserve"> kredytu</w:t>
            </w:r>
          </w:p>
          <w:p w:rsidR="00083793" w:rsidRDefault="00BD0A89" w:rsidP="00BD0A89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BD0A89">
              <w:rPr>
                <w:szCs w:val="24"/>
                <w:lang w:eastAsia="en-US"/>
              </w:rPr>
              <w:t xml:space="preserve">9. </w:t>
            </w:r>
            <w:proofErr w:type="gramStart"/>
            <w:r w:rsidRPr="00BD0A89">
              <w:rPr>
                <w:szCs w:val="24"/>
                <w:lang w:eastAsia="en-US"/>
              </w:rPr>
              <w:t>połączenia</w:t>
            </w:r>
            <w:proofErr w:type="gramEnd"/>
            <w:r w:rsidRPr="00BD0A89">
              <w:rPr>
                <w:szCs w:val="24"/>
                <w:lang w:eastAsia="en-US"/>
              </w:rPr>
              <w:t xml:space="preserve"> lub sprzedaż osoby prawn</w:t>
            </w:r>
            <w:r w:rsidR="00083793">
              <w:rPr>
                <w:szCs w:val="24"/>
                <w:lang w:eastAsia="en-US"/>
              </w:rPr>
              <w:t>ej niebędącej przedsiębiorstwem</w:t>
            </w:r>
          </w:p>
          <w:p w:rsidR="00083793" w:rsidRDefault="00BD0A89" w:rsidP="00BD0A89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BD0A89">
              <w:rPr>
                <w:szCs w:val="24"/>
                <w:lang w:eastAsia="en-US"/>
              </w:rPr>
              <w:t xml:space="preserve">10. </w:t>
            </w:r>
            <w:proofErr w:type="gramStart"/>
            <w:r w:rsidR="00C91426" w:rsidRPr="001A7E9E">
              <w:t>odpowiedzialność</w:t>
            </w:r>
            <w:proofErr w:type="gramEnd"/>
            <w:r w:rsidR="00C91426" w:rsidRPr="001A7E9E">
              <w:t xml:space="preserve"> cywilna członków </w:t>
            </w:r>
            <w:r w:rsidR="00C91426" w:rsidRPr="001A7E9E">
              <w:rPr>
                <w:b/>
                <w:bCs/>
                <w:i/>
                <w:iCs/>
              </w:rPr>
              <w:t>zarządu lub</w:t>
            </w:r>
            <w:r w:rsidR="00C91426" w:rsidRPr="001A7E9E">
              <w:t xml:space="preserve"> </w:t>
            </w:r>
            <w:r w:rsidR="00C91426" w:rsidRPr="001A7E9E">
              <w:lastRenderedPageBreak/>
              <w:t>kierownictwa osoby prawnej niebędącej przedsiębiorstwem</w:t>
            </w:r>
          </w:p>
          <w:p w:rsidR="00BD0A89" w:rsidRPr="00BD0A89" w:rsidRDefault="00BD0A89" w:rsidP="00BD0A89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BD0A89">
              <w:rPr>
                <w:szCs w:val="24"/>
                <w:lang w:eastAsia="en-US"/>
              </w:rPr>
              <w:t xml:space="preserve">11. </w:t>
            </w:r>
            <w:proofErr w:type="gramStart"/>
            <w:r w:rsidRPr="00BD0A89">
              <w:rPr>
                <w:szCs w:val="24"/>
                <w:lang w:eastAsia="en-US"/>
              </w:rPr>
              <w:t>zasady</w:t>
            </w:r>
            <w:proofErr w:type="gramEnd"/>
            <w:r w:rsidRPr="00BD0A89">
              <w:rPr>
                <w:szCs w:val="24"/>
                <w:lang w:eastAsia="en-US"/>
              </w:rPr>
              <w:t xml:space="preserve"> i obowiązki dotyczące przetwarzania danych osobowych</w:t>
            </w:r>
          </w:p>
        </w:tc>
      </w:tr>
      <w:tr w:rsidR="00BD0A89" w:rsidRPr="00BD0A89" w:rsidTr="00C914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A89" w:rsidRPr="00BD0A89" w:rsidRDefault="00BD0A89" w:rsidP="00BD0A89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BD0A89">
              <w:rPr>
                <w:szCs w:val="24"/>
                <w:lang w:val="en-GB" w:eastAsia="en-US"/>
              </w:rPr>
              <w:lastRenderedPageBreak/>
              <w:t xml:space="preserve">AB. </w:t>
            </w:r>
            <w:proofErr w:type="spellStart"/>
            <w:r w:rsidRPr="00BD0A89">
              <w:rPr>
                <w:szCs w:val="24"/>
                <w:lang w:val="en-GB" w:eastAsia="en-US"/>
              </w:rPr>
              <w:t>Pracownicy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A89" w:rsidRPr="00BD0A89" w:rsidRDefault="00BD0A89" w:rsidP="00BD0A89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BD0A89">
              <w:rPr>
                <w:szCs w:val="24"/>
                <w:lang w:eastAsia="en-US"/>
              </w:rPr>
              <w:t xml:space="preserve">1. </w:t>
            </w:r>
            <w:proofErr w:type="gramStart"/>
            <w:r w:rsidRPr="00BD0A89">
              <w:rPr>
                <w:szCs w:val="24"/>
                <w:lang w:eastAsia="en-US"/>
              </w:rPr>
              <w:t>warunki</w:t>
            </w:r>
            <w:proofErr w:type="gramEnd"/>
            <w:r w:rsidRPr="00BD0A89">
              <w:rPr>
                <w:szCs w:val="24"/>
                <w:lang w:eastAsia="en-US"/>
              </w:rPr>
              <w:t xml:space="preserve"> zatrudnienia ustanowione na mocy ustawy lub aktów wykonawczych (w tym godziny pracy, urlop płatny, uprawnienia urlopowe, prawa i obowiązki dotyczące pracy w godzinach nadliczbowych, kontrole stanu zdrowia, rozwiązywanie umów, zwolnienia i redukcje etatów) 2. </w:t>
            </w:r>
            <w:proofErr w:type="gramStart"/>
            <w:r w:rsidRPr="00BD0A89">
              <w:rPr>
                <w:szCs w:val="24"/>
                <w:lang w:eastAsia="en-US"/>
              </w:rPr>
              <w:t>prawa</w:t>
            </w:r>
            <w:proofErr w:type="gramEnd"/>
            <w:r w:rsidRPr="00BD0A89">
              <w:rPr>
                <w:szCs w:val="24"/>
                <w:lang w:eastAsia="en-US"/>
              </w:rPr>
              <w:t xml:space="preserve"> i obowiązki w dziedzinie zabezpieczenia społecznego w Unii (rejestracja pracodawcy, rejestracja pracowników, zgłoszenie rozwiązania umowy z pracownikiem, płatność składek na ubezpieczenie społeczne, prawa i obowiązki dotyczące uprawnień emerytalnych i rentowych) 3. </w:t>
            </w:r>
            <w:proofErr w:type="gramStart"/>
            <w:r w:rsidRPr="00BD0A89">
              <w:rPr>
                <w:szCs w:val="24"/>
                <w:lang w:eastAsia="en-US"/>
              </w:rPr>
              <w:t>zatrudnianie</w:t>
            </w:r>
            <w:proofErr w:type="gramEnd"/>
            <w:r w:rsidRPr="00BD0A89">
              <w:rPr>
                <w:szCs w:val="24"/>
                <w:lang w:eastAsia="en-US"/>
              </w:rPr>
              <w:t xml:space="preserve"> pracowników w innych państwach członkowskich (delegowanie pracowników, przepisy dotyczące swobody świadczenia usług, warunki przyznania prawa pobytu pracownikom) 4. </w:t>
            </w:r>
            <w:proofErr w:type="gramStart"/>
            <w:r w:rsidRPr="00BD0A89">
              <w:rPr>
                <w:szCs w:val="24"/>
                <w:lang w:eastAsia="en-US"/>
              </w:rPr>
              <w:t>równe</w:t>
            </w:r>
            <w:proofErr w:type="gramEnd"/>
            <w:r w:rsidRPr="00BD0A89">
              <w:rPr>
                <w:szCs w:val="24"/>
                <w:lang w:eastAsia="en-US"/>
              </w:rPr>
              <w:t xml:space="preserve"> traktowanie (przepisy zabraniające dyskryminacji w miejscu zatrudnienia, przepisy dotyczące równości wynagrodzeń dla mężczyzn i kobiet oraz równości wynagrodzeń dla pracowników zatrudnionych na czas określony albo nieokreślony) 5. </w:t>
            </w:r>
            <w:proofErr w:type="gramStart"/>
            <w:r w:rsidRPr="00BD0A89">
              <w:rPr>
                <w:szCs w:val="24"/>
                <w:lang w:eastAsia="en-US"/>
              </w:rPr>
              <w:t>przepisy</w:t>
            </w:r>
            <w:proofErr w:type="gramEnd"/>
            <w:r w:rsidRPr="00BD0A89">
              <w:rPr>
                <w:szCs w:val="24"/>
                <w:lang w:eastAsia="en-US"/>
              </w:rPr>
              <w:t xml:space="preserve"> dotyczące reprezentacji pracowniczej</w:t>
            </w:r>
          </w:p>
        </w:tc>
      </w:tr>
      <w:tr w:rsidR="00BD0A89" w:rsidRPr="00BD0A89" w:rsidTr="00C914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A89" w:rsidRPr="00BD0A89" w:rsidRDefault="00BD0A89" w:rsidP="00BD0A89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BD0A89">
              <w:rPr>
                <w:szCs w:val="24"/>
                <w:lang w:val="en-GB" w:eastAsia="en-US"/>
              </w:rPr>
              <w:t xml:space="preserve">AC. </w:t>
            </w:r>
            <w:proofErr w:type="spellStart"/>
            <w:r w:rsidRPr="00BD0A89">
              <w:rPr>
                <w:szCs w:val="24"/>
                <w:lang w:val="en-GB" w:eastAsia="en-US"/>
              </w:rPr>
              <w:t>Podatki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A89" w:rsidRPr="00BD0A89" w:rsidRDefault="00BD0A89" w:rsidP="00BD0A89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BD0A89">
              <w:rPr>
                <w:szCs w:val="24"/>
                <w:lang w:eastAsia="en-US"/>
              </w:rPr>
              <w:t xml:space="preserve">1. </w:t>
            </w:r>
            <w:proofErr w:type="gramStart"/>
            <w:r w:rsidRPr="00BD0A89">
              <w:rPr>
                <w:szCs w:val="24"/>
                <w:lang w:eastAsia="en-US"/>
              </w:rPr>
              <w:t>podatek</w:t>
            </w:r>
            <w:proofErr w:type="gramEnd"/>
            <w:r w:rsidRPr="00BD0A89">
              <w:rPr>
                <w:szCs w:val="24"/>
                <w:lang w:eastAsia="en-US"/>
              </w:rPr>
              <w:t xml:space="preserve"> VAT: informacje o ogólnych zasadach, stawkach i zwolnieniach, rejestracja do celów VAT i płatność VAT, uzyskiwanie zwrotu 2. </w:t>
            </w:r>
            <w:proofErr w:type="gramStart"/>
            <w:r w:rsidRPr="00BD0A89">
              <w:rPr>
                <w:szCs w:val="24"/>
                <w:lang w:eastAsia="en-US"/>
              </w:rPr>
              <w:t>podatek</w:t>
            </w:r>
            <w:proofErr w:type="gramEnd"/>
            <w:r w:rsidRPr="00BD0A89">
              <w:rPr>
                <w:szCs w:val="24"/>
                <w:lang w:eastAsia="en-US"/>
              </w:rPr>
              <w:t xml:space="preserve"> akcyzowy: informacje o ogólnych zasadach, stawkach i zwolnieniach, rejestracja do celów podatku akcyzowego i płatność podatku akcyzowego, uzyskiwanie zwrotu 3. </w:t>
            </w:r>
            <w:proofErr w:type="gramStart"/>
            <w:r w:rsidRPr="00BD0A89">
              <w:rPr>
                <w:szCs w:val="24"/>
                <w:lang w:eastAsia="en-US"/>
              </w:rPr>
              <w:t>należności</w:t>
            </w:r>
            <w:proofErr w:type="gramEnd"/>
            <w:r w:rsidRPr="00BD0A89">
              <w:rPr>
                <w:szCs w:val="24"/>
                <w:lang w:eastAsia="en-US"/>
              </w:rPr>
              <w:t xml:space="preserve"> celne i inne podatki oraz opłaty pobierane od przywozu towarów 4. </w:t>
            </w:r>
            <w:proofErr w:type="gramStart"/>
            <w:r w:rsidRPr="00BD0A89">
              <w:rPr>
                <w:szCs w:val="24"/>
                <w:lang w:eastAsia="en-US"/>
              </w:rPr>
              <w:t>procedury</w:t>
            </w:r>
            <w:proofErr w:type="gramEnd"/>
            <w:r w:rsidRPr="00BD0A89">
              <w:rPr>
                <w:szCs w:val="24"/>
                <w:lang w:eastAsia="en-US"/>
              </w:rPr>
              <w:t xml:space="preserve"> celne dotyczące </w:t>
            </w:r>
            <w:r w:rsidRPr="00BD0A89">
              <w:rPr>
                <w:szCs w:val="24"/>
                <w:lang w:eastAsia="en-US"/>
              </w:rPr>
              <w:lastRenderedPageBreak/>
              <w:t xml:space="preserve">przywozu i wywozu zgodnie z unijnym kodeksem celnym 5. </w:t>
            </w:r>
            <w:proofErr w:type="gramStart"/>
            <w:r w:rsidRPr="00BD0A89">
              <w:rPr>
                <w:szCs w:val="24"/>
                <w:lang w:eastAsia="en-US"/>
              </w:rPr>
              <w:t>inne</w:t>
            </w:r>
            <w:proofErr w:type="gramEnd"/>
            <w:r w:rsidRPr="00BD0A89">
              <w:rPr>
                <w:szCs w:val="24"/>
                <w:lang w:eastAsia="en-US"/>
              </w:rPr>
              <w:t xml:space="preserve"> podatki: płatność, stawki, deklaracje podatkowe</w:t>
            </w:r>
          </w:p>
        </w:tc>
      </w:tr>
      <w:tr w:rsidR="00BD0A89" w:rsidRPr="00BD0A89" w:rsidTr="00C914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A89" w:rsidRPr="00BD0A89" w:rsidRDefault="00BD0A89" w:rsidP="00BD0A89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BD0A89">
              <w:rPr>
                <w:szCs w:val="24"/>
                <w:lang w:val="en-GB" w:eastAsia="en-US"/>
              </w:rPr>
              <w:lastRenderedPageBreak/>
              <w:t xml:space="preserve">AD. </w:t>
            </w:r>
            <w:proofErr w:type="spellStart"/>
            <w:r w:rsidRPr="00BD0A89">
              <w:rPr>
                <w:szCs w:val="24"/>
                <w:lang w:val="en-GB" w:eastAsia="en-US"/>
              </w:rPr>
              <w:t>Towary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A89" w:rsidRPr="00BD0A89" w:rsidRDefault="00BD0A89" w:rsidP="00BD0A89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BD0A89">
              <w:rPr>
                <w:szCs w:val="24"/>
                <w:lang w:eastAsia="en-US"/>
              </w:rPr>
              <w:t xml:space="preserve">1. </w:t>
            </w:r>
            <w:proofErr w:type="gramStart"/>
            <w:r w:rsidRPr="00BD0A89">
              <w:rPr>
                <w:szCs w:val="24"/>
                <w:lang w:eastAsia="en-US"/>
              </w:rPr>
              <w:t>uzyskanie</w:t>
            </w:r>
            <w:proofErr w:type="gramEnd"/>
            <w:r w:rsidRPr="00BD0A89">
              <w:rPr>
                <w:szCs w:val="24"/>
                <w:lang w:eastAsia="en-US"/>
              </w:rPr>
              <w:t xml:space="preserve"> oznakowania CE 2. </w:t>
            </w:r>
            <w:proofErr w:type="gramStart"/>
            <w:r w:rsidRPr="00BD0A89">
              <w:rPr>
                <w:szCs w:val="24"/>
                <w:lang w:eastAsia="en-US"/>
              </w:rPr>
              <w:t>przepisy</w:t>
            </w:r>
            <w:proofErr w:type="gramEnd"/>
            <w:r w:rsidRPr="00BD0A89">
              <w:rPr>
                <w:szCs w:val="24"/>
                <w:lang w:eastAsia="en-US"/>
              </w:rPr>
              <w:t xml:space="preserve"> i wymogi dotyczące produktów 3. </w:t>
            </w:r>
            <w:proofErr w:type="gramStart"/>
            <w:r w:rsidRPr="00BD0A89">
              <w:rPr>
                <w:szCs w:val="24"/>
                <w:lang w:eastAsia="en-US"/>
              </w:rPr>
              <w:t>ustalenie</w:t>
            </w:r>
            <w:proofErr w:type="gramEnd"/>
            <w:r w:rsidRPr="00BD0A89">
              <w:rPr>
                <w:szCs w:val="24"/>
                <w:lang w:eastAsia="en-US"/>
              </w:rPr>
              <w:t xml:space="preserve"> mających zastosowanie norm, specyfikacji technicznych oraz przeprowadzenie certyfikacji produktów 4. </w:t>
            </w:r>
            <w:proofErr w:type="gramStart"/>
            <w:r w:rsidRPr="00BD0A89">
              <w:rPr>
                <w:szCs w:val="24"/>
                <w:lang w:eastAsia="en-US"/>
              </w:rPr>
              <w:t>wzajemne</w:t>
            </w:r>
            <w:proofErr w:type="gramEnd"/>
            <w:r w:rsidRPr="00BD0A89">
              <w:rPr>
                <w:szCs w:val="24"/>
                <w:lang w:eastAsia="en-US"/>
              </w:rPr>
              <w:t xml:space="preserve"> uznawanie produktów niepodlegających specyfikacjom unijnym 5. </w:t>
            </w:r>
            <w:proofErr w:type="gramStart"/>
            <w:r w:rsidRPr="00BD0A89">
              <w:rPr>
                <w:szCs w:val="24"/>
                <w:lang w:eastAsia="en-US"/>
              </w:rPr>
              <w:t>wymagania</w:t>
            </w:r>
            <w:proofErr w:type="gramEnd"/>
            <w:r w:rsidRPr="00BD0A89">
              <w:rPr>
                <w:szCs w:val="24"/>
                <w:lang w:eastAsia="en-US"/>
              </w:rPr>
              <w:t xml:space="preserve"> dotyczące klasyfikacji, oznakowania i pakowania niebezpiecznych substancji chemicznych 6. </w:t>
            </w:r>
            <w:proofErr w:type="gramStart"/>
            <w:r w:rsidRPr="00BD0A89">
              <w:rPr>
                <w:szCs w:val="24"/>
                <w:lang w:eastAsia="en-US"/>
              </w:rPr>
              <w:t>sprzedaż</w:t>
            </w:r>
            <w:proofErr w:type="gramEnd"/>
            <w:r w:rsidRPr="00BD0A89">
              <w:rPr>
                <w:szCs w:val="24"/>
                <w:lang w:eastAsia="en-US"/>
              </w:rPr>
              <w:t xml:space="preserve"> na odległość i poza lokalem przedsiębiorstwa: informacje, których należy udzielać kupującym przed zawarciem umowy, potwierdzenie umowy na piśmie, odstąpienie od umowy, dostawa towarów, inne szczegółowe obowiązki 7. </w:t>
            </w:r>
            <w:proofErr w:type="gramStart"/>
            <w:r w:rsidRPr="00BD0A89">
              <w:rPr>
                <w:szCs w:val="24"/>
                <w:lang w:eastAsia="en-US"/>
              </w:rPr>
              <w:t>produkty</w:t>
            </w:r>
            <w:proofErr w:type="gramEnd"/>
            <w:r w:rsidRPr="00BD0A89">
              <w:rPr>
                <w:szCs w:val="24"/>
                <w:lang w:eastAsia="en-US"/>
              </w:rPr>
              <w:t xml:space="preserve"> wadliwe: prawa i gwarancje konsumenckie, odpowiedzialność posprzedażna, środki dochodzenia roszczeń przez poszkodowaną stronę 8. </w:t>
            </w:r>
            <w:proofErr w:type="gramStart"/>
            <w:r w:rsidRPr="00BD0A89">
              <w:rPr>
                <w:szCs w:val="24"/>
                <w:lang w:eastAsia="en-US"/>
              </w:rPr>
              <w:t>certyfikacja</w:t>
            </w:r>
            <w:proofErr w:type="gramEnd"/>
            <w:r w:rsidRPr="00BD0A89">
              <w:rPr>
                <w:szCs w:val="24"/>
                <w:lang w:eastAsia="en-US"/>
              </w:rPr>
              <w:t xml:space="preserve">, etykiety (EMAS, etykiety energetyczne, </w:t>
            </w:r>
            <w:proofErr w:type="spellStart"/>
            <w:r w:rsidRPr="00BD0A89">
              <w:rPr>
                <w:szCs w:val="24"/>
                <w:lang w:eastAsia="en-US"/>
              </w:rPr>
              <w:t>ekoprojekt</w:t>
            </w:r>
            <w:proofErr w:type="spellEnd"/>
            <w:r w:rsidRPr="00BD0A89">
              <w:rPr>
                <w:szCs w:val="24"/>
                <w:lang w:eastAsia="en-US"/>
              </w:rPr>
              <w:t>, oznakowanie ekologiczne UE) 9</w:t>
            </w:r>
            <w:r w:rsidR="00F90643">
              <w:rPr>
                <w:szCs w:val="24"/>
                <w:lang w:eastAsia="en-US"/>
              </w:rPr>
              <w:t>.</w:t>
            </w:r>
            <w:bookmarkStart w:id="8" w:name="_GoBack"/>
            <w:bookmarkEnd w:id="8"/>
            <w:r w:rsidRPr="00BD0A89">
              <w:rPr>
                <w:szCs w:val="24"/>
                <w:lang w:eastAsia="en-US"/>
              </w:rPr>
              <w:t xml:space="preserve"> recykling i gospodarowanie odpadami</w:t>
            </w:r>
          </w:p>
        </w:tc>
      </w:tr>
      <w:tr w:rsidR="00BD0A89" w:rsidRPr="00BD0A89" w:rsidTr="00C914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A89" w:rsidRPr="00BD0A89" w:rsidRDefault="00BD0A89" w:rsidP="00BD0A89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BD0A89">
              <w:rPr>
                <w:szCs w:val="24"/>
                <w:lang w:val="en-GB" w:eastAsia="en-US"/>
              </w:rPr>
              <w:t xml:space="preserve">AE. </w:t>
            </w:r>
            <w:proofErr w:type="spellStart"/>
            <w:r w:rsidRPr="00BD0A89">
              <w:rPr>
                <w:szCs w:val="24"/>
                <w:lang w:val="en-GB" w:eastAsia="en-US"/>
              </w:rPr>
              <w:t>Usługi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A89" w:rsidRPr="00BD0A89" w:rsidRDefault="00BD0A89" w:rsidP="00BD0A89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BD0A89">
              <w:rPr>
                <w:szCs w:val="24"/>
                <w:lang w:eastAsia="en-US"/>
              </w:rPr>
              <w:t xml:space="preserve">1. </w:t>
            </w:r>
            <w:proofErr w:type="gramStart"/>
            <w:r w:rsidRPr="00BD0A89">
              <w:rPr>
                <w:szCs w:val="24"/>
                <w:lang w:eastAsia="en-US"/>
              </w:rPr>
              <w:t>uzyskiwanie</w:t>
            </w:r>
            <w:proofErr w:type="gramEnd"/>
            <w:r w:rsidRPr="00BD0A89">
              <w:rPr>
                <w:szCs w:val="24"/>
                <w:lang w:eastAsia="en-US"/>
              </w:rPr>
              <w:t xml:space="preserve"> koncesji, zezwoleń lub pozwoleń z myślą o rozpoczęciu i prowadzeniu działalności przez osobę prawną niebędącą przedsiębiorstwem 2. </w:t>
            </w:r>
            <w:proofErr w:type="gramStart"/>
            <w:r w:rsidRPr="00BD0A89">
              <w:rPr>
                <w:szCs w:val="24"/>
                <w:lang w:eastAsia="en-US"/>
              </w:rPr>
              <w:t>powiadamianie</w:t>
            </w:r>
            <w:proofErr w:type="gramEnd"/>
            <w:r w:rsidRPr="00BD0A89">
              <w:rPr>
                <w:szCs w:val="24"/>
                <w:lang w:eastAsia="en-US"/>
              </w:rPr>
              <w:t xml:space="preserve"> władz o działalności transgranicznej 3. </w:t>
            </w:r>
            <w:proofErr w:type="gramStart"/>
            <w:r w:rsidRPr="00BD0A89">
              <w:rPr>
                <w:szCs w:val="24"/>
                <w:lang w:eastAsia="en-US"/>
              </w:rPr>
              <w:t>uznawanie</w:t>
            </w:r>
            <w:proofErr w:type="gramEnd"/>
            <w:r w:rsidRPr="00BD0A89">
              <w:rPr>
                <w:szCs w:val="24"/>
                <w:lang w:eastAsia="en-US"/>
              </w:rPr>
              <w:t xml:space="preserve"> kwalifikacji zawodowych, w tym kształcenia i szkolenia zawodowego</w:t>
            </w:r>
          </w:p>
        </w:tc>
      </w:tr>
      <w:tr w:rsidR="00BD0A89" w:rsidRPr="00BD0A89" w:rsidTr="00C914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A89" w:rsidRPr="00BD0A89" w:rsidRDefault="00BD0A89" w:rsidP="00BD0A89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BD0A89">
              <w:rPr>
                <w:szCs w:val="24"/>
                <w:lang w:eastAsia="en-US"/>
              </w:rPr>
              <w:t>AF. Finansowanie osoby prawnej niebędącej przedsiębiorstwem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A89" w:rsidRPr="00BD0A89" w:rsidRDefault="00BD0A89" w:rsidP="00BD0A89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BD0A89">
              <w:rPr>
                <w:szCs w:val="24"/>
                <w:lang w:eastAsia="en-US"/>
              </w:rPr>
              <w:t xml:space="preserve">1. </w:t>
            </w:r>
            <w:proofErr w:type="gramStart"/>
            <w:r w:rsidRPr="00BD0A89">
              <w:rPr>
                <w:szCs w:val="24"/>
                <w:lang w:eastAsia="en-US"/>
              </w:rPr>
              <w:t>uzyskiwanie</w:t>
            </w:r>
            <w:proofErr w:type="gramEnd"/>
            <w:r w:rsidRPr="00BD0A89">
              <w:rPr>
                <w:szCs w:val="24"/>
                <w:lang w:eastAsia="en-US"/>
              </w:rPr>
              <w:t xml:space="preserve"> dostępu do finansowania na poziomie Unii, w tym unijne programy finansowania i dotacje 2. </w:t>
            </w:r>
            <w:proofErr w:type="gramStart"/>
            <w:r w:rsidRPr="00BD0A89">
              <w:rPr>
                <w:szCs w:val="24"/>
                <w:lang w:eastAsia="en-US"/>
              </w:rPr>
              <w:t>uzyskiwanie</w:t>
            </w:r>
            <w:proofErr w:type="gramEnd"/>
            <w:r w:rsidRPr="00BD0A89">
              <w:rPr>
                <w:szCs w:val="24"/>
                <w:lang w:eastAsia="en-US"/>
              </w:rPr>
              <w:t xml:space="preserve"> dostępu do finansowania na poziomie krajowym 3. </w:t>
            </w:r>
            <w:proofErr w:type="gramStart"/>
            <w:r w:rsidRPr="00BD0A89">
              <w:rPr>
                <w:szCs w:val="24"/>
                <w:lang w:eastAsia="en-US"/>
              </w:rPr>
              <w:t>inicjatywy</w:t>
            </w:r>
            <w:proofErr w:type="gramEnd"/>
            <w:r w:rsidRPr="00BD0A89">
              <w:rPr>
                <w:szCs w:val="24"/>
                <w:lang w:eastAsia="en-US"/>
              </w:rPr>
              <w:t xml:space="preserve"> kierowane do osób prawnych niebędących przedsiębiorstwami (wymiany, programy </w:t>
            </w:r>
            <w:r w:rsidRPr="00BD0A89">
              <w:rPr>
                <w:szCs w:val="24"/>
                <w:lang w:eastAsia="en-US"/>
              </w:rPr>
              <w:lastRenderedPageBreak/>
              <w:t>opieki mentorskiej itp.)</w:t>
            </w:r>
          </w:p>
        </w:tc>
      </w:tr>
      <w:tr w:rsidR="00BD0A89" w:rsidRPr="00BD0A89" w:rsidTr="00C914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A89" w:rsidRPr="00BD0A89" w:rsidRDefault="00BD0A89" w:rsidP="00BD0A89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BD0A89">
              <w:rPr>
                <w:szCs w:val="24"/>
                <w:lang w:val="en-GB" w:eastAsia="en-US"/>
              </w:rPr>
              <w:lastRenderedPageBreak/>
              <w:t xml:space="preserve">AG. </w:t>
            </w:r>
            <w:proofErr w:type="spellStart"/>
            <w:r w:rsidRPr="00BD0A89">
              <w:rPr>
                <w:szCs w:val="24"/>
                <w:lang w:val="en-GB" w:eastAsia="en-US"/>
              </w:rPr>
              <w:t>Zamówienia</w:t>
            </w:r>
            <w:proofErr w:type="spellEnd"/>
            <w:r w:rsidRPr="00BD0A89">
              <w:rPr>
                <w:szCs w:val="24"/>
                <w:lang w:val="en-GB" w:eastAsia="en-US"/>
              </w:rPr>
              <w:t xml:space="preserve"> </w:t>
            </w:r>
            <w:proofErr w:type="spellStart"/>
            <w:r w:rsidRPr="00BD0A89">
              <w:rPr>
                <w:szCs w:val="24"/>
                <w:lang w:val="en-GB" w:eastAsia="en-US"/>
              </w:rPr>
              <w:t>publiczne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A89" w:rsidRPr="00BD0A89" w:rsidRDefault="00BD0A89" w:rsidP="00BD0A89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BD0A89">
              <w:rPr>
                <w:szCs w:val="24"/>
                <w:lang w:eastAsia="en-US"/>
              </w:rPr>
              <w:t xml:space="preserve">1. </w:t>
            </w:r>
            <w:proofErr w:type="gramStart"/>
            <w:r w:rsidRPr="00BD0A89">
              <w:rPr>
                <w:szCs w:val="24"/>
                <w:lang w:eastAsia="en-US"/>
              </w:rPr>
              <w:t>udział</w:t>
            </w:r>
            <w:proofErr w:type="gramEnd"/>
            <w:r w:rsidRPr="00BD0A89">
              <w:rPr>
                <w:szCs w:val="24"/>
                <w:lang w:eastAsia="en-US"/>
              </w:rPr>
              <w:t xml:space="preserve"> w postępowaniach o udzielenie zamówienia publicznego: przepisy i procedury 2. </w:t>
            </w:r>
            <w:proofErr w:type="gramStart"/>
            <w:r w:rsidRPr="00BD0A89">
              <w:rPr>
                <w:szCs w:val="24"/>
                <w:lang w:eastAsia="en-US"/>
              </w:rPr>
              <w:t>składanie</w:t>
            </w:r>
            <w:proofErr w:type="gramEnd"/>
            <w:r w:rsidRPr="00BD0A89">
              <w:rPr>
                <w:szCs w:val="24"/>
                <w:lang w:eastAsia="en-US"/>
              </w:rPr>
              <w:t xml:space="preserve"> oferty online w odpowiedzi na publiczne zaproszenie do składania ofert 3. </w:t>
            </w:r>
            <w:proofErr w:type="gramStart"/>
            <w:r w:rsidRPr="00BD0A89">
              <w:rPr>
                <w:szCs w:val="24"/>
                <w:lang w:eastAsia="en-US"/>
              </w:rPr>
              <w:t>zgłaszanie</w:t>
            </w:r>
            <w:proofErr w:type="gramEnd"/>
            <w:r w:rsidRPr="00BD0A89">
              <w:rPr>
                <w:szCs w:val="24"/>
                <w:lang w:eastAsia="en-US"/>
              </w:rPr>
              <w:t xml:space="preserve"> nieprawidłowości w związku z procedurą o udzielenie zamówienia publicznego</w:t>
            </w:r>
          </w:p>
        </w:tc>
      </w:tr>
      <w:tr w:rsidR="00BD0A89" w:rsidRPr="00BD0A89" w:rsidTr="00C9142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A89" w:rsidRPr="00BD0A89" w:rsidRDefault="00BD0A89" w:rsidP="00BD0A89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BD0A89">
              <w:rPr>
                <w:szCs w:val="24"/>
                <w:lang w:eastAsia="en-US"/>
              </w:rPr>
              <w:t>AH. Bezpieczeństwo i higiena pracy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A89" w:rsidRPr="00BD0A89" w:rsidRDefault="00BD0A89" w:rsidP="00BD0A89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BD0A89">
              <w:rPr>
                <w:szCs w:val="24"/>
                <w:lang w:eastAsia="en-US"/>
              </w:rPr>
              <w:t xml:space="preserve">1. </w:t>
            </w:r>
            <w:proofErr w:type="gramStart"/>
            <w:r w:rsidRPr="00BD0A89">
              <w:rPr>
                <w:szCs w:val="24"/>
                <w:lang w:eastAsia="en-US"/>
              </w:rPr>
              <w:t>obowiązki</w:t>
            </w:r>
            <w:proofErr w:type="gramEnd"/>
            <w:r w:rsidRPr="00BD0A89">
              <w:rPr>
                <w:szCs w:val="24"/>
                <w:lang w:eastAsia="en-US"/>
              </w:rPr>
              <w:t xml:space="preserve"> w zakresie zdrowia i bezpieczeństwa w zależności od różnych rodzajów działalności, w tym zapobieganie zagrożeniom, informowanie i szkolenia</w:t>
            </w:r>
          </w:p>
        </w:tc>
      </w:tr>
    </w:tbl>
    <w:p w:rsidR="00C91426" w:rsidRPr="00C91426" w:rsidRDefault="00C91426" w:rsidP="00C91426">
      <w:pPr>
        <w:spacing w:before="120" w:after="120" w:line="360" w:lineRule="auto"/>
        <w:jc w:val="right"/>
        <w:rPr>
          <w:b/>
          <w:szCs w:val="24"/>
          <w:lang w:eastAsia="en-US"/>
        </w:rPr>
      </w:pPr>
      <w:r>
        <w:rPr>
          <w:b/>
          <w:szCs w:val="24"/>
          <w:lang w:eastAsia="en-US"/>
        </w:rPr>
        <w:t xml:space="preserve"> [Popr. 5]</w:t>
      </w:r>
    </w:p>
    <w:p w:rsidR="00C91426" w:rsidRDefault="00C91426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BD0A89" w:rsidRPr="00BD0A89" w:rsidRDefault="00BD0A89" w:rsidP="00BD0A89">
      <w:pPr>
        <w:spacing w:before="120" w:after="120" w:line="360" w:lineRule="auto"/>
        <w:jc w:val="center"/>
        <w:rPr>
          <w:szCs w:val="24"/>
          <w:lang w:eastAsia="en-US"/>
        </w:rPr>
      </w:pPr>
      <w:r w:rsidRPr="00BD0A89">
        <w:rPr>
          <w:szCs w:val="24"/>
          <w:lang w:eastAsia="en-US"/>
        </w:rPr>
        <w:lastRenderedPageBreak/>
        <w:t>Artykuł 3</w:t>
      </w:r>
      <w:r w:rsidRPr="00BD0A89">
        <w:rPr>
          <w:szCs w:val="24"/>
          <w:lang w:eastAsia="en-US"/>
        </w:rPr>
        <w:br/>
        <w:t>Wejście w życie</w:t>
      </w:r>
    </w:p>
    <w:p w:rsidR="00BD0A89" w:rsidRPr="00BD0A89" w:rsidRDefault="00BD0A89" w:rsidP="00BD0A89">
      <w:pPr>
        <w:spacing w:before="120" w:after="120" w:line="360" w:lineRule="auto"/>
        <w:rPr>
          <w:szCs w:val="24"/>
          <w:lang w:eastAsia="en-US"/>
        </w:rPr>
      </w:pPr>
      <w:r w:rsidRPr="00BD0A89">
        <w:rPr>
          <w:szCs w:val="24"/>
          <w:lang w:eastAsia="en-US"/>
        </w:rPr>
        <w:t xml:space="preserve">Niniejsze rozporządzenie wchodzi w życie dwudziestego dnia po jego opublikowaniu w </w:t>
      </w:r>
      <w:r w:rsidRPr="000428F2">
        <w:rPr>
          <w:i/>
          <w:szCs w:val="24"/>
          <w:lang w:eastAsia="en-US"/>
        </w:rPr>
        <w:t>Dzienniku Urzędowym Unii Europejskiej</w:t>
      </w:r>
      <w:r w:rsidRPr="00BD0A89">
        <w:rPr>
          <w:szCs w:val="24"/>
          <w:lang w:eastAsia="en-US"/>
        </w:rPr>
        <w:t>.</w:t>
      </w:r>
    </w:p>
    <w:p w:rsidR="00BD0A89" w:rsidRPr="00BD0A89" w:rsidRDefault="00BD0A89" w:rsidP="00BD0A89">
      <w:pPr>
        <w:spacing w:before="120" w:after="120" w:line="360" w:lineRule="auto"/>
        <w:rPr>
          <w:szCs w:val="24"/>
          <w:lang w:eastAsia="en-US"/>
        </w:rPr>
      </w:pPr>
      <w:r w:rsidRPr="00BD0A89">
        <w:rPr>
          <w:szCs w:val="24"/>
          <w:lang w:eastAsia="en-US"/>
        </w:rPr>
        <w:t>Niniejsze rozporządzenie wiąże w całości i jest bezpośrednio stosowane we wszystkich państwach członkowskich.</w:t>
      </w:r>
    </w:p>
    <w:p w:rsidR="00BD0A89" w:rsidRPr="00BD0A89" w:rsidRDefault="00BD0A89" w:rsidP="00BD0A89">
      <w:pPr>
        <w:keepNext/>
        <w:widowControl/>
        <w:spacing w:before="120" w:line="360" w:lineRule="auto"/>
        <w:rPr>
          <w:szCs w:val="24"/>
          <w:lang w:eastAsia="en-US"/>
        </w:rPr>
      </w:pPr>
      <w:r w:rsidRPr="00BD0A89">
        <w:rPr>
          <w:szCs w:val="24"/>
          <w:lang w:eastAsia="en-US"/>
        </w:rPr>
        <w:t xml:space="preserve">Sporządzono w </w:t>
      </w:r>
      <w:r w:rsidR="000428F2">
        <w:rPr>
          <w:szCs w:val="24"/>
          <w:lang w:eastAsia="en-US"/>
        </w:rPr>
        <w:t>…</w:t>
      </w:r>
      <w:r w:rsidRPr="00BD0A89">
        <w:rPr>
          <w:szCs w:val="24"/>
          <w:lang w:eastAsia="en-US"/>
        </w:rPr>
        <w:t xml:space="preserve"> dnia […] r.</w:t>
      </w:r>
    </w:p>
    <w:p w:rsidR="00BD0A89" w:rsidRPr="00BD0A89" w:rsidRDefault="00BD0A89" w:rsidP="00BD0A89">
      <w:pPr>
        <w:keepNext/>
        <w:widowControl/>
        <w:tabs>
          <w:tab w:val="left" w:pos="4252"/>
        </w:tabs>
        <w:spacing w:before="720" w:after="100" w:line="360" w:lineRule="auto"/>
        <w:jc w:val="both"/>
        <w:rPr>
          <w:i/>
          <w:szCs w:val="24"/>
          <w:lang w:eastAsia="en-US"/>
        </w:rPr>
      </w:pPr>
      <w:r w:rsidRPr="00BD0A89">
        <w:rPr>
          <w:i/>
          <w:szCs w:val="24"/>
          <w:lang w:eastAsia="en-US"/>
        </w:rPr>
        <w:t>W imieniu Parlamentu Europejskiego</w:t>
      </w:r>
      <w:r w:rsidRPr="00BD0A89">
        <w:rPr>
          <w:i/>
          <w:szCs w:val="24"/>
          <w:lang w:eastAsia="en-US"/>
        </w:rPr>
        <w:tab/>
        <w:t>W imieniu Rady</w:t>
      </w:r>
    </w:p>
    <w:p w:rsidR="00C34716" w:rsidRPr="001A7E9E" w:rsidRDefault="00BD0A89" w:rsidP="000428F2">
      <w:pPr>
        <w:widowControl/>
        <w:tabs>
          <w:tab w:val="left" w:pos="4252"/>
        </w:tabs>
        <w:spacing w:line="360" w:lineRule="auto"/>
      </w:pPr>
      <w:r w:rsidRPr="00C91426">
        <w:rPr>
          <w:i/>
          <w:szCs w:val="24"/>
          <w:lang w:eastAsia="en-US"/>
        </w:rPr>
        <w:t>Przewodnicząca</w:t>
      </w:r>
      <w:r w:rsidRPr="00C91426">
        <w:rPr>
          <w:i/>
          <w:szCs w:val="24"/>
          <w:lang w:eastAsia="en-US"/>
        </w:rPr>
        <w:tab/>
        <w:t>Przewodniczący</w:t>
      </w:r>
    </w:p>
    <w:sectPr w:rsidR="00C34716" w:rsidRPr="001A7E9E" w:rsidSect="00BD0A89">
      <w:footnotePr>
        <w:numRestart w:val="eachSect"/>
      </w:footnotePr>
      <w:endnotePr>
        <w:numFmt w:val="decimal"/>
      </w:endnotePr>
      <w:pgSz w:w="11906" w:h="16838" w:code="9"/>
      <w:pgMar w:top="1134" w:right="1134" w:bottom="1134" w:left="1134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377" w:rsidRPr="001A7E9E" w:rsidRDefault="00F34377">
      <w:r w:rsidRPr="001A7E9E">
        <w:separator/>
      </w:r>
    </w:p>
  </w:endnote>
  <w:endnote w:type="continuationSeparator" w:id="0">
    <w:p w:rsidR="00F34377" w:rsidRPr="001A7E9E" w:rsidRDefault="00F34377">
      <w:r w:rsidRPr="001A7E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7E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7E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7E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377" w:rsidRPr="001A7E9E" w:rsidRDefault="00F34377">
      <w:r w:rsidRPr="001A7E9E">
        <w:separator/>
      </w:r>
    </w:p>
  </w:footnote>
  <w:footnote w:type="continuationSeparator" w:id="0">
    <w:p w:rsidR="00F34377" w:rsidRPr="001A7E9E" w:rsidRDefault="00F34377">
      <w:r w:rsidRPr="001A7E9E">
        <w:continuationSeparator/>
      </w:r>
    </w:p>
  </w:footnote>
  <w:footnote w:id="1">
    <w:p w:rsidR="00150565" w:rsidRPr="00F179E7" w:rsidRDefault="00150565" w:rsidP="00150565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F179E7">
        <w:rPr>
          <w:lang w:val="pl-PL"/>
        </w:rPr>
        <w:t xml:space="preserve"> </w:t>
      </w:r>
      <w:r w:rsidRPr="00F179E7">
        <w:rPr>
          <w:lang w:val="pl-PL"/>
        </w:rPr>
        <w:tab/>
      </w:r>
      <w:r>
        <w:rPr>
          <w:lang w:val="pl-PL"/>
        </w:rPr>
        <w:t>Dotychczas nieopublikowana</w:t>
      </w:r>
      <w:r w:rsidRPr="00D52A4F">
        <w:rPr>
          <w:lang w:val="pl-PL"/>
        </w:rPr>
        <w:t xml:space="preserve"> w Dzienniku Urzędowym</w:t>
      </w:r>
      <w:r>
        <w:rPr>
          <w:lang w:val="pl-PL"/>
        </w:rPr>
        <w:t>.</w:t>
      </w:r>
    </w:p>
  </w:footnote>
  <w:footnote w:id="2">
    <w:p w:rsidR="00BD0A89" w:rsidRPr="00BD0A89" w:rsidRDefault="00BD0A89" w:rsidP="00BD0A89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BD0A89">
        <w:rPr>
          <w:lang w:val="pl-PL"/>
        </w:rPr>
        <w:tab/>
        <w:t>Odniesienie do opinii.</w:t>
      </w:r>
    </w:p>
  </w:footnote>
  <w:footnote w:id="3">
    <w:p w:rsidR="00BD0A89" w:rsidRPr="00BD0A89" w:rsidRDefault="00BD0A89" w:rsidP="00BD0A89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BD0A89">
        <w:rPr>
          <w:lang w:val="pl-PL"/>
        </w:rPr>
        <w:tab/>
        <w:t xml:space="preserve">Dyrektywa Parlamentu Europejskiego i Rady z dnia ... </w:t>
      </w:r>
      <w:proofErr w:type="gramStart"/>
      <w:r w:rsidRPr="00BD0A89">
        <w:rPr>
          <w:lang w:val="pl-PL"/>
        </w:rPr>
        <w:t>w</w:t>
      </w:r>
      <w:proofErr w:type="gramEnd"/>
      <w:r w:rsidRPr="00BD0A89">
        <w:rPr>
          <w:lang w:val="pl-PL"/>
        </w:rPr>
        <w:t xml:space="preserve"> sprawie europejskich stowarzyszeń transgranicznych (odniesienie do Dz.U.).</w:t>
      </w:r>
    </w:p>
  </w:footnote>
  <w:footnote w:id="4">
    <w:p w:rsidR="00BD0A89" w:rsidRPr="00BD0A89" w:rsidRDefault="00BD0A89" w:rsidP="00BD0A89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BD0A89">
        <w:rPr>
          <w:lang w:val="pl-PL"/>
        </w:rPr>
        <w:tab/>
        <w:t xml:space="preserve">Rozporządzenie Parlamentu Europejskiego i Rady (UE) nr 1024/2012 z dnia 25 października 2012 r. w sprawie współpracy administracyjnej za pośrednictwem systemu wymiany informacji na rynku wewnętrznym i uchylające decyzję Komisji 2008/49/WE („rozporządzenie w sprawie IMI”) (Dz.U. L 316 z 14.11.2012, </w:t>
      </w:r>
      <w:proofErr w:type="gramStart"/>
      <w:r w:rsidRPr="00BD0A89">
        <w:rPr>
          <w:lang w:val="pl-PL"/>
        </w:rPr>
        <w:t>s</w:t>
      </w:r>
      <w:proofErr w:type="gramEnd"/>
      <w:r w:rsidRPr="00BD0A89">
        <w:rPr>
          <w:lang w:val="pl-PL"/>
        </w:rPr>
        <w:t>. 1).</w:t>
      </w:r>
    </w:p>
  </w:footnote>
  <w:footnote w:id="5">
    <w:p w:rsidR="00BD0A89" w:rsidRPr="00BD0A89" w:rsidRDefault="00BD0A89" w:rsidP="00BD0A89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BD0A89">
        <w:rPr>
          <w:lang w:val="pl-PL"/>
        </w:rPr>
        <w:tab/>
        <w:t xml:space="preserve">Rozporządzenie Parlamentu Europejskiego i Rady (UE) 2018/1724 z dnia 2 października 2018 r. w sprawie utworzenia jednolitego portalu cyfrowego w celu zapewnienia dostępu do informacji, procedur oraz usług wsparcia i rozwiązywania problemów, a także zmieniające rozporządzenie (UE) nr 1024/2012 (Dz.U. L 295 z 21.11.2018, </w:t>
      </w:r>
      <w:proofErr w:type="gramStart"/>
      <w:r w:rsidRPr="00BD0A89">
        <w:rPr>
          <w:lang w:val="pl-PL"/>
        </w:rPr>
        <w:t>s</w:t>
      </w:r>
      <w:proofErr w:type="gramEnd"/>
      <w:r w:rsidRPr="00BD0A89">
        <w:rPr>
          <w:lang w:val="pl-PL"/>
        </w:rPr>
        <w:t>. 1).</w:t>
      </w:r>
    </w:p>
  </w:footnote>
  <w:footnote w:id="6">
    <w:p w:rsidR="00BD0A89" w:rsidRPr="00BD0A89" w:rsidRDefault="00BD0A89" w:rsidP="00BD0A89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BD0A89">
        <w:rPr>
          <w:lang w:val="pl-PL"/>
        </w:rPr>
        <w:tab/>
        <w:t xml:space="preserve">Rozporządzenie Parlamentu Europejskiego i Rady (UE) 2018/1724 z dnia 2 października 2018 r. w sprawie utworzenia jednolitego portalu cyfrowego w celu zapewnienia dostępu do informacji, procedur oraz usług wsparcia i rozwiązywania problemów, a także zmieniające rozporządzenie (UE) nr 1024/2012 (Dz.U. L 295 z 21.11.2018, </w:t>
      </w:r>
      <w:proofErr w:type="gramStart"/>
      <w:r w:rsidRPr="00BD0A89">
        <w:rPr>
          <w:lang w:val="pl-PL"/>
        </w:rPr>
        <w:t>s</w:t>
      </w:r>
      <w:proofErr w:type="gramEnd"/>
      <w:r w:rsidRPr="00BD0A89">
        <w:rPr>
          <w:lang w:val="pl-PL"/>
        </w:rPr>
        <w:t>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7E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7E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7E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6/2024"/>
    <w:docVar w:name="dvlangue" w:val="PL"/>
    <w:docVar w:name="dvnumam" w:val="5"/>
    <w:docVar w:name="dvpe" w:val="756.195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zmieniającego rozporządzenia (UE) nr 1024/2012 oraz (UE) 2018/1724 w odniesieniu do korzystania z systemu wymiany informacji na rynku wewnętrznym i jednolitego portalu cyfrowego do celów spełnienia pewnych wymogów określonych w dyrektywie Parlamentu Europejskiego i Rady (UE) .../... w sprawie europejskich stowarzyszeń transgranicznych (COM(2023) 516)(COM(2023)0515 – C9-0327/2023 – 2023/0314(COD))"/>
  </w:docVars>
  <w:rsids>
    <w:rsidRoot w:val="00F34377"/>
    <w:rsid w:val="00002272"/>
    <w:rsid w:val="000428F2"/>
    <w:rsid w:val="00064002"/>
    <w:rsid w:val="000677B9"/>
    <w:rsid w:val="000831BA"/>
    <w:rsid w:val="00083793"/>
    <w:rsid w:val="000A42CC"/>
    <w:rsid w:val="000E7DD9"/>
    <w:rsid w:val="0010095E"/>
    <w:rsid w:val="00125B37"/>
    <w:rsid w:val="00150565"/>
    <w:rsid w:val="00187494"/>
    <w:rsid w:val="001A7E9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20E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0A89"/>
    <w:rsid w:val="00BD48FE"/>
    <w:rsid w:val="00BD7BD8"/>
    <w:rsid w:val="00BE6ADC"/>
    <w:rsid w:val="00C05BFE"/>
    <w:rsid w:val="00C23CD4"/>
    <w:rsid w:val="00C25B0A"/>
    <w:rsid w:val="00C34716"/>
    <w:rsid w:val="00C61C0C"/>
    <w:rsid w:val="00C9142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4B5C"/>
    <w:rsid w:val="00F04346"/>
    <w:rsid w:val="00F075DC"/>
    <w:rsid w:val="00F149E9"/>
    <w:rsid w:val="00F179E7"/>
    <w:rsid w:val="00F34377"/>
    <w:rsid w:val="00F5134D"/>
    <w:rsid w:val="00F74202"/>
    <w:rsid w:val="00F87713"/>
    <w:rsid w:val="00F9064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F935DD"/>
  <w15:chartTrackingRefBased/>
  <w15:docId w15:val="{7E3BE81E-6CC1-4B00-B04D-DD7A1FB00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C34716"/>
    <w:pPr>
      <w:spacing w:after="120"/>
    </w:pPr>
  </w:style>
  <w:style w:type="paragraph" w:customStyle="1" w:styleId="NormalBold">
    <w:name w:val="NormalBold"/>
    <w:basedOn w:val="Normal"/>
    <w:link w:val="NormalBoldChar"/>
    <w:rsid w:val="00C34716"/>
    <w:rPr>
      <w:b/>
    </w:rPr>
  </w:style>
  <w:style w:type="paragraph" w:customStyle="1" w:styleId="NormalHanging12a">
    <w:name w:val="NormalHanging12a"/>
    <w:basedOn w:val="Normal"/>
    <w:rsid w:val="00C34716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C3471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C34716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C34716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C3471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34716"/>
    <w:rPr>
      <w:b/>
      <w:sz w:val="24"/>
      <w:lang w:val="pl-PL"/>
    </w:rPr>
  </w:style>
  <w:style w:type="paragraph" w:customStyle="1" w:styleId="ColumnHeading">
    <w:name w:val="ColumnHeading"/>
    <w:basedOn w:val="Normal"/>
    <w:rsid w:val="00C34716"/>
    <w:pPr>
      <w:spacing w:after="240"/>
      <w:jc w:val="center"/>
    </w:pPr>
    <w:rPr>
      <w:i/>
    </w:rPr>
  </w:style>
  <w:style w:type="character" w:customStyle="1" w:styleId="content">
    <w:name w:val="content"/>
    <w:basedOn w:val="DefaultParagraphFont"/>
    <w:rsid w:val="00C34716"/>
  </w:style>
  <w:style w:type="paragraph" w:customStyle="1" w:styleId="Point1">
    <w:name w:val="Point 1"/>
    <w:basedOn w:val="Normal"/>
    <w:rsid w:val="00C3471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FootnoteTextForceStyle">
    <w:name w:val="Footnote Text ForceStyle"/>
    <w:rsid w:val="00BD0A89"/>
    <w:pPr>
      <w:keepLines/>
      <w:widowControl w:val="0"/>
      <w:ind w:left="850" w:hanging="850"/>
    </w:pPr>
    <w:rPr>
      <w:sz w:val="24"/>
      <w:lang w:eastAsia="en-US"/>
    </w:rPr>
  </w:style>
  <w:style w:type="paragraph" w:customStyle="1" w:styleId="IntrtEEE">
    <w:name w:val="Intérêt EEE"/>
    <w:basedOn w:val="Normal"/>
    <w:next w:val="Normal"/>
    <w:rsid w:val="00BD0A89"/>
    <w:pPr>
      <w:widowControl/>
      <w:spacing w:before="360" w:after="240" w:line="360" w:lineRule="auto"/>
      <w:jc w:val="center"/>
    </w:pPr>
    <w:rPr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5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71870-3264-4E5D-9FBB-57E3CC73E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1913</Words>
  <Characters>13482</Characters>
  <Application>Microsoft Office Word</Application>
  <DocSecurity>4</DocSecurity>
  <Lines>112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GOROPECNIK Tina</cp:lastModifiedBy>
  <cp:revision>2</cp:revision>
  <cp:lastPrinted>2004-11-19T15:42:00Z</cp:lastPrinted>
  <dcterms:created xsi:type="dcterms:W3CDTF">2025-01-07T11:07:00Z</dcterms:created>
  <dcterms:modified xsi:type="dcterms:W3CDTF">2025-01-07T11:07:00Z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A9-0006/2024</vt:lpwstr>
  </property>
  <property fmtid="{D5CDD505-2E9C-101B-9397-08002B2CF9AE}" pid="4" name="&lt;Type&gt;">
    <vt:lpwstr>RR</vt:lpwstr>
  </property>
</Properties>
</file>