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677" w14:paraId="2DB8FEDD" w14:textId="77777777" w:rsidTr="0010095E">
        <w:trPr>
          <w:trHeight w:hRule="exact" w:val="1418"/>
        </w:trPr>
        <w:tc>
          <w:tcPr>
            <w:tcW w:w="6804" w:type="dxa"/>
            <w:shd w:val="clear" w:color="auto" w:fill="auto"/>
            <w:vAlign w:val="center"/>
          </w:tcPr>
          <w:p w14:paraId="2D4599D6" w14:textId="77777777" w:rsidR="00751A4A" w:rsidRPr="00437677" w:rsidRDefault="0082317C" w:rsidP="0010095E">
            <w:pPr>
              <w:pStyle w:val="EPName"/>
            </w:pPr>
            <w:r w:rsidRPr="00437677">
              <w:t>Parlamento Europeu</w:t>
            </w:r>
          </w:p>
          <w:p w14:paraId="622B5EF9" w14:textId="77777777" w:rsidR="00751A4A" w:rsidRPr="00437677" w:rsidRDefault="00817416" w:rsidP="00756632">
            <w:pPr>
              <w:pStyle w:val="EPTerm"/>
              <w:rPr>
                <w:rStyle w:val="HideTWBExt"/>
                <w:noProof w:val="0"/>
                <w:vanish w:val="0"/>
                <w:color w:val="auto"/>
              </w:rPr>
            </w:pPr>
            <w:r w:rsidRPr="00437677">
              <w:t>2019-2024</w:t>
            </w:r>
          </w:p>
        </w:tc>
        <w:tc>
          <w:tcPr>
            <w:tcW w:w="2268" w:type="dxa"/>
            <w:shd w:val="clear" w:color="auto" w:fill="auto"/>
          </w:tcPr>
          <w:p w14:paraId="34E76FCE" w14:textId="77777777" w:rsidR="00751A4A" w:rsidRPr="00437677" w:rsidRDefault="00187494" w:rsidP="0010095E">
            <w:pPr>
              <w:pStyle w:val="EPLogo"/>
            </w:pPr>
            <w:r w:rsidRPr="00437677">
              <w:rPr>
                <w:noProof/>
                <w:lang w:val="en-GB"/>
              </w:rPr>
              <w:drawing>
                <wp:inline distT="0" distB="0" distL="0" distR="0" wp14:anchorId="54D3B921" wp14:editId="597207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1633A3" w14:textId="77777777" w:rsidR="00D058B8" w:rsidRPr="00437677" w:rsidRDefault="00D058B8" w:rsidP="004C5D52">
      <w:pPr>
        <w:pStyle w:val="LineTop"/>
      </w:pPr>
    </w:p>
    <w:p w14:paraId="47C7B567" w14:textId="77777777" w:rsidR="00680577" w:rsidRPr="00437677" w:rsidRDefault="0082317C" w:rsidP="00680577">
      <w:pPr>
        <w:pStyle w:val="EPBodyTA1"/>
      </w:pPr>
      <w:r w:rsidRPr="00437677">
        <w:t>TEXTOS APROVADOS</w:t>
      </w:r>
    </w:p>
    <w:p w14:paraId="53870B4E" w14:textId="77777777" w:rsidR="00D058B8" w:rsidRPr="00437677" w:rsidRDefault="00D058B8" w:rsidP="00D058B8">
      <w:pPr>
        <w:pStyle w:val="LineBottom"/>
      </w:pPr>
    </w:p>
    <w:p w14:paraId="7EC995D6" w14:textId="15F31631" w:rsidR="0082317C" w:rsidRPr="00437677" w:rsidRDefault="0082317C" w:rsidP="0082317C">
      <w:pPr>
        <w:pStyle w:val="ATHeading1"/>
      </w:pPr>
      <w:bookmarkStart w:id="0" w:name="TANumber"/>
      <w:r w:rsidRPr="00437677">
        <w:t>P9_</w:t>
      </w:r>
      <w:proofErr w:type="gramStart"/>
      <w:r w:rsidRPr="00437677">
        <w:t>TA(</w:t>
      </w:r>
      <w:proofErr w:type="gramEnd"/>
      <w:r w:rsidRPr="00437677">
        <w:t>2024)0</w:t>
      </w:r>
      <w:bookmarkEnd w:id="0"/>
      <w:r w:rsidR="00E46E51">
        <w:t>142</w:t>
      </w:r>
    </w:p>
    <w:p w14:paraId="16861F2B" w14:textId="77777777" w:rsidR="0082317C" w:rsidRPr="00437677" w:rsidRDefault="0082317C" w:rsidP="0082317C">
      <w:pPr>
        <w:pStyle w:val="ATHeading2"/>
      </w:pPr>
      <w:bookmarkStart w:id="1" w:name="title"/>
      <w:r w:rsidRPr="00437677">
        <w:t>Utilização do Sistema de Informação do Mercado Interno e da plataforma digital única para efeito dos requisitos estabelecidos na Diretiva sobre as associações europeias transfronteiriças</w:t>
      </w:r>
      <w:bookmarkEnd w:id="1"/>
    </w:p>
    <w:p w14:paraId="326661CE" w14:textId="43E9B922" w:rsidR="0082317C" w:rsidRPr="00437677" w:rsidRDefault="0082317C" w:rsidP="0082317C">
      <w:pPr>
        <w:rPr>
          <w:i/>
          <w:vanish/>
        </w:rPr>
      </w:pPr>
      <w:r w:rsidRPr="00437677">
        <w:rPr>
          <w:i/>
        </w:rPr>
        <w:fldChar w:fldCharType="begin"/>
      </w:r>
      <w:r w:rsidRPr="00437677">
        <w:rPr>
          <w:i/>
        </w:rPr>
        <w:instrText xml:space="preserve"> TC"(</w:instrText>
      </w:r>
      <w:bookmarkStart w:id="2" w:name="DocNumber"/>
      <w:r w:rsidRPr="00437677">
        <w:rPr>
          <w:i/>
        </w:rPr>
        <w:instrText>A9-0006/2024</w:instrText>
      </w:r>
      <w:bookmarkEnd w:id="2"/>
      <w:r w:rsidRPr="00437677">
        <w:rPr>
          <w:i/>
        </w:rPr>
        <w:instrText xml:space="preserve"> - Relatora: Anne-</w:instrText>
      </w:r>
      <w:proofErr w:type="spellStart"/>
      <w:r w:rsidRPr="00437677">
        <w:rPr>
          <w:i/>
        </w:rPr>
        <w:instrText>Sophie</w:instrText>
      </w:r>
      <w:proofErr w:type="spellEnd"/>
      <w:r w:rsidRPr="00437677">
        <w:rPr>
          <w:i/>
        </w:rPr>
        <w:instrText xml:space="preserve"> </w:instrText>
      </w:r>
      <w:proofErr w:type="spellStart"/>
      <w:r w:rsidRPr="00437677">
        <w:rPr>
          <w:i/>
        </w:rPr>
        <w:instrText>Pelletier</w:instrText>
      </w:r>
      <w:proofErr w:type="spellEnd"/>
      <w:r w:rsidRPr="00437677">
        <w:rPr>
          <w:i/>
        </w:rPr>
        <w:instrText xml:space="preserve">)"\l3 \n&gt; \* MERGEFORMAT </w:instrText>
      </w:r>
      <w:r w:rsidRPr="00437677">
        <w:rPr>
          <w:i/>
        </w:rPr>
        <w:fldChar w:fldCharType="end"/>
      </w:r>
    </w:p>
    <w:p w14:paraId="1CC2E39F" w14:textId="77777777" w:rsidR="0082317C" w:rsidRPr="00437677" w:rsidRDefault="0082317C" w:rsidP="0082317C">
      <w:pPr>
        <w:rPr>
          <w:vanish/>
        </w:rPr>
      </w:pPr>
      <w:bookmarkStart w:id="3" w:name="Commission"/>
      <w:r w:rsidRPr="00437677">
        <w:rPr>
          <w:vanish/>
        </w:rPr>
        <w:t>Comissão do Mercado Interno e da Proteção dos Consumidores</w:t>
      </w:r>
      <w:bookmarkEnd w:id="3"/>
    </w:p>
    <w:p w14:paraId="7BA2FEAF" w14:textId="77777777" w:rsidR="0082317C" w:rsidRPr="00437677" w:rsidRDefault="0082317C" w:rsidP="0082317C">
      <w:pPr>
        <w:rPr>
          <w:vanish/>
        </w:rPr>
      </w:pPr>
      <w:bookmarkStart w:id="4" w:name="PE"/>
      <w:r w:rsidRPr="00437677">
        <w:rPr>
          <w:vanish/>
        </w:rPr>
        <w:t>PE756.195</w:t>
      </w:r>
      <w:bookmarkEnd w:id="4"/>
    </w:p>
    <w:p w14:paraId="37117B0F" w14:textId="634321E9" w:rsidR="0082317C" w:rsidRPr="00437677" w:rsidRDefault="0082317C" w:rsidP="0082317C">
      <w:pPr>
        <w:pStyle w:val="ATHeading3"/>
      </w:pPr>
      <w:bookmarkStart w:id="5" w:name="Sujet"/>
      <w:r w:rsidRPr="00437677">
        <w:t xml:space="preserve">Resolução legislativa do Parlamento Europeu, de </w:t>
      </w:r>
      <w:r w:rsidR="008836A7">
        <w:t>13</w:t>
      </w:r>
      <w:r w:rsidRPr="00437677">
        <w:t xml:space="preserve"> de </w:t>
      </w:r>
      <w:r w:rsidR="008836A7">
        <w:t>março</w:t>
      </w:r>
      <w:r w:rsidRPr="00437677">
        <w:t xml:space="preserve"> de 2024, sobre a proposta de regulamento do Parlamento Europeu e do Conselho que altera o Regulamento (UE) n.º 1024/2012 e o Regulamento (UE) 2018/1724 no que diz respeito à utilização do Sistema de Informação do Mercado Interno e da plataforma digital única para efeito dos requisitos estabelecidos na Diretiva (UE) .../... do Parlamento Europeu e do Conselho sobre as associações europeias transfronteiriças (COM(2023)</w:t>
      </w:r>
      <w:r w:rsidR="007D6153">
        <w:t>0516</w:t>
      </w:r>
      <w:bookmarkStart w:id="6" w:name="_GoBack"/>
      <w:bookmarkEnd w:id="6"/>
      <w:r w:rsidRPr="00437677">
        <w:t>)</w:t>
      </w:r>
      <w:bookmarkEnd w:id="5"/>
      <w:r w:rsidRPr="00437677">
        <w:t xml:space="preserve"> </w:t>
      </w:r>
      <w:bookmarkStart w:id="7" w:name="References"/>
      <w:r w:rsidRPr="00437677">
        <w:t>(COM(2023)0515 – C9-0327/2023 – 2023/0314(COD))</w:t>
      </w:r>
      <w:bookmarkEnd w:id="7"/>
    </w:p>
    <w:p w14:paraId="130CBC03" w14:textId="77777777" w:rsidR="002012FE" w:rsidRPr="00437677" w:rsidRDefault="002012FE" w:rsidP="002012FE">
      <w:pPr>
        <w:pStyle w:val="NormalBold"/>
      </w:pPr>
      <w:bookmarkStart w:id="8" w:name="TextBodyBegin"/>
      <w:bookmarkEnd w:id="8"/>
      <w:r w:rsidRPr="00437677">
        <w:t>(Processo legislativo ordinário: primeira leitura)</w:t>
      </w:r>
    </w:p>
    <w:p w14:paraId="6A9575B6" w14:textId="77777777" w:rsidR="002012FE" w:rsidRPr="00437677" w:rsidRDefault="002012FE" w:rsidP="002012FE">
      <w:pPr>
        <w:pStyle w:val="EPComma"/>
      </w:pPr>
      <w:r w:rsidRPr="00437677">
        <w:rPr>
          <w:i/>
        </w:rPr>
        <w:t>O Parlamento Europeu</w:t>
      </w:r>
      <w:r w:rsidRPr="00437677">
        <w:t>,</w:t>
      </w:r>
    </w:p>
    <w:p w14:paraId="02D1B0EC" w14:textId="2820CD83" w:rsidR="002012FE" w:rsidRPr="00437677" w:rsidRDefault="002012FE" w:rsidP="002012FE">
      <w:pPr>
        <w:pStyle w:val="NormalHanging12a"/>
      </w:pPr>
      <w:r w:rsidRPr="00437677">
        <w:t>–</w:t>
      </w:r>
      <w:r w:rsidRPr="00437677">
        <w:tab/>
        <w:t>Tendo em conta a proposta da Comissão ao Parlamento e ao Conselho (</w:t>
      </w:r>
      <w:proofErr w:type="gramStart"/>
      <w:r w:rsidRPr="00437677">
        <w:t>COM(</w:t>
      </w:r>
      <w:proofErr w:type="gramEnd"/>
      <w:r w:rsidRPr="00437677">
        <w:t>2023)0515),</w:t>
      </w:r>
    </w:p>
    <w:p w14:paraId="417CED21" w14:textId="77777777" w:rsidR="002012FE" w:rsidRPr="00437677" w:rsidRDefault="002012FE" w:rsidP="002012FE">
      <w:pPr>
        <w:pStyle w:val="NormalHanging12a"/>
      </w:pPr>
      <w:r w:rsidRPr="00437677">
        <w:t>–</w:t>
      </w:r>
      <w:r w:rsidRPr="00437677">
        <w:tab/>
        <w:t>Tendo em conta o artigo 294.º, n.º 2, o artigo 21.º, n.º 2, e o artigo 114.º do Tratado sobre o Funcionamento da União Europeia, nos termos dos quais a proposta lhe foi apresentada pela Comissão (C9</w:t>
      </w:r>
      <w:r w:rsidRPr="00437677">
        <w:noBreakHyphen/>
        <w:t>0327/2023),</w:t>
      </w:r>
    </w:p>
    <w:p w14:paraId="70A1E8F3" w14:textId="35C97154" w:rsidR="002012FE" w:rsidRDefault="002012FE" w:rsidP="002012FE">
      <w:pPr>
        <w:pStyle w:val="NormalHanging12a"/>
      </w:pPr>
      <w:r w:rsidRPr="00437677">
        <w:t>–</w:t>
      </w:r>
      <w:r w:rsidRPr="00437677">
        <w:tab/>
        <w:t>Tendo em conta o artigo 294.º, n.º 3, do Tratado sobre o Funcionamento da União Europeia,</w:t>
      </w:r>
    </w:p>
    <w:p w14:paraId="0C0D77F7" w14:textId="0CC5362A" w:rsidR="008836A7" w:rsidRPr="00437677" w:rsidRDefault="008836A7" w:rsidP="002012FE">
      <w:pPr>
        <w:pStyle w:val="NormalHanging12a"/>
      </w:pPr>
      <w:r w:rsidRPr="00437677">
        <w:t>–</w:t>
      </w:r>
      <w:r w:rsidRPr="00437677">
        <w:tab/>
        <w:t xml:space="preserve">Tendo em conta o parecer </w:t>
      </w:r>
      <w:r>
        <w:t>do Comité Económico e Social Europeu, de 17 de janeiro de 2024</w:t>
      </w:r>
      <w:r>
        <w:rPr>
          <w:rStyle w:val="FootnoteReference"/>
        </w:rPr>
        <w:footnoteReference w:id="1"/>
      </w:r>
      <w:r>
        <w:t>,</w:t>
      </w:r>
    </w:p>
    <w:p w14:paraId="0E729A95" w14:textId="77777777" w:rsidR="002012FE" w:rsidRPr="00437677" w:rsidRDefault="002012FE" w:rsidP="002012FE">
      <w:pPr>
        <w:pStyle w:val="NormalHanging12a"/>
      </w:pPr>
      <w:r w:rsidRPr="00437677">
        <w:t>–</w:t>
      </w:r>
      <w:r w:rsidRPr="00437677">
        <w:tab/>
        <w:t>Tendo em conta o artigo 59.º do seu Regimento,</w:t>
      </w:r>
    </w:p>
    <w:p w14:paraId="5DA0F39C" w14:textId="77777777" w:rsidR="002012FE" w:rsidRPr="00437677" w:rsidRDefault="002012FE" w:rsidP="002012FE">
      <w:pPr>
        <w:pStyle w:val="NormalHanging12a"/>
      </w:pPr>
      <w:r w:rsidRPr="00437677">
        <w:t>–</w:t>
      </w:r>
      <w:r w:rsidRPr="00437677">
        <w:tab/>
        <w:t>Tendo em conta o parecer da Comissão dos Assuntos Jurídicos,</w:t>
      </w:r>
    </w:p>
    <w:p w14:paraId="02AE8B55" w14:textId="77777777" w:rsidR="002012FE" w:rsidRPr="00437677" w:rsidRDefault="002012FE" w:rsidP="002012FE">
      <w:pPr>
        <w:pStyle w:val="NormalHanging12a"/>
      </w:pPr>
      <w:r w:rsidRPr="00437677">
        <w:t>–</w:t>
      </w:r>
      <w:r w:rsidRPr="00437677">
        <w:tab/>
        <w:t>Tendo em conta o relatório da Comissão do Mercado Interno e da Proteção dos Consumidores (A9</w:t>
      </w:r>
      <w:r w:rsidRPr="00437677">
        <w:noBreakHyphen/>
        <w:t>0006/2024),</w:t>
      </w:r>
    </w:p>
    <w:p w14:paraId="7D23DF51" w14:textId="77777777" w:rsidR="002012FE" w:rsidRPr="00437677" w:rsidRDefault="002012FE" w:rsidP="002012FE">
      <w:pPr>
        <w:pStyle w:val="NormalHanging12a"/>
      </w:pPr>
      <w:proofErr w:type="gramStart"/>
      <w:r w:rsidRPr="00437677">
        <w:lastRenderedPageBreak/>
        <w:t>1.</w:t>
      </w:r>
      <w:r w:rsidRPr="00437677">
        <w:tab/>
        <w:t>Aprova</w:t>
      </w:r>
      <w:proofErr w:type="gramEnd"/>
      <w:r w:rsidRPr="00437677">
        <w:t xml:space="preserve"> a posição em primeira leitura que se segue;</w:t>
      </w:r>
    </w:p>
    <w:p w14:paraId="643B2368" w14:textId="3D4BB15D" w:rsidR="002012FE" w:rsidRPr="00437677" w:rsidRDefault="002012FE" w:rsidP="002012FE">
      <w:pPr>
        <w:pStyle w:val="NormalHanging12a"/>
      </w:pPr>
      <w:r w:rsidRPr="00437677">
        <w:t>2</w:t>
      </w:r>
      <w:r w:rsidR="00206972">
        <w:t>.</w:t>
      </w:r>
      <w:r w:rsidRPr="00437677">
        <w:tab/>
        <w:t>Requer à Comissão que lhe submeta de novo a sua proposta, se a substituir, se a alterar substancialmente ou se pretender alterá</w:t>
      </w:r>
      <w:r w:rsidRPr="00437677">
        <w:noBreakHyphen/>
        <w:t>la substancialmente;</w:t>
      </w:r>
    </w:p>
    <w:p w14:paraId="4BCA3CCC" w14:textId="77777777" w:rsidR="002012FE" w:rsidRPr="00437677" w:rsidRDefault="002012FE" w:rsidP="002012FE">
      <w:pPr>
        <w:pStyle w:val="NormalHanging12a"/>
      </w:pPr>
      <w:proofErr w:type="gramStart"/>
      <w:r w:rsidRPr="00437677">
        <w:t>3.</w:t>
      </w:r>
      <w:r w:rsidRPr="00437677">
        <w:tab/>
        <w:t>Encarrega</w:t>
      </w:r>
      <w:proofErr w:type="gramEnd"/>
      <w:r w:rsidRPr="00437677">
        <w:t xml:space="preserve"> a sua Presidente de transmitir a posição do Parlamento ao Conselho, à Comissão e aos parlamentos nacionais.</w:t>
      </w:r>
    </w:p>
    <w:p w14:paraId="78CC225A" w14:textId="77777777" w:rsidR="00577C63" w:rsidRDefault="00577C63" w:rsidP="00577C63">
      <w:pPr>
        <w:pStyle w:val="NormalHanging12a"/>
        <w:sectPr w:rsidR="00577C63" w:rsidSect="00B110F7">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A4ECB6F" w14:textId="373CF48A" w:rsidR="00577C63" w:rsidRPr="00062871" w:rsidRDefault="00577C63" w:rsidP="00577C63">
      <w:pPr>
        <w:autoSpaceDE w:val="0"/>
        <w:autoSpaceDN w:val="0"/>
        <w:adjustRightInd w:val="0"/>
        <w:spacing w:after="240" w:line="260" w:lineRule="exact"/>
        <w:rPr>
          <w:rFonts w:eastAsia="Calibri"/>
          <w:b/>
          <w:bCs/>
          <w:color w:val="000000"/>
        </w:rPr>
      </w:pPr>
      <w:r w:rsidRPr="00062871">
        <w:rPr>
          <w:rFonts w:eastAsia="Calibri"/>
          <w:b/>
          <w:bCs/>
          <w:color w:val="000000"/>
        </w:rPr>
        <w:lastRenderedPageBreak/>
        <w:t>P9_TC1-</w:t>
      </w:r>
      <w:proofErr w:type="gramStart"/>
      <w:r w:rsidRPr="00062871">
        <w:rPr>
          <w:rFonts w:eastAsia="Calibri"/>
          <w:b/>
          <w:bCs/>
          <w:color w:val="000000"/>
        </w:rPr>
        <w:t>COD(</w:t>
      </w:r>
      <w:proofErr w:type="gramEnd"/>
      <w:r w:rsidRPr="00062871">
        <w:rPr>
          <w:rFonts w:eastAsia="Calibri"/>
          <w:b/>
          <w:bCs/>
          <w:color w:val="000000"/>
        </w:rPr>
        <w:t>2023)0</w:t>
      </w:r>
      <w:r>
        <w:rPr>
          <w:rFonts w:eastAsia="Calibri"/>
          <w:b/>
          <w:bCs/>
          <w:color w:val="000000"/>
        </w:rPr>
        <w:t>314</w:t>
      </w:r>
    </w:p>
    <w:p w14:paraId="4BDF3B2A" w14:textId="6BCA8479" w:rsidR="00577C63" w:rsidRDefault="00577C63" w:rsidP="00577C63">
      <w:pPr>
        <w:pStyle w:val="NormalHanging12a"/>
        <w:ind w:left="0" w:firstLine="0"/>
        <w:rPr>
          <w:b/>
          <w:szCs w:val="24"/>
          <w:lang w:eastAsia="en-US"/>
        </w:rPr>
      </w:pPr>
      <w:r w:rsidRPr="00FB2507">
        <w:rPr>
          <w:b/>
        </w:rPr>
        <w:t>Posição do Parlamento Europeu aprovada em primeira leitura em</w:t>
      </w:r>
      <w:r w:rsidRPr="002E0A9D">
        <w:rPr>
          <w:b/>
        </w:rPr>
        <w:t xml:space="preserve"> </w:t>
      </w:r>
      <w:r w:rsidRPr="00577C63">
        <w:rPr>
          <w:b/>
        </w:rPr>
        <w:t xml:space="preserve">13 de março </w:t>
      </w:r>
      <w:r w:rsidRPr="002E0A9D">
        <w:rPr>
          <w:b/>
        </w:rPr>
        <w:t xml:space="preserve">de 2024 </w:t>
      </w:r>
      <w:r w:rsidRPr="00FB2507">
        <w:rPr>
          <w:b/>
        </w:rPr>
        <w:t>tendo em vista a adoção d</w:t>
      </w:r>
      <w:r>
        <w:rPr>
          <w:b/>
        </w:rPr>
        <w:t xml:space="preserve">o </w:t>
      </w:r>
      <w:r w:rsidRPr="002E0A9D">
        <w:rPr>
          <w:b/>
        </w:rPr>
        <w:t>Regulamento</w:t>
      </w:r>
      <w:r w:rsidRPr="0027157C">
        <w:t xml:space="preserve"> </w:t>
      </w:r>
      <w:r w:rsidRPr="00FB2507">
        <w:rPr>
          <w:b/>
        </w:rPr>
        <w:t xml:space="preserve">(UE) 2024/... do Parlamento Europeu e do Conselho </w:t>
      </w:r>
      <w:r w:rsidR="00D028A6" w:rsidRPr="00D028A6">
        <w:rPr>
          <w:b/>
          <w:szCs w:val="24"/>
          <w:lang w:eastAsia="en-US"/>
        </w:rPr>
        <w:t>que altera o Regulamento (UE) n.º 1024/2012 e o Regulamento (UE) 2018/1724 no que diz respeito à utilização do Sistema de Informação do Mercado Interno e da plataforma digital única para efeito dos requisitos estabelecidos na Diretiva (UE) .../... do Parlamento Europeu e do Conselho sobre as associações europeias transfronteiriças (COM(2023)</w:t>
      </w:r>
      <w:r w:rsidR="00D028A6">
        <w:rPr>
          <w:b/>
          <w:szCs w:val="24"/>
          <w:lang w:eastAsia="en-US"/>
        </w:rPr>
        <w:t>0</w:t>
      </w:r>
      <w:r w:rsidR="00D028A6" w:rsidRPr="00D028A6">
        <w:rPr>
          <w:b/>
          <w:szCs w:val="24"/>
          <w:lang w:eastAsia="en-US"/>
        </w:rPr>
        <w:t>516)</w:t>
      </w:r>
    </w:p>
    <w:p w14:paraId="2E171949" w14:textId="2C8A2642" w:rsidR="00C54142" w:rsidRPr="00D01094" w:rsidRDefault="00C54142" w:rsidP="00D01094">
      <w:pPr>
        <w:pStyle w:val="NormalHanging12a"/>
        <w:ind w:left="0" w:firstLine="0"/>
        <w:jc w:val="center"/>
      </w:pPr>
      <w:r w:rsidRPr="00D01094">
        <w:t>(Texto relevante para efeitos do EEE)</w:t>
      </w:r>
    </w:p>
    <w:p w14:paraId="0C340B0E" w14:textId="77777777" w:rsidR="00D028A6" w:rsidRPr="00D028A6" w:rsidRDefault="00D028A6" w:rsidP="00D028A6">
      <w:pPr>
        <w:keepNext/>
        <w:spacing w:before="600" w:after="120" w:line="360" w:lineRule="auto"/>
        <w:rPr>
          <w:szCs w:val="24"/>
          <w:lang w:eastAsia="en-US"/>
        </w:rPr>
      </w:pPr>
      <w:r w:rsidRPr="00D028A6">
        <w:rPr>
          <w:szCs w:val="24"/>
          <w:lang w:eastAsia="en-US"/>
        </w:rPr>
        <w:t>O PARLAMENTO EUROPEU E O CONSELHO DA UNIÃO EUROPEIA,</w:t>
      </w:r>
    </w:p>
    <w:p w14:paraId="4398C99D" w14:textId="77777777" w:rsidR="00D028A6" w:rsidRPr="00D028A6" w:rsidRDefault="00D028A6" w:rsidP="00D028A6">
      <w:pPr>
        <w:spacing w:before="120" w:after="120" w:line="360" w:lineRule="auto"/>
        <w:rPr>
          <w:lang w:eastAsia="en-US"/>
        </w:rPr>
      </w:pPr>
      <w:r w:rsidRPr="00D028A6">
        <w:rPr>
          <w:lang w:eastAsia="en-US"/>
        </w:rPr>
        <w:t>Tendo em conta o Tratado sobre o Funcionamento da União Europeia, nomeadamente o artigo 21.º, n.º 2, e o artigo 114.º,</w:t>
      </w:r>
    </w:p>
    <w:p w14:paraId="577B6859" w14:textId="77777777" w:rsidR="00D028A6" w:rsidRPr="00D028A6" w:rsidRDefault="00D028A6" w:rsidP="00D028A6">
      <w:pPr>
        <w:spacing w:before="120" w:after="120" w:line="360" w:lineRule="auto"/>
        <w:rPr>
          <w:lang w:eastAsia="en-US"/>
        </w:rPr>
      </w:pPr>
      <w:r w:rsidRPr="00D028A6">
        <w:rPr>
          <w:lang w:eastAsia="en-US"/>
        </w:rPr>
        <w:t>Tendo em conta a proposta da Comissão Europeia,</w:t>
      </w:r>
    </w:p>
    <w:p w14:paraId="345EEFC8" w14:textId="77777777" w:rsidR="00D028A6" w:rsidRPr="00D028A6" w:rsidRDefault="00D028A6" w:rsidP="00D028A6">
      <w:pPr>
        <w:spacing w:before="120" w:after="120" w:line="360" w:lineRule="auto"/>
        <w:rPr>
          <w:lang w:eastAsia="en-US"/>
        </w:rPr>
      </w:pPr>
      <w:r w:rsidRPr="00D028A6">
        <w:rPr>
          <w:lang w:eastAsia="en-US"/>
        </w:rPr>
        <w:t>Após transmissão do projeto de ato legislativo aos parlamentos nacionais,</w:t>
      </w:r>
    </w:p>
    <w:p w14:paraId="39219024" w14:textId="77777777" w:rsidR="00D028A6" w:rsidRPr="00D028A6" w:rsidRDefault="00D028A6" w:rsidP="00D028A6">
      <w:pPr>
        <w:spacing w:before="120" w:after="120" w:line="360" w:lineRule="auto"/>
        <w:rPr>
          <w:lang w:eastAsia="en-US"/>
        </w:rPr>
      </w:pPr>
      <w:r w:rsidRPr="00D028A6">
        <w:rPr>
          <w:lang w:eastAsia="en-US"/>
        </w:rPr>
        <w:t>Tendo em conta o parecer do Comité Económico e Social Europeu</w:t>
      </w:r>
      <w:r w:rsidRPr="00D028A6">
        <w:rPr>
          <w:vertAlign w:val="superscript"/>
          <w:lang w:val="en-GB" w:eastAsia="en-US"/>
        </w:rPr>
        <w:footnoteReference w:id="2"/>
      </w:r>
      <w:r w:rsidRPr="00D028A6">
        <w:rPr>
          <w:lang w:eastAsia="en-US"/>
        </w:rPr>
        <w:t>,</w:t>
      </w:r>
    </w:p>
    <w:p w14:paraId="57A38FAA" w14:textId="77777777" w:rsidR="00D028A6" w:rsidRPr="00D028A6" w:rsidRDefault="00D028A6" w:rsidP="00D028A6">
      <w:pPr>
        <w:spacing w:before="120" w:after="120" w:line="360" w:lineRule="auto"/>
        <w:rPr>
          <w:lang w:eastAsia="en-US"/>
        </w:rPr>
      </w:pPr>
      <w:r w:rsidRPr="00D028A6">
        <w:rPr>
          <w:lang w:eastAsia="en-US"/>
        </w:rPr>
        <w:t>Deliberando de acordo com o processo legislativo ordinário,</w:t>
      </w:r>
    </w:p>
    <w:p w14:paraId="7CAD76CE" w14:textId="77777777" w:rsidR="00F276F9" w:rsidRDefault="00F276F9">
      <w:pPr>
        <w:widowControl/>
        <w:rPr>
          <w:lang w:eastAsia="en-US"/>
        </w:rPr>
      </w:pPr>
      <w:r>
        <w:rPr>
          <w:lang w:eastAsia="en-US"/>
        </w:rPr>
        <w:br w:type="page"/>
      </w:r>
    </w:p>
    <w:p w14:paraId="38CB5DC0" w14:textId="68B4D71E" w:rsidR="00D028A6" w:rsidRPr="00D028A6" w:rsidRDefault="00D028A6" w:rsidP="00D028A6">
      <w:pPr>
        <w:spacing w:before="120" w:after="120" w:line="360" w:lineRule="auto"/>
        <w:rPr>
          <w:lang w:eastAsia="en-US"/>
        </w:rPr>
      </w:pPr>
      <w:r w:rsidRPr="00D028A6">
        <w:rPr>
          <w:lang w:eastAsia="en-US"/>
        </w:rPr>
        <w:lastRenderedPageBreak/>
        <w:t>Considerando o seguinte:</w:t>
      </w:r>
    </w:p>
    <w:p w14:paraId="6CD8654A" w14:textId="77777777" w:rsidR="00D028A6" w:rsidRPr="00D028A6" w:rsidRDefault="00D028A6" w:rsidP="00D028A6">
      <w:pPr>
        <w:spacing w:before="120" w:after="120" w:line="360" w:lineRule="auto"/>
        <w:ind w:left="850" w:hanging="850"/>
        <w:rPr>
          <w:szCs w:val="24"/>
          <w:lang w:eastAsia="en-US"/>
        </w:rPr>
      </w:pPr>
      <w:r w:rsidRPr="00D028A6">
        <w:rPr>
          <w:szCs w:val="24"/>
          <w:lang w:eastAsia="en-US"/>
        </w:rPr>
        <w:t>(1)</w:t>
      </w:r>
      <w:r w:rsidRPr="00D028A6">
        <w:rPr>
          <w:szCs w:val="24"/>
          <w:lang w:eastAsia="en-US"/>
        </w:rPr>
        <w:tab/>
        <w:t>A Diretiva (UE) do Parlamento Europeu e do Conselho, relativa às associações europeias transfronteiriças COM(2023)516</w:t>
      </w:r>
      <w:r w:rsidRPr="00D028A6">
        <w:rPr>
          <w:szCs w:val="24"/>
          <w:vertAlign w:val="superscript"/>
          <w:lang w:val="en-GB" w:eastAsia="en-US"/>
        </w:rPr>
        <w:footnoteReference w:id="3"/>
      </w:r>
      <w:r w:rsidRPr="00D028A6">
        <w:rPr>
          <w:szCs w:val="24"/>
          <w:lang w:eastAsia="en-US"/>
        </w:rPr>
        <w:t xml:space="preserve"> estabelece medidas relativas à coordenação das condições para o estabelecimento e o funcionamento das “Associações Europeias Transfronteiriças” (AET), com o objetivo de facilitar exercício efetivo da livre circulação das associações sem fins lucrativos, que operam no mercado interno.</w:t>
      </w:r>
    </w:p>
    <w:p w14:paraId="44B2C038" w14:textId="5E0E70FB" w:rsidR="00D028A6" w:rsidRPr="00D01094" w:rsidRDefault="00D028A6" w:rsidP="00D028A6">
      <w:pPr>
        <w:spacing w:before="120" w:after="120" w:line="360" w:lineRule="auto"/>
        <w:ind w:left="850" w:hanging="850"/>
        <w:rPr>
          <w:b/>
          <w:szCs w:val="24"/>
          <w:lang w:eastAsia="en-US"/>
        </w:rPr>
      </w:pPr>
      <w:r w:rsidRPr="00D028A6">
        <w:rPr>
          <w:szCs w:val="24"/>
          <w:lang w:eastAsia="en-US"/>
        </w:rPr>
        <w:t>(2)</w:t>
      </w:r>
      <w:r w:rsidRPr="00D028A6">
        <w:rPr>
          <w:szCs w:val="24"/>
          <w:lang w:eastAsia="en-US"/>
        </w:rPr>
        <w:tab/>
        <w:t xml:space="preserve">Nos termos do artigo </w:t>
      </w:r>
      <w:r w:rsidRPr="00D028A6">
        <w:rPr>
          <w:strike/>
          <w:szCs w:val="24"/>
          <w:lang w:eastAsia="en-US"/>
        </w:rPr>
        <w:t>30.º</w:t>
      </w:r>
      <w:r w:rsidRPr="00D028A6">
        <w:rPr>
          <w:b/>
          <w:i/>
          <w:szCs w:val="24"/>
          <w:lang w:eastAsia="en-US"/>
        </w:rPr>
        <w:t>28.º</w:t>
      </w:r>
      <w:r w:rsidRPr="00D028A6">
        <w:rPr>
          <w:szCs w:val="24"/>
          <w:lang w:eastAsia="en-US"/>
        </w:rPr>
        <w:t>, n.º 2, da Diretiva COM(2023)</w:t>
      </w:r>
      <w:r>
        <w:rPr>
          <w:szCs w:val="24"/>
          <w:lang w:eastAsia="en-US"/>
        </w:rPr>
        <w:t>0</w:t>
      </w:r>
      <w:r w:rsidRPr="00D028A6">
        <w:rPr>
          <w:szCs w:val="24"/>
          <w:lang w:eastAsia="en-US"/>
        </w:rPr>
        <w:t>516, a cooperação administrativa reforçada e do intercâmbio eficaz de informações entre as autoridades competentes dos Estados-Membros deve ser posta em prática com base no Sistema de Informação do Mercado Interno («sistema IMI»), criado pelo Regulamento (UE) n.º 1024/2012 do Parlamento Europeu e do Conselho</w:t>
      </w:r>
      <w:r w:rsidRPr="00D028A6">
        <w:rPr>
          <w:szCs w:val="24"/>
          <w:vertAlign w:val="superscript"/>
          <w:lang w:val="en-GB" w:eastAsia="en-US"/>
        </w:rPr>
        <w:footnoteReference w:id="4"/>
      </w:r>
      <w:r w:rsidRPr="00D028A6">
        <w:rPr>
          <w:szCs w:val="24"/>
          <w:lang w:eastAsia="en-US"/>
        </w:rPr>
        <w:t>. Por esse motivo, deverão ser estabelecidos no sistema IMI os procedimentos de cooperação administrativa necessários</w:t>
      </w:r>
      <w:r w:rsidRPr="00D028A6">
        <w:rPr>
          <w:b/>
          <w:i/>
          <w:szCs w:val="24"/>
          <w:lang w:eastAsia="en-US"/>
        </w:rPr>
        <w:t xml:space="preserve"> e os procedimentos para o intercâmbio de informações entre as autoridades competentes</w:t>
      </w:r>
      <w:r w:rsidRPr="00D028A6">
        <w:rPr>
          <w:szCs w:val="24"/>
          <w:lang w:eastAsia="en-US"/>
        </w:rPr>
        <w:t>.</w:t>
      </w:r>
      <w:r>
        <w:rPr>
          <w:b/>
          <w:szCs w:val="24"/>
          <w:lang w:eastAsia="en-US"/>
        </w:rPr>
        <w:t xml:space="preserve"> [Alt. 1]</w:t>
      </w:r>
    </w:p>
    <w:p w14:paraId="7CC0EADB" w14:textId="77777777" w:rsidR="00F276F9" w:rsidRDefault="00F276F9">
      <w:pPr>
        <w:widowControl/>
        <w:rPr>
          <w:szCs w:val="24"/>
          <w:lang w:eastAsia="en-US"/>
        </w:rPr>
      </w:pPr>
      <w:r>
        <w:rPr>
          <w:szCs w:val="24"/>
          <w:lang w:eastAsia="en-US"/>
        </w:rPr>
        <w:br w:type="page"/>
      </w:r>
    </w:p>
    <w:p w14:paraId="1884F365" w14:textId="51986CED" w:rsidR="00D028A6" w:rsidRPr="00D01094" w:rsidRDefault="00D028A6" w:rsidP="00D028A6">
      <w:pPr>
        <w:spacing w:before="120" w:after="120" w:line="360" w:lineRule="auto"/>
        <w:ind w:left="850" w:hanging="850"/>
        <w:rPr>
          <w:b/>
          <w:szCs w:val="24"/>
          <w:lang w:eastAsia="en-US"/>
        </w:rPr>
      </w:pPr>
      <w:r w:rsidRPr="00D028A6">
        <w:rPr>
          <w:szCs w:val="24"/>
          <w:lang w:eastAsia="en-US"/>
        </w:rPr>
        <w:lastRenderedPageBreak/>
        <w:t>(3)</w:t>
      </w:r>
      <w:r w:rsidRPr="00D028A6">
        <w:rPr>
          <w:szCs w:val="24"/>
          <w:lang w:eastAsia="en-US"/>
        </w:rPr>
        <w:tab/>
        <w:t>Em conformidade com os artigos 2.º e 3.º do Regulamento (UE) 2018/1724 do Parlamento Europeu e do Conselho</w:t>
      </w:r>
      <w:r w:rsidRPr="00D028A6">
        <w:rPr>
          <w:szCs w:val="24"/>
          <w:vertAlign w:val="superscript"/>
          <w:lang w:val="en-GB" w:eastAsia="en-US"/>
        </w:rPr>
        <w:footnoteReference w:id="5"/>
      </w:r>
      <w:r w:rsidRPr="00D028A6">
        <w:rPr>
          <w:szCs w:val="24"/>
          <w:lang w:eastAsia="en-US"/>
        </w:rPr>
        <w:t xml:space="preserve">, a plataforma digital única </w:t>
      </w:r>
      <w:proofErr w:type="spellStart"/>
      <w:r w:rsidRPr="00D028A6">
        <w:rPr>
          <w:strike/>
          <w:szCs w:val="24"/>
          <w:lang w:eastAsia="en-US"/>
        </w:rPr>
        <w:t>dá</w:t>
      </w:r>
      <w:r w:rsidRPr="00D028A6">
        <w:rPr>
          <w:b/>
          <w:i/>
          <w:szCs w:val="24"/>
          <w:lang w:eastAsia="en-US"/>
        </w:rPr>
        <w:t>proporciona</w:t>
      </w:r>
      <w:proofErr w:type="spellEnd"/>
      <w:r w:rsidRPr="00D028A6">
        <w:rPr>
          <w:szCs w:val="24"/>
          <w:lang w:eastAsia="en-US"/>
        </w:rPr>
        <w:t xml:space="preserve"> acesso a informações, procedimentos, bem como assistência e serviços de resolução de problemas aos cidadãos da União, a pessoas singulares residentes num </w:t>
      </w:r>
      <w:r w:rsidRPr="00D01094">
        <w:rPr>
          <w:szCs w:val="24"/>
          <w:lang w:eastAsia="en-US"/>
        </w:rPr>
        <w:t>Estado-Membro</w:t>
      </w:r>
      <w:r>
        <w:rPr>
          <w:szCs w:val="24"/>
          <w:lang w:eastAsia="en-US"/>
        </w:rPr>
        <w:t xml:space="preserve"> </w:t>
      </w:r>
      <w:r w:rsidRPr="00D028A6">
        <w:rPr>
          <w:szCs w:val="24"/>
          <w:lang w:eastAsia="en-US"/>
        </w:rPr>
        <w:t xml:space="preserve">ou a pessoas coletivas que tenham a sede social num </w:t>
      </w:r>
      <w:r w:rsidRPr="00D01094">
        <w:rPr>
          <w:szCs w:val="24"/>
          <w:lang w:eastAsia="en-US"/>
        </w:rPr>
        <w:t>Estado-Membro</w:t>
      </w:r>
      <w:r w:rsidRPr="00D028A6">
        <w:rPr>
          <w:szCs w:val="24"/>
          <w:lang w:eastAsia="en-US"/>
        </w:rPr>
        <w:t>. O articulado e o anexo I do Regulamento (UE) 2018/1724 devem ser alterados</w:t>
      </w:r>
      <w:r w:rsidRPr="00D028A6">
        <w:rPr>
          <w:b/>
          <w:i/>
          <w:szCs w:val="24"/>
          <w:lang w:eastAsia="en-US"/>
        </w:rPr>
        <w:t xml:space="preserve"> pelo presente regulamento</w:t>
      </w:r>
      <w:r w:rsidRPr="00D028A6">
        <w:rPr>
          <w:szCs w:val="24"/>
          <w:lang w:eastAsia="en-US"/>
        </w:rPr>
        <w:t xml:space="preserve"> para assegurar que o âmbito não é entendido como limitado a cidadãos e empresas e que abrange outras pessoas coletivas que não as empresas, como por exemplo as AET.</w:t>
      </w:r>
      <w:r>
        <w:rPr>
          <w:b/>
          <w:szCs w:val="24"/>
          <w:lang w:eastAsia="en-US"/>
        </w:rPr>
        <w:t xml:space="preserve"> [Alt. 2]</w:t>
      </w:r>
    </w:p>
    <w:p w14:paraId="3F7A355F" w14:textId="77777777" w:rsidR="00D028A6" w:rsidRPr="00D028A6" w:rsidRDefault="00D028A6" w:rsidP="00D028A6">
      <w:pPr>
        <w:spacing w:before="120" w:after="120" w:line="360" w:lineRule="auto"/>
        <w:ind w:left="850" w:hanging="850"/>
        <w:rPr>
          <w:szCs w:val="24"/>
          <w:lang w:eastAsia="en-US"/>
        </w:rPr>
      </w:pPr>
      <w:r w:rsidRPr="00D028A6">
        <w:rPr>
          <w:szCs w:val="24"/>
          <w:lang w:eastAsia="en-US"/>
        </w:rPr>
        <w:t>(4)</w:t>
      </w:r>
      <w:r w:rsidRPr="00D028A6">
        <w:rPr>
          <w:szCs w:val="24"/>
          <w:lang w:eastAsia="en-US"/>
        </w:rPr>
        <w:tab/>
        <w:t>O Regulamento (UE) 2018/1724 do Parlamento Europeu e do Conselho</w:t>
      </w:r>
      <w:r w:rsidRPr="00D028A6">
        <w:rPr>
          <w:szCs w:val="24"/>
          <w:vertAlign w:val="superscript"/>
          <w:lang w:val="en-GB" w:eastAsia="en-US"/>
        </w:rPr>
        <w:footnoteReference w:id="6"/>
      </w:r>
      <w:r w:rsidRPr="00D028A6">
        <w:rPr>
          <w:szCs w:val="24"/>
          <w:lang w:eastAsia="en-US"/>
        </w:rPr>
        <w:t>, relativo à criação de uma plataforma digital única, prevê normas gerais em matéria de transmissão de informações, procedimentos e serviços de assistência em linha para garantir o funcionamento do mercado interno. Os procedimentos abrangidos por este Regulamento devem cumprir os requisitos do Regulamento (UE) 2018/1724 para assegurar que todas as AET possam beneficiar plenamente dos procedimentos em linha e do intercâmbio automatizado transfronteiriço de elementos de prova nos termos do princípio da declaração única. Estes procedimentos abrangem o pedido de registo de uma AET e o procedimento de transferência da sede social de uma AET.</w:t>
      </w:r>
    </w:p>
    <w:p w14:paraId="3FA9BF2B" w14:textId="77777777" w:rsidR="00F276F9" w:rsidRDefault="00F276F9">
      <w:pPr>
        <w:widowControl/>
        <w:rPr>
          <w:szCs w:val="24"/>
          <w:lang w:eastAsia="en-US"/>
        </w:rPr>
      </w:pPr>
      <w:r>
        <w:rPr>
          <w:szCs w:val="24"/>
          <w:lang w:eastAsia="en-US"/>
        </w:rPr>
        <w:br w:type="page"/>
      </w:r>
    </w:p>
    <w:p w14:paraId="4E5E4285" w14:textId="5F97B283" w:rsidR="00D028A6" w:rsidRPr="00D028A6" w:rsidRDefault="00D028A6" w:rsidP="00D028A6">
      <w:pPr>
        <w:spacing w:before="120" w:after="120" w:line="360" w:lineRule="auto"/>
        <w:ind w:left="850" w:hanging="850"/>
        <w:rPr>
          <w:szCs w:val="24"/>
          <w:lang w:eastAsia="en-US"/>
        </w:rPr>
      </w:pPr>
      <w:proofErr w:type="gramStart"/>
      <w:r w:rsidRPr="00D028A6">
        <w:rPr>
          <w:szCs w:val="24"/>
          <w:lang w:eastAsia="en-US"/>
        </w:rPr>
        <w:lastRenderedPageBreak/>
        <w:t>(5)</w:t>
      </w:r>
      <w:r w:rsidRPr="00D028A6">
        <w:rPr>
          <w:szCs w:val="24"/>
          <w:lang w:eastAsia="en-US"/>
        </w:rPr>
        <w:tab/>
        <w:t>Por</w:t>
      </w:r>
      <w:proofErr w:type="gramEnd"/>
      <w:r w:rsidRPr="00D028A6">
        <w:rPr>
          <w:szCs w:val="24"/>
          <w:lang w:eastAsia="en-US"/>
        </w:rPr>
        <w:t xml:space="preserve"> conseguinte, o Regulamento (UE) n.º 1024/2012 e o Regulamento (UE) 2018/1724 devem ser alterados em conformidade</w:t>
      </w:r>
      <w:r>
        <w:rPr>
          <w:szCs w:val="24"/>
          <w:lang w:eastAsia="en-US"/>
        </w:rPr>
        <w:t>.</w:t>
      </w:r>
    </w:p>
    <w:p w14:paraId="112ACD53" w14:textId="3CD59784" w:rsidR="00D028A6" w:rsidRPr="00D01094" w:rsidRDefault="00D028A6" w:rsidP="00D028A6">
      <w:pPr>
        <w:spacing w:before="120" w:after="120" w:line="360" w:lineRule="auto"/>
        <w:ind w:left="850" w:hanging="850"/>
        <w:rPr>
          <w:b/>
          <w:szCs w:val="24"/>
          <w:lang w:eastAsia="en-US"/>
        </w:rPr>
      </w:pPr>
      <w:r w:rsidRPr="00D028A6">
        <w:rPr>
          <w:b/>
          <w:i/>
          <w:szCs w:val="24"/>
          <w:lang w:eastAsia="en-US"/>
        </w:rPr>
        <w:t>(5-A)</w:t>
      </w:r>
      <w:r w:rsidRPr="00D028A6">
        <w:rPr>
          <w:szCs w:val="24"/>
          <w:lang w:eastAsia="en-US"/>
        </w:rPr>
        <w:tab/>
      </w:r>
      <w:r w:rsidRPr="00D028A6">
        <w:rPr>
          <w:b/>
          <w:i/>
          <w:szCs w:val="24"/>
          <w:lang w:eastAsia="en-US"/>
        </w:rPr>
        <w:t>A Autoridade Europeia para a Proteção de Dados foi consultada nos termos do artigo 42.º, n.º 1, do Regulamento (UE) 2018/1725 e emitiu parecer em 31 de outubro de 2023,</w:t>
      </w:r>
      <w:r>
        <w:rPr>
          <w:b/>
          <w:szCs w:val="24"/>
          <w:lang w:eastAsia="en-US"/>
        </w:rPr>
        <w:t xml:space="preserve"> [Alt. 3]</w:t>
      </w:r>
    </w:p>
    <w:p w14:paraId="321396EF" w14:textId="77777777" w:rsidR="00D028A6" w:rsidRPr="00D028A6" w:rsidRDefault="00D028A6" w:rsidP="00D028A6">
      <w:pPr>
        <w:keepNext/>
        <w:widowControl/>
        <w:spacing w:before="120" w:after="120" w:line="360" w:lineRule="auto"/>
        <w:rPr>
          <w:szCs w:val="24"/>
          <w:lang w:eastAsia="en-US"/>
        </w:rPr>
      </w:pPr>
      <w:r w:rsidRPr="00D028A6">
        <w:rPr>
          <w:szCs w:val="24"/>
          <w:lang w:eastAsia="en-US"/>
        </w:rPr>
        <w:t>ADOTARAM O PRESENTE REGULAMENTO:</w:t>
      </w:r>
    </w:p>
    <w:p w14:paraId="1D7E5730" w14:textId="77777777" w:rsidR="00F276F9" w:rsidRDefault="00F276F9">
      <w:pPr>
        <w:widowControl/>
        <w:rPr>
          <w:szCs w:val="24"/>
          <w:lang w:eastAsia="en-US"/>
        </w:rPr>
      </w:pPr>
      <w:r>
        <w:rPr>
          <w:szCs w:val="24"/>
          <w:lang w:eastAsia="en-US"/>
        </w:rPr>
        <w:br w:type="page"/>
      </w:r>
    </w:p>
    <w:p w14:paraId="349227FD" w14:textId="6E17AE15" w:rsidR="00D028A6" w:rsidRPr="00D028A6" w:rsidRDefault="00D028A6" w:rsidP="00D028A6">
      <w:pPr>
        <w:spacing w:before="120" w:after="120" w:line="360" w:lineRule="auto"/>
        <w:jc w:val="center"/>
        <w:rPr>
          <w:szCs w:val="24"/>
          <w:lang w:eastAsia="en-US"/>
        </w:rPr>
      </w:pPr>
      <w:r w:rsidRPr="00D028A6">
        <w:rPr>
          <w:szCs w:val="24"/>
          <w:lang w:eastAsia="en-US"/>
        </w:rPr>
        <w:lastRenderedPageBreak/>
        <w:t>Artigo 1.º</w:t>
      </w:r>
      <w:r w:rsidRPr="00D028A6">
        <w:rPr>
          <w:szCs w:val="24"/>
          <w:lang w:eastAsia="en-US"/>
        </w:rPr>
        <w:br/>
        <w:t>Alteração do Regulamento (UE) n.º 1024/2012</w:t>
      </w:r>
    </w:p>
    <w:p w14:paraId="6614F497" w14:textId="24CA4673" w:rsidR="00D028A6" w:rsidRPr="00D028A6" w:rsidRDefault="00D028A6" w:rsidP="00D028A6">
      <w:pPr>
        <w:spacing w:before="120" w:after="120" w:line="360" w:lineRule="auto"/>
        <w:ind w:left="850" w:hanging="850"/>
        <w:rPr>
          <w:szCs w:val="24"/>
          <w:lang w:eastAsia="en-US"/>
        </w:rPr>
      </w:pPr>
      <w:r w:rsidRPr="00D028A6">
        <w:rPr>
          <w:szCs w:val="24"/>
          <w:lang w:eastAsia="en-US"/>
        </w:rPr>
        <w:t>No anexo do Regulamento (UE) n.º 1024/2012 é aditado o seguinte novo ponto 16:</w:t>
      </w:r>
    </w:p>
    <w:p w14:paraId="4CF84355" w14:textId="7EFD7FCB" w:rsidR="00D028A6" w:rsidRPr="00D028A6" w:rsidRDefault="00D028A6" w:rsidP="00D01094">
      <w:pPr>
        <w:spacing w:before="120" w:after="120" w:line="360" w:lineRule="auto"/>
        <w:ind w:left="851" w:hanging="850"/>
        <w:rPr>
          <w:szCs w:val="24"/>
          <w:lang w:eastAsia="en-US"/>
        </w:rPr>
      </w:pPr>
      <w:r w:rsidRPr="00D028A6">
        <w:rPr>
          <w:szCs w:val="24"/>
          <w:lang w:eastAsia="en-US"/>
        </w:rPr>
        <w:t>«16.</w:t>
      </w:r>
      <w:r w:rsidRPr="00D028A6">
        <w:rPr>
          <w:szCs w:val="24"/>
          <w:lang w:eastAsia="en-US"/>
        </w:rPr>
        <w:tab/>
        <w:t xml:space="preserve">Diretiva (UE) do Parlamento Europeu e do Conselho, relativa às associações europeias transfronteiriças </w:t>
      </w:r>
      <w:r w:rsidR="00C54142">
        <w:rPr>
          <w:szCs w:val="24"/>
          <w:lang w:eastAsia="en-US"/>
        </w:rPr>
        <w:t>(</w:t>
      </w:r>
      <w:proofErr w:type="gramStart"/>
      <w:r w:rsidRPr="00D028A6">
        <w:rPr>
          <w:szCs w:val="24"/>
          <w:lang w:eastAsia="en-US"/>
        </w:rPr>
        <w:t>COM(</w:t>
      </w:r>
      <w:proofErr w:type="gramEnd"/>
      <w:r w:rsidRPr="00D028A6">
        <w:rPr>
          <w:szCs w:val="24"/>
          <w:lang w:eastAsia="en-US"/>
        </w:rPr>
        <w:t>2023)516</w:t>
      </w:r>
      <w:r w:rsidR="00C54142">
        <w:rPr>
          <w:szCs w:val="24"/>
          <w:lang w:eastAsia="en-US"/>
        </w:rPr>
        <w:t>)</w:t>
      </w:r>
      <w:r w:rsidRPr="00D028A6">
        <w:rPr>
          <w:szCs w:val="24"/>
          <w:lang w:eastAsia="en-US"/>
        </w:rPr>
        <w:t xml:space="preserve">*: Artigo 19.º, n.º 2, artigo 19.º, n.º 4, artigo 23.º, </w:t>
      </w:r>
      <w:proofErr w:type="spellStart"/>
      <w:r w:rsidRPr="00D028A6">
        <w:rPr>
          <w:szCs w:val="24"/>
          <w:lang w:eastAsia="en-US"/>
        </w:rPr>
        <w:t>n.</w:t>
      </w:r>
      <w:r w:rsidRPr="00D028A6">
        <w:rPr>
          <w:szCs w:val="24"/>
          <w:vertAlign w:val="superscript"/>
          <w:lang w:eastAsia="en-US"/>
        </w:rPr>
        <w:t>os</w:t>
      </w:r>
      <w:proofErr w:type="spellEnd"/>
      <w:r w:rsidRPr="00D028A6">
        <w:rPr>
          <w:szCs w:val="24"/>
          <w:lang w:eastAsia="en-US"/>
        </w:rPr>
        <w:t xml:space="preserve"> 5, 6 e 7, artigo 24.º, n.º 3, artigo 25.º, n.º 6, e artigo 27.º.</w:t>
      </w:r>
    </w:p>
    <w:p w14:paraId="6B3C0518" w14:textId="77777777" w:rsidR="00D028A6" w:rsidRPr="00D028A6" w:rsidRDefault="00D028A6" w:rsidP="00D01094">
      <w:pPr>
        <w:spacing w:before="120" w:after="120" w:line="360" w:lineRule="auto"/>
        <w:ind w:left="1418" w:hanging="567"/>
        <w:rPr>
          <w:szCs w:val="24"/>
          <w:lang w:eastAsia="en-US"/>
        </w:rPr>
      </w:pPr>
      <w:r w:rsidRPr="00D028A6">
        <w:rPr>
          <w:szCs w:val="24"/>
          <w:lang w:eastAsia="en-US"/>
        </w:rPr>
        <w:t>____________________</w:t>
      </w:r>
    </w:p>
    <w:p w14:paraId="789C552A" w14:textId="15EC56FB" w:rsidR="00D028A6" w:rsidRPr="00D028A6" w:rsidRDefault="00D028A6" w:rsidP="00D01094">
      <w:pPr>
        <w:spacing w:before="120" w:after="120" w:line="360" w:lineRule="auto"/>
        <w:ind w:left="1418" w:hanging="567"/>
        <w:rPr>
          <w:szCs w:val="24"/>
          <w:lang w:eastAsia="en-US"/>
        </w:rPr>
      </w:pPr>
      <w:r w:rsidRPr="00D028A6">
        <w:rPr>
          <w:szCs w:val="24"/>
          <w:lang w:eastAsia="en-US"/>
        </w:rPr>
        <w:t>*</w:t>
      </w:r>
      <w:r>
        <w:rPr>
          <w:szCs w:val="24"/>
          <w:lang w:eastAsia="en-US"/>
        </w:rPr>
        <w:tab/>
      </w:r>
      <w:r w:rsidRPr="00D028A6">
        <w:rPr>
          <w:szCs w:val="24"/>
          <w:lang w:eastAsia="en-US"/>
        </w:rPr>
        <w:t>(Referência JO).»</w:t>
      </w:r>
      <w:r w:rsidR="00C54142">
        <w:rPr>
          <w:szCs w:val="24"/>
          <w:lang w:eastAsia="en-US"/>
        </w:rPr>
        <w:t>.</w:t>
      </w:r>
    </w:p>
    <w:p w14:paraId="3FB722C3" w14:textId="77777777" w:rsidR="00F276F9" w:rsidRDefault="00F276F9">
      <w:pPr>
        <w:widowControl/>
        <w:rPr>
          <w:szCs w:val="24"/>
          <w:lang w:eastAsia="en-US"/>
        </w:rPr>
      </w:pPr>
      <w:r>
        <w:rPr>
          <w:szCs w:val="24"/>
          <w:lang w:eastAsia="en-US"/>
        </w:rPr>
        <w:br w:type="page"/>
      </w:r>
    </w:p>
    <w:p w14:paraId="207C1862" w14:textId="12E39426" w:rsidR="00D028A6" w:rsidRPr="00D028A6" w:rsidRDefault="00D028A6" w:rsidP="00D028A6">
      <w:pPr>
        <w:spacing w:before="120" w:after="120" w:line="360" w:lineRule="auto"/>
        <w:jc w:val="center"/>
        <w:rPr>
          <w:szCs w:val="24"/>
          <w:lang w:eastAsia="en-US"/>
        </w:rPr>
      </w:pPr>
      <w:r w:rsidRPr="00D028A6">
        <w:rPr>
          <w:szCs w:val="24"/>
          <w:lang w:eastAsia="en-US"/>
        </w:rPr>
        <w:lastRenderedPageBreak/>
        <w:t>Artigo 2.º</w:t>
      </w:r>
      <w:r w:rsidRPr="00D028A6">
        <w:rPr>
          <w:szCs w:val="24"/>
          <w:lang w:eastAsia="en-US"/>
        </w:rPr>
        <w:br/>
        <w:t>Alteração do Regulamento (UE) 2018/1724</w:t>
      </w:r>
    </w:p>
    <w:p w14:paraId="53C01F46" w14:textId="77777777" w:rsidR="00D028A6" w:rsidRPr="00D028A6" w:rsidRDefault="00D028A6" w:rsidP="00D028A6">
      <w:pPr>
        <w:spacing w:before="120" w:after="120" w:line="360" w:lineRule="auto"/>
        <w:rPr>
          <w:szCs w:val="24"/>
          <w:lang w:eastAsia="en-US"/>
        </w:rPr>
      </w:pPr>
      <w:r w:rsidRPr="00D028A6">
        <w:rPr>
          <w:szCs w:val="24"/>
          <w:lang w:eastAsia="en-US"/>
        </w:rPr>
        <w:t>O Regulamento (UE) 2018/1724 é alterado do seguinte modo:</w:t>
      </w:r>
    </w:p>
    <w:p w14:paraId="0C7C98B3" w14:textId="5E1C7CAA" w:rsidR="00D028A6" w:rsidRPr="00D028A6" w:rsidRDefault="00D028A6" w:rsidP="00D028A6">
      <w:pPr>
        <w:spacing w:before="120" w:after="120" w:line="360" w:lineRule="auto"/>
        <w:ind w:left="850" w:hanging="850"/>
        <w:rPr>
          <w:szCs w:val="24"/>
          <w:lang w:eastAsia="en-US"/>
        </w:rPr>
      </w:pPr>
      <w:proofErr w:type="gramStart"/>
      <w:r w:rsidRPr="00D028A6">
        <w:rPr>
          <w:szCs w:val="24"/>
          <w:lang w:eastAsia="en-US"/>
        </w:rPr>
        <w:t>1)</w:t>
      </w:r>
      <w:r w:rsidRPr="00D028A6">
        <w:rPr>
          <w:szCs w:val="24"/>
          <w:lang w:eastAsia="en-US"/>
        </w:rPr>
        <w:tab/>
        <w:t>No</w:t>
      </w:r>
      <w:proofErr w:type="gramEnd"/>
      <w:r w:rsidRPr="00D028A6">
        <w:rPr>
          <w:szCs w:val="24"/>
          <w:lang w:eastAsia="en-US"/>
        </w:rPr>
        <w:t xml:space="preserve"> artigo 1.º, n.º 1, a alínea a) passa a ter a seguinte redação:</w:t>
      </w:r>
    </w:p>
    <w:p w14:paraId="22FABD75" w14:textId="05E77195" w:rsidR="00D028A6" w:rsidRPr="00D028A6" w:rsidRDefault="00D028A6" w:rsidP="00D028A6">
      <w:pPr>
        <w:spacing w:before="120" w:after="120" w:line="360" w:lineRule="auto"/>
        <w:ind w:left="1416" w:hanging="566"/>
        <w:rPr>
          <w:szCs w:val="24"/>
          <w:lang w:eastAsia="en-US"/>
        </w:rPr>
      </w:pPr>
      <w:r w:rsidRPr="00D028A6">
        <w:rPr>
          <w:szCs w:val="24"/>
          <w:lang w:eastAsia="en-US"/>
        </w:rPr>
        <w:t>«a)</w:t>
      </w:r>
      <w:r w:rsidRPr="00D028A6">
        <w:rPr>
          <w:szCs w:val="24"/>
          <w:lang w:eastAsia="en-US"/>
        </w:rPr>
        <w:tab/>
        <w:t>A criação e o funcionamento de uma plataforma digital única que oferece aos cidadãos, às empresas e às outras pessoas coletivas que não as empresas um acesso fácil a informações de elevada qualidade, a procedimentos eficazes e a serviços eficientes de assistência e de resolução de problemas no que se refere às regras nacionais e da União aplicáveis aos cidadãos, às empresas e às outras pessoas coletivas que não as empresas que exerçam ou pretendam exercer os seus direitos decorrentes do direito da União no domínio do mercado interno, na aceção do artigo 26.º, n.º 2, do TFUE;»</w:t>
      </w:r>
      <w:r w:rsidR="00C54142">
        <w:rPr>
          <w:szCs w:val="24"/>
          <w:lang w:eastAsia="en-US"/>
        </w:rPr>
        <w:t>;</w:t>
      </w:r>
    </w:p>
    <w:p w14:paraId="50E821EB" w14:textId="77777777" w:rsidR="00F276F9" w:rsidRDefault="00F276F9">
      <w:pPr>
        <w:widowControl/>
        <w:rPr>
          <w:szCs w:val="24"/>
          <w:lang w:eastAsia="en-US"/>
        </w:rPr>
      </w:pPr>
      <w:r>
        <w:rPr>
          <w:szCs w:val="24"/>
          <w:lang w:eastAsia="en-US"/>
        </w:rPr>
        <w:br w:type="page"/>
      </w:r>
    </w:p>
    <w:p w14:paraId="0842EE59" w14:textId="1AFD2338" w:rsidR="00D028A6" w:rsidRPr="00D028A6" w:rsidRDefault="00D028A6" w:rsidP="00D028A6">
      <w:pPr>
        <w:spacing w:before="120" w:after="120" w:line="360" w:lineRule="auto"/>
        <w:ind w:left="850" w:hanging="850"/>
        <w:rPr>
          <w:szCs w:val="24"/>
          <w:lang w:eastAsia="en-US"/>
        </w:rPr>
      </w:pPr>
      <w:proofErr w:type="gramStart"/>
      <w:r w:rsidRPr="00D028A6">
        <w:rPr>
          <w:szCs w:val="24"/>
          <w:lang w:eastAsia="en-US"/>
        </w:rPr>
        <w:lastRenderedPageBreak/>
        <w:t>2)</w:t>
      </w:r>
      <w:r w:rsidRPr="00D028A6">
        <w:rPr>
          <w:szCs w:val="24"/>
          <w:lang w:eastAsia="en-US"/>
        </w:rPr>
        <w:tab/>
        <w:t>No</w:t>
      </w:r>
      <w:proofErr w:type="gramEnd"/>
      <w:r w:rsidRPr="00D028A6">
        <w:rPr>
          <w:szCs w:val="24"/>
          <w:lang w:eastAsia="en-US"/>
        </w:rPr>
        <w:t xml:space="preserve"> artigo 1.º, n.º 1, a alínea b) passa a ter a seguinte redação:</w:t>
      </w:r>
    </w:p>
    <w:p w14:paraId="0ABE92B1" w14:textId="7C3CD6C2" w:rsidR="00D028A6" w:rsidRPr="00D028A6" w:rsidRDefault="00D028A6" w:rsidP="00D028A6">
      <w:pPr>
        <w:spacing w:before="120" w:after="120" w:line="360" w:lineRule="auto"/>
        <w:ind w:left="1416" w:hanging="566"/>
        <w:rPr>
          <w:szCs w:val="24"/>
          <w:lang w:eastAsia="en-US"/>
        </w:rPr>
      </w:pPr>
      <w:r w:rsidRPr="00D028A6">
        <w:rPr>
          <w:szCs w:val="24"/>
          <w:lang w:eastAsia="en-US"/>
        </w:rPr>
        <w:t>«b)</w:t>
      </w:r>
      <w:r w:rsidRPr="00D028A6">
        <w:rPr>
          <w:szCs w:val="24"/>
          <w:lang w:eastAsia="en-US"/>
        </w:rPr>
        <w:tab/>
        <w:t>A utilização de procedimentos pelos utilizadores transfronteiriços e a aplicação do «princípio da declaração única» no que se refere aos procedimentos enumerados no anexo II do presente regulamento e aos procedimentos previstos nas Diretivas 2005/36/CE, 2006/123/CE, 2014/24/UE, 2014/25/UE e …/…*;</w:t>
      </w:r>
    </w:p>
    <w:p w14:paraId="4C0E5948" w14:textId="77777777" w:rsidR="00D028A6" w:rsidRPr="00D028A6" w:rsidRDefault="00D028A6" w:rsidP="00D028A6">
      <w:pPr>
        <w:spacing w:before="120" w:after="120" w:line="360" w:lineRule="auto"/>
        <w:ind w:left="1416"/>
        <w:rPr>
          <w:szCs w:val="24"/>
          <w:lang w:eastAsia="en-US"/>
        </w:rPr>
      </w:pPr>
      <w:r w:rsidRPr="00D028A6">
        <w:rPr>
          <w:szCs w:val="24"/>
          <w:lang w:eastAsia="en-US"/>
        </w:rPr>
        <w:t>____________________</w:t>
      </w:r>
    </w:p>
    <w:p w14:paraId="5D83F5D9" w14:textId="5819D22A" w:rsidR="00D028A6" w:rsidRPr="00D028A6" w:rsidRDefault="00D028A6" w:rsidP="00D01094">
      <w:pPr>
        <w:spacing w:before="120" w:after="120" w:line="360" w:lineRule="auto"/>
        <w:ind w:left="1985" w:hanging="569"/>
        <w:rPr>
          <w:szCs w:val="24"/>
          <w:lang w:eastAsia="en-US"/>
        </w:rPr>
      </w:pPr>
      <w:r w:rsidRPr="00D028A6">
        <w:rPr>
          <w:szCs w:val="24"/>
          <w:lang w:eastAsia="en-US"/>
        </w:rPr>
        <w:t xml:space="preserve">* </w:t>
      </w:r>
      <w:r w:rsidR="00F276F9">
        <w:rPr>
          <w:szCs w:val="24"/>
          <w:lang w:eastAsia="en-US"/>
        </w:rPr>
        <w:tab/>
      </w:r>
      <w:r w:rsidRPr="00D028A6">
        <w:rPr>
          <w:szCs w:val="24"/>
          <w:lang w:eastAsia="en-US"/>
        </w:rPr>
        <w:t>Diretiva do Parlamento Europeu e do Conselho de …. relativa às associações europeias transfronteiriças (referência do JO).»</w:t>
      </w:r>
      <w:r w:rsidR="00C54142">
        <w:rPr>
          <w:szCs w:val="24"/>
          <w:lang w:eastAsia="en-US"/>
        </w:rPr>
        <w:t>;</w:t>
      </w:r>
    </w:p>
    <w:p w14:paraId="2A7B65BE" w14:textId="71A08B31" w:rsidR="00D028A6" w:rsidRPr="00D028A6" w:rsidRDefault="00D028A6" w:rsidP="00D028A6">
      <w:pPr>
        <w:spacing w:before="120" w:after="120" w:line="360" w:lineRule="auto"/>
        <w:ind w:left="850" w:hanging="850"/>
        <w:rPr>
          <w:szCs w:val="24"/>
          <w:lang w:eastAsia="en-US"/>
        </w:rPr>
      </w:pPr>
      <w:proofErr w:type="gramStart"/>
      <w:r w:rsidRPr="00D028A6">
        <w:rPr>
          <w:szCs w:val="24"/>
          <w:lang w:eastAsia="en-US"/>
        </w:rPr>
        <w:t>3)</w:t>
      </w:r>
      <w:r w:rsidRPr="00D028A6">
        <w:rPr>
          <w:szCs w:val="24"/>
          <w:lang w:eastAsia="en-US"/>
        </w:rPr>
        <w:tab/>
        <w:t>No</w:t>
      </w:r>
      <w:proofErr w:type="gramEnd"/>
      <w:r w:rsidRPr="00D028A6">
        <w:rPr>
          <w:szCs w:val="24"/>
          <w:lang w:eastAsia="en-US"/>
        </w:rPr>
        <w:t xml:space="preserve"> artigo 2.º, n.º 2, a alínea c) passa a ter a seguinte redação:</w:t>
      </w:r>
    </w:p>
    <w:p w14:paraId="5AFAF0AE" w14:textId="3708D342" w:rsidR="00D028A6" w:rsidRPr="00D028A6" w:rsidRDefault="00D028A6" w:rsidP="00D028A6">
      <w:pPr>
        <w:spacing w:before="120" w:after="120" w:line="360" w:lineRule="auto"/>
        <w:ind w:left="1416" w:hanging="566"/>
        <w:rPr>
          <w:szCs w:val="24"/>
          <w:lang w:eastAsia="en-US"/>
        </w:rPr>
      </w:pPr>
      <w:r w:rsidRPr="00D028A6">
        <w:rPr>
          <w:szCs w:val="24"/>
          <w:lang w:eastAsia="en-US"/>
        </w:rPr>
        <w:t>«c)</w:t>
      </w:r>
      <w:r w:rsidRPr="00D028A6">
        <w:rPr>
          <w:szCs w:val="24"/>
          <w:lang w:eastAsia="en-US"/>
        </w:rPr>
        <w:tab/>
        <w:t>Informações sobre, e hiperligações para, os serviços de assistência e de resolução de problemas enumerados no anexo III ou referidos no artigo 7.º a que os cidadãos, as empresas as outras pessoas coletivas que não as empresas podem recorrer se tiverem dúvidas ou problemas relacionados com os direitos, as obrigações, as regras ou os procedimentos referidos nas alíneas a) e b) do presente número.»</w:t>
      </w:r>
      <w:r w:rsidR="00C54142">
        <w:rPr>
          <w:szCs w:val="24"/>
          <w:lang w:eastAsia="en-US"/>
        </w:rPr>
        <w:t>;</w:t>
      </w:r>
    </w:p>
    <w:p w14:paraId="589DC382" w14:textId="77777777" w:rsidR="00F276F9" w:rsidRDefault="00F276F9">
      <w:pPr>
        <w:widowControl/>
        <w:rPr>
          <w:szCs w:val="24"/>
          <w:lang w:eastAsia="en-US"/>
        </w:rPr>
      </w:pPr>
      <w:r>
        <w:rPr>
          <w:szCs w:val="24"/>
          <w:lang w:eastAsia="en-US"/>
        </w:rPr>
        <w:br w:type="page"/>
      </w:r>
    </w:p>
    <w:p w14:paraId="67F02810" w14:textId="689D5993" w:rsidR="00D028A6" w:rsidRPr="00D028A6" w:rsidRDefault="00D028A6" w:rsidP="00D028A6">
      <w:pPr>
        <w:spacing w:before="120" w:after="120" w:line="360" w:lineRule="auto"/>
        <w:ind w:left="850" w:hanging="850"/>
        <w:rPr>
          <w:szCs w:val="24"/>
          <w:lang w:eastAsia="en-US"/>
        </w:rPr>
      </w:pPr>
      <w:proofErr w:type="gramStart"/>
      <w:r w:rsidRPr="00D028A6">
        <w:rPr>
          <w:szCs w:val="24"/>
          <w:lang w:eastAsia="en-US"/>
        </w:rPr>
        <w:lastRenderedPageBreak/>
        <w:t>4)</w:t>
      </w:r>
      <w:r w:rsidRPr="00D028A6">
        <w:rPr>
          <w:szCs w:val="24"/>
          <w:lang w:eastAsia="en-US"/>
        </w:rPr>
        <w:tab/>
        <w:t>No</w:t>
      </w:r>
      <w:proofErr w:type="gramEnd"/>
      <w:r w:rsidRPr="00D028A6">
        <w:rPr>
          <w:szCs w:val="24"/>
          <w:lang w:eastAsia="en-US"/>
        </w:rPr>
        <w:t xml:space="preserve"> artigo 14.º, o n.º 1 passa a ter a seguinte redação:</w:t>
      </w:r>
    </w:p>
    <w:p w14:paraId="033DDA63" w14:textId="77824AFE" w:rsidR="00D028A6" w:rsidRPr="00D028A6" w:rsidRDefault="00D028A6" w:rsidP="00D028A6">
      <w:pPr>
        <w:spacing w:before="120" w:after="120" w:line="360" w:lineRule="auto"/>
        <w:ind w:left="1416" w:hanging="566"/>
        <w:rPr>
          <w:szCs w:val="24"/>
          <w:lang w:eastAsia="en-US"/>
        </w:rPr>
      </w:pPr>
      <w:r w:rsidRPr="00D028A6">
        <w:rPr>
          <w:szCs w:val="24"/>
          <w:lang w:eastAsia="en-US"/>
        </w:rPr>
        <w:t>«1.</w:t>
      </w:r>
      <w:r w:rsidRPr="00D028A6">
        <w:rPr>
          <w:szCs w:val="24"/>
          <w:lang w:eastAsia="en-US"/>
        </w:rPr>
        <w:tab/>
        <w:t>Para efeitos do intercâmbio de elementos de prova para os procedimentos em linha enumerados no anexo II do presente regulamento e para os procedimentos previstos nas Diretivas 2005/36/CE, 2006/123/CE, 2014/24/UE, 2014/25/UE e …/…, a Comissão estabelece, em cooperação com os Estados-Membros, um sistema técnico para o intercâmbio automatizado de elementos de prova entre as autoridades competentes dos diferentes Estados-Membros (o «sistema técnico»).»</w:t>
      </w:r>
      <w:r w:rsidR="00F12BBA">
        <w:rPr>
          <w:szCs w:val="24"/>
          <w:lang w:eastAsia="en-US"/>
        </w:rPr>
        <w:t>;</w:t>
      </w:r>
    </w:p>
    <w:p w14:paraId="76EFC301" w14:textId="5C83F65F" w:rsidR="00D028A6" w:rsidRPr="00D028A6" w:rsidRDefault="00D028A6" w:rsidP="00D028A6">
      <w:pPr>
        <w:spacing w:before="120" w:after="120" w:line="360" w:lineRule="auto"/>
        <w:ind w:left="850" w:hanging="850"/>
        <w:rPr>
          <w:szCs w:val="24"/>
          <w:lang w:eastAsia="en-US"/>
        </w:rPr>
      </w:pPr>
      <w:r w:rsidRPr="00D028A6">
        <w:rPr>
          <w:szCs w:val="24"/>
          <w:lang w:eastAsia="en-US"/>
        </w:rPr>
        <w:t>5)</w:t>
      </w:r>
      <w:r w:rsidRPr="00D028A6">
        <w:rPr>
          <w:szCs w:val="24"/>
          <w:lang w:eastAsia="en-US"/>
        </w:rPr>
        <w:tab/>
        <w:t>O anexo I do Regulamento (UE) 2018/1724 é alterado do seguinte modo:</w:t>
      </w:r>
    </w:p>
    <w:p w14:paraId="671902A9" w14:textId="4D8F7D57" w:rsidR="00D028A6" w:rsidRPr="00D028A6" w:rsidRDefault="00D028A6" w:rsidP="00D028A6">
      <w:pPr>
        <w:spacing w:before="120" w:after="120" w:line="360" w:lineRule="auto"/>
        <w:ind w:left="1416" w:hanging="566"/>
        <w:rPr>
          <w:szCs w:val="24"/>
          <w:lang w:eastAsia="en-US"/>
        </w:rPr>
      </w:pPr>
      <w:r w:rsidRPr="00D028A6">
        <w:rPr>
          <w:szCs w:val="24"/>
          <w:lang w:eastAsia="en-US"/>
        </w:rPr>
        <w:t>a)</w:t>
      </w:r>
      <w:r w:rsidRPr="00D028A6">
        <w:rPr>
          <w:szCs w:val="24"/>
          <w:lang w:eastAsia="en-US"/>
        </w:rPr>
        <w:tab/>
        <w:t>O título passa a ter a seguinte redação:</w:t>
      </w:r>
    </w:p>
    <w:p w14:paraId="4588038E" w14:textId="77777777" w:rsidR="00D028A6" w:rsidRPr="00D028A6" w:rsidRDefault="00D028A6" w:rsidP="00D028A6">
      <w:pPr>
        <w:spacing w:before="120" w:after="120" w:line="360" w:lineRule="auto"/>
        <w:ind w:left="1416"/>
        <w:rPr>
          <w:szCs w:val="24"/>
          <w:lang w:eastAsia="en-US"/>
        </w:rPr>
      </w:pPr>
      <w:r w:rsidRPr="00D028A6">
        <w:rPr>
          <w:szCs w:val="24"/>
          <w:lang w:eastAsia="en-US"/>
        </w:rPr>
        <w:t>«Lista dos domínios de informação relevantes para os cidadãos, para as empresas e para as outras pessoas coletivas que não as empresas que tenham a sede social num Estado-Membro no exercício dos seus direitos no mercado interno a que se refere o artigo 2.º, n.º 2, alínea a);</w:t>
      </w:r>
    </w:p>
    <w:p w14:paraId="50352C53" w14:textId="77777777" w:rsidR="00F276F9" w:rsidRDefault="00F276F9">
      <w:pPr>
        <w:widowControl/>
        <w:rPr>
          <w:b/>
          <w:i/>
          <w:szCs w:val="24"/>
          <w:lang w:eastAsia="en-US"/>
        </w:rPr>
      </w:pPr>
      <w:r>
        <w:rPr>
          <w:b/>
          <w:i/>
          <w:szCs w:val="24"/>
          <w:lang w:eastAsia="en-US"/>
        </w:rPr>
        <w:br w:type="page"/>
      </w:r>
    </w:p>
    <w:p w14:paraId="0DFD4996" w14:textId="16D469B1" w:rsidR="00D028A6" w:rsidRPr="00D028A6" w:rsidRDefault="00D028A6" w:rsidP="00D01094">
      <w:pPr>
        <w:spacing w:before="120" w:after="120" w:line="360" w:lineRule="auto"/>
        <w:ind w:left="1418" w:hanging="566"/>
        <w:rPr>
          <w:szCs w:val="24"/>
          <w:lang w:eastAsia="en-US"/>
        </w:rPr>
      </w:pPr>
      <w:proofErr w:type="spellStart"/>
      <w:r w:rsidRPr="00D028A6">
        <w:rPr>
          <w:b/>
          <w:i/>
          <w:szCs w:val="24"/>
          <w:lang w:eastAsia="en-US"/>
        </w:rPr>
        <w:lastRenderedPageBreak/>
        <w:t>a-A</w:t>
      </w:r>
      <w:proofErr w:type="spellEnd"/>
      <w:proofErr w:type="gramStart"/>
      <w:r w:rsidRPr="00D028A6">
        <w:rPr>
          <w:b/>
          <w:i/>
          <w:szCs w:val="24"/>
          <w:lang w:eastAsia="en-US"/>
        </w:rPr>
        <w:t>)</w:t>
      </w:r>
      <w:r w:rsidRPr="00D028A6">
        <w:rPr>
          <w:szCs w:val="24"/>
          <w:lang w:eastAsia="en-US"/>
        </w:rPr>
        <w:tab/>
      </w:r>
      <w:r w:rsidR="00F12BBA" w:rsidRPr="00D01094">
        <w:rPr>
          <w:b/>
          <w:i/>
          <w:szCs w:val="24"/>
          <w:lang w:eastAsia="en-US"/>
        </w:rPr>
        <w:t>Em</w:t>
      </w:r>
      <w:proofErr w:type="gramEnd"/>
      <w:r w:rsidR="00F12BBA" w:rsidRPr="00D01094">
        <w:rPr>
          <w:b/>
          <w:i/>
          <w:szCs w:val="24"/>
          <w:lang w:eastAsia="en-US"/>
        </w:rPr>
        <w:t xml:space="preserve"> «</w:t>
      </w:r>
      <w:r w:rsidR="00F12BBA" w:rsidRPr="00D01094">
        <w:rPr>
          <w:b/>
          <w:i/>
        </w:rPr>
        <w:t>Domínios de informação relevantes para as empresas», o ponto J passa a ter a seguinte redação</w:t>
      </w:r>
      <w:r w:rsidRPr="00D028A6">
        <w:rPr>
          <w:b/>
          <w:i/>
          <w:szCs w:val="24"/>
          <w:lang w:eastAsia="en-US"/>
        </w:rPr>
        <w:t>:</w:t>
      </w:r>
    </w:p>
    <w:p w14:paraId="13718803" w14:textId="6FEE0449" w:rsidR="00F276F9" w:rsidRPr="00D01094" w:rsidRDefault="00F276F9" w:rsidP="00D01094">
      <w:pPr>
        <w:spacing w:before="120" w:after="120" w:line="360" w:lineRule="auto"/>
        <w:ind w:left="1416"/>
        <w:rPr>
          <w:b/>
          <w:i/>
          <w:szCs w:val="24"/>
          <w:lang w:eastAsia="en-US"/>
        </w:rPr>
      </w:pPr>
      <w:r w:rsidRPr="00D01094">
        <w:rPr>
          <w:b/>
          <w:i/>
        </w:rPr>
        <w:t>«Domínios de informação relevantes para as empresas: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76F9" w:rsidRPr="00D01094" w14:paraId="7C78215A" w14:textId="77777777" w:rsidTr="00C40572">
        <w:trPr>
          <w:jc w:val="center"/>
        </w:trPr>
        <w:tc>
          <w:tcPr>
            <w:tcW w:w="4876" w:type="dxa"/>
            <w:tcBorders>
              <w:top w:val="single" w:sz="4" w:space="0" w:color="auto"/>
              <w:left w:val="single" w:sz="4" w:space="0" w:color="auto"/>
              <w:bottom w:val="single" w:sz="4" w:space="0" w:color="auto"/>
              <w:right w:val="single" w:sz="4" w:space="0" w:color="auto"/>
            </w:tcBorders>
            <w:hideMark/>
          </w:tcPr>
          <w:p w14:paraId="41DB2CD6" w14:textId="77777777" w:rsidR="00F276F9" w:rsidRPr="00D01094" w:rsidRDefault="00F276F9" w:rsidP="00C40572">
            <w:pPr>
              <w:pStyle w:val="Normal6"/>
              <w:rPr>
                <w:b/>
                <w:i/>
              </w:rPr>
            </w:pPr>
            <w:r w:rsidRPr="00D01094">
              <w:rPr>
                <w:b/>
                <w:i/>
              </w:rPr>
              <w:t>Domínio</w:t>
            </w:r>
          </w:p>
        </w:tc>
        <w:tc>
          <w:tcPr>
            <w:tcW w:w="4876" w:type="dxa"/>
            <w:tcBorders>
              <w:top w:val="single" w:sz="4" w:space="0" w:color="auto"/>
              <w:left w:val="single" w:sz="4" w:space="0" w:color="auto"/>
              <w:bottom w:val="single" w:sz="4" w:space="0" w:color="auto"/>
              <w:right w:val="single" w:sz="4" w:space="0" w:color="auto"/>
            </w:tcBorders>
            <w:hideMark/>
          </w:tcPr>
          <w:p w14:paraId="1053DDFE" w14:textId="77777777" w:rsidR="00F276F9" w:rsidRPr="00D01094" w:rsidRDefault="00F276F9" w:rsidP="00C40572">
            <w:pPr>
              <w:pStyle w:val="Normal6"/>
              <w:rPr>
                <w:b/>
                <w:i/>
              </w:rPr>
            </w:pPr>
            <w:r w:rsidRPr="00D01094">
              <w:rPr>
                <w:b/>
                <w:i/>
              </w:rPr>
              <w:t>INFORMAÇÕES SOBRE OS DIREITOS, AS OBRIGAÇÕES E AS REGRAS</w:t>
            </w:r>
          </w:p>
        </w:tc>
      </w:tr>
      <w:tr w:rsidR="00F276F9" w:rsidRPr="00D01094" w14:paraId="4803561B" w14:textId="77777777" w:rsidTr="00C40572">
        <w:trPr>
          <w:jc w:val="center"/>
        </w:trPr>
        <w:tc>
          <w:tcPr>
            <w:tcW w:w="4876" w:type="dxa"/>
            <w:tcBorders>
              <w:top w:val="single" w:sz="4" w:space="0" w:color="auto"/>
              <w:left w:val="single" w:sz="4" w:space="0" w:color="auto"/>
              <w:bottom w:val="single" w:sz="4" w:space="0" w:color="auto"/>
              <w:right w:val="single" w:sz="4" w:space="0" w:color="auto"/>
            </w:tcBorders>
            <w:hideMark/>
          </w:tcPr>
          <w:p w14:paraId="27A46FDC" w14:textId="77777777" w:rsidR="00F276F9" w:rsidRPr="00D01094" w:rsidRDefault="00F276F9" w:rsidP="00C40572">
            <w:pPr>
              <w:pStyle w:val="Normal6"/>
              <w:rPr>
                <w:b/>
                <w:i/>
              </w:rPr>
            </w:pPr>
            <w:r w:rsidRPr="00D01094">
              <w:rPr>
                <w:b/>
                <w:i/>
              </w:rPr>
              <w:t>J. Constituição, funcionamento e encerramento de uma empresa</w:t>
            </w:r>
          </w:p>
        </w:tc>
        <w:tc>
          <w:tcPr>
            <w:tcW w:w="4876" w:type="dxa"/>
            <w:tcBorders>
              <w:top w:val="single" w:sz="4" w:space="0" w:color="auto"/>
              <w:left w:val="single" w:sz="4" w:space="0" w:color="auto"/>
              <w:bottom w:val="single" w:sz="4" w:space="0" w:color="auto"/>
              <w:right w:val="single" w:sz="4" w:space="0" w:color="auto"/>
            </w:tcBorders>
          </w:tcPr>
          <w:p w14:paraId="6A640FA1" w14:textId="77777777" w:rsidR="00F276F9" w:rsidRPr="00D01094" w:rsidRDefault="00F276F9" w:rsidP="00C40572">
            <w:pPr>
              <w:pStyle w:val="Normal6"/>
              <w:rPr>
                <w:b/>
                <w:i/>
              </w:rPr>
            </w:pPr>
            <w:r w:rsidRPr="00D01094">
              <w:rPr>
                <w:b/>
                <w:i/>
              </w:rPr>
              <w:t>1. registo, alteração da forma jurídica ou encerramento da empresa (formalidades de registo e formas jurídicas para o exercício das atividades empresariais)</w:t>
            </w:r>
          </w:p>
          <w:p w14:paraId="1BB882FC" w14:textId="77777777" w:rsidR="00F276F9" w:rsidRPr="00D01094" w:rsidRDefault="00F276F9" w:rsidP="00C40572">
            <w:pPr>
              <w:pStyle w:val="Normal6"/>
              <w:rPr>
                <w:b/>
                <w:i/>
              </w:rPr>
            </w:pPr>
            <w:r w:rsidRPr="00D01094">
              <w:rPr>
                <w:b/>
                <w:i/>
              </w:rPr>
              <w:t>2. transferência</w:t>
            </w:r>
            <w:r w:rsidRPr="00F12BBA">
              <w:rPr>
                <w:b/>
                <w:bCs/>
                <w:i/>
                <w:iCs/>
              </w:rPr>
              <w:t xml:space="preserve"> da sede social</w:t>
            </w:r>
            <w:r w:rsidRPr="00D01094">
              <w:rPr>
                <w:b/>
                <w:i/>
              </w:rPr>
              <w:t xml:space="preserve"> de uma empresa para outro Estado</w:t>
            </w:r>
            <w:r w:rsidRPr="00D01094">
              <w:rPr>
                <w:b/>
                <w:i/>
              </w:rPr>
              <w:noBreakHyphen/>
              <w:t>Membro;</w:t>
            </w:r>
          </w:p>
          <w:p w14:paraId="1085BBD1" w14:textId="77777777" w:rsidR="00F276F9" w:rsidRPr="00D01094" w:rsidRDefault="00F276F9" w:rsidP="00C40572">
            <w:pPr>
              <w:pStyle w:val="Normal6"/>
              <w:rPr>
                <w:b/>
                <w:i/>
              </w:rPr>
            </w:pPr>
            <w:r w:rsidRPr="00F12BBA">
              <w:rPr>
                <w:b/>
                <w:bCs/>
                <w:i/>
                <w:iCs/>
              </w:rPr>
              <w:t>2</w:t>
            </w:r>
            <w:r w:rsidRPr="00F12BBA">
              <w:rPr>
                <w:b/>
                <w:bCs/>
                <w:i/>
                <w:iCs/>
              </w:rPr>
              <w:noBreakHyphen/>
              <w:t>A.</w:t>
            </w:r>
            <w:r w:rsidRPr="00F12BBA">
              <w:rPr>
                <w:b/>
                <w:i/>
              </w:rPr>
              <w:t xml:space="preserve"> obrigações para com os credores e os direitos dos trabalhadores decorrentes da transferência da sede social de uma empresa para outro Estado</w:t>
            </w:r>
            <w:r w:rsidRPr="00F12BBA">
              <w:rPr>
                <w:b/>
                <w:i/>
              </w:rPr>
              <w:noBreakHyphen/>
              <w:t>Membro</w:t>
            </w:r>
          </w:p>
          <w:p w14:paraId="7582F23A" w14:textId="77777777" w:rsidR="00F276F9" w:rsidRPr="00D01094" w:rsidRDefault="00F276F9" w:rsidP="00C40572">
            <w:pPr>
              <w:pStyle w:val="Normal6"/>
              <w:rPr>
                <w:b/>
                <w:i/>
              </w:rPr>
            </w:pPr>
            <w:r w:rsidRPr="00D01094">
              <w:rPr>
                <w:b/>
                <w:i/>
              </w:rPr>
              <w:t>3. direitos de propriedade intelectual (pedidos de patentes, registo de marcas comerciais, de desenhos ou de modelos, e obtenção de licenças de reprodução)</w:t>
            </w:r>
          </w:p>
          <w:p w14:paraId="3B9388D7" w14:textId="77777777" w:rsidR="00F276F9" w:rsidRPr="00D01094" w:rsidRDefault="00F276F9" w:rsidP="00C40572">
            <w:pPr>
              <w:pStyle w:val="Normal6"/>
              <w:rPr>
                <w:b/>
                <w:i/>
              </w:rPr>
            </w:pPr>
            <w:r w:rsidRPr="00D01094">
              <w:rPr>
                <w:b/>
                <w:i/>
              </w:rPr>
              <w:t>4. lealdade e transparência nas práticas comerciais, incluindo os direitos dos consumidores e as garantias relacionadas com a venda de bens e serviços</w:t>
            </w:r>
          </w:p>
          <w:p w14:paraId="25F57DFE" w14:textId="77777777" w:rsidR="00F276F9" w:rsidRPr="00D01094" w:rsidRDefault="00F276F9" w:rsidP="00C40572">
            <w:pPr>
              <w:pStyle w:val="Normal6"/>
              <w:rPr>
                <w:b/>
                <w:i/>
              </w:rPr>
            </w:pPr>
            <w:r w:rsidRPr="00D01094">
              <w:rPr>
                <w:b/>
                <w:i/>
              </w:rPr>
              <w:t>5. oferta de serviços em linha para efetuar pagamentos transfronteiriços no âmbito da venda de bens e serviços em linha</w:t>
            </w:r>
          </w:p>
          <w:p w14:paraId="55EF439A" w14:textId="77777777" w:rsidR="00F276F9" w:rsidRPr="00D01094" w:rsidRDefault="00F276F9" w:rsidP="00C40572">
            <w:pPr>
              <w:pStyle w:val="Normal6"/>
              <w:rPr>
                <w:b/>
                <w:i/>
              </w:rPr>
            </w:pPr>
            <w:r w:rsidRPr="00D01094">
              <w:rPr>
                <w:b/>
                <w:i/>
              </w:rPr>
              <w:t>6. direitos e obrigações decorrentes do direito dos contratos, incluindo juros de mora</w:t>
            </w:r>
          </w:p>
          <w:p w14:paraId="57014BFA" w14:textId="77777777" w:rsidR="00F276F9" w:rsidRPr="00D01094" w:rsidRDefault="00F276F9" w:rsidP="00C40572">
            <w:pPr>
              <w:pStyle w:val="Normal6"/>
              <w:rPr>
                <w:b/>
                <w:i/>
              </w:rPr>
            </w:pPr>
            <w:r w:rsidRPr="00D01094">
              <w:rPr>
                <w:b/>
                <w:i/>
              </w:rPr>
              <w:t>7. processos de insolvência e liquidação de empresas</w:t>
            </w:r>
          </w:p>
          <w:p w14:paraId="67CC9846" w14:textId="77777777" w:rsidR="00F276F9" w:rsidRPr="00D01094" w:rsidRDefault="00F276F9" w:rsidP="00C40572">
            <w:pPr>
              <w:pStyle w:val="Normal6"/>
              <w:rPr>
                <w:b/>
                <w:i/>
              </w:rPr>
            </w:pPr>
            <w:r w:rsidRPr="00D01094">
              <w:rPr>
                <w:b/>
                <w:i/>
              </w:rPr>
              <w:t>8. seguros de crédito</w:t>
            </w:r>
          </w:p>
          <w:p w14:paraId="2EFAA932" w14:textId="77777777" w:rsidR="00F276F9" w:rsidRPr="00D01094" w:rsidRDefault="00F276F9" w:rsidP="00C40572">
            <w:pPr>
              <w:pStyle w:val="Normal6"/>
              <w:rPr>
                <w:b/>
                <w:i/>
              </w:rPr>
            </w:pPr>
            <w:r w:rsidRPr="00D01094">
              <w:rPr>
                <w:b/>
                <w:i/>
              </w:rPr>
              <w:t>9. fusão de sociedades ou venda de empresas</w:t>
            </w:r>
          </w:p>
          <w:p w14:paraId="6139AEFD" w14:textId="77777777" w:rsidR="00F276F9" w:rsidRPr="00D01094" w:rsidRDefault="00F276F9" w:rsidP="00C40572">
            <w:pPr>
              <w:pStyle w:val="Normal6"/>
              <w:rPr>
                <w:b/>
                <w:i/>
              </w:rPr>
            </w:pPr>
            <w:r w:rsidRPr="00D01094">
              <w:rPr>
                <w:b/>
                <w:i/>
              </w:rPr>
              <w:t xml:space="preserve">10. responsabilidade civil dos </w:t>
            </w:r>
            <w:r w:rsidRPr="00F12BBA">
              <w:rPr>
                <w:b/>
                <w:bCs/>
                <w:i/>
                <w:iCs/>
              </w:rPr>
              <w:t>membros do conselho de administração</w:t>
            </w:r>
            <w:r w:rsidRPr="00D01094">
              <w:rPr>
                <w:b/>
                <w:i/>
              </w:rPr>
              <w:t xml:space="preserve"> ou dos administradores de uma sociedade</w:t>
            </w:r>
          </w:p>
          <w:p w14:paraId="7CFB1937" w14:textId="77777777" w:rsidR="00F276F9" w:rsidRPr="00D01094" w:rsidRDefault="00F276F9" w:rsidP="00C40572">
            <w:pPr>
              <w:pStyle w:val="Normal6"/>
              <w:rPr>
                <w:b/>
                <w:i/>
              </w:rPr>
            </w:pPr>
            <w:r w:rsidRPr="00D01094">
              <w:rPr>
                <w:b/>
                <w:i/>
              </w:rPr>
              <w:t>11. regras e obrigações em matéria de tratamento de dados pessoais»</w:t>
            </w:r>
          </w:p>
        </w:tc>
      </w:tr>
    </w:tbl>
    <w:p w14:paraId="0BEC1853" w14:textId="77777777" w:rsidR="00F276F9" w:rsidRDefault="00F276F9" w:rsidP="00D01094">
      <w:pPr>
        <w:spacing w:before="120" w:after="120" w:line="360" w:lineRule="auto"/>
        <w:ind w:left="1416" w:hanging="566"/>
        <w:jc w:val="right"/>
        <w:rPr>
          <w:b/>
          <w:szCs w:val="24"/>
          <w:lang w:eastAsia="en-US"/>
        </w:rPr>
      </w:pPr>
      <w:r>
        <w:rPr>
          <w:b/>
          <w:szCs w:val="24"/>
          <w:lang w:eastAsia="en-US"/>
        </w:rPr>
        <w:t xml:space="preserve"> [Alt. 4]</w:t>
      </w:r>
    </w:p>
    <w:p w14:paraId="41AEF43A" w14:textId="77777777" w:rsidR="00F276F9" w:rsidRDefault="00F276F9">
      <w:pPr>
        <w:widowControl/>
        <w:rPr>
          <w:b/>
          <w:szCs w:val="24"/>
          <w:lang w:eastAsia="en-US"/>
        </w:rPr>
      </w:pPr>
      <w:r>
        <w:rPr>
          <w:b/>
          <w:szCs w:val="24"/>
          <w:lang w:eastAsia="en-US"/>
        </w:rPr>
        <w:lastRenderedPageBreak/>
        <w:br w:type="page"/>
      </w:r>
    </w:p>
    <w:p w14:paraId="48FCC1A7" w14:textId="6DE77674" w:rsidR="00D028A6" w:rsidRPr="00D028A6" w:rsidRDefault="00D028A6" w:rsidP="00F276F9">
      <w:pPr>
        <w:spacing w:before="120" w:after="120" w:line="360" w:lineRule="auto"/>
        <w:ind w:left="1416" w:hanging="566"/>
        <w:rPr>
          <w:szCs w:val="24"/>
          <w:lang w:eastAsia="en-US"/>
        </w:rPr>
      </w:pPr>
      <w:r w:rsidRPr="00D028A6">
        <w:rPr>
          <w:szCs w:val="24"/>
          <w:lang w:eastAsia="en-US"/>
        </w:rPr>
        <w:lastRenderedPageBreak/>
        <w:t>b)</w:t>
      </w:r>
      <w:r w:rsidRPr="00D028A6">
        <w:rPr>
          <w:szCs w:val="24"/>
          <w:lang w:eastAsia="en-US"/>
        </w:rPr>
        <w:tab/>
        <w:t>São aditados os seguintes domínios de informação:</w:t>
      </w:r>
    </w:p>
    <w:p w14:paraId="239E0C6B" w14:textId="77777777" w:rsidR="00D028A6" w:rsidRPr="00D028A6" w:rsidRDefault="00D028A6" w:rsidP="00D01094">
      <w:pPr>
        <w:spacing w:before="120" w:after="120" w:line="360" w:lineRule="auto"/>
        <w:ind w:left="1416"/>
        <w:rPr>
          <w:szCs w:val="24"/>
          <w:lang w:eastAsia="en-US"/>
        </w:rPr>
      </w:pPr>
      <w:r w:rsidRPr="00D028A6">
        <w:rPr>
          <w:szCs w:val="24"/>
          <w:lang w:eastAsia="en-US"/>
        </w:rPr>
        <w:t>«Domínios de informação relevantes para as outras pessoas coletivas que não as empresas que tenham a sede social num Estado-Membro: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92"/>
        <w:gridCol w:w="5868"/>
      </w:tblGrid>
      <w:tr w:rsidR="00D028A6" w:rsidRPr="00D028A6" w14:paraId="10C9177E" w14:textId="77777777" w:rsidTr="00D01094">
        <w:tc>
          <w:tcPr>
            <w:tcW w:w="0" w:type="auto"/>
          </w:tcPr>
          <w:p w14:paraId="014F3C2B" w14:textId="77777777" w:rsidR="00D028A6" w:rsidRPr="00D028A6" w:rsidRDefault="00D028A6" w:rsidP="00D028A6">
            <w:pPr>
              <w:spacing w:before="120" w:after="120" w:line="360" w:lineRule="auto"/>
              <w:rPr>
                <w:szCs w:val="24"/>
                <w:lang w:eastAsia="en-US"/>
              </w:rPr>
            </w:pPr>
            <w:r w:rsidRPr="00D028A6">
              <w:rPr>
                <w:szCs w:val="24"/>
                <w:lang w:eastAsia="en-US"/>
              </w:rPr>
              <w:t>AA. Constituição, funcionamento e encerramento de uma pessoa coletiva que não uma empresa</w:t>
            </w:r>
          </w:p>
        </w:tc>
        <w:tc>
          <w:tcPr>
            <w:tcW w:w="0" w:type="auto"/>
          </w:tcPr>
          <w:p w14:paraId="45EC5002" w14:textId="77777777" w:rsidR="00F276F9" w:rsidRDefault="00D028A6" w:rsidP="00D028A6">
            <w:pPr>
              <w:spacing w:before="120" w:after="120" w:line="360" w:lineRule="auto"/>
              <w:rPr>
                <w:szCs w:val="24"/>
                <w:lang w:eastAsia="en-US"/>
              </w:rPr>
            </w:pPr>
            <w:r w:rsidRPr="00D028A6">
              <w:rPr>
                <w:szCs w:val="24"/>
                <w:lang w:eastAsia="en-US"/>
              </w:rPr>
              <w:t xml:space="preserve">1. registo, alteração da forma jurídica ou encerramento de uma pessoa coletiva que não uma empresa (formalidades de registo e formas jurídicas) </w:t>
            </w:r>
          </w:p>
          <w:p w14:paraId="7252F163" w14:textId="607BC71A" w:rsidR="00F276F9" w:rsidRDefault="00D028A6" w:rsidP="00D028A6">
            <w:pPr>
              <w:spacing w:before="120" w:after="120" w:line="360" w:lineRule="auto"/>
              <w:rPr>
                <w:szCs w:val="24"/>
                <w:lang w:eastAsia="en-US"/>
              </w:rPr>
            </w:pPr>
            <w:r w:rsidRPr="00D028A6">
              <w:rPr>
                <w:szCs w:val="24"/>
                <w:lang w:eastAsia="en-US"/>
              </w:rPr>
              <w:t xml:space="preserve">2. </w:t>
            </w:r>
            <w:r w:rsidRPr="00D01094">
              <w:rPr>
                <w:b/>
                <w:i/>
                <w:szCs w:val="24"/>
                <w:lang w:eastAsia="en-US"/>
              </w:rPr>
              <w:t>transferência</w:t>
            </w:r>
            <w:r w:rsidRPr="00D028A6">
              <w:rPr>
                <w:szCs w:val="24"/>
                <w:lang w:eastAsia="en-US"/>
              </w:rPr>
              <w:t xml:space="preserve"> </w:t>
            </w:r>
            <w:r w:rsidR="00F276F9" w:rsidRPr="00437677">
              <w:rPr>
                <w:b/>
                <w:bCs/>
                <w:i/>
                <w:iCs/>
              </w:rPr>
              <w:t>da sede social</w:t>
            </w:r>
            <w:r w:rsidR="00F276F9" w:rsidRPr="00437677">
              <w:t xml:space="preserve"> </w:t>
            </w:r>
            <w:r w:rsidRPr="00D028A6">
              <w:rPr>
                <w:szCs w:val="24"/>
                <w:lang w:eastAsia="en-US"/>
              </w:rPr>
              <w:t xml:space="preserve">de uma pessoa coletiva que não uma empresa para outro Estado-Membro </w:t>
            </w:r>
          </w:p>
          <w:p w14:paraId="0C3A650E" w14:textId="77777777" w:rsidR="00F276F9" w:rsidRDefault="00F276F9" w:rsidP="00D028A6">
            <w:pPr>
              <w:spacing w:before="120" w:after="120" w:line="360" w:lineRule="auto"/>
              <w:rPr>
                <w:b/>
                <w:i/>
              </w:rPr>
            </w:pPr>
            <w:r w:rsidRPr="00437677">
              <w:rPr>
                <w:b/>
                <w:i/>
              </w:rPr>
              <w:t>2</w:t>
            </w:r>
            <w:r w:rsidRPr="00437677">
              <w:rPr>
                <w:b/>
                <w:i/>
              </w:rPr>
              <w:noBreakHyphen/>
              <w:t>A. obrigações para com os credores e os direitos dos trabalhadores decorrentes da transferência da sede social de uma pessoa coletiva que não uma empresa para outro Estado</w:t>
            </w:r>
            <w:r w:rsidRPr="00437677">
              <w:rPr>
                <w:b/>
                <w:i/>
              </w:rPr>
              <w:noBreakHyphen/>
              <w:t>Membro</w:t>
            </w:r>
          </w:p>
          <w:p w14:paraId="5FB90BB7" w14:textId="1332502C" w:rsidR="00F276F9" w:rsidRDefault="00D028A6" w:rsidP="00D028A6">
            <w:pPr>
              <w:spacing w:before="120" w:after="120" w:line="360" w:lineRule="auto"/>
              <w:rPr>
                <w:szCs w:val="24"/>
                <w:lang w:eastAsia="en-US"/>
              </w:rPr>
            </w:pPr>
            <w:r w:rsidRPr="00D028A6">
              <w:rPr>
                <w:szCs w:val="24"/>
                <w:lang w:eastAsia="en-US"/>
              </w:rPr>
              <w:t xml:space="preserve">3. direitos de propriedade intelectual (pedidos de patentes, registo de marcas comerciais, de desenhos ou de modelos, e obtenção de licenças de reprodução) </w:t>
            </w:r>
          </w:p>
          <w:p w14:paraId="6F2519D6" w14:textId="77777777" w:rsidR="00F276F9" w:rsidRDefault="00D028A6" w:rsidP="00D028A6">
            <w:pPr>
              <w:spacing w:before="120" w:after="120" w:line="360" w:lineRule="auto"/>
              <w:rPr>
                <w:szCs w:val="24"/>
                <w:lang w:eastAsia="en-US"/>
              </w:rPr>
            </w:pPr>
            <w:r w:rsidRPr="00D028A6">
              <w:rPr>
                <w:szCs w:val="24"/>
                <w:lang w:eastAsia="en-US"/>
              </w:rPr>
              <w:t xml:space="preserve">4. lealdade e transparência nas práticas comerciais, incluindo os direitos dos consumidores e as garantias relacionadas com a venda de bens e serviços </w:t>
            </w:r>
          </w:p>
          <w:p w14:paraId="43D64648" w14:textId="77777777" w:rsidR="00F276F9" w:rsidRDefault="00D028A6" w:rsidP="00D028A6">
            <w:pPr>
              <w:spacing w:before="120" w:after="120" w:line="360" w:lineRule="auto"/>
              <w:rPr>
                <w:szCs w:val="24"/>
                <w:lang w:eastAsia="en-US"/>
              </w:rPr>
            </w:pPr>
            <w:r w:rsidRPr="00D028A6">
              <w:rPr>
                <w:szCs w:val="24"/>
                <w:lang w:eastAsia="en-US"/>
              </w:rPr>
              <w:t xml:space="preserve">5. oferta de serviços em linha para efetuar pagamentos transfronteiriços no âmbito da venda de bens e serviços em linha </w:t>
            </w:r>
          </w:p>
          <w:p w14:paraId="76E8C379" w14:textId="5A9FE9B9" w:rsidR="00F276F9" w:rsidRDefault="00D028A6" w:rsidP="00D028A6">
            <w:pPr>
              <w:spacing w:before="120" w:after="120" w:line="360" w:lineRule="auto"/>
              <w:rPr>
                <w:szCs w:val="24"/>
                <w:lang w:eastAsia="en-US"/>
              </w:rPr>
            </w:pPr>
            <w:r w:rsidRPr="00D028A6">
              <w:rPr>
                <w:szCs w:val="24"/>
                <w:lang w:eastAsia="en-US"/>
              </w:rPr>
              <w:t xml:space="preserve">6. direitos e obrigações decorrentes do direito dos contratos, incluindo juros de mora </w:t>
            </w:r>
          </w:p>
          <w:p w14:paraId="259E0186" w14:textId="77777777" w:rsidR="00F276F9" w:rsidRDefault="00D028A6" w:rsidP="00D028A6">
            <w:pPr>
              <w:spacing w:before="120" w:after="120" w:line="360" w:lineRule="auto"/>
              <w:rPr>
                <w:szCs w:val="24"/>
                <w:lang w:eastAsia="en-US"/>
              </w:rPr>
            </w:pPr>
            <w:r w:rsidRPr="00D028A6">
              <w:rPr>
                <w:szCs w:val="24"/>
                <w:lang w:eastAsia="en-US"/>
              </w:rPr>
              <w:t xml:space="preserve">7. processos de insolvência e liquidação de pessoas coletivas que não empresas </w:t>
            </w:r>
          </w:p>
          <w:p w14:paraId="45A4BC9B" w14:textId="77777777" w:rsidR="00F276F9" w:rsidRDefault="00D028A6" w:rsidP="00D028A6">
            <w:pPr>
              <w:spacing w:before="120" w:after="120" w:line="360" w:lineRule="auto"/>
              <w:rPr>
                <w:szCs w:val="24"/>
                <w:lang w:eastAsia="en-US"/>
              </w:rPr>
            </w:pPr>
            <w:r w:rsidRPr="00D028A6">
              <w:rPr>
                <w:szCs w:val="24"/>
                <w:lang w:eastAsia="en-US"/>
              </w:rPr>
              <w:t xml:space="preserve">8. seguros de crédito </w:t>
            </w:r>
          </w:p>
          <w:p w14:paraId="60EADEC3" w14:textId="77777777" w:rsidR="00F276F9" w:rsidRDefault="00D028A6" w:rsidP="00D028A6">
            <w:pPr>
              <w:spacing w:before="120" w:after="120" w:line="360" w:lineRule="auto"/>
              <w:rPr>
                <w:szCs w:val="24"/>
                <w:lang w:eastAsia="en-US"/>
              </w:rPr>
            </w:pPr>
            <w:r w:rsidRPr="00D028A6">
              <w:rPr>
                <w:szCs w:val="24"/>
                <w:lang w:eastAsia="en-US"/>
              </w:rPr>
              <w:t xml:space="preserve">9. fusão ou venda de uma pessoa coletiva que não uma empresa </w:t>
            </w:r>
          </w:p>
          <w:p w14:paraId="5C2CB18F" w14:textId="07205106" w:rsidR="00F276F9" w:rsidRDefault="00D028A6" w:rsidP="00D028A6">
            <w:pPr>
              <w:spacing w:before="120" w:after="120" w:line="360" w:lineRule="auto"/>
              <w:rPr>
                <w:szCs w:val="24"/>
                <w:lang w:eastAsia="en-US"/>
              </w:rPr>
            </w:pPr>
            <w:r w:rsidRPr="00D028A6">
              <w:rPr>
                <w:szCs w:val="24"/>
                <w:lang w:eastAsia="en-US"/>
              </w:rPr>
              <w:t xml:space="preserve">10. responsabilidade civil dos </w:t>
            </w:r>
            <w:r w:rsidR="00F276F9" w:rsidRPr="00437677">
              <w:rPr>
                <w:b/>
                <w:bCs/>
                <w:i/>
                <w:iCs/>
              </w:rPr>
              <w:t xml:space="preserve">membros do conselho </w:t>
            </w:r>
            <w:r w:rsidR="00F276F9" w:rsidRPr="00437677">
              <w:rPr>
                <w:b/>
                <w:bCs/>
                <w:i/>
                <w:iCs/>
              </w:rPr>
              <w:lastRenderedPageBreak/>
              <w:t>de administração</w:t>
            </w:r>
            <w:r w:rsidR="00F276F9" w:rsidRPr="00437677">
              <w:t xml:space="preserve"> </w:t>
            </w:r>
            <w:r w:rsidR="00F276F9" w:rsidRPr="00D01094">
              <w:rPr>
                <w:b/>
                <w:i/>
              </w:rPr>
              <w:t>ou dos</w:t>
            </w:r>
            <w:r w:rsidR="00F276F9">
              <w:t xml:space="preserve"> </w:t>
            </w:r>
            <w:r w:rsidRPr="00D028A6">
              <w:rPr>
                <w:szCs w:val="24"/>
                <w:lang w:eastAsia="en-US"/>
              </w:rPr>
              <w:t xml:space="preserve">administradores de uma pessoa coletiva que não uma empresa </w:t>
            </w:r>
          </w:p>
          <w:p w14:paraId="57C3E22F" w14:textId="2D70D1C8" w:rsidR="00D028A6" w:rsidRPr="00D028A6" w:rsidRDefault="00D028A6" w:rsidP="00D028A6">
            <w:pPr>
              <w:spacing w:before="120" w:after="120" w:line="360" w:lineRule="auto"/>
              <w:rPr>
                <w:szCs w:val="24"/>
                <w:lang w:eastAsia="en-US"/>
              </w:rPr>
            </w:pPr>
            <w:r w:rsidRPr="00D028A6">
              <w:rPr>
                <w:szCs w:val="24"/>
                <w:lang w:eastAsia="en-US"/>
              </w:rPr>
              <w:t>11. regras e obrigações em matéria de tratamento de dados pessoais</w:t>
            </w:r>
          </w:p>
        </w:tc>
      </w:tr>
      <w:tr w:rsidR="00D028A6" w:rsidRPr="00D028A6" w14:paraId="65FB11F3" w14:textId="77777777" w:rsidTr="00D01094">
        <w:tc>
          <w:tcPr>
            <w:tcW w:w="0" w:type="auto"/>
          </w:tcPr>
          <w:p w14:paraId="0D9709BA" w14:textId="77777777" w:rsidR="00D028A6" w:rsidRPr="00D028A6" w:rsidRDefault="00D028A6" w:rsidP="00D028A6">
            <w:pPr>
              <w:spacing w:before="120" w:after="120" w:line="360" w:lineRule="auto"/>
              <w:rPr>
                <w:szCs w:val="24"/>
                <w:lang w:val="en-GB" w:eastAsia="en-US"/>
              </w:rPr>
            </w:pPr>
            <w:r w:rsidRPr="00D028A6">
              <w:rPr>
                <w:szCs w:val="24"/>
                <w:lang w:val="en-GB" w:eastAsia="en-US"/>
              </w:rPr>
              <w:lastRenderedPageBreak/>
              <w:t xml:space="preserve">AB. </w:t>
            </w:r>
            <w:proofErr w:type="spellStart"/>
            <w:r w:rsidRPr="00D028A6">
              <w:rPr>
                <w:szCs w:val="24"/>
                <w:lang w:val="en-GB" w:eastAsia="en-US"/>
              </w:rPr>
              <w:t>Trabalhadores</w:t>
            </w:r>
            <w:proofErr w:type="spellEnd"/>
          </w:p>
        </w:tc>
        <w:tc>
          <w:tcPr>
            <w:tcW w:w="0" w:type="auto"/>
          </w:tcPr>
          <w:p w14:paraId="78F863D6" w14:textId="77777777" w:rsidR="00F276F9" w:rsidRDefault="00D028A6" w:rsidP="00D028A6">
            <w:pPr>
              <w:spacing w:before="120" w:after="120" w:line="360" w:lineRule="auto"/>
              <w:rPr>
                <w:szCs w:val="24"/>
                <w:lang w:eastAsia="en-US"/>
              </w:rPr>
            </w:pPr>
            <w:r w:rsidRPr="00D028A6">
              <w:rPr>
                <w:szCs w:val="24"/>
                <w:lang w:eastAsia="en-US"/>
              </w:rPr>
              <w:t xml:space="preserve">1. condições de trabalho previstas por lei ou por um instrumento com força obrigatória geral (incluindo o horário de trabalho, férias pagas, férias anuais, direitos e obrigações relativas às horas extraordinárias, medicina preventiva, rescisão de contratos, demissões e despedimentos) </w:t>
            </w:r>
          </w:p>
          <w:p w14:paraId="646C7B13" w14:textId="77777777" w:rsidR="00F276F9" w:rsidRDefault="00D028A6" w:rsidP="00D028A6">
            <w:pPr>
              <w:spacing w:before="120" w:after="120" w:line="360" w:lineRule="auto"/>
              <w:rPr>
                <w:szCs w:val="24"/>
                <w:lang w:eastAsia="en-US"/>
              </w:rPr>
            </w:pPr>
            <w:r w:rsidRPr="00D028A6">
              <w:rPr>
                <w:szCs w:val="24"/>
                <w:lang w:eastAsia="en-US"/>
              </w:rPr>
              <w:t xml:space="preserve">2. direitos e deveres em matéria de segurança social na União (inscrição como empregador, registo dos trabalhadores, notificação da cessação dos contratos de trabalho, pagamento das contribuições para a segurança social, direitos e obrigações em matéria de aposentação) </w:t>
            </w:r>
          </w:p>
          <w:p w14:paraId="79670624" w14:textId="77777777" w:rsidR="00F276F9" w:rsidRDefault="00D028A6" w:rsidP="00D028A6">
            <w:pPr>
              <w:spacing w:before="120" w:after="120" w:line="360" w:lineRule="auto"/>
              <w:rPr>
                <w:szCs w:val="24"/>
                <w:lang w:eastAsia="en-US"/>
              </w:rPr>
            </w:pPr>
            <w:r w:rsidRPr="00D028A6">
              <w:rPr>
                <w:szCs w:val="24"/>
                <w:lang w:eastAsia="en-US"/>
              </w:rPr>
              <w:t xml:space="preserve">3. emprego de trabalhadores noutros Estados-Membros (destacamento de trabalhadores, regras relativas à livre prestação de serviços, requisitos de residência para os trabalhadores) </w:t>
            </w:r>
          </w:p>
          <w:p w14:paraId="055B56D3" w14:textId="77777777" w:rsidR="00F276F9" w:rsidRDefault="00D028A6" w:rsidP="00D028A6">
            <w:pPr>
              <w:spacing w:before="120" w:after="120" w:line="360" w:lineRule="auto"/>
              <w:rPr>
                <w:szCs w:val="24"/>
                <w:lang w:eastAsia="en-US"/>
              </w:rPr>
            </w:pPr>
            <w:r w:rsidRPr="00D028A6">
              <w:rPr>
                <w:szCs w:val="24"/>
                <w:lang w:eastAsia="en-US"/>
              </w:rPr>
              <w:t xml:space="preserve">4. igualdade de tratamento (regras que proíbem a discriminação no local de trabalho, regras sobre a igualdade de remuneração entre homens e mulheres e sobre a igualdade de remuneração de trabalhadores com contratos de trabalho a termo e sem termo) </w:t>
            </w:r>
          </w:p>
          <w:p w14:paraId="765CECF3" w14:textId="006387BF" w:rsidR="00D028A6" w:rsidRPr="00D028A6" w:rsidRDefault="00D028A6" w:rsidP="00D028A6">
            <w:pPr>
              <w:spacing w:before="120" w:after="120" w:line="360" w:lineRule="auto"/>
              <w:rPr>
                <w:szCs w:val="24"/>
                <w:lang w:eastAsia="en-US"/>
              </w:rPr>
            </w:pPr>
            <w:r w:rsidRPr="00D028A6">
              <w:rPr>
                <w:szCs w:val="24"/>
                <w:lang w:eastAsia="en-US"/>
              </w:rPr>
              <w:t>5. regras sobre a representação coletiva dos trabalhadores</w:t>
            </w:r>
          </w:p>
        </w:tc>
      </w:tr>
      <w:tr w:rsidR="00D028A6" w:rsidRPr="00D028A6" w14:paraId="6C1EA655" w14:textId="77777777" w:rsidTr="00D01094">
        <w:tc>
          <w:tcPr>
            <w:tcW w:w="0" w:type="auto"/>
          </w:tcPr>
          <w:p w14:paraId="6BEC71DD" w14:textId="77777777" w:rsidR="00D028A6" w:rsidRPr="00D028A6" w:rsidRDefault="00D028A6" w:rsidP="00D028A6">
            <w:pPr>
              <w:spacing w:before="120" w:after="120" w:line="360" w:lineRule="auto"/>
              <w:rPr>
                <w:szCs w:val="24"/>
                <w:lang w:val="en-GB" w:eastAsia="en-US"/>
              </w:rPr>
            </w:pPr>
            <w:r w:rsidRPr="00D028A6">
              <w:rPr>
                <w:szCs w:val="24"/>
                <w:lang w:val="en-GB" w:eastAsia="en-US"/>
              </w:rPr>
              <w:t xml:space="preserve">AC. </w:t>
            </w:r>
            <w:proofErr w:type="spellStart"/>
            <w:r w:rsidRPr="00D028A6">
              <w:rPr>
                <w:szCs w:val="24"/>
                <w:lang w:val="en-GB" w:eastAsia="en-US"/>
              </w:rPr>
              <w:t>Impostos</w:t>
            </w:r>
            <w:proofErr w:type="spellEnd"/>
          </w:p>
        </w:tc>
        <w:tc>
          <w:tcPr>
            <w:tcW w:w="0" w:type="auto"/>
          </w:tcPr>
          <w:p w14:paraId="59E5950B" w14:textId="77777777" w:rsidR="00F276F9" w:rsidRDefault="00D028A6" w:rsidP="00D028A6">
            <w:pPr>
              <w:spacing w:before="120" w:after="120" w:line="360" w:lineRule="auto"/>
              <w:rPr>
                <w:szCs w:val="24"/>
                <w:lang w:eastAsia="en-US"/>
              </w:rPr>
            </w:pPr>
            <w:r w:rsidRPr="00D028A6">
              <w:rPr>
                <w:szCs w:val="24"/>
                <w:lang w:eastAsia="en-US"/>
              </w:rPr>
              <w:t xml:space="preserve">1. IVA: informações sobre as regras gerais, taxas e isenções, registo e pagamento do IVA, obtenção de reembolsos </w:t>
            </w:r>
          </w:p>
          <w:p w14:paraId="55E2CFA3" w14:textId="77777777" w:rsidR="00F276F9" w:rsidRDefault="00D028A6" w:rsidP="00D028A6">
            <w:pPr>
              <w:spacing w:before="120" w:after="120" w:line="360" w:lineRule="auto"/>
              <w:rPr>
                <w:szCs w:val="24"/>
                <w:lang w:eastAsia="en-US"/>
              </w:rPr>
            </w:pPr>
            <w:r w:rsidRPr="00D028A6">
              <w:rPr>
                <w:szCs w:val="24"/>
                <w:lang w:eastAsia="en-US"/>
              </w:rPr>
              <w:lastRenderedPageBreak/>
              <w:t xml:space="preserve">2. impostos especiais sobre o consumo: informações sobre as regras gerais, taxas e isenções, registo para efeitos de impostos especiais sobre o consumo e pagamento de impostos especiais sobre o consumo, obtenção de reembolsos </w:t>
            </w:r>
          </w:p>
          <w:p w14:paraId="528702B5" w14:textId="77777777" w:rsidR="00F276F9" w:rsidRDefault="00D028A6" w:rsidP="00D028A6">
            <w:pPr>
              <w:spacing w:before="120" w:after="120" w:line="360" w:lineRule="auto"/>
              <w:rPr>
                <w:szCs w:val="24"/>
                <w:lang w:eastAsia="en-US"/>
              </w:rPr>
            </w:pPr>
            <w:r w:rsidRPr="00D028A6">
              <w:rPr>
                <w:szCs w:val="24"/>
                <w:lang w:eastAsia="en-US"/>
              </w:rPr>
              <w:t xml:space="preserve">3. direitos aduaneiros e outras taxas e direitos cobrados sobre as importações </w:t>
            </w:r>
          </w:p>
          <w:p w14:paraId="5DB2248B" w14:textId="77777777" w:rsidR="00F276F9" w:rsidRDefault="00D028A6" w:rsidP="00D028A6">
            <w:pPr>
              <w:spacing w:before="120" w:after="120" w:line="360" w:lineRule="auto"/>
              <w:rPr>
                <w:szCs w:val="24"/>
                <w:lang w:eastAsia="en-US"/>
              </w:rPr>
            </w:pPr>
            <w:r w:rsidRPr="00D028A6">
              <w:rPr>
                <w:szCs w:val="24"/>
                <w:lang w:eastAsia="en-US"/>
              </w:rPr>
              <w:t xml:space="preserve">4. regime aduaneiro das importações e exportações no âmbito do Código Aduaneiro da União </w:t>
            </w:r>
          </w:p>
          <w:p w14:paraId="68D91C46" w14:textId="207FB0E6" w:rsidR="00D028A6" w:rsidRPr="00D028A6" w:rsidRDefault="00D028A6" w:rsidP="00D028A6">
            <w:pPr>
              <w:spacing w:before="120" w:after="120" w:line="360" w:lineRule="auto"/>
              <w:rPr>
                <w:szCs w:val="24"/>
                <w:lang w:eastAsia="en-US"/>
              </w:rPr>
            </w:pPr>
            <w:r w:rsidRPr="00D028A6">
              <w:rPr>
                <w:szCs w:val="24"/>
                <w:lang w:eastAsia="en-US"/>
              </w:rPr>
              <w:t>5. outros impostos: pagamento, taxas, declarações de impostos</w:t>
            </w:r>
          </w:p>
        </w:tc>
      </w:tr>
      <w:tr w:rsidR="00D028A6" w:rsidRPr="00D028A6" w14:paraId="3EBB12A9" w14:textId="77777777" w:rsidTr="00D01094">
        <w:tc>
          <w:tcPr>
            <w:tcW w:w="0" w:type="auto"/>
          </w:tcPr>
          <w:p w14:paraId="6EE00336" w14:textId="77777777" w:rsidR="00D028A6" w:rsidRPr="00D028A6" w:rsidRDefault="00D028A6" w:rsidP="00D028A6">
            <w:pPr>
              <w:spacing w:before="120" w:after="120" w:line="360" w:lineRule="auto"/>
              <w:rPr>
                <w:szCs w:val="24"/>
                <w:lang w:val="en-GB" w:eastAsia="en-US"/>
              </w:rPr>
            </w:pPr>
            <w:r w:rsidRPr="00D028A6">
              <w:rPr>
                <w:szCs w:val="24"/>
                <w:lang w:val="en-GB" w:eastAsia="en-US"/>
              </w:rPr>
              <w:lastRenderedPageBreak/>
              <w:t>AD. Bens</w:t>
            </w:r>
          </w:p>
        </w:tc>
        <w:tc>
          <w:tcPr>
            <w:tcW w:w="0" w:type="auto"/>
          </w:tcPr>
          <w:p w14:paraId="6C873644" w14:textId="77777777" w:rsidR="00F276F9" w:rsidRDefault="00D028A6" w:rsidP="00D028A6">
            <w:pPr>
              <w:spacing w:before="120" w:after="120" w:line="360" w:lineRule="auto"/>
              <w:rPr>
                <w:szCs w:val="24"/>
                <w:lang w:eastAsia="en-US"/>
              </w:rPr>
            </w:pPr>
            <w:r w:rsidRPr="00D028A6">
              <w:rPr>
                <w:szCs w:val="24"/>
                <w:lang w:eastAsia="en-US"/>
              </w:rPr>
              <w:t xml:space="preserve">1. obtenção da marcação CE </w:t>
            </w:r>
          </w:p>
          <w:p w14:paraId="3667702B" w14:textId="77777777" w:rsidR="00F276F9" w:rsidRDefault="00D028A6" w:rsidP="00D028A6">
            <w:pPr>
              <w:spacing w:before="120" w:after="120" w:line="360" w:lineRule="auto"/>
              <w:rPr>
                <w:szCs w:val="24"/>
                <w:lang w:eastAsia="en-US"/>
              </w:rPr>
            </w:pPr>
            <w:r w:rsidRPr="00D028A6">
              <w:rPr>
                <w:szCs w:val="24"/>
                <w:lang w:eastAsia="en-US"/>
              </w:rPr>
              <w:t xml:space="preserve">2. regras e requisitos relativos aos produtos </w:t>
            </w:r>
          </w:p>
          <w:p w14:paraId="70E7E988" w14:textId="77777777" w:rsidR="00F276F9" w:rsidRDefault="00D028A6" w:rsidP="00D028A6">
            <w:pPr>
              <w:spacing w:before="120" w:after="120" w:line="360" w:lineRule="auto"/>
              <w:rPr>
                <w:szCs w:val="24"/>
                <w:lang w:eastAsia="en-US"/>
              </w:rPr>
            </w:pPr>
            <w:r w:rsidRPr="00D028A6">
              <w:rPr>
                <w:szCs w:val="24"/>
                <w:lang w:eastAsia="en-US"/>
              </w:rPr>
              <w:t xml:space="preserve">3. identificação das regras aplicáveis, especificações técnicas e certificação de produtos </w:t>
            </w:r>
          </w:p>
          <w:p w14:paraId="1C5B5C27" w14:textId="77777777" w:rsidR="00F276F9" w:rsidRDefault="00D028A6" w:rsidP="00D028A6">
            <w:pPr>
              <w:spacing w:before="120" w:after="120" w:line="360" w:lineRule="auto"/>
              <w:rPr>
                <w:szCs w:val="24"/>
                <w:lang w:eastAsia="en-US"/>
              </w:rPr>
            </w:pPr>
            <w:r w:rsidRPr="00D028A6">
              <w:rPr>
                <w:szCs w:val="24"/>
                <w:lang w:eastAsia="en-US"/>
              </w:rPr>
              <w:t xml:space="preserve">4. reconhecimento mútuo de produtos não sujeitos às especificações da União </w:t>
            </w:r>
          </w:p>
          <w:p w14:paraId="0CA6E10E" w14:textId="77777777" w:rsidR="00F276F9" w:rsidRDefault="00D028A6" w:rsidP="00D028A6">
            <w:pPr>
              <w:spacing w:before="120" w:after="120" w:line="360" w:lineRule="auto"/>
              <w:rPr>
                <w:szCs w:val="24"/>
                <w:lang w:eastAsia="en-US"/>
              </w:rPr>
            </w:pPr>
            <w:r w:rsidRPr="00D028A6">
              <w:rPr>
                <w:szCs w:val="24"/>
                <w:lang w:eastAsia="en-US"/>
              </w:rPr>
              <w:t xml:space="preserve">5. requisitos de classificação, rotulagem e embalagem de produtos químicos perigosos </w:t>
            </w:r>
          </w:p>
          <w:p w14:paraId="2610526A" w14:textId="77777777" w:rsidR="00F276F9" w:rsidRDefault="00D028A6" w:rsidP="00D028A6">
            <w:pPr>
              <w:spacing w:before="120" w:after="120" w:line="360" w:lineRule="auto"/>
              <w:rPr>
                <w:szCs w:val="24"/>
                <w:lang w:eastAsia="en-US"/>
              </w:rPr>
            </w:pPr>
            <w:r w:rsidRPr="00D028A6">
              <w:rPr>
                <w:szCs w:val="24"/>
                <w:lang w:eastAsia="en-US"/>
              </w:rPr>
              <w:t xml:space="preserve">6. venda à distância ou fora do estabelecimento comercial: informações a prestar antecipadamente aos clientes, confirmação de contratos por escrito, denúncia de contratos, entrega de bens, outras obrigações específicas </w:t>
            </w:r>
          </w:p>
          <w:p w14:paraId="535FF1F0" w14:textId="77777777" w:rsidR="00F276F9" w:rsidRDefault="00D028A6" w:rsidP="00D028A6">
            <w:pPr>
              <w:spacing w:before="120" w:after="120" w:line="360" w:lineRule="auto"/>
              <w:rPr>
                <w:szCs w:val="24"/>
                <w:lang w:eastAsia="en-US"/>
              </w:rPr>
            </w:pPr>
            <w:r w:rsidRPr="00D028A6">
              <w:rPr>
                <w:szCs w:val="24"/>
                <w:lang w:eastAsia="en-US"/>
              </w:rPr>
              <w:t xml:space="preserve">7. produtos com defeito: direitos e garantias dos consumidores, responsabilidades pós-venda, meios de reparação da parte lesada </w:t>
            </w:r>
          </w:p>
          <w:p w14:paraId="562AB78A" w14:textId="77777777" w:rsidR="00F276F9" w:rsidRDefault="00D028A6" w:rsidP="00D028A6">
            <w:pPr>
              <w:spacing w:before="120" w:after="120" w:line="360" w:lineRule="auto"/>
              <w:rPr>
                <w:szCs w:val="24"/>
                <w:lang w:eastAsia="en-US"/>
              </w:rPr>
            </w:pPr>
            <w:r w:rsidRPr="00D028A6">
              <w:rPr>
                <w:szCs w:val="24"/>
                <w:lang w:eastAsia="en-US"/>
              </w:rPr>
              <w:t xml:space="preserve">8. certificação e rótulos (EMAS, rótulos energéticos, conceção ecológica, rótulo ecológico da UE) </w:t>
            </w:r>
          </w:p>
          <w:p w14:paraId="22E82408" w14:textId="22D1655F" w:rsidR="00D028A6" w:rsidRPr="00D028A6" w:rsidRDefault="00D028A6" w:rsidP="00D028A6">
            <w:pPr>
              <w:spacing w:before="120" w:after="120" w:line="360" w:lineRule="auto"/>
              <w:rPr>
                <w:szCs w:val="24"/>
                <w:lang w:eastAsia="en-US"/>
              </w:rPr>
            </w:pPr>
            <w:r w:rsidRPr="00D028A6">
              <w:rPr>
                <w:szCs w:val="24"/>
                <w:lang w:eastAsia="en-US"/>
              </w:rPr>
              <w:lastRenderedPageBreak/>
              <w:t>9. reciclagem e gestão de resíduos</w:t>
            </w:r>
          </w:p>
        </w:tc>
      </w:tr>
      <w:tr w:rsidR="00D028A6" w:rsidRPr="00D028A6" w14:paraId="46CC3136" w14:textId="77777777" w:rsidTr="00D01094">
        <w:tc>
          <w:tcPr>
            <w:tcW w:w="0" w:type="auto"/>
          </w:tcPr>
          <w:p w14:paraId="29C7A960" w14:textId="77777777" w:rsidR="00D028A6" w:rsidRPr="00D028A6" w:rsidRDefault="00D028A6" w:rsidP="00D028A6">
            <w:pPr>
              <w:spacing w:before="120" w:after="120" w:line="360" w:lineRule="auto"/>
              <w:rPr>
                <w:szCs w:val="24"/>
                <w:lang w:val="en-GB" w:eastAsia="en-US"/>
              </w:rPr>
            </w:pPr>
            <w:r w:rsidRPr="00D028A6">
              <w:rPr>
                <w:szCs w:val="24"/>
                <w:lang w:val="en-GB" w:eastAsia="en-US"/>
              </w:rPr>
              <w:lastRenderedPageBreak/>
              <w:t xml:space="preserve">AE. </w:t>
            </w:r>
            <w:proofErr w:type="spellStart"/>
            <w:r w:rsidRPr="00D028A6">
              <w:rPr>
                <w:szCs w:val="24"/>
                <w:lang w:val="en-GB" w:eastAsia="en-US"/>
              </w:rPr>
              <w:t>Serviços</w:t>
            </w:r>
            <w:proofErr w:type="spellEnd"/>
          </w:p>
        </w:tc>
        <w:tc>
          <w:tcPr>
            <w:tcW w:w="0" w:type="auto"/>
          </w:tcPr>
          <w:p w14:paraId="2CB53D9C" w14:textId="77777777" w:rsidR="00F276F9" w:rsidRDefault="00D028A6" w:rsidP="00D028A6">
            <w:pPr>
              <w:spacing w:before="120" w:after="120" w:line="360" w:lineRule="auto"/>
              <w:rPr>
                <w:szCs w:val="24"/>
                <w:lang w:eastAsia="en-US"/>
              </w:rPr>
            </w:pPr>
            <w:r w:rsidRPr="00D028A6">
              <w:rPr>
                <w:szCs w:val="24"/>
                <w:lang w:eastAsia="en-US"/>
              </w:rPr>
              <w:t xml:space="preserve">1. aquisição de licenças ou autorizações para a criação e a gestão de outras pessoas coletivas que não empresas </w:t>
            </w:r>
          </w:p>
          <w:p w14:paraId="4124C251" w14:textId="77777777" w:rsidR="00F276F9" w:rsidRDefault="00D028A6" w:rsidP="00D028A6">
            <w:pPr>
              <w:spacing w:before="120" w:after="120" w:line="360" w:lineRule="auto"/>
              <w:rPr>
                <w:szCs w:val="24"/>
                <w:lang w:eastAsia="en-US"/>
              </w:rPr>
            </w:pPr>
            <w:r w:rsidRPr="00D028A6">
              <w:rPr>
                <w:szCs w:val="24"/>
                <w:lang w:eastAsia="en-US"/>
              </w:rPr>
              <w:t xml:space="preserve">2. notificação das autoridades sobre atividades transfronteiriças </w:t>
            </w:r>
          </w:p>
          <w:p w14:paraId="6BB98264" w14:textId="40095593" w:rsidR="00D028A6" w:rsidRPr="00D028A6" w:rsidRDefault="00D028A6" w:rsidP="00D028A6">
            <w:pPr>
              <w:spacing w:before="120" w:after="120" w:line="360" w:lineRule="auto"/>
              <w:rPr>
                <w:szCs w:val="24"/>
                <w:lang w:eastAsia="en-US"/>
              </w:rPr>
            </w:pPr>
            <w:r w:rsidRPr="00D028A6">
              <w:rPr>
                <w:szCs w:val="24"/>
                <w:lang w:eastAsia="en-US"/>
              </w:rPr>
              <w:t>3. reconhecimento de qualificações profissionais, incluindo o ensino e a formação profissionais</w:t>
            </w:r>
          </w:p>
        </w:tc>
      </w:tr>
      <w:tr w:rsidR="00D028A6" w:rsidRPr="00D028A6" w14:paraId="2AB24DDD" w14:textId="77777777" w:rsidTr="00D01094">
        <w:tc>
          <w:tcPr>
            <w:tcW w:w="0" w:type="auto"/>
          </w:tcPr>
          <w:p w14:paraId="2288BA43" w14:textId="77777777" w:rsidR="00D028A6" w:rsidRPr="00D028A6" w:rsidRDefault="00D028A6" w:rsidP="00D028A6">
            <w:pPr>
              <w:spacing w:before="120" w:after="120" w:line="360" w:lineRule="auto"/>
              <w:rPr>
                <w:szCs w:val="24"/>
                <w:lang w:eastAsia="en-US"/>
              </w:rPr>
            </w:pPr>
            <w:r w:rsidRPr="00D028A6">
              <w:rPr>
                <w:szCs w:val="24"/>
                <w:lang w:eastAsia="en-US"/>
              </w:rPr>
              <w:t>AF. Financiamento de uma pessoa coletiva que não uma empresa</w:t>
            </w:r>
          </w:p>
        </w:tc>
        <w:tc>
          <w:tcPr>
            <w:tcW w:w="0" w:type="auto"/>
          </w:tcPr>
          <w:p w14:paraId="2FA13F72" w14:textId="77777777" w:rsidR="00F276F9" w:rsidRDefault="00D028A6" w:rsidP="00D028A6">
            <w:pPr>
              <w:spacing w:before="120" w:after="120" w:line="360" w:lineRule="auto"/>
              <w:rPr>
                <w:szCs w:val="24"/>
                <w:lang w:eastAsia="en-US"/>
              </w:rPr>
            </w:pPr>
            <w:r w:rsidRPr="00D028A6">
              <w:rPr>
                <w:szCs w:val="24"/>
                <w:lang w:eastAsia="en-US"/>
              </w:rPr>
              <w:t xml:space="preserve">1. obtenção de acesso ao financiamento a nível da União, incluindo programas de financiamento e subvenções da União </w:t>
            </w:r>
          </w:p>
          <w:p w14:paraId="56DEACAF" w14:textId="77777777" w:rsidR="00F276F9" w:rsidRDefault="00D028A6" w:rsidP="00D028A6">
            <w:pPr>
              <w:spacing w:before="120" w:after="120" w:line="360" w:lineRule="auto"/>
              <w:rPr>
                <w:szCs w:val="24"/>
                <w:lang w:eastAsia="en-US"/>
              </w:rPr>
            </w:pPr>
            <w:r w:rsidRPr="00D028A6">
              <w:rPr>
                <w:szCs w:val="24"/>
                <w:lang w:eastAsia="en-US"/>
              </w:rPr>
              <w:t xml:space="preserve">2. obtenção de acesso ao financiamento a nível nacional </w:t>
            </w:r>
          </w:p>
          <w:p w14:paraId="725E676A" w14:textId="580BC703" w:rsidR="00D028A6" w:rsidRPr="00D028A6" w:rsidRDefault="00D028A6" w:rsidP="00D028A6">
            <w:pPr>
              <w:spacing w:before="120" w:after="120" w:line="360" w:lineRule="auto"/>
              <w:rPr>
                <w:szCs w:val="24"/>
                <w:lang w:eastAsia="en-US"/>
              </w:rPr>
            </w:pPr>
            <w:r w:rsidRPr="00D028A6">
              <w:rPr>
                <w:szCs w:val="24"/>
                <w:lang w:eastAsia="en-US"/>
              </w:rPr>
              <w:t xml:space="preserve">3. iniciativas dirigidas a pessoas coletivas que não empresas (intercâmbios, programas de </w:t>
            </w:r>
            <w:proofErr w:type="spellStart"/>
            <w:r w:rsidRPr="00D028A6">
              <w:rPr>
                <w:szCs w:val="24"/>
                <w:lang w:eastAsia="en-US"/>
              </w:rPr>
              <w:t>mentoria</w:t>
            </w:r>
            <w:proofErr w:type="spellEnd"/>
            <w:r w:rsidRPr="00D028A6">
              <w:rPr>
                <w:szCs w:val="24"/>
                <w:lang w:eastAsia="en-US"/>
              </w:rPr>
              <w:t>, etc.)</w:t>
            </w:r>
          </w:p>
        </w:tc>
      </w:tr>
      <w:tr w:rsidR="00D028A6" w:rsidRPr="00D028A6" w14:paraId="023FFA75" w14:textId="77777777" w:rsidTr="00D01094">
        <w:tc>
          <w:tcPr>
            <w:tcW w:w="0" w:type="auto"/>
          </w:tcPr>
          <w:p w14:paraId="1561D09C" w14:textId="77777777" w:rsidR="00D028A6" w:rsidRPr="00D028A6" w:rsidRDefault="00D028A6" w:rsidP="00D028A6">
            <w:pPr>
              <w:spacing w:before="120" w:after="120" w:line="360" w:lineRule="auto"/>
              <w:rPr>
                <w:szCs w:val="24"/>
                <w:lang w:val="en-GB" w:eastAsia="en-US"/>
              </w:rPr>
            </w:pPr>
            <w:r w:rsidRPr="00D028A6">
              <w:rPr>
                <w:szCs w:val="24"/>
                <w:lang w:val="en-GB" w:eastAsia="en-US"/>
              </w:rPr>
              <w:t xml:space="preserve">AG. </w:t>
            </w:r>
            <w:proofErr w:type="spellStart"/>
            <w:r w:rsidRPr="00D028A6">
              <w:rPr>
                <w:szCs w:val="24"/>
                <w:lang w:val="en-GB" w:eastAsia="en-US"/>
              </w:rPr>
              <w:t>Contratos</w:t>
            </w:r>
            <w:proofErr w:type="spellEnd"/>
            <w:r w:rsidRPr="00D028A6">
              <w:rPr>
                <w:szCs w:val="24"/>
                <w:lang w:val="en-GB" w:eastAsia="en-US"/>
              </w:rPr>
              <w:t xml:space="preserve"> </w:t>
            </w:r>
            <w:proofErr w:type="spellStart"/>
            <w:r w:rsidRPr="00D028A6">
              <w:rPr>
                <w:szCs w:val="24"/>
                <w:lang w:val="en-GB" w:eastAsia="en-US"/>
              </w:rPr>
              <w:t>públicos</w:t>
            </w:r>
            <w:proofErr w:type="spellEnd"/>
          </w:p>
        </w:tc>
        <w:tc>
          <w:tcPr>
            <w:tcW w:w="0" w:type="auto"/>
          </w:tcPr>
          <w:p w14:paraId="33872075" w14:textId="77777777" w:rsidR="00F276F9" w:rsidRDefault="00D028A6" w:rsidP="00D028A6">
            <w:pPr>
              <w:spacing w:before="120" w:after="120" w:line="360" w:lineRule="auto"/>
              <w:rPr>
                <w:szCs w:val="24"/>
                <w:lang w:eastAsia="en-US"/>
              </w:rPr>
            </w:pPr>
            <w:r w:rsidRPr="00D028A6">
              <w:rPr>
                <w:szCs w:val="24"/>
                <w:lang w:eastAsia="en-US"/>
              </w:rPr>
              <w:t xml:space="preserve">1. participação em concursos públicos: regras e procedimentos </w:t>
            </w:r>
          </w:p>
          <w:p w14:paraId="0BF82338" w14:textId="77777777" w:rsidR="00F276F9" w:rsidRDefault="00D028A6" w:rsidP="00D028A6">
            <w:pPr>
              <w:spacing w:before="120" w:after="120" w:line="360" w:lineRule="auto"/>
              <w:rPr>
                <w:szCs w:val="24"/>
                <w:lang w:eastAsia="en-US"/>
              </w:rPr>
            </w:pPr>
            <w:r w:rsidRPr="00D028A6">
              <w:rPr>
                <w:szCs w:val="24"/>
                <w:lang w:eastAsia="en-US"/>
              </w:rPr>
              <w:t xml:space="preserve">2. apresentação de propostas em linha em resposta a convites públicos à apresentação de propostas </w:t>
            </w:r>
          </w:p>
          <w:p w14:paraId="648CA26C" w14:textId="61F4EB6A" w:rsidR="00D028A6" w:rsidRPr="00D028A6" w:rsidRDefault="00D028A6" w:rsidP="00D028A6">
            <w:pPr>
              <w:spacing w:before="120" w:after="120" w:line="360" w:lineRule="auto"/>
              <w:rPr>
                <w:szCs w:val="24"/>
                <w:lang w:eastAsia="en-US"/>
              </w:rPr>
            </w:pPr>
            <w:r w:rsidRPr="00D028A6">
              <w:rPr>
                <w:szCs w:val="24"/>
                <w:lang w:eastAsia="en-US"/>
              </w:rPr>
              <w:t>3. comunicação de irregularidades em relação aos procedimentos de concurso</w:t>
            </w:r>
          </w:p>
        </w:tc>
      </w:tr>
      <w:tr w:rsidR="00D028A6" w:rsidRPr="00D028A6" w14:paraId="5C7E593C" w14:textId="77777777" w:rsidTr="00D01094">
        <w:tc>
          <w:tcPr>
            <w:tcW w:w="0" w:type="auto"/>
          </w:tcPr>
          <w:p w14:paraId="6B77F939" w14:textId="77777777" w:rsidR="00D028A6" w:rsidRPr="00D028A6" w:rsidRDefault="00D028A6" w:rsidP="00D028A6">
            <w:pPr>
              <w:spacing w:before="120" w:after="120" w:line="360" w:lineRule="auto"/>
              <w:rPr>
                <w:szCs w:val="24"/>
                <w:lang w:eastAsia="en-US"/>
              </w:rPr>
            </w:pPr>
            <w:r w:rsidRPr="00D028A6">
              <w:rPr>
                <w:szCs w:val="24"/>
                <w:lang w:eastAsia="en-US"/>
              </w:rPr>
              <w:t>AH. Saúde e segurança no trabalho</w:t>
            </w:r>
          </w:p>
        </w:tc>
        <w:tc>
          <w:tcPr>
            <w:tcW w:w="0" w:type="auto"/>
          </w:tcPr>
          <w:p w14:paraId="74A0EBAE" w14:textId="77777777" w:rsidR="00D028A6" w:rsidRPr="00D028A6" w:rsidRDefault="00D028A6" w:rsidP="00D028A6">
            <w:pPr>
              <w:spacing w:before="120" w:after="120" w:line="360" w:lineRule="auto"/>
              <w:rPr>
                <w:szCs w:val="24"/>
                <w:lang w:eastAsia="en-US"/>
              </w:rPr>
            </w:pPr>
            <w:r w:rsidRPr="00D028A6">
              <w:rPr>
                <w:szCs w:val="24"/>
                <w:lang w:eastAsia="en-US"/>
              </w:rPr>
              <w:t>1. obrigações em matéria de saúde e segurança em relação a diferentes tipos de atividades, incluindo a prevenção dos riscos, informação e formação.</w:t>
            </w:r>
          </w:p>
        </w:tc>
      </w:tr>
    </w:tbl>
    <w:p w14:paraId="6091BCCD" w14:textId="77777777" w:rsidR="00F276F9" w:rsidRDefault="00F276F9" w:rsidP="00D01094">
      <w:pPr>
        <w:spacing w:before="120" w:after="120" w:line="360" w:lineRule="auto"/>
        <w:jc w:val="right"/>
        <w:rPr>
          <w:b/>
          <w:szCs w:val="24"/>
          <w:lang w:eastAsia="en-US"/>
        </w:rPr>
      </w:pPr>
      <w:r>
        <w:rPr>
          <w:b/>
          <w:szCs w:val="24"/>
          <w:lang w:eastAsia="en-US"/>
        </w:rPr>
        <w:t xml:space="preserve"> [Alt. 5]</w:t>
      </w:r>
    </w:p>
    <w:p w14:paraId="246BFFB6" w14:textId="77777777" w:rsidR="00F276F9" w:rsidRDefault="00F276F9">
      <w:pPr>
        <w:widowControl/>
        <w:rPr>
          <w:b/>
          <w:szCs w:val="24"/>
          <w:lang w:eastAsia="en-US"/>
        </w:rPr>
      </w:pPr>
      <w:r>
        <w:rPr>
          <w:b/>
          <w:szCs w:val="24"/>
          <w:lang w:eastAsia="en-US"/>
        </w:rPr>
        <w:br w:type="page"/>
      </w:r>
    </w:p>
    <w:p w14:paraId="763249B5" w14:textId="5204FD08" w:rsidR="00D028A6" w:rsidRPr="00D028A6" w:rsidRDefault="00D028A6" w:rsidP="00D028A6">
      <w:pPr>
        <w:spacing w:before="120" w:after="120" w:line="360" w:lineRule="auto"/>
        <w:jc w:val="center"/>
        <w:rPr>
          <w:szCs w:val="24"/>
          <w:lang w:eastAsia="en-US"/>
        </w:rPr>
      </w:pPr>
      <w:r w:rsidRPr="00D028A6">
        <w:rPr>
          <w:szCs w:val="24"/>
          <w:lang w:eastAsia="en-US"/>
        </w:rPr>
        <w:lastRenderedPageBreak/>
        <w:t>Artigo 3.º</w:t>
      </w:r>
      <w:r w:rsidRPr="00D028A6">
        <w:rPr>
          <w:szCs w:val="24"/>
          <w:lang w:eastAsia="en-US"/>
        </w:rPr>
        <w:br/>
        <w:t>Entrada em vigor</w:t>
      </w:r>
    </w:p>
    <w:p w14:paraId="024288B6" w14:textId="77777777" w:rsidR="00D028A6" w:rsidRPr="00D028A6" w:rsidRDefault="00D028A6" w:rsidP="00D028A6">
      <w:pPr>
        <w:spacing w:before="120" w:after="120" w:line="360" w:lineRule="auto"/>
        <w:rPr>
          <w:szCs w:val="24"/>
          <w:lang w:eastAsia="en-US"/>
        </w:rPr>
      </w:pPr>
      <w:r w:rsidRPr="00D028A6">
        <w:rPr>
          <w:szCs w:val="24"/>
          <w:lang w:eastAsia="en-US"/>
        </w:rPr>
        <w:t xml:space="preserve">O presente regulamento entra em vigor no vigésimo dia seguinte ao da sua publicação no </w:t>
      </w:r>
      <w:r w:rsidRPr="00D01094">
        <w:rPr>
          <w:i/>
          <w:szCs w:val="24"/>
          <w:lang w:eastAsia="en-US"/>
        </w:rPr>
        <w:t>Jornal Oficial da União Europeia</w:t>
      </w:r>
      <w:r w:rsidRPr="00D028A6">
        <w:rPr>
          <w:szCs w:val="24"/>
          <w:lang w:eastAsia="en-US"/>
        </w:rPr>
        <w:t>.</w:t>
      </w:r>
    </w:p>
    <w:p w14:paraId="4D836D95" w14:textId="77777777" w:rsidR="00D028A6" w:rsidRPr="00D028A6" w:rsidRDefault="00D028A6" w:rsidP="00D028A6">
      <w:pPr>
        <w:spacing w:before="120" w:after="120" w:line="360" w:lineRule="auto"/>
        <w:rPr>
          <w:szCs w:val="24"/>
          <w:lang w:eastAsia="en-US"/>
        </w:rPr>
      </w:pPr>
      <w:r w:rsidRPr="00D028A6">
        <w:rPr>
          <w:szCs w:val="24"/>
          <w:lang w:eastAsia="en-US"/>
        </w:rPr>
        <w:t>O presente regulamento é obrigatório em todos os seus elementos e diretamente aplicável em todos os Estados-Membros.</w:t>
      </w:r>
    </w:p>
    <w:p w14:paraId="460FC133" w14:textId="63B82119" w:rsidR="00D028A6" w:rsidRPr="00D028A6" w:rsidRDefault="00D028A6" w:rsidP="00D028A6">
      <w:pPr>
        <w:keepNext/>
        <w:widowControl/>
        <w:spacing w:before="120" w:line="360" w:lineRule="auto"/>
        <w:rPr>
          <w:szCs w:val="24"/>
          <w:lang w:eastAsia="en-US"/>
        </w:rPr>
      </w:pPr>
      <w:r w:rsidRPr="00D028A6">
        <w:rPr>
          <w:szCs w:val="24"/>
          <w:lang w:eastAsia="en-US"/>
        </w:rPr>
        <w:t xml:space="preserve">Feito em </w:t>
      </w:r>
      <w:r>
        <w:rPr>
          <w:szCs w:val="24"/>
          <w:lang w:eastAsia="en-US"/>
        </w:rPr>
        <w:t>...</w:t>
      </w:r>
      <w:r w:rsidRPr="00D028A6">
        <w:rPr>
          <w:szCs w:val="24"/>
          <w:lang w:eastAsia="en-US"/>
        </w:rPr>
        <w:t>, em</w:t>
      </w:r>
    </w:p>
    <w:p w14:paraId="6573AABA" w14:textId="77777777" w:rsidR="00D028A6" w:rsidRPr="00D028A6" w:rsidRDefault="00D028A6" w:rsidP="00D028A6">
      <w:pPr>
        <w:keepNext/>
        <w:widowControl/>
        <w:tabs>
          <w:tab w:val="left" w:pos="4252"/>
        </w:tabs>
        <w:spacing w:before="720" w:after="100" w:line="360" w:lineRule="auto"/>
        <w:jc w:val="both"/>
        <w:rPr>
          <w:i/>
          <w:szCs w:val="24"/>
          <w:lang w:eastAsia="en-US"/>
        </w:rPr>
      </w:pPr>
      <w:r w:rsidRPr="00D028A6">
        <w:rPr>
          <w:i/>
          <w:szCs w:val="24"/>
          <w:lang w:eastAsia="en-US"/>
        </w:rPr>
        <w:t>Pelo Parlamento Europeu</w:t>
      </w:r>
      <w:r w:rsidRPr="00D028A6">
        <w:rPr>
          <w:i/>
          <w:szCs w:val="24"/>
          <w:lang w:eastAsia="en-US"/>
        </w:rPr>
        <w:tab/>
        <w:t>Pelo Conselho</w:t>
      </w:r>
    </w:p>
    <w:p w14:paraId="35410F09" w14:textId="69E489F0" w:rsidR="00577C63" w:rsidRDefault="00D028A6" w:rsidP="00075CCD">
      <w:pPr>
        <w:widowControl/>
        <w:tabs>
          <w:tab w:val="left" w:pos="4252"/>
        </w:tabs>
        <w:spacing w:line="360" w:lineRule="auto"/>
      </w:pPr>
      <w:r w:rsidRPr="00D01094">
        <w:rPr>
          <w:i/>
          <w:szCs w:val="24"/>
          <w:lang w:eastAsia="en-US"/>
        </w:rPr>
        <w:t>A Presidente</w:t>
      </w:r>
      <w:r w:rsidRPr="00D01094">
        <w:rPr>
          <w:i/>
          <w:szCs w:val="24"/>
          <w:lang w:eastAsia="en-US"/>
        </w:rPr>
        <w:tab/>
        <w:t>O Presidente</w:t>
      </w:r>
    </w:p>
    <w:sectPr w:rsidR="00577C63" w:rsidSect="007579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0BB6B" w14:textId="77777777" w:rsidR="0082317C" w:rsidRPr="00757904" w:rsidRDefault="0082317C">
      <w:r w:rsidRPr="00757904">
        <w:separator/>
      </w:r>
    </w:p>
  </w:endnote>
  <w:endnote w:type="continuationSeparator" w:id="0">
    <w:p w14:paraId="07A5E7A7" w14:textId="77777777" w:rsidR="0082317C" w:rsidRPr="00757904" w:rsidRDefault="0082317C">
      <w:r w:rsidRPr="007579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B4E85" w14:textId="77777777" w:rsidR="00064002" w:rsidRPr="007579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31F1D" w14:textId="77777777" w:rsidR="00064002" w:rsidRPr="007579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A3E58" w14:textId="77777777" w:rsidR="00064002" w:rsidRPr="007579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6E092" w14:textId="77777777" w:rsidR="0082317C" w:rsidRPr="00757904" w:rsidRDefault="0082317C">
      <w:r w:rsidRPr="00757904">
        <w:separator/>
      </w:r>
    </w:p>
  </w:footnote>
  <w:footnote w:type="continuationSeparator" w:id="0">
    <w:p w14:paraId="41C21A81" w14:textId="77777777" w:rsidR="0082317C" w:rsidRPr="00757904" w:rsidRDefault="0082317C">
      <w:r w:rsidRPr="00757904">
        <w:continuationSeparator/>
      </w:r>
    </w:p>
  </w:footnote>
  <w:footnote w:id="1">
    <w:p w14:paraId="04BBB3F7" w14:textId="28AC1B60" w:rsidR="008836A7" w:rsidRPr="00E46E51" w:rsidRDefault="008836A7" w:rsidP="00E46E51">
      <w:pPr>
        <w:pStyle w:val="FootnoteText"/>
        <w:ind w:left="567" w:hanging="567"/>
        <w:rPr>
          <w:sz w:val="24"/>
          <w:szCs w:val="24"/>
          <w:lang w:val="pt-PT"/>
        </w:rPr>
      </w:pPr>
      <w:r w:rsidRPr="00E46E51">
        <w:rPr>
          <w:rStyle w:val="FootnoteReference"/>
          <w:sz w:val="24"/>
          <w:szCs w:val="24"/>
        </w:rPr>
        <w:footnoteRef/>
      </w:r>
      <w:r w:rsidRPr="00E46E51">
        <w:rPr>
          <w:sz w:val="24"/>
          <w:szCs w:val="24"/>
          <w:lang w:val="pt-PT"/>
        </w:rPr>
        <w:t xml:space="preserve"> </w:t>
      </w:r>
      <w:r w:rsidRPr="00E46E51">
        <w:rPr>
          <w:sz w:val="24"/>
          <w:szCs w:val="24"/>
          <w:lang w:val="pt-PT"/>
        </w:rPr>
        <w:tab/>
        <w:t>Ainda não publicado no Jornal Oficial.</w:t>
      </w:r>
    </w:p>
  </w:footnote>
  <w:footnote w:id="2">
    <w:p w14:paraId="66D2BB43" w14:textId="77777777" w:rsidR="00D028A6" w:rsidRPr="00D028A6" w:rsidRDefault="00D028A6" w:rsidP="00D028A6">
      <w:pPr>
        <w:pStyle w:val="FootnoteTextForceStyle"/>
        <w:rPr>
          <w:lang w:val="pt-PT"/>
        </w:rPr>
      </w:pPr>
      <w:r>
        <w:rPr>
          <w:vertAlign w:val="superscript"/>
        </w:rPr>
        <w:footnoteRef/>
      </w:r>
      <w:r w:rsidRPr="00D028A6">
        <w:rPr>
          <w:lang w:val="pt-PT"/>
        </w:rPr>
        <w:tab/>
        <w:t>Referência do parecer</w:t>
      </w:r>
    </w:p>
  </w:footnote>
  <w:footnote w:id="3">
    <w:p w14:paraId="3D66EE01" w14:textId="77777777" w:rsidR="00D028A6" w:rsidRPr="00D028A6" w:rsidRDefault="00D028A6" w:rsidP="00D028A6">
      <w:pPr>
        <w:pStyle w:val="FootnoteTextForceStyle"/>
        <w:rPr>
          <w:lang w:val="pt-PT"/>
        </w:rPr>
      </w:pPr>
      <w:r>
        <w:rPr>
          <w:vertAlign w:val="superscript"/>
        </w:rPr>
        <w:footnoteRef/>
      </w:r>
      <w:r w:rsidRPr="00D028A6">
        <w:rPr>
          <w:lang w:val="pt-PT"/>
        </w:rPr>
        <w:tab/>
        <w:t>Diretiva do Parlamento Europeu e do Conselho, de ..., relativa às associações europeias transfronteiriças (referência do JO).</w:t>
      </w:r>
    </w:p>
  </w:footnote>
  <w:footnote w:id="4">
    <w:p w14:paraId="30C56F16" w14:textId="77777777" w:rsidR="00D028A6" w:rsidRPr="00D028A6" w:rsidRDefault="00D028A6" w:rsidP="00D028A6">
      <w:pPr>
        <w:pStyle w:val="FootnoteTextForceStyle"/>
        <w:rPr>
          <w:lang w:val="pt-PT"/>
        </w:rPr>
      </w:pPr>
      <w:r>
        <w:rPr>
          <w:vertAlign w:val="superscript"/>
        </w:rPr>
        <w:footnoteRef/>
      </w:r>
      <w:r w:rsidRPr="00D028A6">
        <w:rPr>
          <w:lang w:val="pt-PT"/>
        </w:rPr>
        <w:tab/>
        <w:t>Regulamento (UE) n.º 1024/2012 do Parlamento Europeu e do Conselho, de 25 de outubro de 2012, relativo à cooperação administrativa através do Sistema de Informação do Mercado Interno e que revoga a Decisão 2008/49/CE da Comissão («Regulamento IMI») (JO L 316 de 14.11.2012, p. 1).</w:t>
      </w:r>
    </w:p>
  </w:footnote>
  <w:footnote w:id="5">
    <w:p w14:paraId="214366DA" w14:textId="77777777" w:rsidR="00D028A6" w:rsidRPr="00D028A6" w:rsidRDefault="00D028A6" w:rsidP="00D028A6">
      <w:pPr>
        <w:pStyle w:val="FootnoteTextForceStyle"/>
        <w:rPr>
          <w:lang w:val="pt-PT"/>
        </w:rPr>
      </w:pPr>
      <w:r>
        <w:rPr>
          <w:vertAlign w:val="superscript"/>
        </w:rPr>
        <w:footnoteRef/>
      </w:r>
      <w:r w:rsidRPr="00D028A6">
        <w:rPr>
          <w:lang w:val="pt-PT"/>
        </w:rPr>
        <w:tab/>
        <w:t>Regulamento (UE) 2018/1724 do Parlamento Europeu e do Conselho, de 2 de outubro de 2018, relativo à criação de uma plataforma digital única para a prestação de acesso a informações, procedimentos e serviços de assistência e de resolução de problemas, e que altera o Regulamento (UE) n.º 1024/2012 (JO L 295 de 21.11.2018, p. 1).</w:t>
      </w:r>
    </w:p>
  </w:footnote>
  <w:footnote w:id="6">
    <w:p w14:paraId="31CD7417" w14:textId="77777777" w:rsidR="00D028A6" w:rsidRPr="00D028A6" w:rsidRDefault="00D028A6" w:rsidP="00D028A6">
      <w:pPr>
        <w:pStyle w:val="FootnoteTextForceStyle"/>
        <w:rPr>
          <w:lang w:val="pt-PT"/>
        </w:rPr>
      </w:pPr>
      <w:r>
        <w:rPr>
          <w:vertAlign w:val="superscript"/>
        </w:rPr>
        <w:footnoteRef/>
      </w:r>
      <w:r w:rsidRPr="00D028A6">
        <w:rPr>
          <w:lang w:val="pt-PT"/>
        </w:rPr>
        <w:tab/>
        <w:t>Regulamento (UE) 2018/1724 do Parlamento Europeu e do Conselho, de 2 de outubro de 2018, relativo à criação de uma plataforma digital única para a prestação de acesso a informações, procedimentos e serviços de assistência e de resolução de problemas, e que altera o Regulamento (UE) n.º 1024/2012 (JO L 295 de 21.11.2018,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8B53" w14:textId="77777777" w:rsidR="00064002" w:rsidRPr="007579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8BADE" w14:textId="77777777" w:rsidR="00064002" w:rsidRPr="007579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6A4F0" w14:textId="77777777" w:rsidR="00064002" w:rsidRPr="007579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PT"/>
    <w:docVar w:name="dvnumam" w:val="5"/>
    <w:docVar w:name="dvpe" w:val="756.195"/>
    <w:docVar w:name="dvrapporteur" w:val="Relatora: "/>
    <w:docVar w:name="dvstar" w:val="***I"/>
    <w:docVar w:name="dvtitre" w:val="Resolução legislativa do Parlamento Europeu, de ... de ... de 2024,_x000d__x000a_ sobre a proposta de regulamento do Parlamento Europeu e do Conselho que altera o Regulamento (UE) n.º 1024/2012 e o Regulamento (UE) 2018/1724 no que diz respeito à utilização do Sistema de Informação do Mercado Interno e da plataforma digital única para efeito dos requisitos estabelecidos na Diretiva (UE) .../... do Parlamento Europeu e do Conselho sobre as associações europeias transfronteiriças (COM(2023)516)) (COM(2023)0515 – C9-0327/2023 – 2023/0314(COD))"/>
  </w:docVars>
  <w:rsids>
    <w:rsidRoot w:val="0082317C"/>
    <w:rsid w:val="00002272"/>
    <w:rsid w:val="00064002"/>
    <w:rsid w:val="000677B9"/>
    <w:rsid w:val="00075CCD"/>
    <w:rsid w:val="000831BA"/>
    <w:rsid w:val="000A42CC"/>
    <w:rsid w:val="000E7DD9"/>
    <w:rsid w:val="0010095E"/>
    <w:rsid w:val="00125B37"/>
    <w:rsid w:val="00187494"/>
    <w:rsid w:val="001F32AE"/>
    <w:rsid w:val="002012FE"/>
    <w:rsid w:val="00206972"/>
    <w:rsid w:val="002767FF"/>
    <w:rsid w:val="002B18FE"/>
    <w:rsid w:val="002B5493"/>
    <w:rsid w:val="00306EB4"/>
    <w:rsid w:val="00343214"/>
    <w:rsid w:val="00361C00"/>
    <w:rsid w:val="00395FA1"/>
    <w:rsid w:val="003E15D4"/>
    <w:rsid w:val="00411CCE"/>
    <w:rsid w:val="0041666E"/>
    <w:rsid w:val="00421060"/>
    <w:rsid w:val="00437677"/>
    <w:rsid w:val="00471C19"/>
    <w:rsid w:val="004867E3"/>
    <w:rsid w:val="00494A28"/>
    <w:rsid w:val="004C0004"/>
    <w:rsid w:val="004C5D52"/>
    <w:rsid w:val="0050519A"/>
    <w:rsid w:val="005072A1"/>
    <w:rsid w:val="00514517"/>
    <w:rsid w:val="00545827"/>
    <w:rsid w:val="00560270"/>
    <w:rsid w:val="00577C63"/>
    <w:rsid w:val="005C2568"/>
    <w:rsid w:val="006037C0"/>
    <w:rsid w:val="006631B6"/>
    <w:rsid w:val="00680577"/>
    <w:rsid w:val="006F74FA"/>
    <w:rsid w:val="00731ADD"/>
    <w:rsid w:val="00734777"/>
    <w:rsid w:val="00747932"/>
    <w:rsid w:val="00751A4A"/>
    <w:rsid w:val="00756632"/>
    <w:rsid w:val="00757904"/>
    <w:rsid w:val="00762C74"/>
    <w:rsid w:val="00786EC0"/>
    <w:rsid w:val="007D1690"/>
    <w:rsid w:val="007D6153"/>
    <w:rsid w:val="007E22AD"/>
    <w:rsid w:val="00817416"/>
    <w:rsid w:val="0082317C"/>
    <w:rsid w:val="00842779"/>
    <w:rsid w:val="00865F67"/>
    <w:rsid w:val="00881A7B"/>
    <w:rsid w:val="008836A7"/>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C43"/>
    <w:rsid w:val="00C54142"/>
    <w:rsid w:val="00C61C0C"/>
    <w:rsid w:val="00C941CB"/>
    <w:rsid w:val="00CC2357"/>
    <w:rsid w:val="00CF071A"/>
    <w:rsid w:val="00D01094"/>
    <w:rsid w:val="00D028A6"/>
    <w:rsid w:val="00D058B8"/>
    <w:rsid w:val="00D56C11"/>
    <w:rsid w:val="00D834A0"/>
    <w:rsid w:val="00D872DF"/>
    <w:rsid w:val="00D91E21"/>
    <w:rsid w:val="00DA7FCD"/>
    <w:rsid w:val="00E365E1"/>
    <w:rsid w:val="00E46E51"/>
    <w:rsid w:val="00E820A4"/>
    <w:rsid w:val="00EB006A"/>
    <w:rsid w:val="00EB4772"/>
    <w:rsid w:val="00ED169E"/>
    <w:rsid w:val="00ED4235"/>
    <w:rsid w:val="00F04346"/>
    <w:rsid w:val="00F075DC"/>
    <w:rsid w:val="00F12BBA"/>
    <w:rsid w:val="00F149E9"/>
    <w:rsid w:val="00F276F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861BC"/>
  <w15:chartTrackingRefBased/>
  <w15:docId w15:val="{D0C2078D-1CA1-4977-9A78-25423BC33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012FE"/>
    <w:pPr>
      <w:spacing w:after="120"/>
    </w:pPr>
  </w:style>
  <w:style w:type="paragraph" w:customStyle="1" w:styleId="NormalBold">
    <w:name w:val="NormalBold"/>
    <w:basedOn w:val="Normal"/>
    <w:link w:val="NormalBoldChar"/>
    <w:rsid w:val="002012FE"/>
    <w:rPr>
      <w:b/>
    </w:rPr>
  </w:style>
  <w:style w:type="paragraph" w:customStyle="1" w:styleId="NormalHanging12a">
    <w:name w:val="NormalHanging12a"/>
    <w:basedOn w:val="Normal"/>
    <w:link w:val="NormalHanging12aChar"/>
    <w:rsid w:val="002012FE"/>
    <w:pPr>
      <w:spacing w:after="240"/>
      <w:ind w:left="567" w:hanging="567"/>
    </w:pPr>
  </w:style>
  <w:style w:type="paragraph" w:customStyle="1" w:styleId="AmNumberTabs">
    <w:name w:val="AmNumberTabs"/>
    <w:basedOn w:val="Normal"/>
    <w:rsid w:val="002012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012FE"/>
    <w:pPr>
      <w:spacing w:before="480" w:after="240"/>
    </w:pPr>
  </w:style>
  <w:style w:type="character" w:customStyle="1" w:styleId="Normal6Char">
    <w:name w:val="Normal6 Char"/>
    <w:basedOn w:val="DefaultParagraphFont"/>
    <w:link w:val="Normal6"/>
    <w:locked/>
    <w:rsid w:val="002012FE"/>
    <w:rPr>
      <w:sz w:val="24"/>
      <w:lang w:val="pt-PT"/>
    </w:rPr>
  </w:style>
  <w:style w:type="paragraph" w:customStyle="1" w:styleId="Normal6">
    <w:name w:val="Normal6"/>
    <w:basedOn w:val="Normal"/>
    <w:link w:val="Normal6Char"/>
    <w:rsid w:val="002012FE"/>
    <w:pPr>
      <w:spacing w:after="120"/>
    </w:pPr>
  </w:style>
  <w:style w:type="character" w:customStyle="1" w:styleId="NormalBoldChar">
    <w:name w:val="NormalBold Char"/>
    <w:basedOn w:val="DefaultParagraphFont"/>
    <w:link w:val="NormalBold"/>
    <w:locked/>
    <w:rsid w:val="002012FE"/>
    <w:rPr>
      <w:b/>
      <w:sz w:val="24"/>
      <w:lang w:val="pt-PT"/>
    </w:rPr>
  </w:style>
  <w:style w:type="paragraph" w:customStyle="1" w:styleId="ColumnHeading">
    <w:name w:val="ColumnHeading"/>
    <w:basedOn w:val="Normal"/>
    <w:rsid w:val="002012FE"/>
    <w:pPr>
      <w:spacing w:after="240"/>
      <w:jc w:val="center"/>
    </w:pPr>
    <w:rPr>
      <w:i/>
    </w:rPr>
  </w:style>
  <w:style w:type="character" w:customStyle="1" w:styleId="content">
    <w:name w:val="content"/>
    <w:basedOn w:val="DefaultParagraphFont"/>
    <w:rsid w:val="002012FE"/>
  </w:style>
  <w:style w:type="paragraph" w:customStyle="1" w:styleId="Point1">
    <w:name w:val="Point 1"/>
    <w:basedOn w:val="Normal"/>
    <w:rsid w:val="002012FE"/>
    <w:pPr>
      <w:widowControl/>
      <w:spacing w:before="120" w:after="120"/>
      <w:ind w:left="1417" w:hanging="567"/>
      <w:jc w:val="both"/>
    </w:pPr>
    <w:rPr>
      <w:rFonts w:eastAsiaTheme="minorHAnsi"/>
      <w:szCs w:val="22"/>
      <w:lang w:eastAsia="en-US"/>
    </w:rPr>
  </w:style>
  <w:style w:type="character" w:styleId="CommentReference">
    <w:name w:val="annotation reference"/>
    <w:basedOn w:val="DefaultParagraphFont"/>
    <w:rsid w:val="00437677"/>
    <w:rPr>
      <w:sz w:val="16"/>
      <w:szCs w:val="16"/>
    </w:rPr>
  </w:style>
  <w:style w:type="paragraph" w:styleId="CommentText">
    <w:name w:val="annotation text"/>
    <w:basedOn w:val="Normal"/>
    <w:link w:val="CommentTextChar"/>
    <w:rsid w:val="00437677"/>
    <w:rPr>
      <w:sz w:val="20"/>
    </w:rPr>
  </w:style>
  <w:style w:type="character" w:customStyle="1" w:styleId="CommentTextChar">
    <w:name w:val="Comment Text Char"/>
    <w:basedOn w:val="DefaultParagraphFont"/>
    <w:link w:val="CommentText"/>
    <w:rsid w:val="00437677"/>
    <w:rPr>
      <w:lang w:val="pt-PT"/>
    </w:rPr>
  </w:style>
  <w:style w:type="paragraph" w:styleId="CommentSubject">
    <w:name w:val="annotation subject"/>
    <w:basedOn w:val="CommentText"/>
    <w:next w:val="CommentText"/>
    <w:link w:val="CommentSubjectChar"/>
    <w:rsid w:val="00437677"/>
    <w:rPr>
      <w:b/>
      <w:bCs/>
    </w:rPr>
  </w:style>
  <w:style w:type="character" w:customStyle="1" w:styleId="CommentSubjectChar">
    <w:name w:val="Comment Subject Char"/>
    <w:basedOn w:val="CommentTextChar"/>
    <w:link w:val="CommentSubject"/>
    <w:rsid w:val="00437677"/>
    <w:rPr>
      <w:b/>
      <w:bCs/>
      <w:lang w:val="pt-PT"/>
    </w:rPr>
  </w:style>
  <w:style w:type="paragraph" w:styleId="BalloonText">
    <w:name w:val="Balloon Text"/>
    <w:basedOn w:val="Normal"/>
    <w:link w:val="BalloonTextChar"/>
    <w:rsid w:val="00437677"/>
    <w:rPr>
      <w:rFonts w:ascii="Segoe UI" w:hAnsi="Segoe UI" w:cs="Segoe UI"/>
      <w:sz w:val="18"/>
      <w:szCs w:val="18"/>
    </w:rPr>
  </w:style>
  <w:style w:type="character" w:customStyle="1" w:styleId="BalloonTextChar">
    <w:name w:val="Balloon Text Char"/>
    <w:basedOn w:val="DefaultParagraphFont"/>
    <w:link w:val="BalloonText"/>
    <w:rsid w:val="00437677"/>
    <w:rPr>
      <w:rFonts w:ascii="Segoe UI" w:hAnsi="Segoe UI" w:cs="Segoe UI"/>
      <w:sz w:val="18"/>
      <w:szCs w:val="18"/>
      <w:lang w:val="pt-PT"/>
    </w:rPr>
  </w:style>
  <w:style w:type="character" w:styleId="Hyperlink">
    <w:name w:val="Hyperlink"/>
    <w:basedOn w:val="DefaultParagraphFont"/>
    <w:rsid w:val="00437677"/>
    <w:rPr>
      <w:color w:val="0563C1" w:themeColor="hyperlink"/>
      <w:u w:val="single"/>
    </w:rPr>
  </w:style>
  <w:style w:type="character" w:customStyle="1" w:styleId="NormalHanging12aChar">
    <w:name w:val="NormalHanging12a Char"/>
    <w:basedOn w:val="DefaultParagraphFont"/>
    <w:link w:val="NormalHanging12a"/>
    <w:locked/>
    <w:rsid w:val="00577C63"/>
    <w:rPr>
      <w:sz w:val="24"/>
      <w:lang w:val="pt-PT"/>
    </w:rPr>
  </w:style>
  <w:style w:type="paragraph" w:customStyle="1" w:styleId="FootnoteTextForceStyle">
    <w:name w:val="Footnote Text ForceStyle"/>
    <w:rsid w:val="00D028A6"/>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B2AA8-55A8-4688-9880-8DB93F13A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2403</Words>
  <Characters>13465</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GOROPECNIK Tina</cp:lastModifiedBy>
  <cp:revision>2</cp:revision>
  <cp:lastPrinted>2004-11-19T15:42:00Z</cp:lastPrinted>
  <dcterms:created xsi:type="dcterms:W3CDTF">2024-12-19T10:05:00Z</dcterms:created>
  <dcterms:modified xsi:type="dcterms:W3CDTF">2024-12-19T10:05:00Z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A9-0006/2024</vt:lpwstr>
  </property>
  <property fmtid="{D5CDD505-2E9C-101B-9397-08002B2CF9AE}" pid="4" name="&lt;Type&gt;">
    <vt:lpwstr>RR</vt:lpwstr>
  </property>
</Properties>
</file>