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0828" w:rsidTr="0010095E">
        <w:trPr>
          <w:trHeight w:hRule="exact" w:val="1418"/>
        </w:trPr>
        <w:tc>
          <w:tcPr>
            <w:tcW w:w="6804" w:type="dxa"/>
            <w:shd w:val="clear" w:color="auto" w:fill="auto"/>
            <w:vAlign w:val="center"/>
          </w:tcPr>
          <w:p w:rsidR="00751A4A" w:rsidRPr="00E30828" w:rsidRDefault="006425CC" w:rsidP="0010095E">
            <w:pPr>
              <w:pStyle w:val="EPName"/>
            </w:pPr>
            <w:r w:rsidRPr="00E30828">
              <w:t>Parlamentul European</w:t>
            </w:r>
          </w:p>
          <w:p w:rsidR="00751A4A" w:rsidRPr="00E30828" w:rsidRDefault="00817416" w:rsidP="00756632">
            <w:pPr>
              <w:pStyle w:val="EPTerm"/>
              <w:rPr>
                <w:rStyle w:val="HideTWBExt"/>
                <w:noProof w:val="0"/>
                <w:vanish w:val="0"/>
                <w:color w:val="auto"/>
              </w:rPr>
            </w:pPr>
            <w:r w:rsidRPr="00E30828">
              <w:t>2019-2024</w:t>
            </w:r>
          </w:p>
        </w:tc>
        <w:tc>
          <w:tcPr>
            <w:tcW w:w="2268" w:type="dxa"/>
            <w:shd w:val="clear" w:color="auto" w:fill="auto"/>
          </w:tcPr>
          <w:p w:rsidR="00751A4A" w:rsidRPr="00E30828" w:rsidRDefault="00187494" w:rsidP="0010095E">
            <w:pPr>
              <w:pStyle w:val="EPLogo"/>
            </w:pPr>
            <w:r w:rsidRPr="00E3082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0828" w:rsidRDefault="00D058B8" w:rsidP="004C5D52">
      <w:pPr>
        <w:pStyle w:val="LineTop"/>
      </w:pPr>
    </w:p>
    <w:p w:rsidR="00680577" w:rsidRPr="00E30828" w:rsidRDefault="006425CC" w:rsidP="00680577">
      <w:pPr>
        <w:pStyle w:val="EPBodyTA1"/>
      </w:pPr>
      <w:r w:rsidRPr="00E30828">
        <w:t>TEXTE ADOPTATE</w:t>
      </w:r>
    </w:p>
    <w:p w:rsidR="00D058B8" w:rsidRPr="00E30828" w:rsidRDefault="00D058B8" w:rsidP="00D058B8">
      <w:pPr>
        <w:pStyle w:val="LineBottom"/>
      </w:pPr>
    </w:p>
    <w:p w:rsidR="006425CC" w:rsidRPr="00E30828" w:rsidRDefault="006425CC" w:rsidP="006425CC">
      <w:pPr>
        <w:pStyle w:val="ATHeading1"/>
      </w:pPr>
      <w:bookmarkStart w:id="0" w:name="TANumber"/>
      <w:r w:rsidRPr="00E30828">
        <w:t>P9_TA(2024)0</w:t>
      </w:r>
      <w:bookmarkEnd w:id="0"/>
      <w:r w:rsidR="00E30828" w:rsidRPr="00E30828">
        <w:t>142</w:t>
      </w:r>
    </w:p>
    <w:p w:rsidR="006425CC" w:rsidRPr="00E30828" w:rsidRDefault="006425CC" w:rsidP="006425CC">
      <w:pPr>
        <w:pStyle w:val="ATHeading2"/>
      </w:pPr>
      <w:bookmarkStart w:id="1" w:name="title"/>
      <w:r w:rsidRPr="00E30828">
        <w:t>Utilizarea Sistemului de informare al pieței interne și a portalului digital unic în scopul îndeplinirii anumitor cerințe prevăzute în Directiva privind asociațiile transfrontaliere europene</w:t>
      </w:r>
      <w:bookmarkEnd w:id="1"/>
    </w:p>
    <w:p w:rsidR="006425CC" w:rsidRPr="00E30828" w:rsidRDefault="006425CC" w:rsidP="006425CC">
      <w:pPr>
        <w:rPr>
          <w:i/>
          <w:vanish/>
        </w:rPr>
      </w:pPr>
      <w:r w:rsidRPr="00E30828">
        <w:rPr>
          <w:i/>
        </w:rPr>
        <w:fldChar w:fldCharType="begin"/>
      </w:r>
      <w:r w:rsidRPr="00E30828">
        <w:rPr>
          <w:i/>
        </w:rPr>
        <w:instrText xml:space="preserve"> TC"(</w:instrText>
      </w:r>
      <w:bookmarkStart w:id="2" w:name="DocNumber"/>
      <w:r w:rsidRPr="00E30828">
        <w:rPr>
          <w:i/>
        </w:rPr>
        <w:instrText>A9-0006/2024</w:instrText>
      </w:r>
      <w:bookmarkEnd w:id="2"/>
      <w:r w:rsidRPr="00E30828">
        <w:rPr>
          <w:i/>
        </w:rPr>
        <w:instrText xml:space="preserve"> - Raportoare: Anne-Sophie Pelletier)"\l3 \n&gt; \* MERGEFORMAT </w:instrText>
      </w:r>
      <w:r w:rsidRPr="00E30828">
        <w:rPr>
          <w:i/>
        </w:rPr>
        <w:fldChar w:fldCharType="end"/>
      </w:r>
    </w:p>
    <w:p w:rsidR="006425CC" w:rsidRPr="00E30828" w:rsidRDefault="006425CC" w:rsidP="006425CC">
      <w:pPr>
        <w:rPr>
          <w:vanish/>
        </w:rPr>
      </w:pPr>
      <w:bookmarkStart w:id="3" w:name="Commission"/>
      <w:r w:rsidRPr="00E30828">
        <w:rPr>
          <w:vanish/>
        </w:rPr>
        <w:t>Comisia pentru piața internă și protecția consumatorilor</w:t>
      </w:r>
      <w:bookmarkEnd w:id="3"/>
    </w:p>
    <w:p w:rsidR="006425CC" w:rsidRPr="00E30828" w:rsidRDefault="006425CC" w:rsidP="006425CC">
      <w:pPr>
        <w:rPr>
          <w:vanish/>
        </w:rPr>
      </w:pPr>
      <w:bookmarkStart w:id="4" w:name="PE"/>
      <w:r w:rsidRPr="00E30828">
        <w:rPr>
          <w:vanish/>
        </w:rPr>
        <w:t>PE756.195</w:t>
      </w:r>
      <w:bookmarkEnd w:id="4"/>
    </w:p>
    <w:p w:rsidR="006425CC" w:rsidRPr="00E30828" w:rsidRDefault="006425CC" w:rsidP="006425CC">
      <w:pPr>
        <w:pStyle w:val="ATHeading3"/>
      </w:pPr>
      <w:bookmarkStart w:id="5" w:name="Sujet"/>
      <w:r w:rsidRPr="00E30828">
        <w:t xml:space="preserve">Rezoluția legislativă a Parlamentului European din </w:t>
      </w:r>
      <w:r w:rsidR="0001670D" w:rsidRPr="00E30828">
        <w:t xml:space="preserve">13 </w:t>
      </w:r>
      <w:r w:rsidRPr="00E30828">
        <w:t>martie 2024 referitoare la propunerea de regulament al Parlamentului European și al Consiliului de modificare a Regulamentelor (UE) nr. 1024/2012 și (UE) 2018/1724 în ceea ce privește utilizarea Sistemului de informare al pieței interne și a portalului digital unic în scopul îndeplinirii anumitor cerințe prevăzute în Directiva (UE) .../... a Parlamentului European și a Consiliului privind asociațiile transfrontaliere europene (</w:t>
      </w:r>
      <w:proofErr w:type="spellStart"/>
      <w:r w:rsidRPr="00E30828">
        <w:t>COM</w:t>
      </w:r>
      <w:proofErr w:type="spellEnd"/>
      <w:r w:rsidRPr="00E30828">
        <w:t>(2023)</w:t>
      </w:r>
      <w:r w:rsidR="003E2B54">
        <w:t>0</w:t>
      </w:r>
      <w:r w:rsidRPr="00E30828">
        <w:t>516)</w:t>
      </w:r>
      <w:bookmarkEnd w:id="5"/>
      <w:r w:rsidRPr="00E30828">
        <w:t xml:space="preserve"> </w:t>
      </w:r>
      <w:bookmarkStart w:id="6" w:name="References"/>
      <w:r w:rsidRPr="00E30828">
        <w:t>(</w:t>
      </w:r>
      <w:proofErr w:type="spellStart"/>
      <w:r w:rsidRPr="00E30828">
        <w:t>COM</w:t>
      </w:r>
      <w:proofErr w:type="spellEnd"/>
      <w:r w:rsidRPr="00E30828">
        <w:t xml:space="preserve">(2023)0515 – </w:t>
      </w:r>
      <w:proofErr w:type="spellStart"/>
      <w:r w:rsidRPr="00E30828">
        <w:t>C9</w:t>
      </w:r>
      <w:proofErr w:type="spellEnd"/>
      <w:r w:rsidRPr="00E30828">
        <w:t>-0327/2023 – 2023/0314(COD))</w:t>
      </w:r>
      <w:bookmarkEnd w:id="6"/>
    </w:p>
    <w:p w:rsidR="00F20357" w:rsidRPr="00E30828" w:rsidRDefault="00F20357" w:rsidP="00FA7101">
      <w:pPr>
        <w:pStyle w:val="NormalBold"/>
        <w:spacing w:before="240"/>
      </w:pPr>
      <w:bookmarkStart w:id="7" w:name="TextBodyBegin"/>
      <w:bookmarkEnd w:id="7"/>
      <w:r w:rsidRPr="00E30828">
        <w:t>(Procedura legislativă ordinară: prima lectură)</w:t>
      </w:r>
    </w:p>
    <w:p w:rsidR="00F20357" w:rsidRPr="00E30828" w:rsidRDefault="00F20357" w:rsidP="00F20357">
      <w:pPr>
        <w:pStyle w:val="EPComma"/>
      </w:pPr>
      <w:r w:rsidRPr="00E30828">
        <w:rPr>
          <w:i/>
          <w:iCs/>
        </w:rPr>
        <w:t>Parlamentul European</w:t>
      </w:r>
      <w:r w:rsidRPr="00E30828">
        <w:t>,</w:t>
      </w:r>
    </w:p>
    <w:p w:rsidR="00F20357" w:rsidRPr="00E30828" w:rsidRDefault="00F20357" w:rsidP="00F20357">
      <w:pPr>
        <w:pStyle w:val="NormalHanging12a"/>
      </w:pPr>
      <w:r w:rsidRPr="00E30828">
        <w:t>–</w:t>
      </w:r>
      <w:r w:rsidRPr="00E30828">
        <w:tab/>
        <w:t>având în vedere propunerea Comisiei prezentată Parlamentului European și Consiliului (COM(2023)0515),</w:t>
      </w:r>
    </w:p>
    <w:p w:rsidR="00F20357" w:rsidRPr="00E30828" w:rsidRDefault="00F20357" w:rsidP="00F20357">
      <w:pPr>
        <w:pStyle w:val="NormalHanging12a"/>
      </w:pPr>
      <w:r w:rsidRPr="00E30828">
        <w:t>–</w:t>
      </w:r>
      <w:r w:rsidRPr="00E30828">
        <w:tab/>
        <w:t>având în vedere articolul 294 alineatul (2)</w:t>
      </w:r>
      <w:r w:rsidR="0001670D" w:rsidRPr="00E30828">
        <w:t xml:space="preserve"> și</w:t>
      </w:r>
      <w:r w:rsidRPr="00E30828">
        <w:t xml:space="preserve"> articol</w:t>
      </w:r>
      <w:r w:rsidR="0001670D" w:rsidRPr="00E30828">
        <w:t>e</w:t>
      </w:r>
      <w:r w:rsidRPr="00E30828">
        <w:t>l</w:t>
      </w:r>
      <w:r w:rsidR="0001670D" w:rsidRPr="00E30828">
        <w:t>e</w:t>
      </w:r>
      <w:r w:rsidRPr="00E30828">
        <w:t xml:space="preserve"> 21 alineatul (2) și 114 din Tratatul privind funcționarea Uniunii Europene, în temeiul cărora propunerea a fost prezentată de către Comisie (C9</w:t>
      </w:r>
      <w:r w:rsidRPr="00E30828">
        <w:noBreakHyphen/>
        <w:t>0327/2023),</w:t>
      </w:r>
    </w:p>
    <w:p w:rsidR="00F20357" w:rsidRPr="00E30828" w:rsidRDefault="00F20357" w:rsidP="00F20357">
      <w:pPr>
        <w:pStyle w:val="NormalHanging12a"/>
      </w:pPr>
      <w:r w:rsidRPr="00E30828">
        <w:t>–</w:t>
      </w:r>
      <w:r w:rsidRPr="00E30828">
        <w:tab/>
        <w:t>având în vedere articolul 294 alineatul (3) din Tratatul privind funcționarea Uniunii Europene,</w:t>
      </w:r>
    </w:p>
    <w:p w:rsidR="0001670D" w:rsidRPr="00E30828" w:rsidRDefault="0001670D" w:rsidP="00F20357">
      <w:pPr>
        <w:pStyle w:val="NormalHanging12a"/>
      </w:pPr>
      <w:r w:rsidRPr="00E30828">
        <w:t>–</w:t>
      </w:r>
      <w:r w:rsidRPr="00E30828">
        <w:tab/>
        <w:t>având în vedere avizul Comitetului Economic și Social European din 17 ianuarie 2024</w:t>
      </w:r>
      <w:r w:rsidRPr="00E30828">
        <w:rPr>
          <w:rStyle w:val="FootnoteReference"/>
        </w:rPr>
        <w:footnoteReference w:id="1"/>
      </w:r>
      <w:r w:rsidRPr="00E30828">
        <w:t>,</w:t>
      </w:r>
    </w:p>
    <w:p w:rsidR="00F20357" w:rsidRPr="00E30828" w:rsidRDefault="00F20357" w:rsidP="00F20357">
      <w:pPr>
        <w:pStyle w:val="NormalHanging12a"/>
      </w:pPr>
      <w:r w:rsidRPr="00E30828">
        <w:t>–</w:t>
      </w:r>
      <w:r w:rsidRPr="00E30828">
        <w:tab/>
        <w:t>având în vedere articolul 59 din Regulamentul său de procedură,</w:t>
      </w:r>
    </w:p>
    <w:p w:rsidR="00F20357" w:rsidRPr="00E30828" w:rsidRDefault="00F20357" w:rsidP="00F20357">
      <w:pPr>
        <w:pStyle w:val="NormalHanging12a"/>
      </w:pPr>
      <w:r w:rsidRPr="00E30828">
        <w:t>–</w:t>
      </w:r>
      <w:r w:rsidRPr="00E30828">
        <w:tab/>
        <w:t>având în vedere avizul Comisiei pentru afaceri juridice,</w:t>
      </w:r>
    </w:p>
    <w:p w:rsidR="00F20357" w:rsidRPr="00E30828" w:rsidRDefault="00F20357" w:rsidP="00F20357">
      <w:pPr>
        <w:pStyle w:val="NormalHanging12a"/>
      </w:pPr>
      <w:r w:rsidRPr="00E30828">
        <w:t>–</w:t>
      </w:r>
      <w:r w:rsidRPr="00E30828">
        <w:tab/>
        <w:t>având în vedere raportul Comisiei pentru piața internă și protecția consumatorilor (A9-0006/2024),</w:t>
      </w:r>
    </w:p>
    <w:p w:rsidR="00F20357" w:rsidRPr="00E30828" w:rsidRDefault="00F20357" w:rsidP="00F20357">
      <w:pPr>
        <w:pStyle w:val="NormalHanging12a"/>
      </w:pPr>
      <w:r w:rsidRPr="00E30828">
        <w:lastRenderedPageBreak/>
        <w:t>1.</w:t>
      </w:r>
      <w:r w:rsidRPr="00E30828">
        <w:tab/>
        <w:t>adoptă poziția sa în primă lectură prezentată în continuare;</w:t>
      </w:r>
    </w:p>
    <w:p w:rsidR="00F20357" w:rsidRPr="00E30828" w:rsidRDefault="00F20357" w:rsidP="00F20357">
      <w:pPr>
        <w:pStyle w:val="NormalHanging12a"/>
      </w:pPr>
      <w:r w:rsidRPr="00E30828">
        <w:t>2</w:t>
      </w:r>
      <w:r w:rsidR="003E2B54">
        <w:t>.</w:t>
      </w:r>
      <w:r w:rsidRPr="00E30828">
        <w:tab/>
        <w:t>solicită Comisiei să îl sesizeze din nou în cazul în care își înlocuiește, își modifică în mod substanțial sau intenționează să-și modifice în mod substanțial propunerea;</w:t>
      </w:r>
    </w:p>
    <w:p w:rsidR="00FA7101" w:rsidRDefault="00F20357" w:rsidP="00FA7101">
      <w:pPr>
        <w:widowControl/>
        <w:spacing w:after="240"/>
        <w:ind w:left="567" w:hanging="567"/>
      </w:pPr>
      <w:r w:rsidRPr="00E30828">
        <w:t>3.</w:t>
      </w:r>
      <w:r w:rsidRPr="00E30828">
        <w:tab/>
        <w:t>încredințează Președintei sarcina de a transmite Consiliului și Comisiei, precum și parlamentelor naționale poziția Parlamentului.</w:t>
      </w:r>
    </w:p>
    <w:p w:rsidR="00FA7101" w:rsidRDefault="00FA7101" w:rsidP="00FA7101">
      <w:pPr>
        <w:widowControl/>
        <w:spacing w:after="240"/>
        <w:ind w:left="567" w:hanging="567"/>
        <w:sectPr w:rsidR="00FA7101">
          <w:footerReference w:type="even" r:id="rId9"/>
          <w:footerReference w:type="first" r:id="rId10"/>
          <w:footnotePr>
            <w:numRestart w:val="eachSect"/>
          </w:footnotePr>
          <w:pgSz w:w="11909" w:h="16834"/>
          <w:pgMar w:top="1134" w:right="1417" w:bottom="1417" w:left="1417" w:header="1134" w:footer="567" w:gutter="0"/>
          <w:cols w:space="720"/>
        </w:sectPr>
      </w:pPr>
    </w:p>
    <w:p w:rsidR="00FA7101" w:rsidRPr="000D1053" w:rsidRDefault="00FA7101" w:rsidP="00FA7101">
      <w:pPr>
        <w:widowControl/>
        <w:spacing w:after="240"/>
      </w:pPr>
      <w:r w:rsidRPr="000D1053">
        <w:rPr>
          <w:b/>
          <w:bCs/>
          <w:color w:val="000000"/>
        </w:rPr>
        <w:lastRenderedPageBreak/>
        <w:t>P9_TC1-COD(2023)0314</w:t>
      </w:r>
    </w:p>
    <w:p w:rsidR="00E011BD" w:rsidRPr="00E011BD" w:rsidRDefault="00FA7101" w:rsidP="00FA7101">
      <w:pPr>
        <w:pStyle w:val="NormalHanging12a"/>
        <w:ind w:left="0" w:firstLine="0"/>
        <w:rPr>
          <w:b/>
          <w:szCs w:val="24"/>
          <w:lang w:eastAsia="en-US"/>
        </w:rPr>
      </w:pPr>
      <w:r w:rsidRPr="00A05278">
        <w:rPr>
          <w:b/>
        </w:rPr>
        <w:t>Poziția Parlamentului European ado</w:t>
      </w:r>
      <w:r>
        <w:rPr>
          <w:b/>
        </w:rPr>
        <w:t>ptată în primă lectură la 13 martie 2024</w:t>
      </w:r>
      <w:r w:rsidRPr="00A05278">
        <w:rPr>
          <w:b/>
        </w:rPr>
        <w:t xml:space="preserve"> în vederea a</w:t>
      </w:r>
      <w:r>
        <w:rPr>
          <w:b/>
        </w:rPr>
        <w:t>doptării Regulamentului (UE) 2024</w:t>
      </w:r>
      <w:r w:rsidRPr="00A05278">
        <w:rPr>
          <w:b/>
        </w:rPr>
        <w:t xml:space="preserve">/... al Parlamentului European și al Consiliului </w:t>
      </w:r>
      <w:r>
        <w:rPr>
          <w:b/>
          <w:szCs w:val="24"/>
          <w:lang w:eastAsia="en-US"/>
        </w:rPr>
        <w:t>d</w:t>
      </w:r>
      <w:r w:rsidR="00E011BD" w:rsidRPr="00E011BD">
        <w:rPr>
          <w:b/>
          <w:szCs w:val="24"/>
          <w:lang w:eastAsia="en-US"/>
        </w:rPr>
        <w:t>e modificare a Regulamentelor (UE) nr. 1024/2012 și (UE) 2018/1724 în ceea ce privește utilizarea Sistemului de informare al pieței interne și a portalului digital unic în scopul îndeplinirii anumitor cerințe prevăzute în Directiva (UE) .../... a Parlamentului European și a Consiliului privind asociaț</w:t>
      </w:r>
      <w:r>
        <w:rPr>
          <w:b/>
          <w:szCs w:val="24"/>
          <w:lang w:eastAsia="en-US"/>
        </w:rPr>
        <w:t>iile transfrontaliere europene (</w:t>
      </w:r>
      <w:proofErr w:type="spellStart"/>
      <w:r w:rsidR="00E011BD" w:rsidRPr="00E011BD">
        <w:rPr>
          <w:b/>
          <w:szCs w:val="24"/>
          <w:lang w:eastAsia="en-US"/>
        </w:rPr>
        <w:t>COM</w:t>
      </w:r>
      <w:proofErr w:type="spellEnd"/>
      <w:r w:rsidR="00E011BD" w:rsidRPr="00E011BD">
        <w:rPr>
          <w:b/>
          <w:szCs w:val="24"/>
          <w:lang w:eastAsia="en-US"/>
        </w:rPr>
        <w:t>(2023)</w:t>
      </w:r>
      <w:r w:rsidR="003E2B54">
        <w:rPr>
          <w:b/>
          <w:szCs w:val="24"/>
          <w:lang w:eastAsia="en-US"/>
        </w:rPr>
        <w:t>0516</w:t>
      </w:r>
      <w:r>
        <w:rPr>
          <w:b/>
          <w:szCs w:val="24"/>
          <w:lang w:eastAsia="en-US"/>
        </w:rPr>
        <w:t>)</w:t>
      </w:r>
      <w:r w:rsidR="00E011BD" w:rsidRPr="00E011BD">
        <w:rPr>
          <w:b/>
          <w:szCs w:val="24"/>
          <w:lang w:eastAsia="en-US"/>
        </w:rPr>
        <w:t xml:space="preserve"> </w:t>
      </w:r>
    </w:p>
    <w:p w:rsidR="00FA7101" w:rsidRPr="00EF2F12" w:rsidRDefault="00FA7101" w:rsidP="00FA7101">
      <w:pPr>
        <w:widowControl/>
        <w:spacing w:before="360" w:after="240" w:line="360" w:lineRule="auto"/>
        <w:jc w:val="center"/>
        <w:rPr>
          <w:szCs w:val="24"/>
          <w:lang w:eastAsia="en-US"/>
        </w:rPr>
      </w:pPr>
      <w:r w:rsidRPr="00EF2F12">
        <w:rPr>
          <w:szCs w:val="24"/>
          <w:lang w:eastAsia="en-US"/>
        </w:rPr>
        <w:t xml:space="preserve">(Text cu relevanță pentru </w:t>
      </w:r>
      <w:proofErr w:type="spellStart"/>
      <w:r w:rsidRPr="00EF2F12">
        <w:rPr>
          <w:szCs w:val="24"/>
          <w:lang w:eastAsia="en-US"/>
        </w:rPr>
        <w:t>SEE</w:t>
      </w:r>
      <w:proofErr w:type="spellEnd"/>
      <w:r w:rsidRPr="00EF2F12">
        <w:rPr>
          <w:szCs w:val="24"/>
          <w:lang w:eastAsia="en-US"/>
        </w:rPr>
        <w:t>)</w:t>
      </w:r>
    </w:p>
    <w:p w:rsidR="00E011BD" w:rsidRPr="00E011BD" w:rsidRDefault="00E011BD" w:rsidP="00E011BD">
      <w:pPr>
        <w:keepNext/>
        <w:spacing w:before="600" w:after="120" w:line="360" w:lineRule="auto"/>
        <w:rPr>
          <w:szCs w:val="24"/>
          <w:lang w:eastAsia="en-US"/>
        </w:rPr>
      </w:pPr>
      <w:r w:rsidRPr="00E011BD">
        <w:rPr>
          <w:szCs w:val="24"/>
          <w:lang w:eastAsia="en-US"/>
        </w:rPr>
        <w:t>PARLAMENTUL EUROPEAN ȘI CONSILIUL UNIUNII EUROPENE,</w:t>
      </w:r>
    </w:p>
    <w:p w:rsidR="00E011BD" w:rsidRPr="00E011BD" w:rsidRDefault="00E011BD" w:rsidP="00E011BD">
      <w:pPr>
        <w:spacing w:before="120" w:after="120" w:line="360" w:lineRule="auto"/>
        <w:rPr>
          <w:lang w:eastAsia="en-US"/>
        </w:rPr>
      </w:pPr>
      <w:r w:rsidRPr="00E011BD">
        <w:rPr>
          <w:lang w:eastAsia="en-US"/>
        </w:rPr>
        <w:t>având în vedere Tratatul privind funcționarea Uniunii Europene, în special articolul 21 alineatul (2) și articolul 114,</w:t>
      </w:r>
    </w:p>
    <w:p w:rsidR="00E011BD" w:rsidRPr="00E011BD" w:rsidRDefault="00E011BD" w:rsidP="00E011BD">
      <w:pPr>
        <w:spacing w:before="120" w:after="120" w:line="360" w:lineRule="auto"/>
        <w:rPr>
          <w:lang w:eastAsia="en-US"/>
        </w:rPr>
      </w:pPr>
      <w:r w:rsidRPr="00E011BD">
        <w:rPr>
          <w:lang w:eastAsia="en-US"/>
        </w:rPr>
        <w:t>având în vedere propunerea Comisiei Europene,</w:t>
      </w:r>
    </w:p>
    <w:p w:rsidR="00E011BD" w:rsidRPr="00E011BD" w:rsidRDefault="00E011BD" w:rsidP="00E011BD">
      <w:pPr>
        <w:spacing w:before="120" w:after="120" w:line="360" w:lineRule="auto"/>
        <w:rPr>
          <w:lang w:eastAsia="en-US"/>
        </w:rPr>
      </w:pPr>
      <w:r w:rsidRPr="00E011BD">
        <w:rPr>
          <w:lang w:eastAsia="en-US"/>
        </w:rPr>
        <w:t>după transmiterea proiectului de act legislativ parlamentelor naționale,</w:t>
      </w:r>
    </w:p>
    <w:p w:rsidR="00E011BD" w:rsidRPr="00E011BD" w:rsidRDefault="00E011BD" w:rsidP="00E011BD">
      <w:pPr>
        <w:spacing w:before="120" w:after="120" w:line="360" w:lineRule="auto"/>
        <w:rPr>
          <w:lang w:eastAsia="en-US"/>
        </w:rPr>
      </w:pPr>
      <w:r w:rsidRPr="00E011BD">
        <w:rPr>
          <w:lang w:eastAsia="en-US"/>
        </w:rPr>
        <w:t>având în vedere avizul Comitetului Economic și Social European</w:t>
      </w:r>
      <w:r w:rsidRPr="00E011BD">
        <w:rPr>
          <w:vertAlign w:val="superscript"/>
          <w:lang w:eastAsia="en-US"/>
        </w:rPr>
        <w:footnoteReference w:id="2"/>
      </w:r>
      <w:r w:rsidRPr="00E011BD">
        <w:rPr>
          <w:lang w:eastAsia="en-US"/>
        </w:rPr>
        <w:t>,</w:t>
      </w:r>
    </w:p>
    <w:p w:rsidR="00E011BD" w:rsidRPr="00E011BD" w:rsidRDefault="00E011BD" w:rsidP="00E011BD">
      <w:pPr>
        <w:spacing w:before="120" w:after="120" w:line="360" w:lineRule="auto"/>
        <w:rPr>
          <w:lang w:eastAsia="en-US"/>
        </w:rPr>
      </w:pPr>
      <w:r w:rsidRPr="00E011BD">
        <w:rPr>
          <w:lang w:eastAsia="en-US"/>
        </w:rPr>
        <w:t>hotărând în conformitate cu procedura legislativă ordinară,</w:t>
      </w:r>
    </w:p>
    <w:p w:rsidR="00FA7101" w:rsidRDefault="00FA7101">
      <w:pPr>
        <w:widowControl/>
        <w:rPr>
          <w:lang w:eastAsia="en-US"/>
        </w:rPr>
      </w:pPr>
      <w:r>
        <w:rPr>
          <w:lang w:eastAsia="en-US"/>
        </w:rPr>
        <w:br w:type="page"/>
      </w:r>
    </w:p>
    <w:p w:rsidR="00E011BD" w:rsidRPr="00E011BD" w:rsidRDefault="00E011BD" w:rsidP="00E011BD">
      <w:pPr>
        <w:spacing w:before="120" w:after="120" w:line="360" w:lineRule="auto"/>
        <w:rPr>
          <w:lang w:eastAsia="en-US"/>
        </w:rPr>
      </w:pPr>
      <w:r w:rsidRPr="00E011BD">
        <w:rPr>
          <w:lang w:eastAsia="en-US"/>
        </w:rPr>
        <w:lastRenderedPageBreak/>
        <w:t>întrucât:</w:t>
      </w:r>
    </w:p>
    <w:p w:rsidR="00E011BD" w:rsidRPr="00E011BD" w:rsidRDefault="00E011BD" w:rsidP="00E011BD">
      <w:pPr>
        <w:spacing w:before="120" w:after="120" w:line="360" w:lineRule="auto"/>
        <w:ind w:left="850" w:hanging="850"/>
        <w:rPr>
          <w:szCs w:val="24"/>
          <w:lang w:eastAsia="en-US"/>
        </w:rPr>
      </w:pPr>
      <w:r w:rsidRPr="00E011BD">
        <w:rPr>
          <w:szCs w:val="24"/>
          <w:lang w:eastAsia="en-US"/>
        </w:rPr>
        <w:t>(1)</w:t>
      </w:r>
      <w:r w:rsidRPr="00E011BD">
        <w:rPr>
          <w:szCs w:val="24"/>
          <w:lang w:eastAsia="en-US"/>
        </w:rPr>
        <w:tab/>
        <w:t>Directiva (UE) a Parlamentului European și a Consiliului privind asociațiile transfrontaliere europene [</w:t>
      </w:r>
      <w:proofErr w:type="spellStart"/>
      <w:r w:rsidRPr="00E011BD">
        <w:rPr>
          <w:szCs w:val="24"/>
          <w:lang w:eastAsia="en-US"/>
        </w:rPr>
        <w:t>COM</w:t>
      </w:r>
      <w:proofErr w:type="spellEnd"/>
      <w:r w:rsidRPr="00E011BD">
        <w:rPr>
          <w:szCs w:val="24"/>
          <w:lang w:eastAsia="en-US"/>
        </w:rPr>
        <w:t>(2023)516]</w:t>
      </w:r>
      <w:r w:rsidRPr="00E011BD">
        <w:rPr>
          <w:szCs w:val="24"/>
          <w:vertAlign w:val="superscript"/>
          <w:lang w:eastAsia="en-US"/>
        </w:rPr>
        <w:footnoteReference w:id="3"/>
      </w:r>
      <w:r w:rsidRPr="00E011BD">
        <w:rPr>
          <w:szCs w:val="24"/>
          <w:lang w:eastAsia="en-US"/>
        </w:rPr>
        <w:t xml:space="preserve"> stabilește măsuri de coordonare a condițiilor de înființare și de funcționare a „asociațiilor transfrontaliere europene” (</w:t>
      </w:r>
      <w:proofErr w:type="spellStart"/>
      <w:r w:rsidRPr="00E011BD">
        <w:rPr>
          <w:szCs w:val="24"/>
          <w:lang w:eastAsia="en-US"/>
        </w:rPr>
        <w:t>ECBA</w:t>
      </w:r>
      <w:proofErr w:type="spellEnd"/>
      <w:r w:rsidRPr="00E011BD">
        <w:rPr>
          <w:szCs w:val="24"/>
          <w:lang w:eastAsia="en-US"/>
        </w:rPr>
        <w:t>), cu scopul de a facilita exercitarea efectivă a libertății de circulație a asociațiilor non-profit care își desfășoară activitatea pe piața internă.</w:t>
      </w:r>
    </w:p>
    <w:p w:rsidR="00E011BD" w:rsidRPr="00E011BD" w:rsidRDefault="00E011BD" w:rsidP="00E011BD">
      <w:pPr>
        <w:spacing w:before="120" w:after="120" w:line="360" w:lineRule="auto"/>
        <w:ind w:left="850" w:hanging="850"/>
        <w:rPr>
          <w:b/>
          <w:szCs w:val="24"/>
          <w:lang w:eastAsia="en-US"/>
        </w:rPr>
      </w:pPr>
      <w:r w:rsidRPr="00E011BD">
        <w:rPr>
          <w:szCs w:val="24"/>
          <w:lang w:eastAsia="en-US"/>
        </w:rPr>
        <w:t>(2)</w:t>
      </w:r>
      <w:r w:rsidRPr="00E011BD">
        <w:rPr>
          <w:szCs w:val="24"/>
          <w:lang w:eastAsia="en-US"/>
        </w:rPr>
        <w:tab/>
        <w:t xml:space="preserve">În temeiul articolului </w:t>
      </w:r>
      <w:r w:rsidRPr="00E011BD">
        <w:rPr>
          <w:strike/>
          <w:szCs w:val="24"/>
          <w:lang w:eastAsia="en-US"/>
        </w:rPr>
        <w:t>30</w:t>
      </w:r>
      <w:r w:rsidRPr="00E011BD">
        <w:rPr>
          <w:b/>
          <w:i/>
          <w:szCs w:val="24"/>
          <w:lang w:eastAsia="en-US"/>
        </w:rPr>
        <w:t>28</w:t>
      </w:r>
      <w:r w:rsidRPr="00E011BD">
        <w:rPr>
          <w:szCs w:val="24"/>
          <w:lang w:eastAsia="en-US"/>
        </w:rPr>
        <w:t xml:space="preserve"> alineatul (2) din Directiva </w:t>
      </w:r>
      <w:proofErr w:type="spellStart"/>
      <w:r w:rsidRPr="00E011BD">
        <w:rPr>
          <w:szCs w:val="24"/>
          <w:lang w:eastAsia="en-US"/>
        </w:rPr>
        <w:t>COM</w:t>
      </w:r>
      <w:proofErr w:type="spellEnd"/>
      <w:r w:rsidRPr="00E011BD">
        <w:rPr>
          <w:szCs w:val="24"/>
          <w:lang w:eastAsia="en-US"/>
        </w:rPr>
        <w:t xml:space="preserve">(2023)516, cooperarea administrativă și schimbul de informații între autoritățile competente ale statelor membre trebuie puse în aplicare prin intermediul Sistemului de informare al pieței interne („sistemul </w:t>
      </w:r>
      <w:proofErr w:type="spellStart"/>
      <w:r w:rsidRPr="00E011BD">
        <w:rPr>
          <w:szCs w:val="24"/>
          <w:lang w:eastAsia="en-US"/>
        </w:rPr>
        <w:t>IMI</w:t>
      </w:r>
      <w:proofErr w:type="spellEnd"/>
      <w:r w:rsidRPr="00E011BD">
        <w:rPr>
          <w:szCs w:val="24"/>
          <w:lang w:eastAsia="en-US"/>
        </w:rPr>
        <w:t>”) instituit prin Regulamentul (UE) nr. 1024/2012 al Parlamentului European și al Consiliului</w:t>
      </w:r>
      <w:r w:rsidRPr="00E011BD">
        <w:rPr>
          <w:szCs w:val="24"/>
          <w:vertAlign w:val="superscript"/>
          <w:lang w:eastAsia="en-US"/>
        </w:rPr>
        <w:footnoteReference w:id="4"/>
      </w:r>
      <w:r w:rsidRPr="00E011BD">
        <w:rPr>
          <w:szCs w:val="24"/>
          <w:lang w:eastAsia="en-US"/>
        </w:rPr>
        <w:t xml:space="preserve">. Din acest motiv, procedurile de cooperare administrativă necesare </w:t>
      </w:r>
      <w:r w:rsidRPr="00E011BD">
        <w:rPr>
          <w:b/>
          <w:i/>
          <w:szCs w:val="24"/>
          <w:lang w:eastAsia="en-US"/>
        </w:rPr>
        <w:t xml:space="preserve">și procedurile pentru schimbul de informații dintre autoritățile competente </w:t>
      </w:r>
      <w:r w:rsidRPr="00E011BD">
        <w:rPr>
          <w:szCs w:val="24"/>
          <w:lang w:eastAsia="en-US"/>
        </w:rPr>
        <w:t>ar trebui</w:t>
      </w:r>
      <w:r w:rsidRPr="00E011BD">
        <w:rPr>
          <w:b/>
          <w:i/>
          <w:szCs w:val="24"/>
          <w:lang w:eastAsia="en-US"/>
        </w:rPr>
        <w:t xml:space="preserve"> să fie</w:t>
      </w:r>
      <w:r w:rsidRPr="00E011BD">
        <w:rPr>
          <w:szCs w:val="24"/>
          <w:lang w:eastAsia="en-US"/>
        </w:rPr>
        <w:t xml:space="preserve"> stabilite în sistemul </w:t>
      </w:r>
      <w:proofErr w:type="spellStart"/>
      <w:r w:rsidRPr="00E011BD">
        <w:rPr>
          <w:szCs w:val="24"/>
          <w:lang w:eastAsia="en-US"/>
        </w:rPr>
        <w:t>IMI</w:t>
      </w:r>
      <w:proofErr w:type="spellEnd"/>
      <w:r w:rsidRPr="00E011BD">
        <w:rPr>
          <w:szCs w:val="24"/>
          <w:lang w:eastAsia="en-US"/>
        </w:rPr>
        <w:t>.</w:t>
      </w:r>
      <w:r w:rsidR="00FA7101">
        <w:rPr>
          <w:b/>
          <w:szCs w:val="24"/>
          <w:lang w:eastAsia="en-US"/>
        </w:rPr>
        <w:t xml:space="preserve"> [AM 1]</w:t>
      </w:r>
    </w:p>
    <w:p w:rsidR="00FA7101" w:rsidRDefault="00FA7101">
      <w:pPr>
        <w:widowControl/>
        <w:rPr>
          <w:szCs w:val="24"/>
          <w:lang w:eastAsia="en-US"/>
        </w:rPr>
      </w:pPr>
      <w:r>
        <w:rPr>
          <w:szCs w:val="24"/>
          <w:lang w:eastAsia="en-US"/>
        </w:rPr>
        <w:br w:type="page"/>
      </w:r>
    </w:p>
    <w:p w:rsidR="00E011BD" w:rsidRPr="00E011BD" w:rsidRDefault="00E011BD" w:rsidP="00E011BD">
      <w:pPr>
        <w:spacing w:before="120" w:after="120" w:line="360" w:lineRule="auto"/>
        <w:ind w:left="850" w:hanging="850"/>
        <w:rPr>
          <w:b/>
          <w:szCs w:val="24"/>
          <w:lang w:eastAsia="en-US"/>
        </w:rPr>
      </w:pPr>
      <w:r w:rsidRPr="00E011BD">
        <w:rPr>
          <w:szCs w:val="24"/>
          <w:lang w:eastAsia="en-US"/>
        </w:rPr>
        <w:lastRenderedPageBreak/>
        <w:t>(3)</w:t>
      </w:r>
      <w:r w:rsidRPr="00E011BD">
        <w:rPr>
          <w:szCs w:val="24"/>
          <w:lang w:eastAsia="en-US"/>
        </w:rPr>
        <w:tab/>
        <w:t>În conformitate cu articolele 2 și 3 din Regulamentul (UE) 2018/1724 al Parlamentului European și al Consiliului</w:t>
      </w:r>
      <w:r w:rsidRPr="00E011BD">
        <w:rPr>
          <w:szCs w:val="24"/>
          <w:vertAlign w:val="superscript"/>
          <w:lang w:eastAsia="en-US"/>
        </w:rPr>
        <w:footnoteReference w:id="5"/>
      </w:r>
      <w:r w:rsidRPr="00E011BD">
        <w:rPr>
          <w:szCs w:val="24"/>
          <w:lang w:eastAsia="en-US"/>
        </w:rPr>
        <w:t xml:space="preserve">, portalul digital unic oferă acces la informații, proceduri și servicii de asistență și soluționare a problemelor cetățenilor Uniunii, persoanelor fizice care își au reședința într-un stat membru și persoanelor juridice cu sediul social într-un stat membru. Partea dispozitivă și anexa I la Regulamentul (UE) 2018/1724 ar trebui modificate </w:t>
      </w:r>
      <w:r w:rsidRPr="00E011BD">
        <w:rPr>
          <w:b/>
          <w:i/>
          <w:szCs w:val="24"/>
          <w:lang w:eastAsia="en-US"/>
        </w:rPr>
        <w:t xml:space="preserve">prin prezentul regulament </w:t>
      </w:r>
      <w:r w:rsidRPr="00E011BD">
        <w:rPr>
          <w:szCs w:val="24"/>
          <w:lang w:eastAsia="en-US"/>
        </w:rPr>
        <w:t xml:space="preserve">pentru a se asigura că domeniul de aplicare nu este înțeles ca fiind limitat la cetățeni și întreprinderi și se referă la alte persoane juridice decât întreprinderile, cum ar fi </w:t>
      </w:r>
      <w:proofErr w:type="spellStart"/>
      <w:r w:rsidRPr="00E011BD">
        <w:rPr>
          <w:szCs w:val="24"/>
          <w:lang w:eastAsia="en-US"/>
        </w:rPr>
        <w:t>ECBA</w:t>
      </w:r>
      <w:proofErr w:type="spellEnd"/>
      <w:r w:rsidRPr="00E011BD">
        <w:rPr>
          <w:szCs w:val="24"/>
          <w:lang w:eastAsia="en-US"/>
        </w:rPr>
        <w:t>.</w:t>
      </w:r>
      <w:r w:rsidR="00FA7101">
        <w:rPr>
          <w:b/>
          <w:szCs w:val="24"/>
          <w:lang w:eastAsia="en-US"/>
        </w:rPr>
        <w:t xml:space="preserve"> [AM 2]</w:t>
      </w:r>
    </w:p>
    <w:p w:rsidR="00E011BD" w:rsidRPr="00E011BD" w:rsidRDefault="00E011BD" w:rsidP="00E011BD">
      <w:pPr>
        <w:spacing w:before="120" w:after="120" w:line="360" w:lineRule="auto"/>
        <w:ind w:left="850" w:hanging="850"/>
        <w:rPr>
          <w:szCs w:val="24"/>
          <w:lang w:eastAsia="en-US"/>
        </w:rPr>
      </w:pPr>
      <w:r w:rsidRPr="00E011BD">
        <w:rPr>
          <w:szCs w:val="24"/>
          <w:lang w:eastAsia="en-US"/>
        </w:rPr>
        <w:t>(4)</w:t>
      </w:r>
      <w:r w:rsidRPr="00E011BD">
        <w:rPr>
          <w:szCs w:val="24"/>
          <w:lang w:eastAsia="en-US"/>
        </w:rPr>
        <w:tab/>
        <w:t>Regulamentul (UE) 2018/1724 al Parlamentului European și al Consiliului</w:t>
      </w:r>
      <w:r w:rsidRPr="00E011BD">
        <w:rPr>
          <w:szCs w:val="24"/>
          <w:vertAlign w:val="superscript"/>
          <w:lang w:eastAsia="en-US"/>
        </w:rPr>
        <w:footnoteReference w:id="6"/>
      </w:r>
      <w:r w:rsidRPr="00E011BD">
        <w:rPr>
          <w:szCs w:val="24"/>
          <w:lang w:eastAsia="en-US"/>
        </w:rPr>
        <w:t xml:space="preserve">, care a instituit portalul digital unic, prevede norme generale privind furnizarea de informații online, de proceduri și servicii de asistență relevante pentru funcționarea pieței interne. Procedurile reglementate de prezentul regulament ar trebui să respecte cerințele Regulamentului (UE) 2018/1724, astfel încât să se asigure că orice </w:t>
      </w:r>
      <w:proofErr w:type="spellStart"/>
      <w:r w:rsidRPr="00E011BD">
        <w:rPr>
          <w:szCs w:val="24"/>
          <w:lang w:eastAsia="en-US"/>
        </w:rPr>
        <w:t>ECBA</w:t>
      </w:r>
      <w:proofErr w:type="spellEnd"/>
      <w:r w:rsidRPr="00E011BD">
        <w:rPr>
          <w:szCs w:val="24"/>
          <w:lang w:eastAsia="en-US"/>
        </w:rPr>
        <w:t xml:space="preserve"> poate beneficia de proceduri integral online și de schimbul transfrontalier automatizat de elemente justificative, în conformitate cu principiul „doar o singură dată”. Aceste proceduri includ cererea de înregistrare a unei </w:t>
      </w:r>
      <w:proofErr w:type="spellStart"/>
      <w:r w:rsidRPr="00E011BD">
        <w:rPr>
          <w:szCs w:val="24"/>
          <w:lang w:eastAsia="en-US"/>
        </w:rPr>
        <w:t>ECBA</w:t>
      </w:r>
      <w:proofErr w:type="spellEnd"/>
      <w:r w:rsidRPr="00E011BD">
        <w:rPr>
          <w:szCs w:val="24"/>
          <w:lang w:eastAsia="en-US"/>
        </w:rPr>
        <w:t xml:space="preserve"> și procedura de transfer al sediului social al unei </w:t>
      </w:r>
      <w:proofErr w:type="spellStart"/>
      <w:r w:rsidRPr="00E011BD">
        <w:rPr>
          <w:szCs w:val="24"/>
          <w:lang w:eastAsia="en-US"/>
        </w:rPr>
        <w:t>ECBA</w:t>
      </w:r>
      <w:proofErr w:type="spellEnd"/>
      <w:r w:rsidRPr="00E011BD">
        <w:rPr>
          <w:szCs w:val="24"/>
          <w:lang w:eastAsia="en-US"/>
        </w:rPr>
        <w:t>.</w:t>
      </w:r>
    </w:p>
    <w:p w:rsidR="00FA7101" w:rsidRDefault="00FA7101">
      <w:pPr>
        <w:widowControl/>
        <w:rPr>
          <w:szCs w:val="24"/>
          <w:lang w:eastAsia="en-US"/>
        </w:rPr>
      </w:pPr>
      <w:r>
        <w:rPr>
          <w:szCs w:val="24"/>
          <w:lang w:eastAsia="en-US"/>
        </w:rPr>
        <w:br w:type="page"/>
      </w:r>
    </w:p>
    <w:p w:rsidR="00E011BD" w:rsidRPr="00E011BD" w:rsidRDefault="00E011BD" w:rsidP="00E011BD">
      <w:pPr>
        <w:spacing w:before="120" w:after="120" w:line="360" w:lineRule="auto"/>
        <w:ind w:left="850" w:hanging="850"/>
        <w:rPr>
          <w:szCs w:val="24"/>
          <w:lang w:eastAsia="en-US"/>
        </w:rPr>
      </w:pPr>
      <w:r w:rsidRPr="00E011BD">
        <w:rPr>
          <w:szCs w:val="24"/>
          <w:lang w:eastAsia="en-US"/>
        </w:rPr>
        <w:lastRenderedPageBreak/>
        <w:t>(5)</w:t>
      </w:r>
      <w:r w:rsidRPr="00E011BD">
        <w:rPr>
          <w:szCs w:val="24"/>
          <w:lang w:eastAsia="en-US"/>
        </w:rPr>
        <w:tab/>
        <w:t>Prin urmare, Regulamentele (UE) nr. 1024/2012 și (UE) 2018/1724 ar trebui modificate în consecință,</w:t>
      </w:r>
    </w:p>
    <w:p w:rsidR="00E011BD" w:rsidRPr="00E011BD" w:rsidRDefault="00E011BD" w:rsidP="00E011BD">
      <w:pPr>
        <w:spacing w:before="120" w:after="120" w:line="360" w:lineRule="auto"/>
        <w:ind w:left="850" w:hanging="850"/>
        <w:rPr>
          <w:b/>
          <w:szCs w:val="24"/>
          <w:lang w:eastAsia="en-US"/>
        </w:rPr>
      </w:pPr>
      <w:r w:rsidRPr="00E011BD">
        <w:rPr>
          <w:b/>
          <w:i/>
          <w:szCs w:val="24"/>
          <w:lang w:eastAsia="en-US"/>
        </w:rPr>
        <w:t>(5a)</w:t>
      </w:r>
      <w:r w:rsidRPr="00E011BD">
        <w:rPr>
          <w:szCs w:val="24"/>
          <w:lang w:eastAsia="en-US"/>
        </w:rPr>
        <w:tab/>
      </w:r>
      <w:r w:rsidRPr="00E011BD">
        <w:rPr>
          <w:b/>
          <w:i/>
          <w:szCs w:val="24"/>
          <w:lang w:eastAsia="en-US"/>
        </w:rPr>
        <w:t>Autoritatea Europeană pentru Protecția Datelor a fost consultată în conformitate cu articolul 42 alineatul (1) din Regulamentul (UE) 2018/1725 și a emis un aviz la 31 octombrie 2023,</w:t>
      </w:r>
      <w:r w:rsidR="00FA7101">
        <w:rPr>
          <w:b/>
          <w:szCs w:val="24"/>
          <w:lang w:eastAsia="en-US"/>
        </w:rPr>
        <w:t xml:space="preserve"> [AM 3]</w:t>
      </w:r>
    </w:p>
    <w:p w:rsidR="00E011BD" w:rsidRPr="00E011BD" w:rsidRDefault="00E011BD" w:rsidP="00E011BD">
      <w:pPr>
        <w:keepNext/>
        <w:widowControl/>
        <w:spacing w:before="120" w:after="120" w:line="360" w:lineRule="auto"/>
        <w:rPr>
          <w:szCs w:val="24"/>
          <w:lang w:eastAsia="en-US"/>
        </w:rPr>
      </w:pPr>
      <w:r w:rsidRPr="00E011BD">
        <w:rPr>
          <w:szCs w:val="24"/>
          <w:lang w:eastAsia="en-US"/>
        </w:rPr>
        <w:t>ADOPTĂ PREZENTUL REGULAMENT:</w:t>
      </w:r>
    </w:p>
    <w:p w:rsidR="00FA7101" w:rsidRDefault="00FA7101">
      <w:pPr>
        <w:widowControl/>
        <w:rPr>
          <w:szCs w:val="24"/>
          <w:lang w:eastAsia="en-US"/>
        </w:rPr>
      </w:pPr>
      <w:r>
        <w:rPr>
          <w:szCs w:val="24"/>
          <w:lang w:eastAsia="en-US"/>
        </w:rPr>
        <w:br w:type="page"/>
      </w:r>
    </w:p>
    <w:p w:rsidR="00E011BD" w:rsidRPr="00E011BD" w:rsidRDefault="00E011BD" w:rsidP="00E011BD">
      <w:pPr>
        <w:spacing w:before="120" w:after="120" w:line="360" w:lineRule="auto"/>
        <w:jc w:val="center"/>
        <w:rPr>
          <w:szCs w:val="24"/>
          <w:lang w:eastAsia="en-US"/>
        </w:rPr>
      </w:pPr>
      <w:r w:rsidRPr="00E011BD">
        <w:rPr>
          <w:szCs w:val="24"/>
          <w:lang w:eastAsia="en-US"/>
        </w:rPr>
        <w:lastRenderedPageBreak/>
        <w:t>Articolul 1</w:t>
      </w:r>
      <w:r w:rsidRPr="00E011BD">
        <w:rPr>
          <w:szCs w:val="24"/>
          <w:lang w:eastAsia="en-US"/>
        </w:rPr>
        <w:br/>
        <w:t>Modificarea Regulamentului (UE) nr. 1024/2012</w:t>
      </w:r>
    </w:p>
    <w:p w:rsidR="00E011BD" w:rsidRPr="00E011BD" w:rsidRDefault="00E011BD" w:rsidP="00E011BD">
      <w:pPr>
        <w:spacing w:before="120" w:after="120" w:line="360" w:lineRule="auto"/>
        <w:ind w:left="850" w:hanging="850"/>
        <w:rPr>
          <w:szCs w:val="24"/>
          <w:lang w:eastAsia="en-US"/>
        </w:rPr>
      </w:pPr>
      <w:r w:rsidRPr="00E011BD">
        <w:rPr>
          <w:szCs w:val="24"/>
          <w:lang w:eastAsia="en-US"/>
        </w:rPr>
        <w:tab/>
        <w:t>În anexa la Regulamentul (UE) nr. 1024/2012 se adaugă următorul nou punct 16:</w:t>
      </w:r>
    </w:p>
    <w:p w:rsidR="00E011BD" w:rsidRPr="00E011BD" w:rsidRDefault="00E011BD" w:rsidP="00E011BD">
      <w:pPr>
        <w:spacing w:before="120" w:after="120" w:line="360" w:lineRule="auto"/>
        <w:ind w:left="1416" w:hanging="566"/>
        <w:rPr>
          <w:szCs w:val="24"/>
          <w:lang w:eastAsia="en-US"/>
        </w:rPr>
      </w:pPr>
      <w:r w:rsidRPr="00E011BD">
        <w:rPr>
          <w:szCs w:val="24"/>
          <w:lang w:eastAsia="en-US"/>
        </w:rPr>
        <w:t>„16.</w:t>
      </w:r>
      <w:r w:rsidRPr="00E011BD">
        <w:rPr>
          <w:szCs w:val="24"/>
          <w:lang w:eastAsia="en-US"/>
        </w:rPr>
        <w:tab/>
        <w:t>Directiva Parlamentului European și a Consiliului privind asociațiile transfrontaliere europene [</w:t>
      </w:r>
      <w:proofErr w:type="spellStart"/>
      <w:r w:rsidRPr="00E011BD">
        <w:rPr>
          <w:szCs w:val="24"/>
          <w:lang w:eastAsia="en-US"/>
        </w:rPr>
        <w:t>COM</w:t>
      </w:r>
      <w:proofErr w:type="spellEnd"/>
      <w:r w:rsidRPr="00E011BD">
        <w:rPr>
          <w:szCs w:val="24"/>
          <w:lang w:eastAsia="en-US"/>
        </w:rPr>
        <w:t>(2023)516]*: articolul 19 alineatul (2), articolul 19 alineatul (4), articolul 23 alineatul (5), articolul 23 alineatul (6), articolul 23 alineatul (7), articolul 24 alineatul (3), articolul 25 alineatul (6) și articolul 27.”</w:t>
      </w:r>
    </w:p>
    <w:p w:rsidR="00E011BD" w:rsidRPr="00E011BD" w:rsidRDefault="00E011BD" w:rsidP="00E011BD">
      <w:pPr>
        <w:spacing w:before="120" w:after="120" w:line="360" w:lineRule="auto"/>
        <w:ind w:left="1416"/>
        <w:rPr>
          <w:szCs w:val="24"/>
          <w:lang w:eastAsia="en-US"/>
        </w:rPr>
      </w:pPr>
      <w:r w:rsidRPr="00E011BD">
        <w:rPr>
          <w:szCs w:val="24"/>
          <w:lang w:eastAsia="en-US"/>
        </w:rPr>
        <w:t>____________________</w:t>
      </w:r>
    </w:p>
    <w:p w:rsidR="00E011BD" w:rsidRPr="00E011BD" w:rsidRDefault="00E011BD" w:rsidP="00E011BD">
      <w:pPr>
        <w:spacing w:before="120" w:after="120" w:line="360" w:lineRule="auto"/>
        <w:ind w:left="1416"/>
        <w:rPr>
          <w:szCs w:val="24"/>
          <w:lang w:eastAsia="en-US"/>
        </w:rPr>
      </w:pPr>
      <w:r w:rsidRPr="00E011BD">
        <w:rPr>
          <w:szCs w:val="24"/>
          <w:lang w:eastAsia="en-US"/>
        </w:rPr>
        <w:t xml:space="preserve">*(trimiterea la </w:t>
      </w:r>
      <w:proofErr w:type="spellStart"/>
      <w:r w:rsidRPr="00E011BD">
        <w:rPr>
          <w:szCs w:val="24"/>
          <w:lang w:eastAsia="en-US"/>
        </w:rPr>
        <w:t>JO</w:t>
      </w:r>
      <w:proofErr w:type="spellEnd"/>
      <w:r w:rsidRPr="00E011BD">
        <w:rPr>
          <w:szCs w:val="24"/>
          <w:lang w:eastAsia="en-US"/>
        </w:rPr>
        <w:t>).”</w:t>
      </w:r>
    </w:p>
    <w:p w:rsidR="00FA7101" w:rsidRDefault="00FA7101">
      <w:pPr>
        <w:widowControl/>
        <w:rPr>
          <w:szCs w:val="24"/>
          <w:lang w:eastAsia="en-US"/>
        </w:rPr>
      </w:pPr>
      <w:r>
        <w:rPr>
          <w:szCs w:val="24"/>
          <w:lang w:eastAsia="en-US"/>
        </w:rPr>
        <w:br w:type="page"/>
      </w:r>
    </w:p>
    <w:p w:rsidR="00E011BD" w:rsidRPr="00E011BD" w:rsidRDefault="00E011BD" w:rsidP="00E011BD">
      <w:pPr>
        <w:spacing w:before="120" w:after="120" w:line="360" w:lineRule="auto"/>
        <w:jc w:val="center"/>
        <w:rPr>
          <w:szCs w:val="24"/>
          <w:lang w:eastAsia="en-US"/>
        </w:rPr>
      </w:pPr>
      <w:r w:rsidRPr="00E011BD">
        <w:rPr>
          <w:szCs w:val="24"/>
          <w:lang w:eastAsia="en-US"/>
        </w:rPr>
        <w:lastRenderedPageBreak/>
        <w:t>Articolul 2</w:t>
      </w:r>
      <w:r w:rsidRPr="00E011BD">
        <w:rPr>
          <w:szCs w:val="24"/>
          <w:lang w:eastAsia="en-US"/>
        </w:rPr>
        <w:br/>
        <w:t>Modificări aduse Regulamentului (UE) 2018/1724</w:t>
      </w:r>
    </w:p>
    <w:p w:rsidR="00E011BD" w:rsidRPr="00E011BD" w:rsidRDefault="00E011BD" w:rsidP="00E011BD">
      <w:pPr>
        <w:spacing w:before="120" w:after="120" w:line="360" w:lineRule="auto"/>
        <w:rPr>
          <w:szCs w:val="24"/>
          <w:lang w:eastAsia="en-US"/>
        </w:rPr>
      </w:pPr>
      <w:r w:rsidRPr="00E011BD">
        <w:rPr>
          <w:szCs w:val="24"/>
          <w:lang w:eastAsia="en-US"/>
        </w:rPr>
        <w:t>Regulamentul (UE) 2018/1724 se modifică după cum urmează:</w:t>
      </w:r>
    </w:p>
    <w:p w:rsidR="00E011BD" w:rsidRPr="00E011BD" w:rsidRDefault="00E011BD" w:rsidP="00E011BD">
      <w:pPr>
        <w:spacing w:before="120" w:after="120" w:line="360" w:lineRule="auto"/>
        <w:ind w:left="850" w:hanging="850"/>
        <w:rPr>
          <w:szCs w:val="24"/>
          <w:lang w:eastAsia="en-US"/>
        </w:rPr>
      </w:pPr>
      <w:r w:rsidRPr="00E011BD">
        <w:rPr>
          <w:szCs w:val="24"/>
          <w:lang w:eastAsia="en-US"/>
        </w:rPr>
        <w:t>(1)</w:t>
      </w:r>
      <w:r w:rsidRPr="00E011BD">
        <w:rPr>
          <w:szCs w:val="24"/>
          <w:lang w:eastAsia="en-US"/>
        </w:rPr>
        <w:tab/>
        <w:t>La articolul 1 alineatul (1), litera (a) se înlocuiește cu următorul text:</w:t>
      </w:r>
    </w:p>
    <w:p w:rsidR="00E011BD" w:rsidRPr="00E011BD" w:rsidRDefault="00E011BD" w:rsidP="00E011BD">
      <w:pPr>
        <w:spacing w:before="120" w:after="120" w:line="360" w:lineRule="auto"/>
        <w:ind w:left="1416" w:hanging="566"/>
        <w:rPr>
          <w:szCs w:val="24"/>
          <w:lang w:eastAsia="en-US"/>
        </w:rPr>
      </w:pPr>
      <w:r w:rsidRPr="00E011BD">
        <w:rPr>
          <w:szCs w:val="24"/>
          <w:lang w:eastAsia="en-US"/>
        </w:rPr>
        <w:t>„(a)</w:t>
      </w:r>
      <w:r w:rsidRPr="00E011BD">
        <w:rPr>
          <w:szCs w:val="24"/>
          <w:lang w:eastAsia="en-US"/>
        </w:rPr>
        <w:tab/>
        <w:t xml:space="preserve">instituirea și funcționarea unui portal digital unic, care să ofere cetățenilor, întreprinderilor și persoanelor juridice altele decât întreprinderile un acces ușor la informații de înaltă calitate, la proceduri eficiente și la servicii eficace de asistență și soluționare a problemelor în ceea ce privește normele Uniunii și normele naționale aplicabile cetățenilor, întreprinderilor și persoanelor juridice altele decât întreprinderile care își exercită sau intenționează să își exercite drepturile care decurg din dreptul Uniunii în domeniul pieței interne, în sensul articolului 26 alineatul (2) din </w:t>
      </w:r>
      <w:proofErr w:type="spellStart"/>
      <w:r w:rsidRPr="00E011BD">
        <w:rPr>
          <w:szCs w:val="24"/>
          <w:lang w:eastAsia="en-US"/>
        </w:rPr>
        <w:t>TFUE</w:t>
      </w:r>
      <w:proofErr w:type="spellEnd"/>
      <w:r w:rsidRPr="00E011BD">
        <w:rPr>
          <w:szCs w:val="24"/>
          <w:lang w:eastAsia="en-US"/>
        </w:rPr>
        <w:t>;”</w:t>
      </w:r>
    </w:p>
    <w:p w:rsidR="00FA7101" w:rsidRDefault="00FA7101">
      <w:pPr>
        <w:widowControl/>
        <w:rPr>
          <w:szCs w:val="24"/>
          <w:lang w:eastAsia="en-US"/>
        </w:rPr>
      </w:pPr>
      <w:r>
        <w:rPr>
          <w:szCs w:val="24"/>
          <w:lang w:eastAsia="en-US"/>
        </w:rPr>
        <w:br w:type="page"/>
      </w:r>
    </w:p>
    <w:p w:rsidR="00E011BD" w:rsidRPr="00E011BD" w:rsidRDefault="00E011BD" w:rsidP="00E011BD">
      <w:pPr>
        <w:spacing w:before="120" w:after="120" w:line="360" w:lineRule="auto"/>
        <w:ind w:left="850" w:hanging="850"/>
        <w:rPr>
          <w:szCs w:val="24"/>
          <w:lang w:eastAsia="en-US"/>
        </w:rPr>
      </w:pPr>
      <w:r w:rsidRPr="00E011BD">
        <w:rPr>
          <w:szCs w:val="24"/>
          <w:lang w:eastAsia="en-US"/>
        </w:rPr>
        <w:lastRenderedPageBreak/>
        <w:t>(2)</w:t>
      </w:r>
      <w:r w:rsidRPr="00E011BD">
        <w:rPr>
          <w:szCs w:val="24"/>
          <w:lang w:eastAsia="en-US"/>
        </w:rPr>
        <w:tab/>
        <w:t>La articolul 1 alineatul (1), litera (b) se înlocuiește cu următorul text:</w:t>
      </w:r>
    </w:p>
    <w:p w:rsidR="00E011BD" w:rsidRPr="00E011BD" w:rsidRDefault="00E011BD" w:rsidP="00E011BD">
      <w:pPr>
        <w:spacing w:before="120" w:after="120" w:line="360" w:lineRule="auto"/>
        <w:ind w:left="1416" w:hanging="566"/>
        <w:rPr>
          <w:szCs w:val="24"/>
          <w:lang w:eastAsia="en-US"/>
        </w:rPr>
      </w:pPr>
      <w:r w:rsidRPr="00E011BD">
        <w:rPr>
          <w:szCs w:val="24"/>
          <w:lang w:eastAsia="en-US"/>
        </w:rPr>
        <w:t>„(b)</w:t>
      </w:r>
      <w:r w:rsidRPr="00E011BD">
        <w:rPr>
          <w:szCs w:val="24"/>
          <w:lang w:eastAsia="en-US"/>
        </w:rPr>
        <w:tab/>
        <w:t>utilizarea unor proceduri de către utilizatorii transfrontalieri și punerea în aplicare a principiului „doar o singură dată” în legătură cu procedurile enumerate în anexa II la prezentul regulament și procedurile prevăzute în Directivele 2005/36/CE, 2006/123/CE, 2014/24/UE, 2014/25/UE și …/…*;”</w:t>
      </w:r>
    </w:p>
    <w:p w:rsidR="00E011BD" w:rsidRPr="00E011BD" w:rsidRDefault="00E011BD" w:rsidP="00E011BD">
      <w:pPr>
        <w:spacing w:before="120" w:after="120" w:line="360" w:lineRule="auto"/>
        <w:ind w:left="1416"/>
        <w:rPr>
          <w:szCs w:val="24"/>
          <w:lang w:eastAsia="en-US"/>
        </w:rPr>
      </w:pPr>
      <w:r w:rsidRPr="00E011BD">
        <w:rPr>
          <w:szCs w:val="24"/>
          <w:lang w:eastAsia="en-US"/>
        </w:rPr>
        <w:t>____________________</w:t>
      </w:r>
    </w:p>
    <w:p w:rsidR="00E011BD" w:rsidRPr="00E011BD" w:rsidRDefault="00E011BD" w:rsidP="00E011BD">
      <w:pPr>
        <w:spacing w:before="120" w:after="120" w:line="360" w:lineRule="auto"/>
        <w:ind w:left="1416"/>
        <w:rPr>
          <w:szCs w:val="24"/>
          <w:lang w:eastAsia="en-US"/>
        </w:rPr>
      </w:pPr>
      <w:r w:rsidRPr="00E011BD">
        <w:rPr>
          <w:szCs w:val="24"/>
          <w:lang w:eastAsia="en-US"/>
        </w:rPr>
        <w:t xml:space="preserve">„* Directiva Parlamentului European și a Consiliului din ... privind asociațiile transfrontaliere europene (referința </w:t>
      </w:r>
      <w:proofErr w:type="spellStart"/>
      <w:r w:rsidRPr="00E011BD">
        <w:rPr>
          <w:szCs w:val="24"/>
          <w:lang w:eastAsia="en-US"/>
        </w:rPr>
        <w:t>JO</w:t>
      </w:r>
      <w:proofErr w:type="spellEnd"/>
      <w:r w:rsidRPr="00E011BD">
        <w:rPr>
          <w:szCs w:val="24"/>
          <w:lang w:eastAsia="en-US"/>
        </w:rPr>
        <w:t>).”</w:t>
      </w:r>
    </w:p>
    <w:p w:rsidR="00E011BD" w:rsidRPr="00E011BD" w:rsidRDefault="00E011BD" w:rsidP="00E011BD">
      <w:pPr>
        <w:spacing w:before="120" w:after="120" w:line="360" w:lineRule="auto"/>
        <w:ind w:left="850" w:hanging="850"/>
        <w:rPr>
          <w:szCs w:val="24"/>
          <w:lang w:eastAsia="en-US"/>
        </w:rPr>
      </w:pPr>
      <w:r w:rsidRPr="00E011BD">
        <w:rPr>
          <w:szCs w:val="24"/>
          <w:lang w:eastAsia="en-US"/>
        </w:rPr>
        <w:t>(3)</w:t>
      </w:r>
      <w:r w:rsidRPr="00E011BD">
        <w:rPr>
          <w:szCs w:val="24"/>
          <w:lang w:eastAsia="en-US"/>
        </w:rPr>
        <w:tab/>
        <w:t>La articolul 2 alineatul (2), litera (c) se înlocuiește cu următorul text:</w:t>
      </w:r>
    </w:p>
    <w:p w:rsidR="00E011BD" w:rsidRPr="00E011BD" w:rsidRDefault="00E011BD" w:rsidP="00E011BD">
      <w:pPr>
        <w:spacing w:before="120" w:after="120" w:line="360" w:lineRule="auto"/>
        <w:ind w:left="1416" w:hanging="566"/>
        <w:rPr>
          <w:szCs w:val="24"/>
          <w:lang w:eastAsia="en-US"/>
        </w:rPr>
      </w:pPr>
      <w:r w:rsidRPr="00E011BD">
        <w:rPr>
          <w:szCs w:val="24"/>
          <w:lang w:eastAsia="en-US"/>
        </w:rPr>
        <w:t>„(c)</w:t>
      </w:r>
      <w:r w:rsidRPr="00E011BD">
        <w:rPr>
          <w:szCs w:val="24"/>
          <w:lang w:eastAsia="en-US"/>
        </w:rPr>
        <w:tab/>
        <w:t>informații și linkuri către serviciile de asistență și soluționare a problemelor enumerate în anexa III sau menționate la articolul 7 cărora cetățenii, întreprinderile și persoanele juridice altele decât întreprinderile li se pot adresa cu întrebări sau probleme legate de drepturile, obligațiile, normele sau procedurile menționate la literele (a) și (b) din prezentul alineat.”</w:t>
      </w:r>
    </w:p>
    <w:p w:rsidR="00FA7101" w:rsidRDefault="00FA7101">
      <w:pPr>
        <w:widowControl/>
        <w:rPr>
          <w:szCs w:val="24"/>
          <w:lang w:eastAsia="en-US"/>
        </w:rPr>
      </w:pPr>
      <w:r>
        <w:rPr>
          <w:szCs w:val="24"/>
          <w:lang w:eastAsia="en-US"/>
        </w:rPr>
        <w:br w:type="page"/>
      </w:r>
    </w:p>
    <w:p w:rsidR="00E011BD" w:rsidRPr="00E011BD" w:rsidRDefault="00E011BD" w:rsidP="00E011BD">
      <w:pPr>
        <w:spacing w:before="120" w:after="120" w:line="360" w:lineRule="auto"/>
        <w:ind w:left="850" w:hanging="850"/>
        <w:rPr>
          <w:szCs w:val="24"/>
          <w:lang w:eastAsia="en-US"/>
        </w:rPr>
      </w:pPr>
      <w:r w:rsidRPr="00E011BD">
        <w:rPr>
          <w:szCs w:val="24"/>
          <w:lang w:eastAsia="en-US"/>
        </w:rPr>
        <w:lastRenderedPageBreak/>
        <w:t>(4)</w:t>
      </w:r>
      <w:r w:rsidRPr="00E011BD">
        <w:rPr>
          <w:szCs w:val="24"/>
          <w:lang w:eastAsia="en-US"/>
        </w:rPr>
        <w:tab/>
        <w:t>La articolul 14, alineatul (1) se înlocuiește cu următorul text:</w:t>
      </w:r>
    </w:p>
    <w:p w:rsidR="00E011BD" w:rsidRPr="00E011BD" w:rsidRDefault="00E011BD" w:rsidP="00E011BD">
      <w:pPr>
        <w:spacing w:before="120" w:after="120" w:line="360" w:lineRule="auto"/>
        <w:ind w:left="1416" w:hanging="566"/>
        <w:rPr>
          <w:szCs w:val="24"/>
          <w:lang w:eastAsia="en-US"/>
        </w:rPr>
      </w:pPr>
      <w:r w:rsidRPr="00E011BD">
        <w:rPr>
          <w:szCs w:val="24"/>
          <w:lang w:eastAsia="en-US"/>
        </w:rPr>
        <w:t>„(1)</w:t>
      </w:r>
      <w:r w:rsidRPr="00E011BD">
        <w:rPr>
          <w:szCs w:val="24"/>
          <w:lang w:eastAsia="en-US"/>
        </w:rPr>
        <w:tab/>
        <w:t>În scopul schimbului de elemente justificative pentru procedurile online enumerate în anexa II la prezentul regulament și pentru procedurile prevăzute în Directivele 2005/36/CE, 2006/123/CE, 2014/24/UE, 2014/25/UE și …/…/…, Comisia, în cooperare cu statele membre, stabilește un sistem tehnic pentru schimbul automatizat de elemente justificative între autoritățile competente din state membre diferite (denumit în continuare „sistemul tehnic”).”</w:t>
      </w:r>
    </w:p>
    <w:p w:rsidR="00E011BD" w:rsidRPr="00E011BD" w:rsidRDefault="00E011BD" w:rsidP="00E011BD">
      <w:pPr>
        <w:spacing w:before="120" w:after="120" w:line="360" w:lineRule="auto"/>
        <w:ind w:left="850" w:hanging="850"/>
        <w:rPr>
          <w:szCs w:val="24"/>
          <w:lang w:eastAsia="en-US"/>
        </w:rPr>
      </w:pPr>
      <w:r w:rsidRPr="00E011BD">
        <w:rPr>
          <w:szCs w:val="24"/>
          <w:lang w:eastAsia="en-US"/>
        </w:rPr>
        <w:t>(5)</w:t>
      </w:r>
      <w:r w:rsidRPr="00E011BD">
        <w:rPr>
          <w:szCs w:val="24"/>
          <w:lang w:eastAsia="en-US"/>
        </w:rPr>
        <w:tab/>
        <w:t>Anexa I la Regulamentul (UE) 2018/1724 se modifică după cum urmează:</w:t>
      </w:r>
    </w:p>
    <w:p w:rsidR="00E011BD" w:rsidRPr="00E011BD" w:rsidRDefault="00E011BD" w:rsidP="00E011BD">
      <w:pPr>
        <w:spacing w:before="120" w:after="120" w:line="360" w:lineRule="auto"/>
        <w:ind w:left="1416" w:hanging="566"/>
        <w:rPr>
          <w:szCs w:val="24"/>
          <w:lang w:eastAsia="en-US"/>
        </w:rPr>
      </w:pPr>
      <w:r w:rsidRPr="00E011BD">
        <w:rPr>
          <w:szCs w:val="24"/>
          <w:lang w:eastAsia="en-US"/>
        </w:rPr>
        <w:t>(a)</w:t>
      </w:r>
      <w:r w:rsidRPr="00E011BD">
        <w:rPr>
          <w:szCs w:val="24"/>
          <w:lang w:eastAsia="en-US"/>
        </w:rPr>
        <w:tab/>
        <w:t>titlul se înlocuiește cu următorul text:</w:t>
      </w:r>
    </w:p>
    <w:p w:rsidR="00E011BD" w:rsidRPr="00E011BD" w:rsidRDefault="00E011BD" w:rsidP="00E011BD">
      <w:pPr>
        <w:spacing w:before="120" w:after="120" w:line="360" w:lineRule="auto"/>
        <w:ind w:left="1416"/>
        <w:rPr>
          <w:szCs w:val="24"/>
          <w:lang w:eastAsia="en-US"/>
        </w:rPr>
      </w:pPr>
      <w:r w:rsidRPr="00E011BD">
        <w:rPr>
          <w:szCs w:val="24"/>
          <w:lang w:eastAsia="en-US"/>
        </w:rPr>
        <w:t>„Lista cu domeniile de informații relevante pentru cetățenii, întreprinderile și persoanele juridice altele decât întreprinderile având sediul social într-un stat membru care își exercită drepturile în cadrul pieței interne menționate la articolul 2 alineatul (2) litera (a).</w:t>
      </w:r>
    </w:p>
    <w:p w:rsidR="00FA7101" w:rsidRDefault="00FA7101">
      <w:pPr>
        <w:widowControl/>
        <w:rPr>
          <w:b/>
          <w:i/>
          <w:szCs w:val="24"/>
          <w:lang w:eastAsia="en-US"/>
        </w:rPr>
      </w:pPr>
      <w:r>
        <w:rPr>
          <w:b/>
          <w:i/>
          <w:szCs w:val="24"/>
          <w:lang w:eastAsia="en-US"/>
        </w:rPr>
        <w:br w:type="page"/>
      </w:r>
    </w:p>
    <w:p w:rsidR="00D61794" w:rsidRDefault="00D61794" w:rsidP="00D61794">
      <w:pPr>
        <w:spacing w:before="120" w:after="120" w:line="360" w:lineRule="auto"/>
        <w:ind w:left="851"/>
        <w:rPr>
          <w:b/>
          <w:i/>
          <w:szCs w:val="24"/>
          <w:lang w:eastAsia="en-US"/>
        </w:rPr>
      </w:pPr>
      <w:r w:rsidRPr="00D61794">
        <w:rPr>
          <w:b/>
          <w:i/>
          <w:szCs w:val="24"/>
          <w:lang w:eastAsia="en-US"/>
        </w:rPr>
        <w:lastRenderedPageBreak/>
        <w:t>(</w:t>
      </w:r>
      <w:proofErr w:type="spellStart"/>
      <w:r w:rsidRPr="00D61794">
        <w:rPr>
          <w:b/>
          <w:i/>
          <w:szCs w:val="24"/>
          <w:lang w:eastAsia="en-US"/>
        </w:rPr>
        <w:t>aa</w:t>
      </w:r>
      <w:proofErr w:type="spellEnd"/>
      <w:r w:rsidRPr="00D61794">
        <w:rPr>
          <w:b/>
          <w:i/>
          <w:szCs w:val="24"/>
          <w:lang w:eastAsia="en-US"/>
        </w:rPr>
        <w:t>)</w:t>
      </w:r>
      <w:r w:rsidRPr="00D61794">
        <w:rPr>
          <w:b/>
          <w:i/>
          <w:szCs w:val="24"/>
          <w:lang w:eastAsia="en-US"/>
        </w:rPr>
        <w:tab/>
      </w:r>
      <w:r>
        <w:rPr>
          <w:b/>
          <w:i/>
          <w:szCs w:val="24"/>
          <w:lang w:eastAsia="en-US"/>
        </w:rPr>
        <w:t xml:space="preserve">la </w:t>
      </w:r>
      <w:r w:rsidRPr="00D61794">
        <w:rPr>
          <w:b/>
          <w:i/>
          <w:szCs w:val="24"/>
          <w:lang w:eastAsia="en-US"/>
        </w:rPr>
        <w:t>„Domenii de informații privind întreprinderile</w:t>
      </w:r>
      <w:r>
        <w:rPr>
          <w:b/>
          <w:i/>
          <w:szCs w:val="24"/>
          <w:lang w:eastAsia="en-US"/>
        </w:rPr>
        <w:t xml:space="preserve">”, litera J se </w:t>
      </w:r>
      <w:r w:rsidRPr="00D61794">
        <w:rPr>
          <w:b/>
          <w:i/>
          <w:szCs w:val="24"/>
          <w:lang w:eastAsia="en-US"/>
        </w:rPr>
        <w:t>înlocuie</w:t>
      </w:r>
      <w:r>
        <w:rPr>
          <w:b/>
          <w:i/>
          <w:szCs w:val="24"/>
          <w:lang w:eastAsia="en-US"/>
        </w:rPr>
        <w:t>ște după cum urmează</w:t>
      </w:r>
    </w:p>
    <w:p w:rsidR="00E011BD" w:rsidRPr="00E011BD" w:rsidRDefault="00D61794" w:rsidP="00D61794">
      <w:pPr>
        <w:spacing w:before="120" w:after="120" w:line="360" w:lineRule="auto"/>
        <w:ind w:firstLine="851"/>
        <w:rPr>
          <w:szCs w:val="24"/>
          <w:lang w:eastAsia="en-US"/>
        </w:rPr>
      </w:pPr>
      <w:r w:rsidRPr="00D61794">
        <w:rPr>
          <w:b/>
          <w:i/>
          <w:szCs w:val="24"/>
          <w:lang w:eastAsia="en-US"/>
        </w:rPr>
        <w:t>„Domenii de informații privind întreprinderile</w:t>
      </w:r>
      <w:r w:rsidR="00E011BD" w:rsidRPr="00E011BD">
        <w:rPr>
          <w:b/>
          <w:i/>
          <w:szCs w:val="24"/>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955"/>
        <w:gridCol w:w="6105"/>
      </w:tblGrid>
      <w:tr w:rsidR="00E011BD" w:rsidRPr="00E011BD" w:rsidTr="00D61794">
        <w:trPr>
          <w:trHeight w:val="584"/>
        </w:trPr>
        <w:tc>
          <w:tcPr>
            <w:tcW w:w="0" w:type="auto"/>
          </w:tcPr>
          <w:p w:rsidR="00E011BD" w:rsidRPr="00D61794" w:rsidRDefault="00D61794" w:rsidP="00D61794">
            <w:pPr>
              <w:rPr>
                <w:b/>
                <w:i/>
                <w:szCs w:val="24"/>
                <w:lang w:eastAsia="en-US"/>
              </w:rPr>
            </w:pPr>
            <w:r w:rsidRPr="00D61794">
              <w:rPr>
                <w:b/>
                <w:i/>
                <w:szCs w:val="24"/>
                <w:lang w:eastAsia="en-US"/>
              </w:rPr>
              <w:t>Domeniul</w:t>
            </w:r>
          </w:p>
        </w:tc>
        <w:tc>
          <w:tcPr>
            <w:tcW w:w="0" w:type="auto"/>
          </w:tcPr>
          <w:p w:rsidR="00E011BD" w:rsidRPr="00D61794" w:rsidRDefault="00D61794" w:rsidP="00D61794">
            <w:pPr>
              <w:rPr>
                <w:b/>
                <w:i/>
                <w:szCs w:val="24"/>
                <w:lang w:eastAsia="en-US"/>
              </w:rPr>
            </w:pPr>
            <w:r w:rsidRPr="00D61794">
              <w:rPr>
                <w:b/>
                <w:i/>
              </w:rPr>
              <w:t>INFORMAȚII CU PRIVIRE LA DREPTURI, OBLIGAȚII ȘI NORME</w:t>
            </w:r>
          </w:p>
        </w:tc>
      </w:tr>
      <w:tr w:rsidR="00D61794" w:rsidRPr="00E011BD" w:rsidTr="00D61794">
        <w:trPr>
          <w:trHeight w:val="434"/>
          <w:tblHeader/>
        </w:trPr>
        <w:tc>
          <w:tcPr>
            <w:tcW w:w="0" w:type="auto"/>
          </w:tcPr>
          <w:p w:rsidR="00D61794" w:rsidRPr="00D61794" w:rsidRDefault="00D61794" w:rsidP="00D61794">
            <w:pPr>
              <w:pStyle w:val="Normal6"/>
              <w:rPr>
                <w:b/>
                <w:i/>
              </w:rPr>
            </w:pPr>
            <w:r w:rsidRPr="00D61794">
              <w:rPr>
                <w:b/>
                <w:i/>
              </w:rPr>
              <w:t xml:space="preserve">J. Inițierea, desfășurarea sau închiderea unei </w:t>
            </w:r>
            <w:r w:rsidRPr="00D61794">
              <w:rPr>
                <w:b/>
                <w:bCs/>
                <w:i/>
                <w:iCs/>
              </w:rPr>
              <w:t>afaceri</w:t>
            </w:r>
          </w:p>
        </w:tc>
        <w:tc>
          <w:tcPr>
            <w:tcW w:w="0" w:type="auto"/>
          </w:tcPr>
          <w:p w:rsidR="00D61794" w:rsidRPr="00D61794" w:rsidRDefault="00D61794" w:rsidP="00D61794">
            <w:pPr>
              <w:pStyle w:val="Normal6"/>
              <w:rPr>
                <w:b/>
                <w:i/>
              </w:rPr>
            </w:pPr>
            <w:r w:rsidRPr="00D61794">
              <w:rPr>
                <w:b/>
                <w:i/>
              </w:rPr>
              <w:t>1. înregistrarea, schimbarea formei juridice sau închiderea unei întreprinderi (procedurile de înregistrare și formele juridice pentru desfășurarea activității)</w:t>
            </w:r>
          </w:p>
          <w:p w:rsidR="00D61794" w:rsidRPr="00D61794" w:rsidRDefault="00D61794" w:rsidP="00D61794">
            <w:pPr>
              <w:pStyle w:val="Normal6"/>
              <w:rPr>
                <w:b/>
                <w:i/>
              </w:rPr>
            </w:pPr>
            <w:r w:rsidRPr="00D61794">
              <w:rPr>
                <w:b/>
                <w:i/>
              </w:rPr>
              <w:t xml:space="preserve">2. </w:t>
            </w:r>
            <w:r w:rsidRPr="00D61794">
              <w:rPr>
                <w:b/>
                <w:bCs/>
                <w:i/>
                <w:iCs/>
              </w:rPr>
              <w:t>transferul sediului social</w:t>
            </w:r>
            <w:r w:rsidRPr="00D61794">
              <w:rPr>
                <w:b/>
                <w:i/>
              </w:rPr>
              <w:t xml:space="preserve"> al unei întreprinderi în alt stat membru;</w:t>
            </w:r>
          </w:p>
          <w:p w:rsidR="00D61794" w:rsidRPr="00D61794" w:rsidRDefault="00D61794" w:rsidP="00D61794">
            <w:pPr>
              <w:pStyle w:val="Normal6"/>
              <w:rPr>
                <w:b/>
                <w:i/>
              </w:rPr>
            </w:pPr>
            <w:r w:rsidRPr="00D61794">
              <w:rPr>
                <w:b/>
                <w:i/>
              </w:rPr>
              <w:t>2a. obligații față de creditori și drepturile lucrătorilor în cazul transferului sediului social al unei întreprinderi în alt stat membru</w:t>
            </w:r>
          </w:p>
          <w:p w:rsidR="00D61794" w:rsidRPr="00D61794" w:rsidRDefault="00D61794" w:rsidP="00D61794">
            <w:pPr>
              <w:pStyle w:val="Normal6"/>
              <w:rPr>
                <w:b/>
                <w:i/>
              </w:rPr>
            </w:pPr>
            <w:r w:rsidRPr="00D61794">
              <w:rPr>
                <w:b/>
                <w:i/>
              </w:rPr>
              <w:t>3. drepturile de proprietate intelectuală (depunerea unei cereri de brevet, înregistrarea unei mărci, a unei schițe sau a unui desen, obținerea unei licențe de reproducere)</w:t>
            </w:r>
          </w:p>
          <w:p w:rsidR="00D61794" w:rsidRPr="00D61794" w:rsidRDefault="00D61794" w:rsidP="00D61794">
            <w:pPr>
              <w:pStyle w:val="Normal6"/>
              <w:rPr>
                <w:b/>
                <w:i/>
              </w:rPr>
            </w:pPr>
            <w:r w:rsidRPr="00D61794">
              <w:rPr>
                <w:b/>
                <w:i/>
              </w:rPr>
              <w:t>. echitate și transparență în practicile comerciale, inclusiv cele privind drepturile consumatorilor și garanțiile legate de vânzarea de bunuri și servicii</w:t>
            </w:r>
          </w:p>
          <w:p w:rsidR="00D61794" w:rsidRPr="00D61794" w:rsidRDefault="00D61794" w:rsidP="00D61794">
            <w:pPr>
              <w:pStyle w:val="Normal6"/>
              <w:rPr>
                <w:b/>
                <w:i/>
              </w:rPr>
            </w:pPr>
            <w:r w:rsidRPr="00D61794">
              <w:rPr>
                <w:b/>
                <w:i/>
              </w:rPr>
              <w:t>5. oferirea de facilități online pentru plățile transfrontaliere atunci când se comercializează bunuri și servicii online</w:t>
            </w:r>
          </w:p>
          <w:p w:rsidR="00D61794" w:rsidRPr="00D61794" w:rsidRDefault="00D61794" w:rsidP="00D61794">
            <w:pPr>
              <w:pStyle w:val="Normal6"/>
              <w:rPr>
                <w:b/>
                <w:i/>
              </w:rPr>
            </w:pPr>
            <w:r w:rsidRPr="00D61794">
              <w:rPr>
                <w:b/>
                <w:i/>
              </w:rPr>
              <w:t>6. drepturile și obligațiile care decurg din dreptul contractelor, inclusiv dobânzile de penalizare</w:t>
            </w:r>
          </w:p>
          <w:p w:rsidR="00D61794" w:rsidRPr="00D61794" w:rsidRDefault="00D61794" w:rsidP="00D61794">
            <w:pPr>
              <w:pStyle w:val="Normal6"/>
              <w:rPr>
                <w:b/>
                <w:i/>
              </w:rPr>
            </w:pPr>
            <w:r w:rsidRPr="00D61794">
              <w:rPr>
                <w:b/>
                <w:i/>
              </w:rPr>
              <w:t>7. procedurile de insolvență și de lichidare a întreprinderilor</w:t>
            </w:r>
          </w:p>
          <w:p w:rsidR="00D61794" w:rsidRPr="00D61794" w:rsidRDefault="00D61794" w:rsidP="00D61794">
            <w:pPr>
              <w:pStyle w:val="Normal6"/>
              <w:rPr>
                <w:b/>
                <w:i/>
              </w:rPr>
            </w:pPr>
            <w:r w:rsidRPr="00D61794">
              <w:rPr>
                <w:b/>
                <w:i/>
              </w:rPr>
              <w:t>8. asigurarea de credit</w:t>
            </w:r>
          </w:p>
          <w:p w:rsidR="00D61794" w:rsidRPr="00D61794" w:rsidRDefault="00D61794" w:rsidP="00D61794">
            <w:pPr>
              <w:pStyle w:val="Normal6"/>
              <w:rPr>
                <w:b/>
                <w:i/>
              </w:rPr>
            </w:pPr>
            <w:r w:rsidRPr="00D61794">
              <w:rPr>
                <w:b/>
                <w:i/>
              </w:rPr>
              <w:t>9. fuziunile dintre companii sau vânzarea unei întreprinderi</w:t>
            </w:r>
          </w:p>
          <w:p w:rsidR="00D61794" w:rsidRPr="00D61794" w:rsidRDefault="00D61794" w:rsidP="00D61794">
            <w:pPr>
              <w:pStyle w:val="Normal6"/>
              <w:rPr>
                <w:b/>
                <w:i/>
              </w:rPr>
            </w:pPr>
            <w:r w:rsidRPr="00D61794">
              <w:rPr>
                <w:b/>
                <w:i/>
              </w:rPr>
              <w:t xml:space="preserve">10. răspunderea civilă </w:t>
            </w:r>
            <w:r w:rsidRPr="00D61794">
              <w:rPr>
                <w:b/>
                <w:bCs/>
                <w:i/>
                <w:iCs/>
              </w:rPr>
              <w:t>a membrilor Consiliului de administrație și</w:t>
            </w:r>
            <w:r w:rsidRPr="00D61794">
              <w:rPr>
                <w:b/>
                <w:i/>
              </w:rPr>
              <w:t xml:space="preserve"> a administratorilor unei societăți</w:t>
            </w:r>
          </w:p>
          <w:p w:rsidR="00D61794" w:rsidRPr="00D61794" w:rsidRDefault="00D61794" w:rsidP="00D61794">
            <w:pPr>
              <w:pStyle w:val="Normal6"/>
              <w:rPr>
                <w:b/>
                <w:i/>
              </w:rPr>
            </w:pPr>
            <w:r w:rsidRPr="00D61794">
              <w:rPr>
                <w:b/>
                <w:i/>
              </w:rPr>
              <w:t>11. norme și obligații privind prelucrarea datelor cu caracter personal”</w:t>
            </w:r>
          </w:p>
        </w:tc>
      </w:tr>
    </w:tbl>
    <w:p w:rsidR="00D57276" w:rsidRDefault="00D57276" w:rsidP="00D57276">
      <w:pPr>
        <w:jc w:val="right"/>
        <w:rPr>
          <w:b/>
        </w:rPr>
      </w:pPr>
      <w:r>
        <w:rPr>
          <w:b/>
        </w:rPr>
        <w:t>[AM 4]</w:t>
      </w:r>
    </w:p>
    <w:p w:rsidR="00D57276" w:rsidRDefault="00D57276">
      <w:r>
        <w:br w:type="page"/>
      </w:r>
    </w:p>
    <w:p w:rsidR="00D57276" w:rsidRDefault="00D57276" w:rsidP="00D57276">
      <w:pPr>
        <w:spacing w:before="120" w:after="120" w:line="360" w:lineRule="auto"/>
        <w:ind w:left="850"/>
      </w:pPr>
      <w:r>
        <w:lastRenderedPageBreak/>
        <w:t>(b)</w:t>
      </w:r>
      <w:r>
        <w:tab/>
        <w:t>se adaugă următoarele domenii de informații:</w:t>
      </w:r>
    </w:p>
    <w:p w:rsidR="00D57276" w:rsidRDefault="00D57276" w:rsidP="00D57276">
      <w:pPr>
        <w:spacing w:before="120" w:after="120" w:line="360" w:lineRule="auto"/>
        <w:ind w:left="850"/>
      </w:pPr>
      <w:r>
        <w:t>„Domenii de informații referitoare la persoane juridice, altele decât întreprinderile, care își au sediul social într-un stat membru:</w:t>
      </w:r>
    </w:p>
    <w:tbl>
      <w:tblPr>
        <w:tblW w:w="10201" w:type="dxa"/>
        <w:jc w:val="center"/>
        <w:tblLayout w:type="fixed"/>
        <w:tblCellMar>
          <w:left w:w="340" w:type="dxa"/>
          <w:right w:w="340" w:type="dxa"/>
        </w:tblCellMar>
        <w:tblLook w:val="04A0" w:firstRow="1" w:lastRow="0" w:firstColumn="1" w:lastColumn="0" w:noHBand="0" w:noVBand="1"/>
      </w:tblPr>
      <w:tblGrid>
        <w:gridCol w:w="2978"/>
        <w:gridCol w:w="7223"/>
      </w:tblGrid>
      <w:tr w:rsidR="00D57276" w:rsidRPr="00E30828" w:rsidTr="001B5FCD">
        <w:trPr>
          <w:jc w:val="center"/>
        </w:trPr>
        <w:tc>
          <w:tcPr>
            <w:tcW w:w="2978" w:type="dxa"/>
            <w:tcBorders>
              <w:top w:val="single" w:sz="4" w:space="0" w:color="auto"/>
              <w:left w:val="single" w:sz="4" w:space="0" w:color="auto"/>
              <w:bottom w:val="single" w:sz="4" w:space="0" w:color="auto"/>
              <w:right w:val="single" w:sz="4" w:space="0" w:color="auto"/>
            </w:tcBorders>
            <w:hideMark/>
          </w:tcPr>
          <w:p w:rsidR="00D57276" w:rsidRPr="00D57276" w:rsidRDefault="00D57276" w:rsidP="001B5FCD">
            <w:pPr>
              <w:pStyle w:val="Normal6"/>
              <w:spacing w:before="120" w:line="360" w:lineRule="auto"/>
              <w:ind w:left="-198" w:right="-338"/>
            </w:pPr>
            <w:proofErr w:type="spellStart"/>
            <w:r w:rsidRPr="00D57276">
              <w:t>AA</w:t>
            </w:r>
            <w:proofErr w:type="spellEnd"/>
            <w:r w:rsidRPr="00D57276">
              <w:t>. Înființarea, funcționarea și închiderea unei persoane juridice, alta decât o întreprindere</w:t>
            </w:r>
          </w:p>
        </w:tc>
        <w:tc>
          <w:tcPr>
            <w:tcW w:w="7223" w:type="dxa"/>
            <w:tcBorders>
              <w:top w:val="single" w:sz="4" w:space="0" w:color="auto"/>
              <w:left w:val="single" w:sz="4" w:space="0" w:color="auto"/>
              <w:bottom w:val="single" w:sz="4" w:space="0" w:color="auto"/>
              <w:right w:val="single" w:sz="4" w:space="0" w:color="auto"/>
            </w:tcBorders>
          </w:tcPr>
          <w:p w:rsidR="00D57276" w:rsidRPr="00E30828" w:rsidRDefault="00D57276" w:rsidP="001B5FCD">
            <w:pPr>
              <w:spacing w:before="120" w:after="120" w:line="360" w:lineRule="auto"/>
              <w:ind w:left="-200" w:right="-225"/>
            </w:pPr>
            <w:r w:rsidRPr="00E30828">
              <w:t>1. înregistrarea, modificarea formei juridice sau închiderea unei persoane juridice, alta decât o întreprindere (proceduri de înregistrare și forme juridice)</w:t>
            </w:r>
          </w:p>
          <w:p w:rsidR="00D57276" w:rsidRDefault="00D57276" w:rsidP="001B5FCD">
            <w:pPr>
              <w:spacing w:before="120" w:after="120" w:line="360" w:lineRule="auto"/>
              <w:ind w:left="-200" w:right="-225"/>
            </w:pPr>
            <w:r w:rsidRPr="00E30828">
              <w:t xml:space="preserve">2. </w:t>
            </w:r>
            <w:r w:rsidRPr="00D57276">
              <w:rPr>
                <w:strike/>
              </w:rPr>
              <w:t xml:space="preserve">mutarea </w:t>
            </w:r>
            <w:r w:rsidRPr="00E30828">
              <w:rPr>
                <w:b/>
                <w:bCs/>
                <w:i/>
                <w:iCs/>
              </w:rPr>
              <w:t>transferul sediului social al</w:t>
            </w:r>
            <w:r w:rsidRPr="00E30828">
              <w:t xml:space="preserve"> unei persoane juridice, alta decât o întreprindere, într-un alt stat membru</w:t>
            </w:r>
          </w:p>
          <w:p w:rsidR="00D57276" w:rsidRDefault="00D57276" w:rsidP="001B5FCD">
            <w:pPr>
              <w:spacing w:before="120" w:after="120" w:line="360" w:lineRule="auto"/>
              <w:ind w:left="-200" w:right="-225"/>
              <w:rPr>
                <w:b/>
                <w:i/>
              </w:rPr>
            </w:pPr>
            <w:r w:rsidRPr="00E30828">
              <w:rPr>
                <w:b/>
                <w:i/>
              </w:rPr>
              <w:t>2a. obligațiile creditorilor și drepturile lucrătorilor în cazul transferului sediului social al unei persoane juridice, alta decât o întreprindere, într-un alt stat membru</w:t>
            </w:r>
          </w:p>
          <w:p w:rsidR="00D57276" w:rsidRPr="00E30828" w:rsidRDefault="00D57276" w:rsidP="001B5FCD">
            <w:pPr>
              <w:spacing w:before="120" w:after="120" w:line="360" w:lineRule="auto"/>
              <w:ind w:left="-200" w:right="-225"/>
            </w:pPr>
            <w:r w:rsidRPr="00E30828">
              <w:t>3. drepturile de proprietate intelectuală (depunerea unei cereri de brevet, înregistrarea unei mărci, a unei schițe sau a unui desen, obținerea unei licențe de reproducere)</w:t>
            </w:r>
          </w:p>
          <w:p w:rsidR="00D57276" w:rsidRPr="00E30828" w:rsidRDefault="00D57276" w:rsidP="001B5FCD">
            <w:pPr>
              <w:spacing w:before="120" w:after="120" w:line="360" w:lineRule="auto"/>
              <w:ind w:left="-200" w:right="-225"/>
            </w:pPr>
            <w:r w:rsidRPr="00E30828">
              <w:t>4. echitate și transparență în practicile comerciale, inclusiv cele privind drepturile consumatorilor și garanțiile legate de vânzarea de bunuri și servicii</w:t>
            </w:r>
          </w:p>
          <w:p w:rsidR="00D57276" w:rsidRPr="00E30828" w:rsidRDefault="00D57276" w:rsidP="001B5FCD">
            <w:pPr>
              <w:spacing w:before="120" w:after="120" w:line="360" w:lineRule="auto"/>
              <w:ind w:left="-200" w:right="-225"/>
            </w:pPr>
            <w:r w:rsidRPr="00E30828">
              <w:t>5. oferirea de facilități online pentru plățile transfrontaliere atunci când se comercializează bunuri și servicii online</w:t>
            </w:r>
          </w:p>
          <w:p w:rsidR="00D57276" w:rsidRPr="00E30828" w:rsidRDefault="00D57276" w:rsidP="001B5FCD">
            <w:pPr>
              <w:spacing w:before="120" w:after="120" w:line="360" w:lineRule="auto"/>
              <w:ind w:left="-200" w:right="-225"/>
            </w:pPr>
            <w:r w:rsidRPr="00E30828">
              <w:t>6. drepturile și obligațiile care decurg din dreptul contractelor, inclusiv dobânzile de penalizare</w:t>
            </w:r>
          </w:p>
          <w:p w:rsidR="00D57276" w:rsidRPr="00E30828" w:rsidRDefault="00D57276" w:rsidP="001B5FCD">
            <w:pPr>
              <w:spacing w:before="120" w:after="120" w:line="360" w:lineRule="auto"/>
              <w:ind w:left="-200" w:right="-225"/>
            </w:pPr>
            <w:r w:rsidRPr="00E30828">
              <w:t>7. procedurile de insolvență și lichidarea persoanelor juridice, altele decât întreprinderile</w:t>
            </w:r>
          </w:p>
          <w:p w:rsidR="00D57276" w:rsidRPr="00E30828" w:rsidRDefault="00D57276" w:rsidP="001B5FCD">
            <w:pPr>
              <w:spacing w:before="120" w:after="120" w:line="360" w:lineRule="auto"/>
              <w:ind w:left="-200" w:right="-225"/>
            </w:pPr>
            <w:r w:rsidRPr="00E30828">
              <w:t>8. asigurarea de credit</w:t>
            </w:r>
          </w:p>
          <w:p w:rsidR="00D57276" w:rsidRPr="00E30828" w:rsidRDefault="00D57276" w:rsidP="001B5FCD">
            <w:pPr>
              <w:spacing w:before="120" w:after="120" w:line="360" w:lineRule="auto"/>
              <w:ind w:left="-200" w:right="-225"/>
            </w:pPr>
            <w:r w:rsidRPr="00E30828">
              <w:t>9. fuziunile sau vânzarea unei persoane juridice, alta decât o întreprindere</w:t>
            </w:r>
          </w:p>
          <w:p w:rsidR="00D57276" w:rsidRPr="00E30828" w:rsidRDefault="00D57276" w:rsidP="001B5FCD">
            <w:pPr>
              <w:spacing w:before="120" w:after="120" w:line="360" w:lineRule="auto"/>
              <w:ind w:left="-200" w:right="-225"/>
            </w:pPr>
            <w:r w:rsidRPr="00E30828">
              <w:t xml:space="preserve">10. răspunderea civilă </w:t>
            </w:r>
            <w:r w:rsidRPr="00E30828">
              <w:rPr>
                <w:b/>
                <w:bCs/>
                <w:i/>
                <w:iCs/>
              </w:rPr>
              <w:t>a membrilor Consiliului de administrație sau</w:t>
            </w:r>
            <w:r w:rsidRPr="00E30828">
              <w:t xml:space="preserve"> a administratorilor unei persoane juridice, alta decât o întreprindere</w:t>
            </w:r>
          </w:p>
          <w:p w:rsidR="00D57276" w:rsidRPr="00E30828" w:rsidRDefault="00D57276" w:rsidP="001B5FCD">
            <w:pPr>
              <w:spacing w:before="120" w:after="120" w:line="360" w:lineRule="auto"/>
              <w:ind w:left="-200" w:right="-225"/>
            </w:pPr>
            <w:r w:rsidRPr="00E30828">
              <w:t>11. norme și obligații privind prelucrarea datelor cu caracter personal</w:t>
            </w:r>
          </w:p>
        </w:tc>
      </w:tr>
      <w:tr w:rsidR="008B0484" w:rsidRPr="00E30828" w:rsidTr="001B5FCD">
        <w:trPr>
          <w:jc w:val="center"/>
        </w:trPr>
        <w:tc>
          <w:tcPr>
            <w:tcW w:w="2978" w:type="dxa"/>
            <w:tcBorders>
              <w:top w:val="single" w:sz="4" w:space="0" w:color="auto"/>
              <w:left w:val="single" w:sz="4" w:space="0" w:color="auto"/>
              <w:bottom w:val="single" w:sz="4" w:space="0" w:color="auto"/>
              <w:right w:val="single" w:sz="4" w:space="0" w:color="auto"/>
            </w:tcBorders>
          </w:tcPr>
          <w:p w:rsidR="008B0484" w:rsidRPr="00E011BD" w:rsidRDefault="008B0484" w:rsidP="001B5FCD">
            <w:pPr>
              <w:spacing w:before="120" w:after="120" w:line="360" w:lineRule="auto"/>
              <w:ind w:left="-198" w:right="-338"/>
              <w:rPr>
                <w:szCs w:val="24"/>
                <w:lang w:eastAsia="en-US"/>
              </w:rPr>
            </w:pPr>
            <w:r w:rsidRPr="00E011BD">
              <w:rPr>
                <w:szCs w:val="24"/>
                <w:lang w:eastAsia="en-US"/>
              </w:rPr>
              <w:lastRenderedPageBreak/>
              <w:t>AB. Angajați</w:t>
            </w:r>
          </w:p>
        </w:tc>
        <w:tc>
          <w:tcPr>
            <w:tcW w:w="7223" w:type="dxa"/>
            <w:tcBorders>
              <w:top w:val="single" w:sz="4" w:space="0" w:color="auto"/>
              <w:left w:val="single" w:sz="4" w:space="0" w:color="auto"/>
              <w:bottom w:val="single" w:sz="4" w:space="0" w:color="auto"/>
              <w:right w:val="single" w:sz="4" w:space="0" w:color="auto"/>
            </w:tcBorders>
          </w:tcPr>
          <w:p w:rsidR="008B0484" w:rsidRDefault="008B0484" w:rsidP="001B5FCD">
            <w:pPr>
              <w:spacing w:before="120" w:after="120" w:line="360" w:lineRule="auto"/>
              <w:ind w:left="-200" w:right="-225"/>
              <w:rPr>
                <w:szCs w:val="24"/>
                <w:lang w:eastAsia="en-US"/>
              </w:rPr>
            </w:pPr>
            <w:r w:rsidRPr="00E011BD">
              <w:rPr>
                <w:szCs w:val="24"/>
                <w:lang w:eastAsia="en-US"/>
              </w:rPr>
              <w:t xml:space="preserve">1. aspecte legate de ocuparea forței de muncă prevăzute prin lege sau prin instrumente de reglementare (inclusiv programul de lucru, concedii plătite, drepturile la vacanță, drepturile și obligațiile referitoare la orele suplimentare de lucru, controalele de sănătate, rezilierea contractelor, concedierile și disponibilizările) </w:t>
            </w:r>
          </w:p>
          <w:p w:rsidR="008B0484" w:rsidRDefault="008B0484" w:rsidP="001B5FCD">
            <w:pPr>
              <w:spacing w:before="120" w:after="120" w:line="360" w:lineRule="auto"/>
              <w:ind w:left="-200" w:right="-225"/>
              <w:rPr>
                <w:szCs w:val="24"/>
                <w:lang w:eastAsia="en-US"/>
              </w:rPr>
            </w:pPr>
            <w:r w:rsidRPr="00E011BD">
              <w:rPr>
                <w:szCs w:val="24"/>
                <w:lang w:eastAsia="en-US"/>
              </w:rPr>
              <w:t xml:space="preserve">2. drepturile și obligațiile de asigurare socială în Uniune (înregistrarea în calitate de angajator, înregistrarea angajaților, notificarea încetării contractului unui salariat, plata contribuțiilor de asigurări sociale, drepturile și obligațiile legate de pensii) </w:t>
            </w:r>
          </w:p>
          <w:p w:rsidR="008B0484" w:rsidRDefault="008B0484" w:rsidP="001B5FCD">
            <w:pPr>
              <w:spacing w:before="120" w:after="120" w:line="360" w:lineRule="auto"/>
              <w:ind w:left="-200" w:right="-225"/>
              <w:rPr>
                <w:szCs w:val="24"/>
                <w:lang w:eastAsia="en-US"/>
              </w:rPr>
            </w:pPr>
            <w:r w:rsidRPr="00E011BD">
              <w:rPr>
                <w:szCs w:val="24"/>
                <w:lang w:eastAsia="en-US"/>
              </w:rPr>
              <w:t xml:space="preserve">3. ocuparea forței de muncă de către lucrători din alte state membre (detașarea lucrătorilor, normele referitoare la libera prestare a serviciilor, cerințele privind reședința pentru lucrători) </w:t>
            </w:r>
          </w:p>
          <w:p w:rsidR="008B0484" w:rsidRDefault="008B0484" w:rsidP="001B5FCD">
            <w:pPr>
              <w:spacing w:before="120" w:after="120" w:line="360" w:lineRule="auto"/>
              <w:ind w:left="-200" w:right="-225"/>
              <w:rPr>
                <w:szCs w:val="24"/>
                <w:lang w:eastAsia="en-US"/>
              </w:rPr>
            </w:pPr>
            <w:r w:rsidRPr="00E011BD">
              <w:rPr>
                <w:szCs w:val="24"/>
                <w:lang w:eastAsia="en-US"/>
              </w:rPr>
              <w:t xml:space="preserve">4. egalitatea de tratament (normele privind combaterea discriminării la locul de muncă, privind remunerarea egală pentru femei și bărbați și privind egalitatea de remunerare pentru angajații cu contracte de muncă cu durată nedeterminată sau determinată) </w:t>
            </w:r>
          </w:p>
          <w:p w:rsidR="008B0484" w:rsidRPr="00E011BD" w:rsidRDefault="008B0484" w:rsidP="001B5FCD">
            <w:pPr>
              <w:spacing w:before="120" w:after="120" w:line="360" w:lineRule="auto"/>
              <w:ind w:left="-200" w:right="-225"/>
              <w:rPr>
                <w:szCs w:val="24"/>
                <w:lang w:eastAsia="en-US"/>
              </w:rPr>
            </w:pPr>
            <w:r w:rsidRPr="00E011BD">
              <w:rPr>
                <w:szCs w:val="24"/>
                <w:lang w:eastAsia="en-US"/>
              </w:rPr>
              <w:t>5. normele privind reprezentarea personalului</w:t>
            </w:r>
          </w:p>
        </w:tc>
      </w:tr>
      <w:tr w:rsidR="008B0484" w:rsidRPr="00E30828" w:rsidTr="001B5FCD">
        <w:trPr>
          <w:jc w:val="center"/>
        </w:trPr>
        <w:tc>
          <w:tcPr>
            <w:tcW w:w="2978" w:type="dxa"/>
            <w:tcBorders>
              <w:top w:val="single" w:sz="4" w:space="0" w:color="auto"/>
              <w:left w:val="single" w:sz="4" w:space="0" w:color="auto"/>
              <w:bottom w:val="single" w:sz="4" w:space="0" w:color="auto"/>
              <w:right w:val="single" w:sz="4" w:space="0" w:color="auto"/>
            </w:tcBorders>
          </w:tcPr>
          <w:p w:rsidR="008B0484" w:rsidRPr="00E011BD" w:rsidRDefault="008B0484" w:rsidP="001B5FCD">
            <w:pPr>
              <w:spacing w:before="120" w:after="120" w:line="360" w:lineRule="auto"/>
              <w:ind w:left="-198" w:right="-338"/>
              <w:rPr>
                <w:szCs w:val="24"/>
                <w:lang w:eastAsia="en-US"/>
              </w:rPr>
            </w:pPr>
            <w:r w:rsidRPr="00E011BD">
              <w:rPr>
                <w:szCs w:val="24"/>
                <w:lang w:eastAsia="en-US"/>
              </w:rPr>
              <w:t>AC. Impozite</w:t>
            </w:r>
          </w:p>
        </w:tc>
        <w:tc>
          <w:tcPr>
            <w:tcW w:w="7223" w:type="dxa"/>
            <w:tcBorders>
              <w:top w:val="single" w:sz="4" w:space="0" w:color="auto"/>
              <w:left w:val="single" w:sz="4" w:space="0" w:color="auto"/>
              <w:bottom w:val="single" w:sz="4" w:space="0" w:color="auto"/>
              <w:right w:val="single" w:sz="4" w:space="0" w:color="auto"/>
            </w:tcBorders>
          </w:tcPr>
          <w:p w:rsidR="008B0484" w:rsidRDefault="008B0484" w:rsidP="001B5FCD">
            <w:pPr>
              <w:spacing w:before="120" w:after="120" w:line="360" w:lineRule="auto"/>
              <w:ind w:left="-200" w:right="-225"/>
              <w:rPr>
                <w:szCs w:val="24"/>
                <w:lang w:eastAsia="en-US"/>
              </w:rPr>
            </w:pPr>
            <w:r w:rsidRPr="00E011BD">
              <w:rPr>
                <w:szCs w:val="24"/>
                <w:lang w:eastAsia="en-US"/>
              </w:rPr>
              <w:t xml:space="preserve">1. TVA: informații cu privire la regulile generale, rate de impozitare și scutiri, înregistrarea și plata TVA, obținerea unei rambursări </w:t>
            </w:r>
          </w:p>
          <w:p w:rsidR="008B0484" w:rsidRDefault="008B0484" w:rsidP="001B5FCD">
            <w:pPr>
              <w:spacing w:before="120" w:after="120" w:line="360" w:lineRule="auto"/>
              <w:ind w:left="-200" w:right="-225"/>
              <w:rPr>
                <w:szCs w:val="24"/>
                <w:lang w:eastAsia="en-US"/>
              </w:rPr>
            </w:pPr>
            <w:r w:rsidRPr="00E011BD">
              <w:rPr>
                <w:szCs w:val="24"/>
                <w:lang w:eastAsia="en-US"/>
              </w:rPr>
              <w:t xml:space="preserve">2. accizele: informații cu privire la regulile generale, rate de impozitare și scutiri, înregistrarea pentru accize și plata accizelor, obținerea unei rambursări </w:t>
            </w:r>
          </w:p>
          <w:p w:rsidR="008B0484" w:rsidRDefault="008B0484" w:rsidP="001B5FCD">
            <w:pPr>
              <w:spacing w:before="120" w:after="120" w:line="360" w:lineRule="auto"/>
              <w:ind w:left="-200" w:right="-225"/>
              <w:rPr>
                <w:szCs w:val="24"/>
                <w:lang w:eastAsia="en-US"/>
              </w:rPr>
            </w:pPr>
            <w:r w:rsidRPr="00E011BD">
              <w:rPr>
                <w:szCs w:val="24"/>
                <w:lang w:eastAsia="en-US"/>
              </w:rPr>
              <w:t xml:space="preserve">3. taxe vamale și alte impozite și taxe percepute la importuri </w:t>
            </w:r>
          </w:p>
          <w:p w:rsidR="008B0484" w:rsidRDefault="008B0484" w:rsidP="001B5FCD">
            <w:pPr>
              <w:spacing w:before="120" w:after="120" w:line="360" w:lineRule="auto"/>
              <w:ind w:left="-200" w:right="-225"/>
              <w:rPr>
                <w:szCs w:val="24"/>
                <w:lang w:eastAsia="en-US"/>
              </w:rPr>
            </w:pPr>
            <w:r w:rsidRPr="00E011BD">
              <w:rPr>
                <w:szCs w:val="24"/>
                <w:lang w:eastAsia="en-US"/>
              </w:rPr>
              <w:t xml:space="preserve">4. proceduri vamale pentru importuri și exporturi în temeiul Codului vamal al Uniunii </w:t>
            </w:r>
          </w:p>
          <w:p w:rsidR="008B0484" w:rsidRPr="00E011BD" w:rsidRDefault="008B0484" w:rsidP="001B5FCD">
            <w:pPr>
              <w:spacing w:before="120" w:after="120" w:line="360" w:lineRule="auto"/>
              <w:ind w:left="-200" w:right="-225"/>
              <w:rPr>
                <w:szCs w:val="24"/>
                <w:lang w:eastAsia="en-US"/>
              </w:rPr>
            </w:pPr>
            <w:r w:rsidRPr="00E011BD">
              <w:rPr>
                <w:szCs w:val="24"/>
                <w:lang w:eastAsia="en-US"/>
              </w:rPr>
              <w:t>5. alte taxe: plăți, rate, declarații fiscale</w:t>
            </w:r>
          </w:p>
        </w:tc>
      </w:tr>
      <w:tr w:rsidR="008B0484" w:rsidRPr="00E30828" w:rsidTr="001B5FCD">
        <w:trPr>
          <w:jc w:val="center"/>
        </w:trPr>
        <w:tc>
          <w:tcPr>
            <w:tcW w:w="2978" w:type="dxa"/>
            <w:tcBorders>
              <w:top w:val="single" w:sz="4" w:space="0" w:color="auto"/>
              <w:left w:val="single" w:sz="4" w:space="0" w:color="auto"/>
              <w:bottom w:val="single" w:sz="4" w:space="0" w:color="auto"/>
              <w:right w:val="single" w:sz="4" w:space="0" w:color="auto"/>
            </w:tcBorders>
          </w:tcPr>
          <w:p w:rsidR="008B0484" w:rsidRPr="00E011BD" w:rsidRDefault="008B0484" w:rsidP="001B5FCD">
            <w:pPr>
              <w:spacing w:before="120" w:after="120" w:line="360" w:lineRule="auto"/>
              <w:ind w:left="-198" w:right="-338"/>
              <w:rPr>
                <w:szCs w:val="24"/>
                <w:lang w:eastAsia="en-US"/>
              </w:rPr>
            </w:pPr>
            <w:r w:rsidRPr="00E011BD">
              <w:rPr>
                <w:szCs w:val="24"/>
                <w:lang w:eastAsia="en-US"/>
              </w:rPr>
              <w:t>AD. Bunuri</w:t>
            </w:r>
          </w:p>
        </w:tc>
        <w:tc>
          <w:tcPr>
            <w:tcW w:w="7223" w:type="dxa"/>
            <w:tcBorders>
              <w:top w:val="single" w:sz="4" w:space="0" w:color="auto"/>
              <w:left w:val="single" w:sz="4" w:space="0" w:color="auto"/>
              <w:bottom w:val="single" w:sz="4" w:space="0" w:color="auto"/>
              <w:right w:val="single" w:sz="4" w:space="0" w:color="auto"/>
            </w:tcBorders>
          </w:tcPr>
          <w:p w:rsidR="008B0484" w:rsidRDefault="008B0484" w:rsidP="001B5FCD">
            <w:pPr>
              <w:spacing w:before="120" w:after="120" w:line="360" w:lineRule="auto"/>
              <w:ind w:left="-200" w:right="-225"/>
              <w:rPr>
                <w:szCs w:val="24"/>
                <w:lang w:eastAsia="en-US"/>
              </w:rPr>
            </w:pPr>
            <w:r w:rsidRPr="00E011BD">
              <w:rPr>
                <w:szCs w:val="24"/>
                <w:lang w:eastAsia="en-US"/>
              </w:rPr>
              <w:t xml:space="preserve">1. obținerea marcajului CE </w:t>
            </w:r>
          </w:p>
          <w:p w:rsidR="008B0484" w:rsidRDefault="008B0484" w:rsidP="001B5FCD">
            <w:pPr>
              <w:spacing w:before="120" w:after="120" w:line="360" w:lineRule="auto"/>
              <w:ind w:left="-200" w:right="-225"/>
              <w:rPr>
                <w:szCs w:val="24"/>
                <w:lang w:eastAsia="en-US"/>
              </w:rPr>
            </w:pPr>
            <w:r w:rsidRPr="00E011BD">
              <w:rPr>
                <w:szCs w:val="24"/>
                <w:lang w:eastAsia="en-US"/>
              </w:rPr>
              <w:t xml:space="preserve">2. norme și cerințe privind produsele </w:t>
            </w:r>
          </w:p>
          <w:p w:rsidR="008B0484" w:rsidRDefault="008B0484" w:rsidP="001B5FCD">
            <w:pPr>
              <w:spacing w:before="120" w:after="120" w:line="360" w:lineRule="auto"/>
              <w:ind w:left="-200" w:right="-225"/>
              <w:rPr>
                <w:szCs w:val="24"/>
                <w:lang w:eastAsia="en-US"/>
              </w:rPr>
            </w:pPr>
            <w:r w:rsidRPr="00E011BD">
              <w:rPr>
                <w:szCs w:val="24"/>
                <w:lang w:eastAsia="en-US"/>
              </w:rPr>
              <w:t xml:space="preserve">3. identificarea standardelor aplicabile, specificațiile tehnice și obținerea </w:t>
            </w:r>
            <w:r w:rsidRPr="00E011BD">
              <w:rPr>
                <w:szCs w:val="24"/>
                <w:lang w:eastAsia="en-US"/>
              </w:rPr>
              <w:lastRenderedPageBreak/>
              <w:t xml:space="preserve">certificării pentru produse </w:t>
            </w:r>
          </w:p>
          <w:p w:rsidR="008B0484" w:rsidRDefault="008B0484" w:rsidP="001B5FCD">
            <w:pPr>
              <w:spacing w:before="120" w:after="120" w:line="360" w:lineRule="auto"/>
              <w:ind w:left="-200" w:right="-225"/>
              <w:rPr>
                <w:szCs w:val="24"/>
                <w:lang w:eastAsia="en-US"/>
              </w:rPr>
            </w:pPr>
            <w:r w:rsidRPr="00E011BD">
              <w:rPr>
                <w:szCs w:val="24"/>
                <w:lang w:eastAsia="en-US"/>
              </w:rPr>
              <w:t xml:space="preserve">4. recunoașterea reciprocă a produselor care nu fac obiectul unor specificații la nivelul Uniunii </w:t>
            </w:r>
          </w:p>
          <w:p w:rsidR="008B0484" w:rsidRDefault="008B0484" w:rsidP="001B5FCD">
            <w:pPr>
              <w:spacing w:before="120" w:after="120" w:line="360" w:lineRule="auto"/>
              <w:ind w:left="-200" w:right="-225"/>
              <w:rPr>
                <w:szCs w:val="24"/>
                <w:lang w:eastAsia="en-US"/>
              </w:rPr>
            </w:pPr>
            <w:r w:rsidRPr="00E011BD">
              <w:rPr>
                <w:szCs w:val="24"/>
                <w:lang w:eastAsia="en-US"/>
              </w:rPr>
              <w:t xml:space="preserve">5. cerințe privind clasificarea, etichetarea și ambalarea substanțelor chimice periculoase </w:t>
            </w:r>
          </w:p>
          <w:p w:rsidR="008B0484" w:rsidRDefault="008B0484" w:rsidP="001B5FCD">
            <w:pPr>
              <w:spacing w:before="120" w:after="120" w:line="360" w:lineRule="auto"/>
              <w:ind w:left="-200" w:right="-225"/>
              <w:rPr>
                <w:szCs w:val="24"/>
                <w:lang w:eastAsia="en-US"/>
              </w:rPr>
            </w:pPr>
            <w:r w:rsidRPr="00E011BD">
              <w:rPr>
                <w:szCs w:val="24"/>
                <w:lang w:eastAsia="en-US"/>
              </w:rPr>
              <w:t xml:space="preserve">6. vânzarea la distanță sau în afara spațiului comercial: informațiile care urmează să fie furnizate clienților în avans, confirmarea scrisă a contractului, retragerea dintr-un contract, furnizarea de bunuri, alte obligații specifice </w:t>
            </w:r>
          </w:p>
          <w:p w:rsidR="008B0484" w:rsidRDefault="008B0484" w:rsidP="001B5FCD">
            <w:pPr>
              <w:spacing w:before="120" w:after="120" w:line="360" w:lineRule="auto"/>
              <w:ind w:left="-200" w:right="-225"/>
              <w:rPr>
                <w:szCs w:val="24"/>
                <w:lang w:eastAsia="en-US"/>
              </w:rPr>
            </w:pPr>
            <w:r w:rsidRPr="00E011BD">
              <w:rPr>
                <w:szCs w:val="24"/>
                <w:lang w:eastAsia="en-US"/>
              </w:rPr>
              <w:t xml:space="preserve">7. produsele cu defecte: drepturile consumatorilor și garanții, responsabilitățile post-vânzare, căi de atac pentru partea prejudiciată </w:t>
            </w:r>
          </w:p>
          <w:p w:rsidR="008B0484" w:rsidRDefault="008B0484" w:rsidP="001B5FCD">
            <w:pPr>
              <w:spacing w:before="120" w:after="120" w:line="360" w:lineRule="auto"/>
              <w:ind w:left="-200" w:right="-225"/>
              <w:rPr>
                <w:szCs w:val="24"/>
                <w:lang w:eastAsia="en-US"/>
              </w:rPr>
            </w:pPr>
            <w:r w:rsidRPr="00E011BD">
              <w:rPr>
                <w:szCs w:val="24"/>
                <w:lang w:eastAsia="en-US"/>
              </w:rPr>
              <w:t>8. certificare, etichete (</w:t>
            </w:r>
            <w:proofErr w:type="spellStart"/>
            <w:r w:rsidRPr="00E011BD">
              <w:rPr>
                <w:szCs w:val="24"/>
                <w:lang w:eastAsia="en-US"/>
              </w:rPr>
              <w:t>EMAS</w:t>
            </w:r>
            <w:proofErr w:type="spellEnd"/>
            <w:r w:rsidRPr="00E011BD">
              <w:rPr>
                <w:szCs w:val="24"/>
                <w:lang w:eastAsia="en-US"/>
              </w:rPr>
              <w:t xml:space="preserve">, etichetele energetice, proiectarea ecologică, eticheta ecologică a UE) </w:t>
            </w:r>
          </w:p>
          <w:p w:rsidR="008B0484" w:rsidRPr="00E011BD" w:rsidRDefault="008B0484" w:rsidP="001B5FCD">
            <w:pPr>
              <w:spacing w:before="120" w:after="120" w:line="360" w:lineRule="auto"/>
              <w:ind w:left="-200" w:right="-225"/>
              <w:rPr>
                <w:szCs w:val="24"/>
                <w:lang w:eastAsia="en-US"/>
              </w:rPr>
            </w:pPr>
            <w:r w:rsidRPr="00E011BD">
              <w:rPr>
                <w:szCs w:val="24"/>
                <w:lang w:eastAsia="en-US"/>
              </w:rPr>
              <w:t>9. reciclarea și gestionarea deșeurilor</w:t>
            </w:r>
          </w:p>
        </w:tc>
      </w:tr>
      <w:tr w:rsidR="008B0484" w:rsidRPr="00E30828" w:rsidTr="001B5FCD">
        <w:trPr>
          <w:jc w:val="center"/>
        </w:trPr>
        <w:tc>
          <w:tcPr>
            <w:tcW w:w="2978" w:type="dxa"/>
            <w:tcBorders>
              <w:top w:val="single" w:sz="4" w:space="0" w:color="auto"/>
              <w:left w:val="single" w:sz="4" w:space="0" w:color="auto"/>
              <w:bottom w:val="single" w:sz="4" w:space="0" w:color="auto"/>
              <w:right w:val="single" w:sz="4" w:space="0" w:color="auto"/>
            </w:tcBorders>
          </w:tcPr>
          <w:p w:rsidR="008B0484" w:rsidRPr="00E011BD" w:rsidRDefault="008B0484" w:rsidP="001B5FCD">
            <w:pPr>
              <w:spacing w:before="120" w:after="120" w:line="360" w:lineRule="auto"/>
              <w:ind w:left="-198" w:right="-338"/>
              <w:rPr>
                <w:szCs w:val="24"/>
                <w:lang w:eastAsia="en-US"/>
              </w:rPr>
            </w:pPr>
            <w:proofErr w:type="spellStart"/>
            <w:r w:rsidRPr="00E011BD">
              <w:rPr>
                <w:szCs w:val="24"/>
                <w:lang w:eastAsia="en-US"/>
              </w:rPr>
              <w:lastRenderedPageBreak/>
              <w:t>AE</w:t>
            </w:r>
            <w:proofErr w:type="spellEnd"/>
            <w:r w:rsidRPr="00E011BD">
              <w:rPr>
                <w:szCs w:val="24"/>
                <w:lang w:eastAsia="en-US"/>
              </w:rPr>
              <w:t>. Servicii</w:t>
            </w:r>
          </w:p>
        </w:tc>
        <w:tc>
          <w:tcPr>
            <w:tcW w:w="7223" w:type="dxa"/>
            <w:tcBorders>
              <w:top w:val="single" w:sz="4" w:space="0" w:color="auto"/>
              <w:left w:val="single" w:sz="4" w:space="0" w:color="auto"/>
              <w:bottom w:val="single" w:sz="4" w:space="0" w:color="auto"/>
              <w:right w:val="single" w:sz="4" w:space="0" w:color="auto"/>
            </w:tcBorders>
          </w:tcPr>
          <w:p w:rsidR="008B0484" w:rsidRDefault="008B0484" w:rsidP="001B5FCD">
            <w:pPr>
              <w:spacing w:before="120" w:after="120" w:line="360" w:lineRule="auto"/>
              <w:ind w:left="-200" w:right="-225"/>
              <w:rPr>
                <w:szCs w:val="24"/>
                <w:lang w:eastAsia="en-US"/>
              </w:rPr>
            </w:pPr>
            <w:r w:rsidRPr="00E011BD">
              <w:rPr>
                <w:szCs w:val="24"/>
                <w:lang w:eastAsia="en-US"/>
              </w:rPr>
              <w:t xml:space="preserve">1. obținerea de licențe, autorizații sau permise în vederea înființării și exploatării unei persoane juridice alta decât o întreprindere </w:t>
            </w:r>
          </w:p>
          <w:p w:rsidR="008B0484" w:rsidRDefault="008B0484" w:rsidP="001B5FCD">
            <w:pPr>
              <w:spacing w:before="120" w:after="120" w:line="360" w:lineRule="auto"/>
              <w:ind w:left="-200" w:right="-225"/>
              <w:rPr>
                <w:szCs w:val="24"/>
                <w:lang w:eastAsia="en-US"/>
              </w:rPr>
            </w:pPr>
            <w:r w:rsidRPr="00E011BD">
              <w:rPr>
                <w:szCs w:val="24"/>
                <w:lang w:eastAsia="en-US"/>
              </w:rPr>
              <w:t xml:space="preserve">2. informarea autorităților cu privire la activitățile transfrontaliere </w:t>
            </w:r>
          </w:p>
          <w:p w:rsidR="008B0484" w:rsidRPr="00E011BD" w:rsidRDefault="008B0484" w:rsidP="001B5FCD">
            <w:pPr>
              <w:spacing w:before="120" w:after="120" w:line="360" w:lineRule="auto"/>
              <w:ind w:left="-200" w:right="-225"/>
              <w:rPr>
                <w:szCs w:val="24"/>
                <w:lang w:eastAsia="en-US"/>
              </w:rPr>
            </w:pPr>
            <w:r w:rsidRPr="00E011BD">
              <w:rPr>
                <w:szCs w:val="24"/>
                <w:lang w:eastAsia="en-US"/>
              </w:rPr>
              <w:t>3. recunoașterea calificărilor profesionale, inclusiv a educației și formării profesionale</w:t>
            </w:r>
          </w:p>
        </w:tc>
      </w:tr>
      <w:tr w:rsidR="008B0484" w:rsidRPr="00E30828" w:rsidTr="001B5FCD">
        <w:trPr>
          <w:jc w:val="center"/>
        </w:trPr>
        <w:tc>
          <w:tcPr>
            <w:tcW w:w="2978" w:type="dxa"/>
            <w:tcBorders>
              <w:top w:val="single" w:sz="4" w:space="0" w:color="auto"/>
              <w:left w:val="single" w:sz="4" w:space="0" w:color="auto"/>
              <w:bottom w:val="single" w:sz="4" w:space="0" w:color="auto"/>
              <w:right w:val="single" w:sz="4" w:space="0" w:color="auto"/>
            </w:tcBorders>
          </w:tcPr>
          <w:p w:rsidR="008B0484" w:rsidRPr="00E011BD" w:rsidRDefault="008B0484" w:rsidP="001B5FCD">
            <w:pPr>
              <w:spacing w:before="120" w:after="120" w:line="360" w:lineRule="auto"/>
              <w:ind w:left="-198" w:right="-338"/>
              <w:rPr>
                <w:szCs w:val="24"/>
                <w:lang w:eastAsia="en-US"/>
              </w:rPr>
            </w:pPr>
            <w:proofErr w:type="spellStart"/>
            <w:r w:rsidRPr="00E011BD">
              <w:rPr>
                <w:szCs w:val="24"/>
                <w:lang w:eastAsia="en-US"/>
              </w:rPr>
              <w:t>AF</w:t>
            </w:r>
            <w:proofErr w:type="spellEnd"/>
            <w:r w:rsidRPr="00E011BD">
              <w:rPr>
                <w:szCs w:val="24"/>
                <w:lang w:eastAsia="en-US"/>
              </w:rPr>
              <w:t>. Finanțarea unei persoane juridice, alta decât o întreprindere</w:t>
            </w:r>
          </w:p>
        </w:tc>
        <w:tc>
          <w:tcPr>
            <w:tcW w:w="7223" w:type="dxa"/>
            <w:tcBorders>
              <w:top w:val="single" w:sz="4" w:space="0" w:color="auto"/>
              <w:left w:val="single" w:sz="4" w:space="0" w:color="auto"/>
              <w:bottom w:val="single" w:sz="4" w:space="0" w:color="auto"/>
              <w:right w:val="single" w:sz="4" w:space="0" w:color="auto"/>
            </w:tcBorders>
          </w:tcPr>
          <w:p w:rsidR="008B0484" w:rsidRDefault="008B0484" w:rsidP="001B5FCD">
            <w:pPr>
              <w:spacing w:before="120" w:after="120" w:line="360" w:lineRule="auto"/>
              <w:ind w:left="-200" w:right="-225"/>
              <w:rPr>
                <w:szCs w:val="24"/>
                <w:lang w:eastAsia="en-US"/>
              </w:rPr>
            </w:pPr>
            <w:r w:rsidRPr="00E011BD">
              <w:rPr>
                <w:szCs w:val="24"/>
                <w:lang w:eastAsia="en-US"/>
              </w:rPr>
              <w:t xml:space="preserve">1. obținerea accesului la finanțare la nivelul Uniunii, inclusiv la programele de finanțare și granturile Uniunii </w:t>
            </w:r>
          </w:p>
          <w:p w:rsidR="008B0484" w:rsidRDefault="008B0484" w:rsidP="001B5FCD">
            <w:pPr>
              <w:spacing w:before="120" w:after="120" w:line="360" w:lineRule="auto"/>
              <w:ind w:left="-200" w:right="-225"/>
              <w:rPr>
                <w:szCs w:val="24"/>
                <w:lang w:eastAsia="en-US"/>
              </w:rPr>
            </w:pPr>
            <w:r w:rsidRPr="00E011BD">
              <w:rPr>
                <w:szCs w:val="24"/>
                <w:lang w:eastAsia="en-US"/>
              </w:rPr>
              <w:t xml:space="preserve">2. obținerea accesului la finanțare la nivel național </w:t>
            </w:r>
          </w:p>
          <w:p w:rsidR="008B0484" w:rsidRPr="00E011BD" w:rsidRDefault="008B0484" w:rsidP="001B5FCD">
            <w:pPr>
              <w:spacing w:before="120" w:after="120" w:line="360" w:lineRule="auto"/>
              <w:ind w:left="-200" w:right="-225"/>
              <w:rPr>
                <w:szCs w:val="24"/>
                <w:lang w:eastAsia="en-US"/>
              </w:rPr>
            </w:pPr>
            <w:r w:rsidRPr="00E011BD">
              <w:rPr>
                <w:szCs w:val="24"/>
                <w:lang w:eastAsia="en-US"/>
              </w:rPr>
              <w:t>3. inițiative adresate persoanelor juridice, altele decât o întreprindere (schimburi, programe de mentorat etc.)</w:t>
            </w:r>
          </w:p>
        </w:tc>
      </w:tr>
      <w:tr w:rsidR="008B0484" w:rsidRPr="00E30828" w:rsidTr="001B5FCD">
        <w:trPr>
          <w:jc w:val="center"/>
        </w:trPr>
        <w:tc>
          <w:tcPr>
            <w:tcW w:w="2978" w:type="dxa"/>
            <w:tcBorders>
              <w:top w:val="single" w:sz="4" w:space="0" w:color="auto"/>
              <w:left w:val="single" w:sz="4" w:space="0" w:color="auto"/>
              <w:bottom w:val="single" w:sz="4" w:space="0" w:color="auto"/>
              <w:right w:val="single" w:sz="4" w:space="0" w:color="auto"/>
            </w:tcBorders>
          </w:tcPr>
          <w:p w:rsidR="008B0484" w:rsidRPr="00E011BD" w:rsidRDefault="008B0484" w:rsidP="001B5FCD">
            <w:pPr>
              <w:spacing w:before="120" w:after="120" w:line="360" w:lineRule="auto"/>
              <w:ind w:left="-198" w:right="-338"/>
              <w:rPr>
                <w:szCs w:val="24"/>
                <w:lang w:eastAsia="en-US"/>
              </w:rPr>
            </w:pPr>
            <w:r w:rsidRPr="00E011BD">
              <w:rPr>
                <w:szCs w:val="24"/>
                <w:lang w:eastAsia="en-US"/>
              </w:rPr>
              <w:t>AG. Contracte publice</w:t>
            </w:r>
          </w:p>
        </w:tc>
        <w:tc>
          <w:tcPr>
            <w:tcW w:w="7223" w:type="dxa"/>
            <w:tcBorders>
              <w:top w:val="single" w:sz="4" w:space="0" w:color="auto"/>
              <w:left w:val="single" w:sz="4" w:space="0" w:color="auto"/>
              <w:bottom w:val="single" w:sz="4" w:space="0" w:color="auto"/>
              <w:right w:val="single" w:sz="4" w:space="0" w:color="auto"/>
            </w:tcBorders>
          </w:tcPr>
          <w:p w:rsidR="008B0484" w:rsidRDefault="008B0484" w:rsidP="001B5FCD">
            <w:pPr>
              <w:spacing w:before="120" w:after="120" w:line="360" w:lineRule="auto"/>
              <w:ind w:left="-200" w:right="-225"/>
              <w:rPr>
                <w:szCs w:val="24"/>
                <w:lang w:eastAsia="en-US"/>
              </w:rPr>
            </w:pPr>
            <w:r w:rsidRPr="00E011BD">
              <w:rPr>
                <w:szCs w:val="24"/>
                <w:lang w:eastAsia="en-US"/>
              </w:rPr>
              <w:t xml:space="preserve">1. participarea la licitații publice: norme și proceduri </w:t>
            </w:r>
          </w:p>
          <w:p w:rsidR="008B0484" w:rsidRDefault="008B0484" w:rsidP="001B5FCD">
            <w:pPr>
              <w:spacing w:before="120" w:after="120" w:line="360" w:lineRule="auto"/>
              <w:ind w:left="-200" w:right="-225"/>
              <w:rPr>
                <w:szCs w:val="24"/>
                <w:lang w:eastAsia="en-US"/>
              </w:rPr>
            </w:pPr>
            <w:r w:rsidRPr="00E011BD">
              <w:rPr>
                <w:szCs w:val="24"/>
                <w:lang w:eastAsia="en-US"/>
              </w:rPr>
              <w:t xml:space="preserve">2. prezentarea unei oferte online ca răspuns la o cerere de ofertă publică </w:t>
            </w:r>
          </w:p>
          <w:p w:rsidR="008B0484" w:rsidRPr="00E011BD" w:rsidRDefault="008B0484" w:rsidP="001B5FCD">
            <w:pPr>
              <w:spacing w:before="120" w:after="120" w:line="360" w:lineRule="auto"/>
              <w:ind w:left="-200" w:right="-225"/>
              <w:rPr>
                <w:szCs w:val="24"/>
                <w:lang w:eastAsia="en-US"/>
              </w:rPr>
            </w:pPr>
            <w:r w:rsidRPr="00E011BD">
              <w:rPr>
                <w:szCs w:val="24"/>
                <w:lang w:eastAsia="en-US"/>
              </w:rPr>
              <w:t>3. raportarea neregulilor în ceea ce privește procesul de licitație</w:t>
            </w:r>
          </w:p>
        </w:tc>
      </w:tr>
      <w:tr w:rsidR="008B0484" w:rsidRPr="00E30828" w:rsidTr="001B5FCD">
        <w:trPr>
          <w:jc w:val="center"/>
        </w:trPr>
        <w:tc>
          <w:tcPr>
            <w:tcW w:w="2978" w:type="dxa"/>
            <w:tcBorders>
              <w:top w:val="single" w:sz="4" w:space="0" w:color="auto"/>
              <w:left w:val="single" w:sz="4" w:space="0" w:color="auto"/>
              <w:bottom w:val="single" w:sz="4" w:space="0" w:color="auto"/>
              <w:right w:val="single" w:sz="4" w:space="0" w:color="auto"/>
            </w:tcBorders>
          </w:tcPr>
          <w:p w:rsidR="008B0484" w:rsidRPr="00E011BD" w:rsidRDefault="008B0484" w:rsidP="001B5FCD">
            <w:pPr>
              <w:spacing w:before="120" w:after="120" w:line="360" w:lineRule="auto"/>
              <w:ind w:left="-198" w:right="-338"/>
              <w:rPr>
                <w:szCs w:val="24"/>
                <w:lang w:eastAsia="en-US"/>
              </w:rPr>
            </w:pPr>
            <w:r w:rsidRPr="00E011BD">
              <w:rPr>
                <w:szCs w:val="24"/>
                <w:lang w:eastAsia="en-US"/>
              </w:rPr>
              <w:t xml:space="preserve">AH. Sănătatea și securitatea </w:t>
            </w:r>
            <w:r w:rsidRPr="00E011BD">
              <w:rPr>
                <w:szCs w:val="24"/>
                <w:lang w:eastAsia="en-US"/>
              </w:rPr>
              <w:lastRenderedPageBreak/>
              <w:t>în muncă</w:t>
            </w:r>
          </w:p>
        </w:tc>
        <w:tc>
          <w:tcPr>
            <w:tcW w:w="7223" w:type="dxa"/>
            <w:tcBorders>
              <w:top w:val="single" w:sz="4" w:space="0" w:color="auto"/>
              <w:left w:val="single" w:sz="4" w:space="0" w:color="auto"/>
              <w:bottom w:val="single" w:sz="4" w:space="0" w:color="auto"/>
              <w:right w:val="single" w:sz="4" w:space="0" w:color="auto"/>
            </w:tcBorders>
          </w:tcPr>
          <w:p w:rsidR="008B0484" w:rsidRPr="00E011BD" w:rsidRDefault="008B0484" w:rsidP="001B5FCD">
            <w:pPr>
              <w:spacing w:before="120" w:after="120" w:line="360" w:lineRule="auto"/>
              <w:ind w:left="-200" w:right="-225"/>
              <w:rPr>
                <w:szCs w:val="24"/>
                <w:lang w:eastAsia="en-US"/>
              </w:rPr>
            </w:pPr>
            <w:r w:rsidRPr="00E011BD">
              <w:rPr>
                <w:szCs w:val="24"/>
                <w:lang w:eastAsia="en-US"/>
              </w:rPr>
              <w:lastRenderedPageBreak/>
              <w:t xml:space="preserve">1. obligațiile în materie de sănătate și siguranță în ceea ce privește </w:t>
            </w:r>
            <w:r w:rsidRPr="00E011BD">
              <w:rPr>
                <w:szCs w:val="24"/>
                <w:lang w:eastAsia="en-US"/>
              </w:rPr>
              <w:lastRenderedPageBreak/>
              <w:t>diferitele tipuri de activități, printre care prevenirea riscurilor, informarea și formarea profesională</w:t>
            </w:r>
          </w:p>
        </w:tc>
      </w:tr>
    </w:tbl>
    <w:p w:rsidR="001B5FCD" w:rsidRDefault="001B5FCD" w:rsidP="001B5FCD">
      <w:pPr>
        <w:spacing w:before="120" w:after="120" w:line="360" w:lineRule="auto"/>
        <w:jc w:val="right"/>
        <w:rPr>
          <w:b/>
          <w:szCs w:val="24"/>
          <w:lang w:eastAsia="en-US"/>
        </w:rPr>
      </w:pPr>
      <w:r>
        <w:rPr>
          <w:b/>
          <w:szCs w:val="24"/>
          <w:lang w:eastAsia="en-US"/>
        </w:rPr>
        <w:lastRenderedPageBreak/>
        <w:t>[AM 5]</w:t>
      </w:r>
    </w:p>
    <w:p w:rsidR="00E011BD" w:rsidRPr="00E011BD" w:rsidRDefault="00E011BD" w:rsidP="00E011BD">
      <w:pPr>
        <w:spacing w:before="120" w:after="120" w:line="360" w:lineRule="auto"/>
        <w:jc w:val="center"/>
        <w:rPr>
          <w:szCs w:val="24"/>
          <w:lang w:eastAsia="en-US"/>
        </w:rPr>
      </w:pPr>
      <w:r w:rsidRPr="00E011BD">
        <w:rPr>
          <w:szCs w:val="24"/>
          <w:lang w:eastAsia="en-US"/>
        </w:rPr>
        <w:t>Articolul 3</w:t>
      </w:r>
      <w:r w:rsidRPr="00E011BD">
        <w:rPr>
          <w:szCs w:val="24"/>
          <w:lang w:eastAsia="en-US"/>
        </w:rPr>
        <w:br/>
        <w:t>Intrare în vigoare</w:t>
      </w:r>
    </w:p>
    <w:p w:rsidR="00E011BD" w:rsidRPr="00E011BD" w:rsidRDefault="00E011BD" w:rsidP="00E011BD">
      <w:pPr>
        <w:spacing w:before="120" w:after="120" w:line="360" w:lineRule="auto"/>
        <w:rPr>
          <w:szCs w:val="24"/>
          <w:lang w:eastAsia="en-US"/>
        </w:rPr>
      </w:pPr>
      <w:r w:rsidRPr="00E011BD">
        <w:rPr>
          <w:szCs w:val="24"/>
          <w:lang w:eastAsia="en-US"/>
        </w:rPr>
        <w:t xml:space="preserve">Prezentul regulament intră în vigoare în a douăzecea zi de la data publicării în </w:t>
      </w:r>
      <w:r w:rsidRPr="008B0484">
        <w:rPr>
          <w:i/>
          <w:szCs w:val="24"/>
          <w:lang w:eastAsia="en-US"/>
        </w:rPr>
        <w:t>Jurnalul Oficial al Uniunii Europene</w:t>
      </w:r>
      <w:r w:rsidRPr="00E011BD">
        <w:rPr>
          <w:szCs w:val="24"/>
          <w:lang w:eastAsia="en-US"/>
        </w:rPr>
        <w:t>.</w:t>
      </w:r>
    </w:p>
    <w:p w:rsidR="00E011BD" w:rsidRPr="00E011BD" w:rsidRDefault="00E011BD" w:rsidP="00E011BD">
      <w:pPr>
        <w:spacing w:before="120" w:after="120" w:line="360" w:lineRule="auto"/>
        <w:rPr>
          <w:szCs w:val="24"/>
          <w:lang w:eastAsia="en-US"/>
        </w:rPr>
      </w:pPr>
      <w:r w:rsidRPr="00E011BD">
        <w:rPr>
          <w:szCs w:val="24"/>
          <w:lang w:eastAsia="en-US"/>
        </w:rPr>
        <w:t>Prezentul regulament este obligatoriu în toate elementele sale și se aplică direct în toate statele membre.</w:t>
      </w:r>
    </w:p>
    <w:p w:rsidR="00E011BD" w:rsidRPr="00E011BD" w:rsidRDefault="00E011BD" w:rsidP="00E011BD">
      <w:pPr>
        <w:keepNext/>
        <w:widowControl/>
        <w:spacing w:before="120" w:line="360" w:lineRule="auto"/>
        <w:rPr>
          <w:szCs w:val="24"/>
          <w:lang w:eastAsia="en-US"/>
        </w:rPr>
      </w:pPr>
      <w:r w:rsidRPr="00E011BD">
        <w:rPr>
          <w:szCs w:val="24"/>
          <w:lang w:eastAsia="en-US"/>
        </w:rPr>
        <w:t xml:space="preserve">Adoptat la </w:t>
      </w:r>
      <w:r w:rsidR="00094305">
        <w:rPr>
          <w:szCs w:val="24"/>
          <w:lang w:eastAsia="en-US"/>
        </w:rPr>
        <w:t>…</w:t>
      </w:r>
      <w:bookmarkStart w:id="8" w:name="_GoBack"/>
      <w:bookmarkEnd w:id="8"/>
      <w:r w:rsidRPr="00E011BD">
        <w:rPr>
          <w:szCs w:val="24"/>
          <w:lang w:eastAsia="en-US"/>
        </w:rPr>
        <w:t>,</w:t>
      </w:r>
    </w:p>
    <w:p w:rsidR="00E011BD" w:rsidRPr="00E011BD" w:rsidRDefault="00E011BD" w:rsidP="00E011BD">
      <w:pPr>
        <w:keepNext/>
        <w:widowControl/>
        <w:tabs>
          <w:tab w:val="left" w:pos="4252"/>
        </w:tabs>
        <w:spacing w:before="720" w:after="100" w:line="360" w:lineRule="auto"/>
        <w:jc w:val="both"/>
        <w:rPr>
          <w:i/>
          <w:szCs w:val="24"/>
          <w:lang w:eastAsia="en-US"/>
        </w:rPr>
      </w:pPr>
      <w:r w:rsidRPr="00E011BD">
        <w:rPr>
          <w:i/>
          <w:szCs w:val="24"/>
          <w:lang w:eastAsia="en-US"/>
        </w:rPr>
        <w:t>Pentru Parlamentul European</w:t>
      </w:r>
      <w:r w:rsidRPr="00E011BD">
        <w:rPr>
          <w:i/>
          <w:szCs w:val="24"/>
          <w:lang w:eastAsia="en-US"/>
        </w:rPr>
        <w:tab/>
        <w:t>Pentru Consiliu</w:t>
      </w:r>
    </w:p>
    <w:p w:rsidR="00F20357" w:rsidRPr="00722D2E" w:rsidRDefault="00E011BD" w:rsidP="00722D2E">
      <w:pPr>
        <w:widowControl/>
        <w:tabs>
          <w:tab w:val="left" w:pos="4252"/>
        </w:tabs>
        <w:spacing w:line="360" w:lineRule="auto"/>
        <w:rPr>
          <w:i/>
          <w:szCs w:val="24"/>
          <w:lang w:eastAsia="en-US"/>
        </w:rPr>
      </w:pPr>
      <w:r w:rsidRPr="00E011BD">
        <w:rPr>
          <w:i/>
          <w:szCs w:val="24"/>
          <w:lang w:eastAsia="en-US"/>
        </w:rPr>
        <w:t>Președinta</w:t>
      </w:r>
      <w:r w:rsidRPr="00E011BD">
        <w:rPr>
          <w:i/>
          <w:szCs w:val="24"/>
          <w:lang w:eastAsia="en-US"/>
        </w:rPr>
        <w:tab/>
        <w:t>Președintele</w:t>
      </w:r>
    </w:p>
    <w:sectPr w:rsidR="00F20357" w:rsidRPr="00722D2E" w:rsidSect="000436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5CC" w:rsidRPr="000436BA" w:rsidRDefault="006425CC">
      <w:r w:rsidRPr="000436BA">
        <w:separator/>
      </w:r>
    </w:p>
  </w:endnote>
  <w:endnote w:type="continuationSeparator" w:id="0">
    <w:p w:rsidR="006425CC" w:rsidRPr="000436BA" w:rsidRDefault="006425CC">
      <w:r w:rsidRPr="000436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101" w:rsidRDefault="00FA710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101" w:rsidRDefault="00FA710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5CC" w:rsidRPr="000436BA" w:rsidRDefault="006425CC">
      <w:r w:rsidRPr="000436BA">
        <w:separator/>
      </w:r>
    </w:p>
  </w:footnote>
  <w:footnote w:type="continuationSeparator" w:id="0">
    <w:p w:rsidR="006425CC" w:rsidRPr="000436BA" w:rsidRDefault="006425CC">
      <w:r w:rsidRPr="000436BA">
        <w:continuationSeparator/>
      </w:r>
    </w:p>
  </w:footnote>
  <w:footnote w:id="1">
    <w:p w:rsidR="0001670D" w:rsidRPr="00FA7101" w:rsidRDefault="0001670D" w:rsidP="00FA7101">
      <w:pPr>
        <w:pStyle w:val="FootnoteText"/>
        <w:ind w:left="851" w:hanging="851"/>
        <w:rPr>
          <w:sz w:val="24"/>
          <w:szCs w:val="24"/>
          <w:lang w:val="ro-RO"/>
        </w:rPr>
      </w:pPr>
      <w:r w:rsidRPr="00FA7101">
        <w:rPr>
          <w:rStyle w:val="FootnoteReference"/>
          <w:sz w:val="24"/>
          <w:szCs w:val="24"/>
          <w:lang w:val="ro-RO"/>
        </w:rPr>
        <w:footnoteRef/>
      </w:r>
      <w:r w:rsidRPr="00FA7101">
        <w:rPr>
          <w:sz w:val="24"/>
          <w:szCs w:val="24"/>
          <w:lang w:val="ro-RO"/>
        </w:rPr>
        <w:t xml:space="preserve"> </w:t>
      </w:r>
      <w:r w:rsidRPr="00FA7101">
        <w:rPr>
          <w:sz w:val="24"/>
          <w:szCs w:val="24"/>
          <w:lang w:val="ro-RO"/>
        </w:rPr>
        <w:tab/>
        <w:t>Nepublicat încă în Jurnalul Oficial.</w:t>
      </w:r>
    </w:p>
  </w:footnote>
  <w:footnote w:id="2">
    <w:p w:rsidR="00E011BD" w:rsidRPr="00FA7101" w:rsidRDefault="00E011BD" w:rsidP="00FA7101">
      <w:pPr>
        <w:pStyle w:val="FootnoteTextForceStyle"/>
        <w:ind w:left="851" w:hanging="851"/>
        <w:rPr>
          <w:szCs w:val="24"/>
          <w:lang w:val="ro-RO"/>
        </w:rPr>
      </w:pPr>
      <w:r w:rsidRPr="00FA7101">
        <w:rPr>
          <w:szCs w:val="24"/>
          <w:vertAlign w:val="superscript"/>
          <w:lang w:val="ro-RO"/>
        </w:rPr>
        <w:footnoteRef/>
      </w:r>
      <w:r w:rsidRPr="00FA7101">
        <w:rPr>
          <w:szCs w:val="24"/>
          <w:lang w:val="ro-RO"/>
        </w:rPr>
        <w:tab/>
        <w:t>Trimitere la aviz</w:t>
      </w:r>
    </w:p>
  </w:footnote>
  <w:footnote w:id="3">
    <w:p w:rsidR="00E011BD" w:rsidRPr="00FA7101" w:rsidRDefault="00E011BD" w:rsidP="00FA7101">
      <w:pPr>
        <w:pStyle w:val="FootnoteTextForceStyle"/>
        <w:ind w:left="851" w:hanging="851"/>
        <w:rPr>
          <w:szCs w:val="24"/>
          <w:lang w:val="ro-RO"/>
        </w:rPr>
      </w:pPr>
      <w:r w:rsidRPr="00FA7101">
        <w:rPr>
          <w:szCs w:val="24"/>
          <w:vertAlign w:val="superscript"/>
          <w:lang w:val="ro-RO"/>
        </w:rPr>
        <w:footnoteRef/>
      </w:r>
      <w:r w:rsidRPr="00FA7101">
        <w:rPr>
          <w:szCs w:val="24"/>
          <w:lang w:val="ro-RO"/>
        </w:rPr>
        <w:tab/>
        <w:t xml:space="preserve">Directiva Parlamentului European și a Consiliului din ... privind asociațiile transfrontaliere europene (referința </w:t>
      </w:r>
      <w:proofErr w:type="spellStart"/>
      <w:r w:rsidRPr="00FA7101">
        <w:rPr>
          <w:szCs w:val="24"/>
          <w:lang w:val="ro-RO"/>
        </w:rPr>
        <w:t>JO</w:t>
      </w:r>
      <w:proofErr w:type="spellEnd"/>
      <w:r w:rsidRPr="00FA7101">
        <w:rPr>
          <w:szCs w:val="24"/>
          <w:lang w:val="ro-RO"/>
        </w:rPr>
        <w:t>).</w:t>
      </w:r>
    </w:p>
  </w:footnote>
  <w:footnote w:id="4">
    <w:p w:rsidR="00E011BD" w:rsidRPr="00FA7101" w:rsidRDefault="00E011BD" w:rsidP="00FA7101">
      <w:pPr>
        <w:pStyle w:val="FootnoteTextForceStyle"/>
        <w:ind w:left="851" w:hanging="851"/>
        <w:rPr>
          <w:szCs w:val="24"/>
          <w:lang w:val="ro-RO"/>
        </w:rPr>
      </w:pPr>
      <w:r w:rsidRPr="00FA7101">
        <w:rPr>
          <w:szCs w:val="24"/>
          <w:vertAlign w:val="superscript"/>
          <w:lang w:val="ro-RO"/>
        </w:rPr>
        <w:footnoteRef/>
      </w:r>
      <w:r w:rsidRPr="00FA7101">
        <w:rPr>
          <w:szCs w:val="24"/>
          <w:lang w:val="ro-RO"/>
        </w:rPr>
        <w:tab/>
        <w:t xml:space="preserve">Regulamentul (UE) nr. 1024/2012 al Parlamentului European și al Consiliului din 25 octombrie 2012 privind cooperarea administrativă prin intermediul Sistemului de informare al pieței interne și de abrogare a Deciziei 2008/49/CE a Comisiei („Regulamentul </w:t>
      </w:r>
      <w:proofErr w:type="spellStart"/>
      <w:r w:rsidRPr="00FA7101">
        <w:rPr>
          <w:szCs w:val="24"/>
          <w:lang w:val="ro-RO"/>
        </w:rPr>
        <w:t>IMI</w:t>
      </w:r>
      <w:proofErr w:type="spellEnd"/>
      <w:r w:rsidRPr="00FA7101">
        <w:rPr>
          <w:szCs w:val="24"/>
          <w:lang w:val="ro-RO"/>
        </w:rPr>
        <w:t xml:space="preserve">”) ( </w:t>
      </w:r>
      <w:proofErr w:type="spellStart"/>
      <w:r w:rsidRPr="00FA7101">
        <w:rPr>
          <w:szCs w:val="24"/>
          <w:lang w:val="ro-RO"/>
        </w:rPr>
        <w:t>JO</w:t>
      </w:r>
      <w:proofErr w:type="spellEnd"/>
      <w:r w:rsidRPr="00FA7101">
        <w:rPr>
          <w:szCs w:val="24"/>
          <w:lang w:val="ro-RO"/>
        </w:rPr>
        <w:t xml:space="preserve"> L 316, 14.11.2012, p. 1).</w:t>
      </w:r>
    </w:p>
  </w:footnote>
  <w:footnote w:id="5">
    <w:p w:rsidR="00E011BD" w:rsidRPr="00FA7101" w:rsidRDefault="00E011BD" w:rsidP="00FA7101">
      <w:pPr>
        <w:pStyle w:val="FootnoteTextForceStyle"/>
        <w:ind w:left="851" w:hanging="851"/>
        <w:rPr>
          <w:szCs w:val="24"/>
          <w:lang w:val="ro-RO"/>
        </w:rPr>
      </w:pPr>
      <w:r w:rsidRPr="00FA7101">
        <w:rPr>
          <w:szCs w:val="24"/>
          <w:vertAlign w:val="superscript"/>
          <w:lang w:val="ro-RO"/>
        </w:rPr>
        <w:footnoteRef/>
      </w:r>
      <w:r w:rsidRPr="00FA7101">
        <w:rPr>
          <w:szCs w:val="24"/>
          <w:lang w:val="ro-RO"/>
        </w:rPr>
        <w:tab/>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w:t>
      </w:r>
      <w:proofErr w:type="spellStart"/>
      <w:r w:rsidRPr="00FA7101">
        <w:rPr>
          <w:szCs w:val="24"/>
          <w:lang w:val="ro-RO"/>
        </w:rPr>
        <w:t>JO</w:t>
      </w:r>
      <w:proofErr w:type="spellEnd"/>
      <w:r w:rsidRPr="00FA7101">
        <w:rPr>
          <w:szCs w:val="24"/>
          <w:lang w:val="ro-RO"/>
        </w:rPr>
        <w:t xml:space="preserve"> L 295, 21.11.2018, p. 1).</w:t>
      </w:r>
    </w:p>
  </w:footnote>
  <w:footnote w:id="6">
    <w:p w:rsidR="00E011BD" w:rsidRPr="00FA7101" w:rsidRDefault="00E011BD" w:rsidP="00FA7101">
      <w:pPr>
        <w:pStyle w:val="FootnoteTextForceStyle"/>
        <w:ind w:left="851" w:hanging="851"/>
        <w:rPr>
          <w:szCs w:val="24"/>
          <w:lang w:val="ro-RO"/>
        </w:rPr>
      </w:pPr>
      <w:r w:rsidRPr="00FA7101">
        <w:rPr>
          <w:szCs w:val="24"/>
          <w:vertAlign w:val="superscript"/>
          <w:lang w:val="ro-RO"/>
        </w:rPr>
        <w:footnoteRef/>
      </w:r>
      <w:r w:rsidRPr="00FA7101">
        <w:rPr>
          <w:szCs w:val="24"/>
          <w:lang w:val="ro-RO"/>
        </w:rPr>
        <w:tab/>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w:t>
      </w:r>
      <w:proofErr w:type="spellStart"/>
      <w:r w:rsidRPr="00FA7101">
        <w:rPr>
          <w:szCs w:val="24"/>
          <w:lang w:val="ro-RO"/>
        </w:rPr>
        <w:t>JO</w:t>
      </w:r>
      <w:proofErr w:type="spellEnd"/>
      <w:r w:rsidRPr="00FA7101">
        <w:rPr>
          <w:szCs w:val="24"/>
          <w:lang w:val="ro-RO"/>
        </w:rPr>
        <w:t xml:space="preserve"> L 295, 21.11.2018,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6/2024"/>
    <w:docVar w:name="dvlangue" w:val="RO"/>
    <w:docVar w:name="dvnumam" w:val="5"/>
    <w:docVar w:name="dvpe" w:val="756.195"/>
    <w:docVar w:name="dvrapporteur" w:val="Raportoare: "/>
    <w:docVar w:name="dvstar" w:val="***I"/>
    <w:docVar w:name="dvtitre" w:val="Rezoluția legislativă a Parlamentului European din martie 2024 referitoare la propunerea de regulament al Parlamentului European și al Consiliului de modificare a Regulamentelor (UE) nr. 1024/2012 și (UE) 2018/1724 în ceea ce privește utilizarea Sistemului de informare al pieței interne și a portalului digital unic în scopul îndeplinirii anumitor cerințe prevăzute în Directiva (UE) .../... a Parlamentului European și a Consiliului privind asociațiile transfrontaliere europene (COM(2023)516)(COM(2023)0515 – C9-0327/2023 – 2023/0314(COD))"/>
  </w:docVars>
  <w:rsids>
    <w:rsidRoot w:val="006425CC"/>
    <w:rsid w:val="00002272"/>
    <w:rsid w:val="0001670D"/>
    <w:rsid w:val="000436BA"/>
    <w:rsid w:val="00064002"/>
    <w:rsid w:val="000677B9"/>
    <w:rsid w:val="000831BA"/>
    <w:rsid w:val="00094305"/>
    <w:rsid w:val="000A42CC"/>
    <w:rsid w:val="000E7DD9"/>
    <w:rsid w:val="0010095E"/>
    <w:rsid w:val="00125B37"/>
    <w:rsid w:val="00187494"/>
    <w:rsid w:val="001B5FCD"/>
    <w:rsid w:val="001F32AE"/>
    <w:rsid w:val="002767FF"/>
    <w:rsid w:val="002B18FE"/>
    <w:rsid w:val="002B5493"/>
    <w:rsid w:val="00343214"/>
    <w:rsid w:val="00361C00"/>
    <w:rsid w:val="00395FA1"/>
    <w:rsid w:val="003E15D4"/>
    <w:rsid w:val="003E2B54"/>
    <w:rsid w:val="00411CCE"/>
    <w:rsid w:val="0041666E"/>
    <w:rsid w:val="00421060"/>
    <w:rsid w:val="00471C19"/>
    <w:rsid w:val="004867E3"/>
    <w:rsid w:val="00494A28"/>
    <w:rsid w:val="004C0004"/>
    <w:rsid w:val="004C27ED"/>
    <w:rsid w:val="004C5D52"/>
    <w:rsid w:val="0050519A"/>
    <w:rsid w:val="005072A1"/>
    <w:rsid w:val="00514517"/>
    <w:rsid w:val="00545827"/>
    <w:rsid w:val="00560270"/>
    <w:rsid w:val="005C2568"/>
    <w:rsid w:val="006037C0"/>
    <w:rsid w:val="006425CC"/>
    <w:rsid w:val="006631B6"/>
    <w:rsid w:val="00680577"/>
    <w:rsid w:val="006F74FA"/>
    <w:rsid w:val="00722D2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484"/>
    <w:rsid w:val="008C2AC6"/>
    <w:rsid w:val="009031E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989"/>
    <w:rsid w:val="00CC2357"/>
    <w:rsid w:val="00CF071A"/>
    <w:rsid w:val="00D058B8"/>
    <w:rsid w:val="00D56C11"/>
    <w:rsid w:val="00D57276"/>
    <w:rsid w:val="00D61794"/>
    <w:rsid w:val="00D834A0"/>
    <w:rsid w:val="00D872DF"/>
    <w:rsid w:val="00D91E21"/>
    <w:rsid w:val="00DA7FCD"/>
    <w:rsid w:val="00DB6A69"/>
    <w:rsid w:val="00E011BD"/>
    <w:rsid w:val="00E30828"/>
    <w:rsid w:val="00E365E1"/>
    <w:rsid w:val="00E80879"/>
    <w:rsid w:val="00E820A4"/>
    <w:rsid w:val="00EB006A"/>
    <w:rsid w:val="00EB4772"/>
    <w:rsid w:val="00ED169E"/>
    <w:rsid w:val="00ED4235"/>
    <w:rsid w:val="00F04346"/>
    <w:rsid w:val="00F075DC"/>
    <w:rsid w:val="00F149E9"/>
    <w:rsid w:val="00F20357"/>
    <w:rsid w:val="00F5134D"/>
    <w:rsid w:val="00F657EE"/>
    <w:rsid w:val="00F74202"/>
    <w:rsid w:val="00F87713"/>
    <w:rsid w:val="00FA710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F81D4"/>
  <w15:chartTrackingRefBased/>
  <w15:docId w15:val="{E14D682B-2F97-4B05-AA0F-3FF69877A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20357"/>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F20357"/>
    <w:pPr>
      <w:spacing w:after="120"/>
    </w:pPr>
  </w:style>
  <w:style w:type="paragraph" w:customStyle="1" w:styleId="PageHeading">
    <w:name w:val="PageHeading"/>
    <w:basedOn w:val="Normal"/>
    <w:link w:val="PageHeadingChar"/>
    <w:rsid w:val="00F20357"/>
    <w:pPr>
      <w:keepNext/>
      <w:spacing w:after="480"/>
      <w:jc w:val="center"/>
    </w:pPr>
    <w:rPr>
      <w:rFonts w:ascii="Arial" w:hAnsi="Arial" w:cs="Arial"/>
      <w:b/>
    </w:rPr>
  </w:style>
  <w:style w:type="paragraph" w:customStyle="1" w:styleId="NormalBold">
    <w:name w:val="NormalBold"/>
    <w:basedOn w:val="Normal"/>
    <w:link w:val="NormalBoldChar"/>
    <w:rsid w:val="00F20357"/>
    <w:rPr>
      <w:b/>
    </w:rPr>
  </w:style>
  <w:style w:type="paragraph" w:customStyle="1" w:styleId="NormalHanging12a">
    <w:name w:val="NormalHanging12a"/>
    <w:basedOn w:val="Normal"/>
    <w:rsid w:val="00F20357"/>
    <w:pPr>
      <w:spacing w:after="240"/>
      <w:ind w:left="567" w:hanging="567"/>
    </w:pPr>
  </w:style>
  <w:style w:type="paragraph" w:styleId="Header">
    <w:name w:val="header"/>
    <w:basedOn w:val="Normal"/>
    <w:link w:val="HeaderChar"/>
    <w:rsid w:val="00F20357"/>
    <w:pPr>
      <w:tabs>
        <w:tab w:val="center" w:pos="4513"/>
        <w:tab w:val="right" w:pos="9026"/>
      </w:tabs>
    </w:pPr>
  </w:style>
  <w:style w:type="character" w:customStyle="1" w:styleId="HeaderChar">
    <w:name w:val="Header Char"/>
    <w:basedOn w:val="DefaultParagraphFont"/>
    <w:link w:val="Header"/>
    <w:rsid w:val="00F20357"/>
    <w:rPr>
      <w:sz w:val="24"/>
      <w:lang w:val="ro-RO"/>
    </w:rPr>
  </w:style>
  <w:style w:type="paragraph" w:customStyle="1" w:styleId="AmNumberTabs">
    <w:name w:val="AmNumberTabs"/>
    <w:basedOn w:val="Normal"/>
    <w:rsid w:val="00F203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F20357"/>
    <w:pPr>
      <w:tabs>
        <w:tab w:val="center" w:pos="4535"/>
        <w:tab w:val="right" w:pos="9071"/>
      </w:tabs>
      <w:spacing w:before="240" w:after="240"/>
    </w:pPr>
    <w:rPr>
      <w:color w:val="010000"/>
      <w:sz w:val="22"/>
    </w:rPr>
  </w:style>
  <w:style w:type="paragraph" w:customStyle="1" w:styleId="EPComma">
    <w:name w:val="EPComma"/>
    <w:basedOn w:val="Normal"/>
    <w:rsid w:val="00F20357"/>
    <w:pPr>
      <w:spacing w:before="480" w:after="240"/>
    </w:pPr>
  </w:style>
  <w:style w:type="character" w:customStyle="1" w:styleId="footnotereference0">
    <w:name w:val="footnotereference"/>
    <w:basedOn w:val="DefaultParagraphFont"/>
    <w:rsid w:val="00F20357"/>
  </w:style>
  <w:style w:type="paragraph" w:customStyle="1" w:styleId="RollCallVotes">
    <w:name w:val="RollCallVotes"/>
    <w:basedOn w:val="Normal"/>
    <w:rsid w:val="00F20357"/>
    <w:pPr>
      <w:spacing w:before="120" w:after="120"/>
      <w:jc w:val="center"/>
    </w:pPr>
    <w:rPr>
      <w:b/>
      <w:bCs/>
      <w:snapToGrid w:val="0"/>
      <w:sz w:val="16"/>
      <w:lang w:eastAsia="en-US"/>
    </w:rPr>
  </w:style>
  <w:style w:type="paragraph" w:customStyle="1" w:styleId="RollCallTabs">
    <w:name w:val="RollCallTabs"/>
    <w:basedOn w:val="Normal"/>
    <w:qFormat/>
    <w:rsid w:val="00F20357"/>
    <w:pPr>
      <w:tabs>
        <w:tab w:val="center" w:pos="284"/>
        <w:tab w:val="left" w:pos="426"/>
      </w:tabs>
    </w:pPr>
    <w:rPr>
      <w:snapToGrid w:val="0"/>
      <w:lang w:eastAsia="en-US"/>
    </w:rPr>
  </w:style>
  <w:style w:type="character" w:customStyle="1" w:styleId="Normal6Char">
    <w:name w:val="Normal6 Char"/>
    <w:basedOn w:val="DefaultParagraphFont"/>
    <w:link w:val="Normal6"/>
    <w:locked/>
    <w:rsid w:val="00F20357"/>
    <w:rPr>
      <w:sz w:val="24"/>
      <w:lang w:val="ro-RO"/>
    </w:rPr>
  </w:style>
  <w:style w:type="paragraph" w:customStyle="1" w:styleId="Normal6">
    <w:name w:val="Normal6"/>
    <w:basedOn w:val="Normal"/>
    <w:link w:val="Normal6Char"/>
    <w:rsid w:val="00F20357"/>
    <w:pPr>
      <w:spacing w:after="120"/>
    </w:pPr>
  </w:style>
  <w:style w:type="character" w:customStyle="1" w:styleId="NormalBoldChar">
    <w:name w:val="NormalBold Char"/>
    <w:basedOn w:val="DefaultParagraphFont"/>
    <w:link w:val="NormalBold"/>
    <w:locked/>
    <w:rsid w:val="00F20357"/>
    <w:rPr>
      <w:b/>
      <w:sz w:val="24"/>
      <w:lang w:val="ro-RO"/>
    </w:rPr>
  </w:style>
  <w:style w:type="paragraph" w:customStyle="1" w:styleId="ColumnHeading">
    <w:name w:val="ColumnHeading"/>
    <w:basedOn w:val="Normal"/>
    <w:rsid w:val="00F20357"/>
    <w:pPr>
      <w:spacing w:after="240"/>
      <w:jc w:val="center"/>
    </w:pPr>
    <w:rPr>
      <w:i/>
    </w:rPr>
  </w:style>
  <w:style w:type="character" w:customStyle="1" w:styleId="content">
    <w:name w:val="content"/>
    <w:basedOn w:val="DefaultParagraphFont"/>
    <w:rsid w:val="00F20357"/>
  </w:style>
  <w:style w:type="paragraph" w:customStyle="1" w:styleId="Point1">
    <w:name w:val="Point 1"/>
    <w:basedOn w:val="Normal"/>
    <w:rsid w:val="00F20357"/>
    <w:pPr>
      <w:widowControl/>
      <w:spacing w:before="120" w:after="120"/>
      <w:ind w:left="1417" w:hanging="567"/>
      <w:jc w:val="both"/>
    </w:pPr>
    <w:rPr>
      <w:rFonts w:eastAsiaTheme="minorHAnsi"/>
      <w:szCs w:val="22"/>
      <w:lang w:eastAsia="en-US"/>
    </w:rPr>
  </w:style>
  <w:style w:type="paragraph" w:customStyle="1" w:styleId="Normal12a">
    <w:name w:val="Normal12a"/>
    <w:basedOn w:val="Normal"/>
    <w:rsid w:val="00F20357"/>
    <w:pPr>
      <w:spacing w:after="240"/>
    </w:pPr>
  </w:style>
  <w:style w:type="paragraph" w:customStyle="1" w:styleId="RollCallSymbols14pt">
    <w:name w:val="RollCallSymbols14pt"/>
    <w:basedOn w:val="Normal"/>
    <w:rsid w:val="00F20357"/>
    <w:pPr>
      <w:spacing w:before="120" w:after="120"/>
      <w:jc w:val="center"/>
    </w:pPr>
    <w:rPr>
      <w:rFonts w:ascii="Arial" w:hAnsi="Arial"/>
      <w:b/>
      <w:bCs/>
      <w:snapToGrid w:val="0"/>
      <w:sz w:val="28"/>
      <w:lang w:eastAsia="en-US"/>
    </w:rPr>
  </w:style>
  <w:style w:type="paragraph" w:customStyle="1" w:styleId="LetterSalutation">
    <w:name w:val="LetterSalutation"/>
    <w:basedOn w:val="Normal"/>
    <w:rsid w:val="00F20357"/>
    <w:pPr>
      <w:spacing w:before="600" w:after="360"/>
    </w:pPr>
  </w:style>
  <w:style w:type="paragraph" w:customStyle="1" w:styleId="LetterSubject">
    <w:name w:val="LetterSubject"/>
    <w:basedOn w:val="Normal"/>
    <w:rsid w:val="00F20357"/>
    <w:pPr>
      <w:spacing w:before="480"/>
      <w:ind w:left="1134" w:hanging="1134"/>
    </w:pPr>
  </w:style>
  <w:style w:type="paragraph" w:customStyle="1" w:styleId="LetterSignature66b">
    <w:name w:val="LetterSignature66b"/>
    <w:basedOn w:val="Normal"/>
    <w:next w:val="Normal"/>
    <w:rsid w:val="00F20357"/>
    <w:pPr>
      <w:spacing w:before="1320"/>
    </w:pPr>
  </w:style>
  <w:style w:type="paragraph" w:styleId="ListParagraph">
    <w:name w:val="List Paragraph"/>
    <w:basedOn w:val="Normal"/>
    <w:uiPriority w:val="34"/>
    <w:qFormat/>
    <w:rsid w:val="00F20357"/>
    <w:pPr>
      <w:ind w:left="720"/>
      <w:contextualSpacing/>
    </w:pPr>
  </w:style>
  <w:style w:type="paragraph" w:customStyle="1" w:styleId="PageHeadingNotTOC">
    <w:name w:val="PageHeadingNotTOC"/>
    <w:basedOn w:val="Normal"/>
    <w:rsid w:val="00F20357"/>
    <w:pPr>
      <w:keepNext/>
      <w:spacing w:after="480"/>
      <w:jc w:val="center"/>
    </w:pPr>
    <w:rPr>
      <w:rFonts w:ascii="Arial" w:hAnsi="Arial" w:cs="Arial"/>
      <w:b/>
    </w:rPr>
  </w:style>
  <w:style w:type="paragraph" w:customStyle="1" w:styleId="Normal24a">
    <w:name w:val="Normal24a"/>
    <w:basedOn w:val="Normal"/>
    <w:rsid w:val="00F20357"/>
    <w:pPr>
      <w:spacing w:after="480"/>
    </w:pPr>
  </w:style>
  <w:style w:type="character" w:customStyle="1" w:styleId="PageHeadingChar">
    <w:name w:val="PageHeading Char"/>
    <w:basedOn w:val="DefaultParagraphFont"/>
    <w:link w:val="PageHeading"/>
    <w:rsid w:val="00F20357"/>
    <w:rPr>
      <w:rFonts w:ascii="Arial" w:hAnsi="Arial" w:cs="Arial"/>
      <w:b/>
      <w:sz w:val="24"/>
      <w:lang w:val="ro-RO"/>
    </w:rPr>
  </w:style>
  <w:style w:type="paragraph" w:customStyle="1" w:styleId="RollCallTable">
    <w:name w:val="RollCallTable"/>
    <w:basedOn w:val="Normal"/>
    <w:rsid w:val="00F20357"/>
    <w:pPr>
      <w:spacing w:before="120" w:after="120"/>
    </w:pPr>
    <w:rPr>
      <w:snapToGrid w:val="0"/>
      <w:sz w:val="16"/>
      <w:lang w:eastAsia="en-US"/>
    </w:rPr>
  </w:style>
  <w:style w:type="paragraph" w:styleId="BalloonText">
    <w:name w:val="Balloon Text"/>
    <w:basedOn w:val="Normal"/>
    <w:link w:val="BalloonTextChar"/>
    <w:rsid w:val="0001670D"/>
    <w:rPr>
      <w:rFonts w:ascii="Segoe UI" w:hAnsi="Segoe UI" w:cs="Segoe UI"/>
      <w:sz w:val="18"/>
      <w:szCs w:val="18"/>
    </w:rPr>
  </w:style>
  <w:style w:type="character" w:customStyle="1" w:styleId="BalloonTextChar">
    <w:name w:val="Balloon Text Char"/>
    <w:basedOn w:val="DefaultParagraphFont"/>
    <w:link w:val="BalloonText"/>
    <w:rsid w:val="0001670D"/>
    <w:rPr>
      <w:rFonts w:ascii="Segoe UI" w:hAnsi="Segoe UI" w:cs="Segoe UI"/>
      <w:sz w:val="18"/>
      <w:szCs w:val="18"/>
      <w:lang w:val="ro-RO"/>
    </w:rPr>
  </w:style>
  <w:style w:type="paragraph" w:styleId="Footer">
    <w:name w:val="footer"/>
    <w:basedOn w:val="Normal"/>
    <w:link w:val="FooterChar"/>
    <w:rsid w:val="00F657EE"/>
    <w:pPr>
      <w:tabs>
        <w:tab w:val="center" w:pos="4513"/>
        <w:tab w:val="right" w:pos="9026"/>
      </w:tabs>
    </w:pPr>
  </w:style>
  <w:style w:type="character" w:customStyle="1" w:styleId="FooterChar">
    <w:name w:val="Footer Char"/>
    <w:basedOn w:val="DefaultParagraphFont"/>
    <w:link w:val="Footer"/>
    <w:rsid w:val="00F657EE"/>
    <w:rPr>
      <w:sz w:val="24"/>
      <w:lang w:val="ro-RO"/>
    </w:rPr>
  </w:style>
  <w:style w:type="paragraph" w:customStyle="1" w:styleId="FootnoteTextForceStyle">
    <w:name w:val="Footnote Text ForceStyle"/>
    <w:rsid w:val="00E011BD"/>
    <w:pPr>
      <w:keepLines/>
      <w:widowControl w:val="0"/>
      <w:ind w:left="850" w:hanging="850"/>
    </w:pPr>
    <w:rPr>
      <w:sz w:val="24"/>
      <w:lang w:eastAsia="en-US"/>
    </w:rPr>
  </w:style>
  <w:style w:type="character" w:customStyle="1" w:styleId="Footer2">
    <w:name w:val="Footer2"/>
    <w:rsid w:val="00FA7101"/>
    <w:rPr>
      <w:rFonts w:ascii="Arial" w:hAnsi="Arial"/>
      <w:b/>
      <w:sz w:val="48"/>
    </w:rPr>
  </w:style>
  <w:style w:type="paragraph" w:customStyle="1" w:styleId="Footer1">
    <w:name w:val="Footer1"/>
    <w:basedOn w:val="Normal"/>
    <w:rsid w:val="00FA7101"/>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A40E4-44CC-43E9-8005-2A86941F5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2185</Words>
  <Characters>14026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LUKSITE Marija</cp:lastModifiedBy>
  <cp:revision>2</cp:revision>
  <cp:lastPrinted>2004-11-19T15:42:00Z</cp:lastPrinted>
  <dcterms:created xsi:type="dcterms:W3CDTF">2024-11-26T16:10:00Z</dcterms:created>
  <dcterms:modified xsi:type="dcterms:W3CDTF">2024-11-26T16:10:00Z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A9-0006/2024</vt:lpwstr>
  </property>
  <property fmtid="{D5CDD505-2E9C-101B-9397-08002B2CF9AE}" pid="4" name="&lt;Type&gt;">
    <vt:lpwstr>RR</vt:lpwstr>
  </property>
</Properties>
</file>