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E1B1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E1B13" w:rsidRDefault="0058126F">
            <w:pPr>
              <w:pStyle w:val="EPName"/>
            </w:pPr>
            <w:r>
              <w:t>Európsky parlament</w:t>
            </w:r>
          </w:p>
          <w:p w:rsidR="002E1B13" w:rsidRDefault="0058126F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2E1B13" w:rsidRDefault="0058126F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E1B13" w:rsidRDefault="002E1B13">
      <w:pPr>
        <w:pStyle w:val="LineTop"/>
      </w:pPr>
    </w:p>
    <w:p w:rsidR="002E1B13" w:rsidRDefault="0058126F">
      <w:pPr>
        <w:pStyle w:val="EPBodyTA1"/>
      </w:pPr>
      <w:r>
        <w:t>PRIJATÉ TEXTY</w:t>
      </w:r>
    </w:p>
    <w:p w:rsidR="002E1B13" w:rsidRDefault="002E1B13">
      <w:pPr>
        <w:pStyle w:val="LineBottom"/>
      </w:pPr>
    </w:p>
    <w:p w:rsidR="002E1B13" w:rsidRDefault="0058126F">
      <w:pPr>
        <w:pStyle w:val="ATHeading1"/>
      </w:pPr>
      <w:bookmarkStart w:id="0" w:name="TANumber"/>
      <w:r>
        <w:t>P9_TA(2024)0142</w:t>
      </w:r>
      <w:bookmarkEnd w:id="0"/>
    </w:p>
    <w:p w:rsidR="002E1B13" w:rsidRDefault="0058126F">
      <w:pPr>
        <w:pStyle w:val="ATHeading2"/>
      </w:pPr>
      <w:bookmarkStart w:id="1" w:name="title"/>
      <w:r>
        <w:t>Používanie informačného systému o vnútornom trhu a jednotnej digitálnej brány na účely určitých požiadaviek stanovených v smernici o európskych cezhraničných združeniach</w:t>
      </w:r>
      <w:bookmarkEnd w:id="1"/>
    </w:p>
    <w:p w:rsidR="002E1B13" w:rsidRDefault="0058126F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A9-0006/2024</w:instrText>
      </w:r>
      <w:bookmarkEnd w:id="2"/>
      <w:r>
        <w:rPr>
          <w:i/>
        </w:rPr>
        <w:instrText xml:space="preserve"> - Spravodajkyňa: Anne</w:instrText>
      </w:r>
      <w:r>
        <w:rPr>
          <w:i/>
        </w:rPr>
        <w:noBreakHyphen/>
        <w:instrText xml:space="preserve">Sophie Pelletier)"\l3 \n&gt; \* MERGEFORMAT </w:instrText>
      </w:r>
      <w:r>
        <w:rPr>
          <w:i/>
        </w:rPr>
        <w:fldChar w:fldCharType="end"/>
      </w:r>
    </w:p>
    <w:p w:rsidR="002E1B13" w:rsidRDefault="0058126F">
      <w:pPr>
        <w:rPr>
          <w:vanish/>
        </w:rPr>
      </w:pPr>
      <w:bookmarkStart w:id="3" w:name="Commission"/>
      <w:r>
        <w:rPr>
          <w:vanish/>
        </w:rPr>
        <w:t>Výbor pre vnútorný trh a ochranu spotrebiteľa</w:t>
      </w:r>
      <w:bookmarkEnd w:id="3"/>
    </w:p>
    <w:p w:rsidR="002E1B13" w:rsidRDefault="0058126F">
      <w:pPr>
        <w:rPr>
          <w:vanish/>
        </w:rPr>
      </w:pPr>
      <w:bookmarkStart w:id="4" w:name="PE"/>
      <w:r>
        <w:rPr>
          <w:vanish/>
        </w:rPr>
        <w:t>PE756.195</w:t>
      </w:r>
      <w:bookmarkEnd w:id="4"/>
    </w:p>
    <w:p w:rsidR="002E1B13" w:rsidRDefault="0058126F">
      <w:pPr>
        <w:pStyle w:val="ATHeading3"/>
      </w:pPr>
      <w:bookmarkStart w:id="5" w:name="Sujet"/>
      <w:r>
        <w:t>Legislatívne uznesenie Európskeho parlamentu z 13. marca 2024 o návrhu nariadenia Európskeho parlamentu a Rady, ktorým sa menia nariadenia (EÚ) č. 1024/2012 a (EÚ) 2018/1724, pokiaľ ide o používanie informačného systému o vnútornom trhu a jednotnej digitálnej brány na účely určitých požiadaviek stanovených v smernici Európskeho parlamentu a Rady (EÚ) .../... o európskych cezhraničných združeniach (COM(2023)0516)</w:t>
      </w:r>
      <w:bookmarkEnd w:id="5"/>
      <w:r>
        <w:t xml:space="preserve"> </w:t>
      </w:r>
      <w:bookmarkStart w:id="6" w:name="References"/>
      <w:r>
        <w:t>(COM(2023)0515 – C9-0327/2023 – 2023/0314(COD))</w:t>
      </w:r>
      <w:bookmarkEnd w:id="6"/>
    </w:p>
    <w:p w:rsidR="002E1B13" w:rsidRDefault="0058126F">
      <w:pPr>
        <w:pStyle w:val="NormalBold"/>
      </w:pPr>
      <w:bookmarkStart w:id="7" w:name="TextBodyBegin"/>
      <w:bookmarkEnd w:id="7"/>
      <w:r>
        <w:t>(Riadny legislatívny postup: prvé čítanie)</w:t>
      </w:r>
    </w:p>
    <w:p w:rsidR="002E1B13" w:rsidRDefault="0058126F">
      <w:pPr>
        <w:pStyle w:val="EPComma"/>
      </w:pPr>
      <w:r>
        <w:rPr>
          <w:i/>
          <w:iCs/>
        </w:rPr>
        <w:t>Európsky parlament</w:t>
      </w:r>
      <w:r>
        <w:t>,</w:t>
      </w:r>
    </w:p>
    <w:p w:rsidR="002E1B13" w:rsidRDefault="0058126F">
      <w:pPr>
        <w:pStyle w:val="NormalHanging12a"/>
      </w:pPr>
      <w:r>
        <w:t>–</w:t>
      </w:r>
      <w:r>
        <w:tab/>
        <w:t>so zreteľom na návrh Komisie pre Európsky parlament a Radu (COM(2023)0515),</w:t>
      </w:r>
    </w:p>
    <w:p w:rsidR="002E1B13" w:rsidRDefault="0058126F">
      <w:pPr>
        <w:pStyle w:val="NormalHanging12a"/>
      </w:pPr>
      <w:r>
        <w:t>–</w:t>
      </w:r>
      <w:r>
        <w:tab/>
        <w:t>so zreteľom na článok 294 ods. 2 a článok 21 ods. 2 a článok 114 Zmluvy o fungovaní Európskej únie, v súlade s ktorými Komisia predložila návrh Európskemu parlamentu (C9</w:t>
      </w:r>
      <w:r>
        <w:noBreakHyphen/>
        <w:t>0327/2023),</w:t>
      </w:r>
    </w:p>
    <w:p w:rsidR="002E1B13" w:rsidRDefault="0058126F">
      <w:pPr>
        <w:pStyle w:val="NormalHanging12a"/>
      </w:pPr>
      <w:r>
        <w:t>–</w:t>
      </w:r>
      <w:r>
        <w:tab/>
        <w:t>so zreteľom na článok 294 ods. 3 Zmluvy o fungovaní Európskej únie,</w:t>
      </w:r>
    </w:p>
    <w:p w:rsidR="002E1B13" w:rsidRDefault="0058126F">
      <w:pPr>
        <w:pStyle w:val="NormalHanging12a"/>
      </w:pPr>
      <w:r>
        <w:t>–</w:t>
      </w:r>
      <w:r>
        <w:tab/>
        <w:t>so zreteľom na stanovisko Európskeho hospodárskeho a sociálneho výboru zo 17. januára 2024</w:t>
      </w:r>
      <w:r>
        <w:rPr>
          <w:rStyle w:val="FootnoteReference"/>
        </w:rPr>
        <w:footnoteReference w:id="1"/>
      </w:r>
      <w:r>
        <w:t>,</w:t>
      </w:r>
    </w:p>
    <w:p w:rsidR="002E1B13" w:rsidRDefault="0058126F">
      <w:pPr>
        <w:pStyle w:val="NormalHanging12a"/>
      </w:pPr>
      <w:r>
        <w:t>–</w:t>
      </w:r>
      <w:r>
        <w:tab/>
        <w:t>so zreteľom na článok 59 rokovacieho poriadku,</w:t>
      </w:r>
    </w:p>
    <w:p w:rsidR="002E1B13" w:rsidRDefault="0058126F">
      <w:pPr>
        <w:pStyle w:val="NormalHanging12a"/>
      </w:pPr>
      <w:r>
        <w:t>–</w:t>
      </w:r>
      <w:r>
        <w:tab/>
        <w:t>so zreteľom na stanovisko Výboru pre právne veci,</w:t>
      </w:r>
    </w:p>
    <w:p w:rsidR="002E1B13" w:rsidRDefault="0058126F">
      <w:pPr>
        <w:pStyle w:val="NormalHanging12a"/>
      </w:pPr>
      <w:r>
        <w:t>–</w:t>
      </w:r>
      <w:r>
        <w:tab/>
        <w:t>so zreteľom na správu Výboru pre vnútorný trh a ochranu spotrebiteľa (A9-0006/2024),</w:t>
      </w:r>
    </w:p>
    <w:p w:rsidR="002E1B13" w:rsidRDefault="0058126F">
      <w:pPr>
        <w:pStyle w:val="NormalHanging12a"/>
      </w:pPr>
      <w:r>
        <w:t>1.</w:t>
      </w:r>
      <w:r>
        <w:tab/>
        <w:t>prijíma nasledujúcu pozíciu v prvom čítaní;</w:t>
      </w:r>
    </w:p>
    <w:p w:rsidR="002E1B13" w:rsidRDefault="0058126F">
      <w:pPr>
        <w:pStyle w:val="NormalHanging12a"/>
      </w:pPr>
      <w:r>
        <w:t>2.</w:t>
      </w:r>
      <w:r>
        <w:tab/>
        <w:t xml:space="preserve">žiada Komisiu, aby mu vec znovu predložila, ak nahrádza, podstatne mení alebo má v </w:t>
      </w:r>
      <w:r>
        <w:lastRenderedPageBreak/>
        <w:t>úmysle podstatne zmeniť svoj návrh;</w:t>
      </w:r>
    </w:p>
    <w:p w:rsidR="002E1B13" w:rsidRDefault="0058126F"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 w:rsidR="002E1B13" w:rsidRDefault="002E1B13">
      <w:pPr>
        <w:widowControl/>
        <w:sectPr w:rsidR="002E1B1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E1B13" w:rsidRDefault="0058126F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>
        <w:rPr>
          <w:b/>
        </w:rPr>
        <w:lastRenderedPageBreak/>
        <w:t>P9_TC1-COD(2023)0314</w:t>
      </w:r>
    </w:p>
    <w:p w:rsidR="002E1B13" w:rsidRDefault="0058126F">
      <w:pPr>
        <w:widowControl/>
        <w:rPr>
          <w:b/>
        </w:rPr>
      </w:pPr>
      <w:r>
        <w:rPr>
          <w:b/>
        </w:rPr>
        <w:t>Pozícia Európskeho parlamentu prijatá v prvom čítaní 13. marca 2024 na účely prijatia nariadenia Európskeho parlamentu a Rady (EÚ) 2024/..., ktorým sa menia nariadenia (EÚ) č. 1024/2012 a (EÚ) 2018/1724, pokiaľ ide o používanie informačného systému o vnútornom trhu a jednotnej digitálnej brány na účely určitých požiadaviek stanovených v smernici Európskeho parlamentu a Rady (EÚ) …/… o európskych cezhraničných združeniach (COM(2023)0516)</w:t>
      </w:r>
    </w:p>
    <w:p w:rsidR="002E1B13" w:rsidRDefault="0058126F">
      <w:pPr>
        <w:widowControl/>
        <w:spacing w:before="360" w:after="240" w:line="360" w:lineRule="auto"/>
        <w:jc w:val="center"/>
        <w:rPr>
          <w:b/>
        </w:rPr>
      </w:pPr>
      <w:r>
        <w:rPr>
          <w:szCs w:val="24"/>
          <w:lang w:eastAsia="en-US"/>
        </w:rPr>
        <w:t>(Text s významom pre EHP)</w:t>
      </w:r>
    </w:p>
    <w:p w:rsidR="002E1B13" w:rsidRDefault="0058126F">
      <w:pPr>
        <w:keepNext/>
        <w:spacing w:before="600" w:after="120" w:line="360" w:lineRule="auto"/>
        <w:rPr>
          <w:szCs w:val="24"/>
          <w:lang w:eastAsia="en-US"/>
        </w:rPr>
      </w:pPr>
      <w:r>
        <w:rPr>
          <w:szCs w:val="24"/>
          <w:lang w:eastAsia="en-US"/>
        </w:rPr>
        <w:t>EURÓPSKY PARLAMENT A RADA EURÓPSKEJ ÚNIE,</w:t>
      </w:r>
    </w:p>
    <w:p w:rsidR="002E1B13" w:rsidRDefault="0058126F">
      <w:pPr>
        <w:spacing w:before="120" w:after="120" w:line="360" w:lineRule="auto"/>
        <w:rPr>
          <w:lang w:eastAsia="en-US"/>
        </w:rPr>
      </w:pPr>
      <w:r>
        <w:rPr>
          <w:lang w:eastAsia="en-US"/>
        </w:rPr>
        <w:t>so zreteľom na Zmluvu o fungovaní Európskej únie, a najmä na jej článok 21 ods. 2 a článok 114,</w:t>
      </w:r>
    </w:p>
    <w:p w:rsidR="002E1B13" w:rsidRDefault="0058126F">
      <w:pPr>
        <w:spacing w:before="120" w:after="120" w:line="360" w:lineRule="auto"/>
        <w:rPr>
          <w:lang w:eastAsia="en-US"/>
        </w:rPr>
      </w:pPr>
      <w:r>
        <w:rPr>
          <w:lang w:eastAsia="en-US"/>
        </w:rPr>
        <w:t>so zreteľom na návrh Európskej komisie,</w:t>
      </w:r>
    </w:p>
    <w:p w:rsidR="002E1B13" w:rsidRDefault="0058126F">
      <w:pPr>
        <w:spacing w:before="120" w:after="120" w:line="360" w:lineRule="auto"/>
        <w:rPr>
          <w:lang w:eastAsia="en-US"/>
        </w:rPr>
      </w:pPr>
      <w:r>
        <w:rPr>
          <w:lang w:eastAsia="en-US"/>
        </w:rPr>
        <w:t>po postúpení návrhu legislatívneho aktu národným parlamentom,</w:t>
      </w:r>
    </w:p>
    <w:p w:rsidR="002E1B13" w:rsidRDefault="0058126F">
      <w:pPr>
        <w:spacing w:before="120" w:after="120" w:line="360" w:lineRule="auto"/>
        <w:rPr>
          <w:lang w:eastAsia="en-US"/>
        </w:rPr>
      </w:pPr>
      <w:r>
        <w:rPr>
          <w:lang w:eastAsia="en-US"/>
        </w:rPr>
        <w:t>so zreteľom na stanovisko Európskeho hospodárskeho a sociálneho výboru</w:t>
      </w:r>
      <w:r>
        <w:rPr>
          <w:vertAlign w:val="superscript"/>
          <w:lang w:eastAsia="en-US"/>
        </w:rPr>
        <w:footnoteReference w:id="2"/>
      </w:r>
      <w:r>
        <w:rPr>
          <w:lang w:eastAsia="en-US"/>
        </w:rPr>
        <w:t>,</w:t>
      </w:r>
    </w:p>
    <w:p w:rsidR="002E1B13" w:rsidRDefault="0058126F">
      <w:pPr>
        <w:spacing w:before="120" w:after="120" w:line="360" w:lineRule="auto"/>
        <w:rPr>
          <w:lang w:eastAsia="en-US"/>
        </w:rPr>
      </w:pPr>
      <w:r>
        <w:rPr>
          <w:lang w:eastAsia="en-US"/>
        </w:rPr>
        <w:t>konajúc v súlade s riadnym legislatívnym postupom,</w:t>
      </w:r>
    </w:p>
    <w:p w:rsidR="002E1B13" w:rsidRDefault="0058126F">
      <w:pPr>
        <w:widowControl/>
        <w:rPr>
          <w:lang w:eastAsia="en-US"/>
        </w:rPr>
      </w:pPr>
      <w:r>
        <w:rPr>
          <w:lang w:eastAsia="en-US"/>
        </w:rPr>
        <w:br w:type="page"/>
      </w:r>
    </w:p>
    <w:p w:rsidR="002E1B13" w:rsidRDefault="0058126F">
      <w:pPr>
        <w:spacing w:before="120" w:after="120" w:line="360" w:lineRule="auto"/>
        <w:rPr>
          <w:lang w:eastAsia="en-US"/>
        </w:rPr>
      </w:pPr>
      <w:r>
        <w:rPr>
          <w:lang w:eastAsia="en-US"/>
        </w:rPr>
        <w:lastRenderedPageBreak/>
        <w:t>keďže: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(1)</w:t>
      </w:r>
      <w:r>
        <w:rPr>
          <w:szCs w:val="24"/>
          <w:lang w:eastAsia="en-US"/>
        </w:rPr>
        <w:tab/>
        <w:t>V smernici Európskeho parlamentu a Rady (EÚ) o európskych cezhraničných združeniach (COM(2023)0516)</w:t>
      </w:r>
      <w:r>
        <w:rPr>
          <w:szCs w:val="24"/>
          <w:vertAlign w:val="superscript"/>
          <w:lang w:eastAsia="en-US"/>
        </w:rPr>
        <w:footnoteReference w:id="3"/>
      </w:r>
      <w:r>
        <w:rPr>
          <w:szCs w:val="24"/>
          <w:lang w:eastAsia="en-US"/>
        </w:rPr>
        <w:t xml:space="preserve"> sa stanovujú opatrenia na koordináciu podmienok zakladania a činnosti európskych cezhraničných združení s cieľom uľahčiť účinné uplatňovanie slobody pohybu neziskových združení, ktoré pôsobia na vnútornom trhu.</w:t>
      </w:r>
    </w:p>
    <w:p w:rsidR="002E1B13" w:rsidRDefault="0058126F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>
        <w:rPr>
          <w:szCs w:val="24"/>
          <w:lang w:eastAsia="en-US"/>
        </w:rPr>
        <w:t>(2)</w:t>
      </w:r>
      <w:r>
        <w:rPr>
          <w:szCs w:val="24"/>
          <w:lang w:eastAsia="en-US"/>
        </w:rPr>
        <w:tab/>
        <w:t xml:space="preserve">Podľa článku </w:t>
      </w:r>
      <w:r>
        <w:rPr>
          <w:strike/>
          <w:szCs w:val="24"/>
          <w:lang w:eastAsia="en-US"/>
        </w:rPr>
        <w:t>30</w:t>
      </w:r>
      <w:r>
        <w:rPr>
          <w:b/>
          <w:i/>
          <w:szCs w:val="24"/>
          <w:lang w:eastAsia="en-US"/>
        </w:rPr>
        <w:t>28</w:t>
      </w:r>
      <w:r>
        <w:rPr>
          <w:szCs w:val="24"/>
          <w:lang w:eastAsia="en-US"/>
        </w:rPr>
        <w:t xml:space="preserve"> ods. 2 smernice COM(2023)0516 sa administratívna spolupráca a výmena informácií medzi príslušnými orgánmi členských štátov má vykonávať prostredníctvom informačného systému o vnútornom trhu (ďalej len „systém IMI“) zriadeného nariadením Európskeho parlamentu a Rady (EÚ) č. 1024/2012</w:t>
      </w:r>
      <w:r>
        <w:rPr>
          <w:szCs w:val="24"/>
          <w:vertAlign w:val="superscript"/>
          <w:lang w:eastAsia="en-US"/>
        </w:rPr>
        <w:footnoteReference w:id="4"/>
      </w:r>
      <w:r>
        <w:rPr>
          <w:szCs w:val="24"/>
          <w:lang w:eastAsia="en-US"/>
        </w:rPr>
        <w:t>. Preto by sa v systéme IMI mali zaviesť potrebné postupy administratívnej spolupráce</w:t>
      </w:r>
      <w:r>
        <w:rPr>
          <w:b/>
          <w:i/>
          <w:szCs w:val="24"/>
          <w:lang w:eastAsia="en-US"/>
        </w:rPr>
        <w:t xml:space="preserve"> a postupy výmeny informácií medzi príslušnými orgánmi</w:t>
      </w:r>
      <w:r>
        <w:rPr>
          <w:szCs w:val="24"/>
          <w:lang w:eastAsia="en-US"/>
        </w:rPr>
        <w:t>.</w:t>
      </w:r>
      <w:r>
        <w:rPr>
          <w:b/>
          <w:szCs w:val="24"/>
          <w:lang w:eastAsia="en-US"/>
        </w:rPr>
        <w:t xml:space="preserve"> [PN 1]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>
        <w:rPr>
          <w:szCs w:val="24"/>
          <w:lang w:eastAsia="en-US"/>
        </w:rPr>
        <w:lastRenderedPageBreak/>
        <w:t>(3)</w:t>
      </w:r>
      <w:r>
        <w:rPr>
          <w:szCs w:val="24"/>
          <w:lang w:eastAsia="en-US"/>
        </w:rPr>
        <w:tab/>
        <w:t>V súlade s článkami 2 a 3 nariadenia Európskeho parlamentu a Rady (EÚ) 2018/1724</w:t>
      </w:r>
      <w:r>
        <w:rPr>
          <w:szCs w:val="24"/>
          <w:vertAlign w:val="superscript"/>
          <w:lang w:eastAsia="en-US"/>
        </w:rPr>
        <w:footnoteReference w:id="5"/>
      </w:r>
      <w:r>
        <w:rPr>
          <w:szCs w:val="24"/>
          <w:lang w:eastAsia="en-US"/>
        </w:rPr>
        <w:t xml:space="preserve"> poskytuje jednotná digitálna brána prístup k informáciám, postupom, ako aj asistenčným službám a službám riešenia problémov občanom Únie, fyzickým osobám s bydliskom v členskom štáte a právnickým osobám so sídlom v členskom štáte. Normatívna časť nariadenia (EÚ) 2018/1724 a príloha I k nemu by sa mali </w:t>
      </w:r>
      <w:r>
        <w:rPr>
          <w:b/>
          <w:i/>
          <w:szCs w:val="24"/>
          <w:lang w:eastAsia="en-US"/>
        </w:rPr>
        <w:t xml:space="preserve">týmto nariadením </w:t>
      </w:r>
      <w:r>
        <w:rPr>
          <w:szCs w:val="24"/>
          <w:lang w:eastAsia="en-US"/>
        </w:rPr>
        <w:t>zmeniť tak, aby sa zabezpečilo, že rozsah pôsobnosti sa nebude chápať tak, že sa obmedzuje na občanov a podniky a týka sa právnických osôb iných ako podniky, ako sú európske cezhraničné združenia.</w:t>
      </w:r>
      <w:r>
        <w:rPr>
          <w:b/>
          <w:szCs w:val="24"/>
          <w:lang w:eastAsia="en-US"/>
        </w:rPr>
        <w:t xml:space="preserve"> [PN 2 ]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(4)</w:t>
      </w:r>
      <w:r>
        <w:rPr>
          <w:szCs w:val="24"/>
          <w:lang w:eastAsia="en-US"/>
        </w:rPr>
        <w:tab/>
        <w:t>V nariadení Európskeho parlamentu a Rady (EÚ) 2018/1724</w:t>
      </w:r>
      <w:r>
        <w:rPr>
          <w:szCs w:val="24"/>
          <w:vertAlign w:val="superscript"/>
          <w:lang w:eastAsia="en-US"/>
        </w:rPr>
        <w:footnoteReference w:id="6"/>
      </w:r>
      <w:r>
        <w:rPr>
          <w:szCs w:val="24"/>
          <w:lang w:eastAsia="en-US"/>
        </w:rPr>
        <w:t>, ktorým sa zriadila jednotná digitálna brána, sú ustanovené všeobecné pravidlá o online poskytovaní informácií, postupov a asistenčných služieb, ktoré sú relevantné pre fungovanie vnútorného trhu. Postupy, na ktoré sa vzťahuje toto nariadenie, by mali byť v súlade s požiadavkami nariadenia (EÚ) 2018/1724, aby sa zabezpečilo, že každé európske cezhraničné združenie bude môcť využívať postupy a cezhraničnú automatizovanú výmenu dôkazov, ktoré sú v celom rozsahu online, a to v súlade so zásadou „jedenkrát a dosť“. Tieto postupy zahŕňajú žiadosť o registráciu európskeho cezhraničného združenia a postup premiestnenia jeho sídla.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ind w:left="850" w:hanging="850"/>
        <w:rPr>
          <w:b/>
          <w:i/>
          <w:szCs w:val="24"/>
          <w:lang w:eastAsia="en-US"/>
        </w:rPr>
      </w:pPr>
      <w:r>
        <w:rPr>
          <w:szCs w:val="24"/>
          <w:lang w:eastAsia="en-US"/>
        </w:rPr>
        <w:lastRenderedPageBreak/>
        <w:t>(5)</w:t>
      </w:r>
      <w:r>
        <w:rPr>
          <w:szCs w:val="24"/>
          <w:lang w:eastAsia="en-US"/>
        </w:rPr>
        <w:tab/>
        <w:t>Nariadenia (EÚ) č. 1024/2012 a (EÚ) 2018/1724 by sa preto mali zodpovedajúcim spôsobom zmeniť</w:t>
      </w:r>
      <w:r>
        <w:rPr>
          <w:strike/>
          <w:szCs w:val="24"/>
          <w:lang w:eastAsia="en-US"/>
        </w:rPr>
        <w:t>,</w:t>
      </w:r>
      <w:r>
        <w:rPr>
          <w:b/>
          <w:i/>
          <w:szCs w:val="24"/>
          <w:lang w:eastAsia="en-US"/>
        </w:rPr>
        <w:t>.</w:t>
      </w:r>
    </w:p>
    <w:p w:rsidR="002E1B13" w:rsidRDefault="0058126F">
      <w:pPr>
        <w:spacing w:before="120" w:after="120" w:line="360" w:lineRule="auto"/>
        <w:ind w:left="850" w:hanging="850"/>
        <w:rPr>
          <w:b/>
          <w:szCs w:val="24"/>
          <w:lang w:eastAsia="en-US"/>
        </w:rPr>
      </w:pPr>
      <w:r>
        <w:rPr>
          <w:b/>
          <w:i/>
          <w:szCs w:val="24"/>
          <w:lang w:eastAsia="en-US"/>
        </w:rPr>
        <w:t>(5a)</w:t>
      </w:r>
      <w:r>
        <w:rPr>
          <w:szCs w:val="24"/>
          <w:lang w:eastAsia="en-US"/>
        </w:rPr>
        <w:tab/>
      </w:r>
      <w:r>
        <w:rPr>
          <w:b/>
          <w:i/>
          <w:szCs w:val="24"/>
          <w:lang w:eastAsia="en-US"/>
        </w:rPr>
        <w:t>V súlade s článkom 42 ods. 1 nariadenia (EÚ) 2018/1725 sa uskutočnila konzultácia s európskym dozorným úradníkom pre ochranu údajov, ktorý 31. októbra 2023 vydal stanovisko,</w:t>
      </w:r>
      <w:r>
        <w:rPr>
          <w:b/>
          <w:szCs w:val="24"/>
          <w:lang w:eastAsia="en-US"/>
        </w:rPr>
        <w:t xml:space="preserve"> [PN 3]</w:t>
      </w:r>
    </w:p>
    <w:p w:rsidR="002E1B13" w:rsidRDefault="0058126F">
      <w:pPr>
        <w:keepNext/>
        <w:widowControl/>
        <w:spacing w:before="120" w:after="120" w:line="360" w:lineRule="auto"/>
        <w:rPr>
          <w:szCs w:val="24"/>
          <w:lang w:eastAsia="en-US"/>
        </w:rPr>
      </w:pPr>
      <w:r>
        <w:rPr>
          <w:szCs w:val="24"/>
          <w:lang w:eastAsia="en-US"/>
        </w:rPr>
        <w:t>PRIJALI TOTO NARIADENIE: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jc w:val="center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Článok 1</w:t>
      </w:r>
      <w:r>
        <w:rPr>
          <w:szCs w:val="24"/>
          <w:lang w:eastAsia="en-US"/>
        </w:rPr>
        <w:br/>
        <w:t>Zmena nariadenia (EÚ) č. 1024/2012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V prílohe k nariadeniu (EÚ) č. 1024/2012 sa dopĺňa tento nový bod 16: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„16.</w:t>
      </w:r>
      <w:r>
        <w:rPr>
          <w:szCs w:val="24"/>
          <w:lang w:eastAsia="en-US"/>
        </w:rPr>
        <w:tab/>
        <w:t>Smernica Európskeho parlamentu a Rady (EÚ) o európskych cezhraničných združeniach (COM(2023)0516)*: článok 19 ods. 2, článok 19 ods. 4, článok 23 ods. 5, článok 23 ods. 6, článok 23 ods. 7, článok 24 ods. 3, článok 25 ods. 6 a článok 27.“</w:t>
      </w:r>
    </w:p>
    <w:p w:rsidR="002E1B13" w:rsidRDefault="0058126F">
      <w:pPr>
        <w:spacing w:before="120" w:after="120" w:line="360" w:lineRule="auto"/>
        <w:ind w:left="850" w:firstLine="1"/>
        <w:rPr>
          <w:szCs w:val="24"/>
          <w:lang w:eastAsia="en-US"/>
        </w:rPr>
      </w:pPr>
      <w:r>
        <w:rPr>
          <w:szCs w:val="24"/>
          <w:lang w:eastAsia="en-US"/>
        </w:rPr>
        <w:t>____________________</w:t>
      </w:r>
    </w:p>
    <w:p w:rsidR="002E1B13" w:rsidRDefault="0058126F">
      <w:pPr>
        <w:spacing w:before="120" w:after="120" w:line="360" w:lineRule="auto"/>
        <w:ind w:left="1418" w:hanging="567"/>
        <w:rPr>
          <w:szCs w:val="24"/>
          <w:lang w:eastAsia="en-US"/>
        </w:rPr>
      </w:pPr>
      <w:r>
        <w:rPr>
          <w:szCs w:val="24"/>
          <w:lang w:eastAsia="en-US"/>
        </w:rPr>
        <w:t xml:space="preserve">* </w:t>
      </w:r>
      <w:r>
        <w:rPr>
          <w:szCs w:val="24"/>
          <w:lang w:eastAsia="en-US"/>
        </w:rPr>
        <w:tab/>
        <w:t>(Odkaz na úradný vestník).“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jc w:val="center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Článok 2</w:t>
      </w:r>
      <w:r>
        <w:rPr>
          <w:szCs w:val="24"/>
          <w:lang w:eastAsia="en-US"/>
        </w:rPr>
        <w:br/>
        <w:t>Zmeny nariadenia (EÚ) 2018/1724</w:t>
      </w:r>
    </w:p>
    <w:p w:rsidR="002E1B13" w:rsidRDefault="0058126F">
      <w:pPr>
        <w:spacing w:before="120" w:after="120" w:line="360" w:lineRule="auto"/>
        <w:rPr>
          <w:szCs w:val="24"/>
          <w:lang w:eastAsia="en-US"/>
        </w:rPr>
      </w:pPr>
      <w:r>
        <w:rPr>
          <w:szCs w:val="24"/>
          <w:lang w:eastAsia="en-US"/>
        </w:rPr>
        <w:t>Nariadenie (EÚ) 2018/1724 sa mení takto: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1.</w:t>
      </w:r>
      <w:r>
        <w:rPr>
          <w:szCs w:val="24"/>
          <w:lang w:eastAsia="en-US"/>
        </w:rPr>
        <w:tab/>
        <w:t>V článku 1 ods. 1 sa písmeno a) nahrádza takto:</w:t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szCs w:val="24"/>
          <w:lang w:eastAsia="en-US"/>
        </w:rPr>
        <w:t>„a)</w:t>
      </w:r>
      <w:r>
        <w:rPr>
          <w:szCs w:val="24"/>
          <w:lang w:eastAsia="en-US"/>
        </w:rPr>
        <w:tab/>
        <w:t>zriadenie a fungovanie jednotnej digitálnej brány s cieľom poskytnúť občanom, podnikom a právnickým osobám iným ako podniky jednoduchý prístup k vysokokvalitným informáciám, efektívnym postupom a účinným asistenčným službám a službám riešenia problémov v súvislosti s pravidlami Únie a vnútroštátnymi pravidlami vzťahujúcimi sa na občanov, podniky a právnické osoby iné ako podniky, ktorí(-é) uplatňujú alebo majú v úmysle uplatniť svoje práva vyplývajúce z práva Únie v oblasti vnútorného trhu v zmysle článku 26 ods. 2 ZFEÚ;“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2.</w:t>
      </w:r>
      <w:r>
        <w:rPr>
          <w:szCs w:val="24"/>
          <w:lang w:eastAsia="en-US"/>
        </w:rPr>
        <w:tab/>
        <w:t>V článku 1 ods. 1 sa písmeno b) nahrádza takto:</w:t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szCs w:val="24"/>
          <w:lang w:eastAsia="en-US"/>
        </w:rPr>
        <w:t>„b)</w:t>
      </w:r>
      <w:r>
        <w:rPr>
          <w:szCs w:val="24"/>
          <w:lang w:eastAsia="en-US"/>
        </w:rPr>
        <w:tab/>
        <w:t>využívanie postupov cezhraničnými používateľmi a uplatňovanie zásady „jedenkrát a dosť“ v súvislosti s postupmi uvedenými v prílohe II k tomuto nariadeniu a s postupmi uvedenými v smerniciach 2005/36/ES, 2006/123/ES, 2014/24/EÚ, 2014/25/EÚ a …/…*;“</w:t>
      </w:r>
    </w:p>
    <w:p w:rsidR="002E1B13" w:rsidRDefault="0058126F">
      <w:pPr>
        <w:spacing w:before="120" w:after="120" w:line="360" w:lineRule="auto"/>
        <w:ind w:left="1416"/>
        <w:rPr>
          <w:szCs w:val="24"/>
          <w:lang w:eastAsia="en-US"/>
        </w:rPr>
      </w:pPr>
      <w:r>
        <w:rPr>
          <w:szCs w:val="24"/>
          <w:lang w:eastAsia="en-US"/>
        </w:rPr>
        <w:t>____________________</w:t>
      </w:r>
    </w:p>
    <w:p w:rsidR="002E1B13" w:rsidRDefault="0058126F">
      <w:pPr>
        <w:spacing w:before="120" w:after="120" w:line="360" w:lineRule="auto"/>
        <w:ind w:left="1985" w:hanging="569"/>
        <w:rPr>
          <w:szCs w:val="24"/>
          <w:lang w:eastAsia="en-US"/>
        </w:rPr>
      </w:pPr>
      <w:r>
        <w:rPr>
          <w:szCs w:val="24"/>
          <w:lang w:eastAsia="en-US"/>
        </w:rPr>
        <w:t xml:space="preserve">„* </w:t>
      </w:r>
      <w:r>
        <w:rPr>
          <w:szCs w:val="24"/>
          <w:lang w:eastAsia="en-US"/>
        </w:rPr>
        <w:tab/>
        <w:t>Smernica Európskeho parlamentu a Rady z … o európskych cezhraničných združeniach (odkaz na úradný vestník).“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3.</w:t>
      </w:r>
      <w:r>
        <w:rPr>
          <w:szCs w:val="24"/>
          <w:lang w:eastAsia="en-US"/>
        </w:rPr>
        <w:tab/>
        <w:t>V článku 2 ods. 2 sa písmeno c) nahrádza takto:</w:t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szCs w:val="24"/>
          <w:lang w:eastAsia="en-US"/>
        </w:rPr>
        <w:t>„c)</w:t>
      </w:r>
      <w:r>
        <w:rPr>
          <w:szCs w:val="24"/>
          <w:lang w:eastAsia="en-US"/>
        </w:rPr>
        <w:tab/>
        <w:t>informáciám o asistenčných službách a službách riešenia problémov uvedených v prílohe III alebo uvedených v článku 7 a k odkazom na tieto služby, na ktoré sa občania, podniky a právnické osoby iné ako podniky môžu obracať, ak majú otázky alebo problémy súvisiace s ich právami, povinnosťami, pravidlami alebo postupmi uvedenými v písmenách a) a b) tohto odseku.“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4.</w:t>
      </w:r>
      <w:r>
        <w:rPr>
          <w:szCs w:val="24"/>
          <w:lang w:eastAsia="en-US"/>
        </w:rPr>
        <w:tab/>
        <w:t>V článku 14 sa odsek 1 nahrádza takto:</w:t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szCs w:val="24"/>
          <w:lang w:eastAsia="en-US"/>
        </w:rPr>
        <w:t>„1.</w:t>
      </w:r>
      <w:r>
        <w:rPr>
          <w:szCs w:val="24"/>
          <w:lang w:eastAsia="en-US"/>
        </w:rPr>
        <w:tab/>
        <w:t>Na účely výmeny dôkazov pre online postupy uvedené v prílohe II k tomuto nariadeniu a postupy stanovené v smerniciach 2005/36/ES, 2006/123/ES, 2014/24/EÚ, 2014/25/EÚ a …/…/… Komisia v spolupráci s členskými štátmi zavedie technický systém automatizovanej výmeny dôkazov medzi príslušnými orgánmi v rôznych členských štátoch (ďalej len „technický systém“).“</w:t>
      </w:r>
    </w:p>
    <w:p w:rsidR="002E1B13" w:rsidRDefault="0058126F">
      <w:pPr>
        <w:spacing w:before="120" w:after="120" w:line="360" w:lineRule="auto"/>
        <w:ind w:left="850" w:hanging="850"/>
        <w:rPr>
          <w:szCs w:val="24"/>
          <w:lang w:eastAsia="en-US"/>
        </w:rPr>
      </w:pPr>
      <w:r>
        <w:rPr>
          <w:szCs w:val="24"/>
          <w:lang w:eastAsia="en-US"/>
        </w:rPr>
        <w:t>5.</w:t>
      </w:r>
      <w:r>
        <w:rPr>
          <w:szCs w:val="24"/>
          <w:lang w:eastAsia="en-US"/>
        </w:rPr>
        <w:tab/>
        <w:t>Príloha I k nariadeniu (EÚ) 2018/1724 sa mení takto:</w:t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szCs w:val="24"/>
          <w:lang w:eastAsia="en-US"/>
        </w:rPr>
        <w:t>a)</w:t>
      </w:r>
      <w:r>
        <w:rPr>
          <w:szCs w:val="24"/>
          <w:lang w:eastAsia="en-US"/>
        </w:rPr>
        <w:tab/>
        <w:t>názov sa nahrádza takto:</w:t>
      </w:r>
    </w:p>
    <w:p w:rsidR="002E1B13" w:rsidRDefault="0058126F">
      <w:pPr>
        <w:spacing w:before="120" w:after="120" w:line="360" w:lineRule="auto"/>
        <w:ind w:left="1416"/>
        <w:rPr>
          <w:szCs w:val="24"/>
          <w:lang w:eastAsia="en-US"/>
        </w:rPr>
      </w:pPr>
      <w:r>
        <w:rPr>
          <w:szCs w:val="24"/>
          <w:lang w:eastAsia="en-US"/>
        </w:rPr>
        <w:t>„Zoznam oblastí informácií dôležitých pre občanov, podniky a právnické osoby iné ako podniky so sídlom v členskom štáte pri výkone práv, ktoré im poskytuje vnútorný trh, uvedených v článku 2 ods. 2 písm. a).</w:t>
      </w:r>
    </w:p>
    <w:p w:rsidR="002E1B13" w:rsidRDefault="0058126F">
      <w:pPr>
        <w:widowControl/>
        <w:rPr>
          <w:b/>
          <w:i/>
          <w:szCs w:val="24"/>
          <w:lang w:eastAsia="en-US"/>
        </w:rPr>
      </w:pPr>
      <w:r>
        <w:rPr>
          <w:b/>
          <w:i/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proofErr w:type="spellStart"/>
      <w:r>
        <w:rPr>
          <w:b/>
          <w:i/>
          <w:szCs w:val="24"/>
          <w:lang w:eastAsia="en-US"/>
        </w:rPr>
        <w:lastRenderedPageBreak/>
        <w:t>aa</w:t>
      </w:r>
      <w:proofErr w:type="spellEnd"/>
      <w:r>
        <w:rPr>
          <w:b/>
          <w:i/>
          <w:szCs w:val="24"/>
          <w:lang w:eastAsia="en-US"/>
        </w:rPr>
        <w:t>)</w:t>
      </w:r>
      <w:r>
        <w:rPr>
          <w:b/>
          <w:i/>
          <w:szCs w:val="24"/>
          <w:lang w:eastAsia="en-US"/>
        </w:rPr>
        <w:tab/>
        <w:t>oblasti informácií týkajúce sa podnikov, bod J sa nahrádza takto:</w:t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b/>
          <w:i/>
          <w:szCs w:val="24"/>
          <w:lang w:eastAsia="en-US"/>
        </w:rPr>
        <w:t>„Oblasti informácií týkajúce sa podnikov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E1B13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Oblasť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INFORMÁCIE TÝKAJÚCE SA PRÁV, POVINNOSTÍ A PRAVIDIEL</w:t>
            </w:r>
          </w:p>
        </w:tc>
      </w:tr>
      <w:tr w:rsidR="002E1B13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B13" w:rsidRDefault="0058126F">
            <w:pPr>
              <w:spacing w:after="120"/>
            </w:pPr>
            <w:r>
              <w:t>J. Začatie, výkon a ukončenie podnikateľskej činnosti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1. registrácia, zmena právnej formy alebo ukončenie podnikateľskej činnosti (postupy pri registrácii a právne formy výkonu podnikateľskej činnosti)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 xml:space="preserve">2. </w:t>
            </w:r>
            <w:r>
              <w:rPr>
                <w:b/>
                <w:bCs/>
                <w:i/>
                <w:iCs/>
              </w:rPr>
              <w:t xml:space="preserve">premiestnenie registrovaného sídla podniku </w:t>
            </w:r>
            <w:r>
              <w:rPr>
                <w:b/>
                <w:i/>
              </w:rPr>
              <w:t>do iného členského štátu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2a. povinnosti voči veriteľom a práva pracovníkov v súvislosti s premiestnením registrovaného sídla podniku do iného členského štátu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3. práva duševného vlastníctva (prihlásenie patentu, registrácia ochrannej známky, obrazového náčrtu alebo návrhu, získanie licencie na reprodukciu)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4. spravodlivosť a transparentnosť obchodnej praxe vrátane práv spotrebiteľov a záruk týkajúcich sa predaja tovaru a služieb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5. ponuka elektronických nástrojov na cezhraničné platby pri predaji tovaru a služieb online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6. práva a povinnosti vyplývajúce zo zmluvného práva vrátane úrokov z omeškania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 xml:space="preserve">7. </w:t>
            </w:r>
            <w:proofErr w:type="spellStart"/>
            <w:r>
              <w:rPr>
                <w:b/>
                <w:i/>
              </w:rPr>
              <w:t>insolvenčné</w:t>
            </w:r>
            <w:proofErr w:type="spellEnd"/>
            <w:r>
              <w:rPr>
                <w:b/>
                <w:i/>
              </w:rPr>
              <w:t xml:space="preserve"> konanie a likvidácia podnikov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8. poistenie úverov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>9. fúzie spoločností alebo predaj podniku</w:t>
            </w:r>
          </w:p>
          <w:p w:rsidR="002E1B13" w:rsidRDefault="0058126F">
            <w:pPr>
              <w:spacing w:after="120"/>
              <w:rPr>
                <w:b/>
                <w:i/>
              </w:rPr>
            </w:pPr>
            <w:r>
              <w:rPr>
                <w:b/>
                <w:i/>
              </w:rPr>
              <w:t xml:space="preserve">10. občianskoprávna zodpovednosť </w:t>
            </w:r>
            <w:r>
              <w:rPr>
                <w:b/>
                <w:bCs/>
                <w:i/>
                <w:iCs/>
              </w:rPr>
              <w:t>členov vedenia alebo</w:t>
            </w:r>
            <w:r>
              <w:rPr>
                <w:b/>
                <w:i/>
              </w:rPr>
              <w:t xml:space="preserve"> riaditeľov spoločnosti</w:t>
            </w:r>
          </w:p>
          <w:p w:rsidR="002E1B13" w:rsidRDefault="0058126F">
            <w:pPr>
              <w:spacing w:after="120"/>
            </w:pPr>
            <w:r>
              <w:rPr>
                <w:b/>
                <w:i/>
              </w:rPr>
              <w:t>11. pravidlá a povinnosti týkajúce sa spracúvania osobných údajov“</w:t>
            </w:r>
          </w:p>
        </w:tc>
      </w:tr>
    </w:tbl>
    <w:p w:rsidR="002E1B13" w:rsidRDefault="0058126F">
      <w:pPr>
        <w:spacing w:before="120" w:after="120" w:line="360" w:lineRule="auto"/>
        <w:ind w:firstLine="2"/>
        <w:jc w:val="right"/>
        <w:rPr>
          <w:szCs w:val="24"/>
          <w:lang w:eastAsia="en-US"/>
        </w:rPr>
      </w:pPr>
      <w:r>
        <w:rPr>
          <w:b/>
          <w:szCs w:val="24"/>
          <w:lang w:eastAsia="en-US"/>
        </w:rPr>
        <w:t xml:space="preserve"> [PN 4]</w:t>
      </w: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ind w:left="1416" w:hanging="566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b)</w:t>
      </w:r>
      <w:r>
        <w:rPr>
          <w:szCs w:val="24"/>
          <w:lang w:eastAsia="en-US"/>
        </w:rPr>
        <w:tab/>
        <w:t>dopĺňajú sa tieto oblasti informácií:</w:t>
      </w:r>
    </w:p>
    <w:p w:rsidR="002E1B13" w:rsidRDefault="0058126F">
      <w:pPr>
        <w:spacing w:before="120" w:after="120" w:line="360" w:lineRule="auto"/>
        <w:ind w:left="1416"/>
        <w:rPr>
          <w:szCs w:val="24"/>
          <w:lang w:eastAsia="en-US"/>
        </w:rPr>
      </w:pPr>
      <w:r>
        <w:rPr>
          <w:szCs w:val="24"/>
          <w:lang w:eastAsia="en-US"/>
        </w:rPr>
        <w:t>„Oblasti informácií týkajúce sa právnických osôb iných ako podniky so sídlom v členskom štáte: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830"/>
        <w:gridCol w:w="6922"/>
      </w:tblGrid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1B13" w:rsidRDefault="0058126F">
            <w:pPr>
              <w:spacing w:after="120" w:line="360" w:lineRule="auto"/>
              <w:rPr>
                <w:lang w:eastAsia="en-US"/>
              </w:rPr>
            </w:pPr>
            <w:r>
              <w:rPr>
                <w:lang w:eastAsia="en-US"/>
              </w:rPr>
              <w:t>AA. Začatie činnosti, priebeh činnosti a ukončenie činnosti právnickej osoby inej ako podnik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registrácia, zmena právnej formy alebo ukončenie činnosti právnickej osoby inej ako podnik (postupy registrácie a právne formy)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2. </w:t>
            </w:r>
            <w:r>
              <w:rPr>
                <w:b/>
                <w:bCs/>
                <w:i/>
                <w:iCs/>
                <w:szCs w:val="24"/>
                <w:lang w:eastAsia="en-US"/>
              </w:rPr>
              <w:t>premiestnenie registrovaného sídla</w:t>
            </w:r>
            <w:r>
              <w:rPr>
                <w:szCs w:val="24"/>
                <w:lang w:eastAsia="en-US"/>
              </w:rPr>
              <w:t xml:space="preserve"> právnickej osoby inej ako podnik do iného členského štátu</w:t>
            </w:r>
          </w:p>
          <w:p w:rsidR="002E1B13" w:rsidRDefault="0058126F">
            <w:pPr>
              <w:spacing w:before="120" w:after="120" w:line="360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2a. povinnosti voči veriteľom a práva pracovníkov v súvislosti s premiestnením registrovaného sídla právnickej osoby inej ako podnik do iného členského štátu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 práva duševného vlastníctva (prihlásenie patentu, registrácia ochrannej známky, obrazového náčrtu alebo návrhu, získanie licencie na reprodukciu)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 spravodlivosť a transparentnosť obchodnej praxe vrátane práv spotrebiteľov a záruk týkajúcich sa predaja tovaru a služieb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5. ponuka elektronických nástrojov na cezhraničné platby pri predaji tovaru a služieb online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6. práva a povinnosti vyplývajúce zo zmluvného práva vrátane úrokov z omeškania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7. </w:t>
            </w:r>
            <w:proofErr w:type="spellStart"/>
            <w:r>
              <w:rPr>
                <w:szCs w:val="24"/>
                <w:lang w:eastAsia="en-US"/>
              </w:rPr>
              <w:t>insolvenčné</w:t>
            </w:r>
            <w:proofErr w:type="spellEnd"/>
            <w:r>
              <w:rPr>
                <w:szCs w:val="24"/>
                <w:lang w:eastAsia="en-US"/>
              </w:rPr>
              <w:t xml:space="preserve"> konania a likvidácie právnických osôb iných ako podniky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8. poistenie úverov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9. fúzie alebo predaj právnickej osoby inej ako podnik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10. občianskoprávna zodpovednosť </w:t>
            </w:r>
            <w:r>
              <w:rPr>
                <w:b/>
                <w:bCs/>
                <w:i/>
                <w:iCs/>
                <w:szCs w:val="24"/>
                <w:lang w:eastAsia="en-US"/>
              </w:rPr>
              <w:t>členov vedenia alebo</w:t>
            </w:r>
            <w:r>
              <w:rPr>
                <w:szCs w:val="24"/>
                <w:lang w:eastAsia="en-US"/>
              </w:rPr>
              <w:t xml:space="preserve"> riaditeľov právnickej osoby inej ako podnik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11. pravidlá a povinnosti týkajúce sa spracúvania osobných údajov</w:t>
            </w:r>
          </w:p>
        </w:tc>
      </w:tr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lang w:eastAsia="en-US"/>
              </w:rPr>
            </w:pPr>
            <w:r>
              <w:rPr>
                <w:noProof/>
                <w:color w:val="000000"/>
                <w:shd w:val="clear" w:color="auto" w:fill="FFFFFF"/>
              </w:rPr>
              <w:t>AB. Zamestnanci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1. podmienky zamestnávania stanovené zákonom alebo </w:t>
            </w:r>
            <w:r>
              <w:rPr>
                <w:szCs w:val="24"/>
                <w:lang w:eastAsia="en-US"/>
              </w:rPr>
              <w:lastRenderedPageBreak/>
              <w:t>vykonávacím predpisom (vrátane pracovného času, platenej dovolenky, nároku na dovolenku, práv a povinností týkajúcich sa nadčasov, zdravotných prehliadok, vypovedania zmlúv, výpovede a prepustenia) 2. práva a povinnosti v oblasti sociálneho zabezpečenia v Únii (registrácia zamestnávateľov, registrácia zamestnancov, oznámenie o ukončení zmluvy zamestnanca, platenie príspevkov na sociálne zabezpečenie, práva a povinnosti týkajúce sa dôchodkov) 3. zamestnávanie pracovníkov v iných členských štátoch (vysielanie pracovníkov, pravidlá slobody poskytovať služby, požiadavky týkajúce sa pobytu pracovníkov) 4. rovnaké zaobchádzanie (pravidlá zakazujúce diskrimináciu na pracovisku, rovnaká odmena pre ženy a mužov a rovnaká odmena pre zamestnancov na dobu určitú alebo neurčitú) 5. pravidlá zastupovania zamestnancov</w:t>
            </w:r>
          </w:p>
        </w:tc>
      </w:tr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lang w:eastAsia="en-US"/>
              </w:rPr>
            </w:pPr>
            <w:r>
              <w:rPr>
                <w:noProof/>
                <w:color w:val="000000"/>
                <w:shd w:val="clear" w:color="auto" w:fill="FFFFFF"/>
              </w:rPr>
              <w:lastRenderedPageBreak/>
              <w:t>AC. Dane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DPH: informácie o všeobecných pravidlách, sadzbách a oslobodení od dane, registrácia platiteľa a platenie DPH, vrátenie dane 2. spotrebné dane: informácie o všeobecných pravidlách, sadzbách a oslobodení od dane, registrácia platiteľa a platenie spotrebnej dane, vrátenie dane 3. clo a ďalšie dane a poplatky vyberané pri dovoze 4. colné postupy pri dovoze a vývoze v rámci Colného kódexu Únie 5. iné dane: platenie, sadzby, daňové priznanie</w:t>
            </w:r>
          </w:p>
        </w:tc>
      </w:tr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lang w:eastAsia="en-US"/>
              </w:rPr>
            </w:pPr>
            <w:r>
              <w:rPr>
                <w:noProof/>
                <w:color w:val="000000"/>
                <w:shd w:val="clear" w:color="auto" w:fill="FFFFFF"/>
              </w:rPr>
              <w:t xml:space="preserve">AD. Tovar 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1. získanie označenia CE 2. pravidlá a požiadavky týkajúce sa výrobkov 3. identifikácia príslušných noriem, technických špecifikácií a osvedčovanie výrobkov 4. vzájomné uznávanie výrobkov, na ktoré sa nevzťahujú špecifikácie Únie 5. požiadavky týkajúce sa klasifikácie, označovania a balenia nebezpečných chemických látok 6. predaj na diaľku alebo mimo prevádzkových priestorov: informácie, ktoré sa majú poskytnúť zákazníkom vopred, písomné potvrdenie zmluvy, odstúpenie od zmluvy, dodanie tovaru, iné osobitné povinnosti 7. </w:t>
            </w:r>
            <w:proofErr w:type="spellStart"/>
            <w:r>
              <w:rPr>
                <w:szCs w:val="24"/>
                <w:lang w:eastAsia="en-US"/>
              </w:rPr>
              <w:t>vadné</w:t>
            </w:r>
            <w:proofErr w:type="spellEnd"/>
            <w:r>
              <w:rPr>
                <w:szCs w:val="24"/>
                <w:lang w:eastAsia="en-US"/>
              </w:rPr>
              <w:t xml:space="preserve"> výrobky: práva spotrebiteľov a záruky, zodpovednosť po </w:t>
            </w:r>
            <w:r>
              <w:rPr>
                <w:szCs w:val="24"/>
                <w:lang w:eastAsia="en-US"/>
              </w:rPr>
              <w:lastRenderedPageBreak/>
              <w:t>predaji, prostriedky nápravy pre poškodenú stranu</w:t>
            </w:r>
          </w:p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8. osvedčenia, označenia (EMAS, energetické štítky, </w:t>
            </w:r>
            <w:proofErr w:type="spellStart"/>
            <w:r>
              <w:rPr>
                <w:szCs w:val="24"/>
                <w:lang w:eastAsia="en-US"/>
              </w:rPr>
              <w:t>ekodizajn</w:t>
            </w:r>
            <w:proofErr w:type="spellEnd"/>
            <w:r>
              <w:rPr>
                <w:szCs w:val="24"/>
                <w:lang w:eastAsia="en-US"/>
              </w:rPr>
              <w:t>, environmentálna značka EÚ) 9. recyklácia a odpadové hospodárstvo</w:t>
            </w:r>
          </w:p>
        </w:tc>
      </w:tr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lang w:eastAsia="en-US"/>
              </w:rPr>
            </w:pPr>
            <w:r>
              <w:rPr>
                <w:noProof/>
                <w:color w:val="000000"/>
                <w:shd w:val="clear" w:color="auto" w:fill="FFFFFF"/>
              </w:rPr>
              <w:lastRenderedPageBreak/>
              <w:t xml:space="preserve">AE. Služby 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získanie licencií, oprávnení alebo povolení na začatie a vykonávanie činnosti právnickej osoby inej ako podnik 2. oznamovanie cezhraničnej činnosti orgánom 3. uznávanie odborných kvalifikácií vrátane odborného vzdelávania a prípravy</w:t>
            </w:r>
          </w:p>
        </w:tc>
      </w:tr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lang w:eastAsia="en-US"/>
              </w:rPr>
            </w:pPr>
            <w:r>
              <w:rPr>
                <w:noProof/>
                <w:color w:val="000000"/>
                <w:shd w:val="clear" w:color="auto" w:fill="FFFFFF"/>
              </w:rPr>
              <w:t>AF. Financovanie právnickej osoby inej ako podnik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before="120" w:after="120" w:line="36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získanie prístupu k finančným prostriedkom na úrovni Únie vrátane financovania z programov Únie a grantov 2. získanie prístupu k finančným prostriedkom na vnútroštátnej úrovni 3. iniciatívy určené právnickým osobám iným ako podniky (výmeny, mentorské programy atď.)</w:t>
            </w:r>
          </w:p>
        </w:tc>
      </w:tr>
      <w:tr w:rsidR="002E1B13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1B13" w:rsidRDefault="0058126F">
            <w:pPr>
              <w:spacing w:after="120"/>
              <w:rPr>
                <w:lang w:eastAsia="en-US"/>
              </w:rPr>
            </w:pPr>
            <w:r>
              <w:rPr>
                <w:noProof/>
                <w:color w:val="000000"/>
                <w:shd w:val="clear" w:color="auto" w:fill="FFFFFF"/>
              </w:rPr>
              <w:t>AG. Verejné obstarávanie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CC" w:rsidRPr="007251CC" w:rsidRDefault="007251CC" w:rsidP="007251CC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7251CC">
              <w:rPr>
                <w:szCs w:val="24"/>
                <w:lang w:eastAsia="en-US"/>
              </w:rPr>
              <w:t>1. účasť na verejných súťažiach: pravidlá a postupy</w:t>
            </w:r>
          </w:p>
          <w:p w:rsidR="007251CC" w:rsidRPr="007251CC" w:rsidRDefault="007251CC" w:rsidP="007251CC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7251CC">
              <w:rPr>
                <w:szCs w:val="24"/>
                <w:lang w:eastAsia="en-US"/>
              </w:rPr>
              <w:t>2. predloženie ponuky online v rámci verejnej výzvy na predkladanie ponúk</w:t>
            </w:r>
          </w:p>
          <w:p w:rsidR="002E1B13" w:rsidRDefault="007251CC" w:rsidP="007251CC">
            <w:pPr>
              <w:spacing w:before="120" w:after="120" w:line="360" w:lineRule="auto"/>
              <w:rPr>
                <w:szCs w:val="24"/>
                <w:lang w:eastAsia="en-US"/>
              </w:rPr>
            </w:pPr>
            <w:r w:rsidRPr="007251CC">
              <w:rPr>
                <w:szCs w:val="24"/>
                <w:lang w:eastAsia="en-US"/>
              </w:rPr>
              <w:t>3. nahlasovanie nezrovnalostí vo vzťahu k postupom verejného obstarávania</w:t>
            </w:r>
          </w:p>
        </w:tc>
      </w:tr>
      <w:tr w:rsidR="003337E2">
        <w:trPr>
          <w:jc w:val="center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7E2" w:rsidRDefault="003337E2">
            <w:pPr>
              <w:spacing w:after="120"/>
              <w:rPr>
                <w:noProof/>
                <w:color w:val="000000"/>
                <w:shd w:val="clear" w:color="auto" w:fill="FFFFFF"/>
              </w:rPr>
            </w:pPr>
            <w:r w:rsidRPr="003371C2">
              <w:rPr>
                <w:noProof/>
                <w:color w:val="000000"/>
                <w:shd w:val="clear" w:color="auto" w:fill="FFFFFF"/>
              </w:rPr>
              <w:t>AH. Bezpečnosť</w:t>
            </w:r>
            <w:r>
              <w:rPr>
                <w:noProof/>
                <w:color w:val="000000"/>
                <w:shd w:val="clear" w:color="auto" w:fill="FFFFFF"/>
              </w:rPr>
              <w:t xml:space="preserve"> a </w:t>
            </w:r>
            <w:r w:rsidRPr="003371C2">
              <w:rPr>
                <w:noProof/>
                <w:color w:val="000000"/>
                <w:shd w:val="clear" w:color="auto" w:fill="FFFFFF"/>
              </w:rPr>
              <w:t>ochrana zdravia pri práci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7E2" w:rsidRDefault="003337E2" w:rsidP="003337E2">
            <w:pPr>
              <w:rPr>
                <w:szCs w:val="24"/>
                <w:lang w:eastAsia="en-US"/>
              </w:rPr>
            </w:pPr>
            <w:r w:rsidRPr="003371C2">
              <w:rPr>
                <w:noProof/>
                <w:color w:val="000000"/>
                <w:shd w:val="clear" w:color="auto" w:fill="FFFFFF"/>
              </w:rPr>
              <w:t xml:space="preserve">1. </w:t>
            </w:r>
            <w:r w:rsidRPr="003371C2">
              <w:rPr>
                <w:noProof/>
              </w:rPr>
              <w:t>povinnosti</w:t>
            </w:r>
            <w:r>
              <w:rPr>
                <w:noProof/>
              </w:rPr>
              <w:t xml:space="preserve"> v </w:t>
            </w:r>
            <w:r w:rsidRPr="003371C2">
              <w:rPr>
                <w:noProof/>
              </w:rPr>
              <w:t>oblasti zdravia</w:t>
            </w:r>
            <w:r>
              <w:rPr>
                <w:noProof/>
              </w:rPr>
              <w:t xml:space="preserve"> a </w:t>
            </w:r>
            <w:r w:rsidRPr="003371C2">
              <w:rPr>
                <w:noProof/>
              </w:rPr>
              <w:t>bezpečnosti podľa rôznych druhov činností vrátane predchádzania rizikám, informácií</w:t>
            </w:r>
            <w:r>
              <w:rPr>
                <w:noProof/>
              </w:rPr>
              <w:t xml:space="preserve"> a </w:t>
            </w:r>
            <w:r w:rsidRPr="003371C2">
              <w:rPr>
                <w:noProof/>
              </w:rPr>
              <w:t>odbornej prípravy“</w:t>
            </w:r>
          </w:p>
        </w:tc>
      </w:tr>
    </w:tbl>
    <w:p w:rsidR="002E1B13" w:rsidRDefault="0058126F">
      <w:pPr>
        <w:spacing w:before="120" w:after="120" w:line="360" w:lineRule="auto"/>
        <w:jc w:val="right"/>
        <w:rPr>
          <w:b/>
          <w:szCs w:val="24"/>
          <w:lang w:eastAsia="en-US"/>
        </w:rPr>
      </w:pPr>
      <w:r>
        <w:rPr>
          <w:b/>
          <w:szCs w:val="24"/>
          <w:lang w:eastAsia="en-US"/>
        </w:rPr>
        <w:t xml:space="preserve"> [PN 5]</w:t>
      </w:r>
    </w:p>
    <w:p w:rsidR="002E1B13" w:rsidRDefault="0058126F">
      <w:pPr>
        <w:widowControl/>
        <w:rPr>
          <w:szCs w:val="24"/>
          <w:lang w:eastAsia="en-US"/>
        </w:rPr>
      </w:pPr>
      <w:r>
        <w:rPr>
          <w:szCs w:val="24"/>
          <w:lang w:eastAsia="en-US"/>
        </w:rPr>
        <w:br w:type="page"/>
      </w:r>
    </w:p>
    <w:p w:rsidR="002E1B13" w:rsidRDefault="0058126F">
      <w:pPr>
        <w:spacing w:before="120" w:after="120" w:line="360" w:lineRule="auto"/>
        <w:jc w:val="center"/>
        <w:rPr>
          <w:szCs w:val="24"/>
          <w:lang w:eastAsia="en-US"/>
        </w:rPr>
      </w:pPr>
      <w:r>
        <w:rPr>
          <w:szCs w:val="24"/>
          <w:lang w:eastAsia="en-US"/>
        </w:rPr>
        <w:lastRenderedPageBreak/>
        <w:t>Článok 3</w:t>
      </w:r>
      <w:r>
        <w:rPr>
          <w:szCs w:val="24"/>
          <w:lang w:eastAsia="en-US"/>
        </w:rPr>
        <w:br/>
        <w:t>Nadobudnutie účinnosti</w:t>
      </w:r>
    </w:p>
    <w:p w:rsidR="002E1B13" w:rsidRDefault="0058126F">
      <w:pPr>
        <w:spacing w:before="120" w:after="120" w:line="360" w:lineRule="auto"/>
        <w:rPr>
          <w:szCs w:val="24"/>
          <w:lang w:eastAsia="en-US"/>
        </w:rPr>
      </w:pPr>
      <w:r>
        <w:rPr>
          <w:szCs w:val="24"/>
          <w:lang w:eastAsia="en-US"/>
        </w:rPr>
        <w:t>Toto nariadenie nadobúda účinnosť dvadsiatym dňom po jeho</w:t>
      </w:r>
      <w:r>
        <w:rPr>
          <w:i/>
          <w:szCs w:val="24"/>
          <w:lang w:eastAsia="en-US"/>
        </w:rPr>
        <w:t xml:space="preserve"> </w:t>
      </w:r>
      <w:r>
        <w:rPr>
          <w:szCs w:val="24"/>
          <w:lang w:eastAsia="en-US"/>
        </w:rPr>
        <w:t>uverejnení v</w:t>
      </w:r>
      <w:r>
        <w:rPr>
          <w:i/>
          <w:szCs w:val="24"/>
          <w:lang w:eastAsia="en-US"/>
        </w:rPr>
        <w:t xml:space="preserve"> Úradnom vestníku Európskej únie</w:t>
      </w:r>
      <w:r>
        <w:rPr>
          <w:szCs w:val="24"/>
          <w:lang w:eastAsia="en-US"/>
        </w:rPr>
        <w:t>.</w:t>
      </w:r>
    </w:p>
    <w:p w:rsidR="002E1B13" w:rsidRDefault="0058126F">
      <w:pPr>
        <w:spacing w:before="120" w:after="120" w:line="360" w:lineRule="auto"/>
        <w:rPr>
          <w:szCs w:val="24"/>
          <w:lang w:eastAsia="en-US"/>
        </w:rPr>
      </w:pPr>
      <w:r>
        <w:rPr>
          <w:szCs w:val="24"/>
          <w:lang w:eastAsia="en-US"/>
        </w:rPr>
        <w:t>Toto nariadenie je záväzné v celom rozsahu a priamo uplatniteľné vo všetkých členských štátoch.</w:t>
      </w:r>
    </w:p>
    <w:p w:rsidR="002E1B13" w:rsidRDefault="0058126F">
      <w:pPr>
        <w:keepNext/>
        <w:widowControl/>
        <w:spacing w:before="120" w:line="360" w:lineRule="auto"/>
        <w:rPr>
          <w:szCs w:val="24"/>
          <w:lang w:eastAsia="en-US"/>
        </w:rPr>
      </w:pPr>
      <w:r>
        <w:rPr>
          <w:szCs w:val="24"/>
          <w:lang w:eastAsia="en-US"/>
        </w:rPr>
        <w:t>V …</w:t>
      </w:r>
    </w:p>
    <w:p w:rsidR="002E1B13" w:rsidRDefault="0058126F">
      <w:pPr>
        <w:keepNext/>
        <w:widowControl/>
        <w:tabs>
          <w:tab w:val="left" w:pos="4252"/>
        </w:tabs>
        <w:spacing w:before="720" w:line="360" w:lineRule="auto"/>
        <w:jc w:val="both"/>
        <w:rPr>
          <w:i/>
          <w:szCs w:val="24"/>
          <w:lang w:eastAsia="en-US"/>
        </w:rPr>
      </w:pPr>
      <w:r>
        <w:rPr>
          <w:i/>
          <w:szCs w:val="24"/>
          <w:lang w:eastAsia="en-US"/>
        </w:rPr>
        <w:t>Za Európsky parlament</w:t>
      </w:r>
      <w:r>
        <w:rPr>
          <w:i/>
          <w:szCs w:val="24"/>
          <w:lang w:eastAsia="en-US"/>
        </w:rPr>
        <w:tab/>
        <w:t>Za Radu</w:t>
      </w:r>
    </w:p>
    <w:p w:rsidR="002E1B13" w:rsidRDefault="0058126F" w:rsidP="007251CC">
      <w:pPr>
        <w:widowControl/>
        <w:tabs>
          <w:tab w:val="left" w:pos="4252"/>
        </w:tabs>
        <w:spacing w:line="360" w:lineRule="auto"/>
      </w:pPr>
      <w:r>
        <w:rPr>
          <w:i/>
          <w:szCs w:val="24"/>
          <w:lang w:eastAsia="en-US"/>
        </w:rPr>
        <w:t>predsedníčka</w:t>
      </w:r>
      <w:r>
        <w:rPr>
          <w:i/>
          <w:szCs w:val="24"/>
          <w:lang w:eastAsia="en-US"/>
        </w:rPr>
        <w:tab/>
        <w:t>predseda/predsedníčka</w:t>
      </w:r>
      <w:bookmarkStart w:id="8" w:name="_GoBack"/>
      <w:bookmarkEnd w:id="8"/>
    </w:p>
    <w:sectPr w:rsidR="002E1B1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B13" w:rsidRDefault="0058126F">
      <w:r>
        <w:separator/>
      </w:r>
    </w:p>
  </w:endnote>
  <w:endnote w:type="continuationSeparator" w:id="0">
    <w:p w:rsidR="002E1B13" w:rsidRDefault="00581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B13" w:rsidRDefault="002E1B1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B13" w:rsidRDefault="002E1B1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B13" w:rsidRDefault="002E1B1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B13" w:rsidRDefault="0058126F">
      <w:r>
        <w:separator/>
      </w:r>
    </w:p>
  </w:footnote>
  <w:footnote w:type="continuationSeparator" w:id="0">
    <w:p w:rsidR="002E1B13" w:rsidRDefault="0058126F">
      <w:r>
        <w:continuationSeparator/>
      </w:r>
    </w:p>
  </w:footnote>
  <w:footnote w:id="1">
    <w:p w:rsidR="002E1B13" w:rsidRDefault="0058126F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Zatiaľ neuverejnené v úradnom vestníku.</w:t>
      </w:r>
    </w:p>
  </w:footnote>
  <w:footnote w:id="2">
    <w:p w:rsidR="002E1B13" w:rsidRDefault="0058126F">
      <w:pPr>
        <w:pStyle w:val="FootnoteTextForceStyle"/>
        <w:rPr>
          <w:lang w:val="sk-SK"/>
        </w:rPr>
      </w:pPr>
      <w:r>
        <w:rPr>
          <w:vertAlign w:val="superscript"/>
          <w:lang w:val="sk-SK"/>
        </w:rPr>
        <w:footnoteRef/>
      </w:r>
      <w:r>
        <w:rPr>
          <w:lang w:val="sk-SK"/>
        </w:rPr>
        <w:tab/>
        <w:t>Odkaz na stanovisko.</w:t>
      </w:r>
    </w:p>
  </w:footnote>
  <w:footnote w:id="3">
    <w:p w:rsidR="002E1B13" w:rsidRDefault="0058126F">
      <w:pPr>
        <w:pStyle w:val="FootnoteTextForceStyle"/>
        <w:rPr>
          <w:lang w:val="sk-SK"/>
        </w:rPr>
      </w:pPr>
      <w:r>
        <w:rPr>
          <w:vertAlign w:val="superscript"/>
          <w:lang w:val="sk-SK"/>
        </w:rPr>
        <w:footnoteRef/>
      </w:r>
      <w:r>
        <w:rPr>
          <w:lang w:val="sk-SK"/>
        </w:rPr>
        <w:tab/>
        <w:t>Smernica Európskeho parlamentu a Rady z … o európskych cezhraničných združeniach (odkaz na úradný vestník).</w:t>
      </w:r>
    </w:p>
  </w:footnote>
  <w:footnote w:id="4">
    <w:p w:rsidR="002E1B13" w:rsidRDefault="0058126F">
      <w:pPr>
        <w:pStyle w:val="FootnoteTextForceStyle"/>
        <w:rPr>
          <w:lang w:val="sk-SK"/>
        </w:rPr>
      </w:pPr>
      <w:r>
        <w:rPr>
          <w:vertAlign w:val="superscript"/>
          <w:lang w:val="sk-SK"/>
        </w:rPr>
        <w:footnoteRef/>
      </w:r>
      <w:r>
        <w:rPr>
          <w:lang w:val="sk-SK"/>
        </w:rPr>
        <w:tab/>
        <w:t>Nariadenie Európskeho parlamentu a Rady (EÚ) č. 1024/2012 z 25. októbra 2012 o administratívnej spolupráci prostredníctvom informačného systému o vnútornom trhu a o zrušení rozhodnutia Komisie 2008/49/ES („nariadenie o IMI“) (Ú. v. EÚ L 316, 14.11.2012, s. 1).</w:t>
      </w:r>
    </w:p>
  </w:footnote>
  <w:footnote w:id="5">
    <w:p w:rsidR="002E1B13" w:rsidRDefault="0058126F">
      <w:pPr>
        <w:pStyle w:val="FootnoteTextForceStyle"/>
        <w:rPr>
          <w:lang w:val="sk-SK"/>
        </w:rPr>
      </w:pPr>
      <w:r>
        <w:rPr>
          <w:vertAlign w:val="superscript"/>
          <w:lang w:val="sk-SK"/>
        </w:rPr>
        <w:footnoteRef/>
      </w:r>
      <w:r>
        <w:rPr>
          <w:lang w:val="sk-SK"/>
        </w:rPr>
        <w:tab/>
        <w:t>Nariadenie Európskeho parlamentu a Rady (EÚ) 2018/1724 z 2. októbra 2018 o zriadení jednotnej digitálnej brány na poskytovanie prístupu k informáciám, postupom a asistenčným službám a službám riešenia problémov a o zmene nariadenia (EÚ) č. 1024/2012 (Ú. v. EÚ L 295, 21.11.2018, s. 1).</w:t>
      </w:r>
    </w:p>
  </w:footnote>
  <w:footnote w:id="6">
    <w:p w:rsidR="002E1B13" w:rsidRDefault="0058126F">
      <w:pPr>
        <w:pStyle w:val="FootnoteTextForceStyle"/>
        <w:rPr>
          <w:lang w:val="sk-SK"/>
        </w:rPr>
      </w:pPr>
      <w:r>
        <w:rPr>
          <w:vertAlign w:val="superscript"/>
          <w:lang w:val="sk-SK"/>
        </w:rPr>
        <w:footnoteRef/>
      </w:r>
      <w:r>
        <w:rPr>
          <w:lang w:val="sk-SK"/>
        </w:rPr>
        <w:tab/>
        <w:t>Nariadenie Európskeho parlamentu a Rady (EÚ) 2018/1724 z 2. októbra 2018 o zriadení jednotnej digitálnej brány na poskytovanie prístupu k informáciám, postupom a asistenčným službám a službám riešenia problémov a o zmene nariadenia (EÚ) č. 1024/2012 (Ú. v. EÚ L 295, 21.11.2018,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B13" w:rsidRDefault="002E1B1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B13" w:rsidRDefault="002E1B1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B13" w:rsidRDefault="002E1B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6/2024"/>
    <w:docVar w:name="dvlangue" w:val="SK"/>
    <w:docVar w:name="dvnumam" w:val="5"/>
    <w:docVar w:name="dvpe" w:val="756.195"/>
    <w:docVar w:name="dvrapporteur" w:val="Spravodajkyňa: "/>
    <w:docVar w:name="dvstar" w:val="***I"/>
    <w:docVar w:name="dvtitre" w:val="Legislatívne uznesenie Európskeho parlamentu  z xx. marca 2024 o návrhu nariadenia Európskeho parlamentu a Rady, ktorým sa menia nariadenia (EÚ) č. 1024/2012 a (EÚ) 2018/1724, pokiaľ ide o používanie informačného systému o vnútornom trhu a jednotnej digitálnej brány na účely určitých požiadaviek stanovených v smernici Európskeho parlamentu a Rady (EÚ) .../... o európskych cezhraničných združeniach [COM(2023) 516](COM(2023)0515 – C9-0327/2023 – 2023/0314(COD))"/>
  </w:docVars>
  <w:rsids>
    <w:rsidRoot w:val="002E1B13"/>
    <w:rsid w:val="002E1B13"/>
    <w:rsid w:val="003337E2"/>
    <w:rsid w:val="0058126F"/>
    <w:rsid w:val="0072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6BB31-66D0-4B2F-85A2-14451C6CF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character" w:customStyle="1" w:styleId="content">
    <w:name w:val="content"/>
    <w:basedOn w:val="DefaultParagraphFont"/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134CB-5FB4-49CF-B26E-AE87401A6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1925</Words>
  <Characters>11804</Characters>
  <Application>Microsoft Office Word</Application>
  <DocSecurity>4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GOROPECNIK Tina</cp:lastModifiedBy>
  <cp:revision>2</cp:revision>
  <cp:lastPrinted>2004-11-19T15:42:00Z</cp:lastPrinted>
  <dcterms:created xsi:type="dcterms:W3CDTF">2025-01-07T11:02:00Z</dcterms:created>
  <dcterms:modified xsi:type="dcterms:W3CDTF">2025-01-07T11:02:00Z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A9-0006/2024</vt:lpwstr>
  </property>
  <property fmtid="{D5CDD505-2E9C-101B-9397-08002B2CF9AE}" pid="4" name="&lt;Type&gt;">
    <vt:lpwstr>RR</vt:lpwstr>
  </property>
</Properties>
</file>