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1326" w14:paraId="2C7FABCB" w14:textId="77777777" w:rsidTr="0010095E">
        <w:trPr>
          <w:trHeight w:hRule="exact" w:val="1418"/>
        </w:trPr>
        <w:tc>
          <w:tcPr>
            <w:tcW w:w="6804" w:type="dxa"/>
            <w:shd w:val="clear" w:color="auto" w:fill="auto"/>
            <w:vAlign w:val="center"/>
          </w:tcPr>
          <w:p w14:paraId="70A07D6F" w14:textId="77777777" w:rsidR="00751A4A" w:rsidRPr="002A1326" w:rsidRDefault="00082065" w:rsidP="0010095E">
            <w:pPr>
              <w:pStyle w:val="EPName"/>
            </w:pPr>
            <w:r w:rsidRPr="002A1326">
              <w:t>Evropski parlament</w:t>
            </w:r>
          </w:p>
          <w:p w14:paraId="57F8F63F" w14:textId="77777777" w:rsidR="00751A4A" w:rsidRPr="002A1326" w:rsidRDefault="00817416" w:rsidP="00756632">
            <w:pPr>
              <w:pStyle w:val="EPTerm"/>
              <w:rPr>
                <w:rStyle w:val="HideTWBExt"/>
                <w:noProof w:val="0"/>
                <w:vanish w:val="0"/>
                <w:color w:val="auto"/>
              </w:rPr>
            </w:pPr>
            <w:r w:rsidRPr="002A1326">
              <w:t>2019-2024</w:t>
            </w:r>
          </w:p>
        </w:tc>
        <w:tc>
          <w:tcPr>
            <w:tcW w:w="2268" w:type="dxa"/>
            <w:shd w:val="clear" w:color="auto" w:fill="auto"/>
          </w:tcPr>
          <w:p w14:paraId="050BB086" w14:textId="77777777" w:rsidR="00751A4A" w:rsidRPr="002A1326" w:rsidRDefault="00187494" w:rsidP="0010095E">
            <w:pPr>
              <w:pStyle w:val="EPLogo"/>
            </w:pPr>
            <w:r w:rsidRPr="002A1326">
              <w:rPr>
                <w:noProof/>
                <w:lang w:val="en-GB"/>
              </w:rPr>
              <w:drawing>
                <wp:inline distT="0" distB="0" distL="0" distR="0" wp14:anchorId="434B827D" wp14:editId="42D9BF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EE5D8B" w14:textId="77777777" w:rsidR="00D058B8" w:rsidRPr="002A1326" w:rsidRDefault="00D058B8" w:rsidP="004C5D52">
      <w:pPr>
        <w:pStyle w:val="LineTop"/>
      </w:pPr>
    </w:p>
    <w:p w14:paraId="2B876C52" w14:textId="77777777" w:rsidR="00680577" w:rsidRPr="002A1326" w:rsidRDefault="00082065" w:rsidP="00680577">
      <w:pPr>
        <w:pStyle w:val="EPBodyTA1"/>
      </w:pPr>
      <w:r w:rsidRPr="002A1326">
        <w:t>SPREJETA BESEDILA</w:t>
      </w:r>
    </w:p>
    <w:p w14:paraId="055362EE" w14:textId="77777777" w:rsidR="00D058B8" w:rsidRPr="002A1326" w:rsidRDefault="00D058B8" w:rsidP="00D058B8">
      <w:pPr>
        <w:pStyle w:val="LineBottom"/>
      </w:pPr>
    </w:p>
    <w:p w14:paraId="6B06EF78" w14:textId="1828BA94" w:rsidR="00082065" w:rsidRPr="002A1326" w:rsidRDefault="00082065" w:rsidP="002A1326">
      <w:pPr>
        <w:pStyle w:val="ATHeading1"/>
      </w:pPr>
      <w:bookmarkStart w:id="0" w:name="TANumber"/>
      <w:proofErr w:type="spellStart"/>
      <w:r w:rsidRPr="002A1326">
        <w:t>P9_TA</w:t>
      </w:r>
      <w:proofErr w:type="spellEnd"/>
      <w:r w:rsidRPr="002A1326">
        <w:t>(2024)0</w:t>
      </w:r>
      <w:r w:rsidR="002A1326" w:rsidRPr="002A1326">
        <w:t>142</w:t>
      </w:r>
      <w:bookmarkEnd w:id="0"/>
    </w:p>
    <w:p w14:paraId="041DB27A" w14:textId="77777777" w:rsidR="00082065" w:rsidRPr="002A1326" w:rsidRDefault="004E0262" w:rsidP="004E0262">
      <w:pPr>
        <w:pStyle w:val="ATHeading2"/>
      </w:pPr>
      <w:r w:rsidRPr="002A1326">
        <w:t>Uporaba informacijskega sistema za notranji trg in enotnega digitalnega vstopnega mesta za namene nekaterih zahtev iz Direktive o evropskih čezmejnih združenjih</w:t>
      </w:r>
    </w:p>
    <w:p w14:paraId="0254AABF" w14:textId="04BF40FB" w:rsidR="00082065" w:rsidRPr="002A1326" w:rsidRDefault="00082065" w:rsidP="00082065">
      <w:pPr>
        <w:rPr>
          <w:i/>
          <w:vanish/>
        </w:rPr>
      </w:pPr>
      <w:r w:rsidRPr="002A1326">
        <w:rPr>
          <w:i/>
        </w:rPr>
        <w:fldChar w:fldCharType="begin"/>
      </w:r>
      <w:r w:rsidRPr="002A1326">
        <w:rPr>
          <w:i/>
        </w:rPr>
        <w:instrText xml:space="preserve"> TC"(</w:instrText>
      </w:r>
      <w:bookmarkStart w:id="1" w:name="DocNumber"/>
      <w:proofErr w:type="spellStart"/>
      <w:r w:rsidRPr="002A1326">
        <w:rPr>
          <w:i/>
        </w:rPr>
        <w:instrText>A9</w:instrText>
      </w:r>
      <w:proofErr w:type="spellEnd"/>
      <w:r w:rsidRPr="002A1326">
        <w:rPr>
          <w:i/>
        </w:rPr>
        <w:instrText>-0006/2024</w:instrText>
      </w:r>
      <w:bookmarkEnd w:id="1"/>
      <w:r w:rsidRPr="002A1326">
        <w:rPr>
          <w:i/>
        </w:rPr>
        <w:instrText xml:space="preserve"> - Poročevalka: Anne-Sophie </w:instrText>
      </w:r>
      <w:proofErr w:type="spellStart"/>
      <w:r w:rsidRPr="002A1326">
        <w:rPr>
          <w:i/>
        </w:rPr>
        <w:instrText>Pelletier</w:instrText>
      </w:r>
      <w:proofErr w:type="spellEnd"/>
      <w:r w:rsidRPr="002A1326">
        <w:rPr>
          <w:i/>
        </w:rPr>
        <w:instrText>)"\</w:instrText>
      </w:r>
      <w:proofErr w:type="spellStart"/>
      <w:r w:rsidRPr="002A1326">
        <w:rPr>
          <w:i/>
        </w:rPr>
        <w:instrText>l3</w:instrText>
      </w:r>
      <w:proofErr w:type="spellEnd"/>
      <w:r w:rsidRPr="002A1326">
        <w:rPr>
          <w:i/>
        </w:rPr>
        <w:instrText xml:space="preserve"> \n&gt; \* </w:instrText>
      </w:r>
      <w:proofErr w:type="spellStart"/>
      <w:r w:rsidRPr="002A1326">
        <w:rPr>
          <w:i/>
        </w:rPr>
        <w:instrText>MERGEFORMAT</w:instrText>
      </w:r>
      <w:proofErr w:type="spellEnd"/>
      <w:r w:rsidRPr="002A1326">
        <w:rPr>
          <w:i/>
        </w:rPr>
        <w:instrText xml:space="preserve"> </w:instrText>
      </w:r>
      <w:r w:rsidRPr="002A1326">
        <w:rPr>
          <w:i/>
        </w:rPr>
        <w:fldChar w:fldCharType="end"/>
      </w:r>
    </w:p>
    <w:p w14:paraId="05270C40" w14:textId="77777777" w:rsidR="00082065" w:rsidRPr="002A1326" w:rsidRDefault="00082065" w:rsidP="00082065">
      <w:pPr>
        <w:rPr>
          <w:vanish/>
        </w:rPr>
      </w:pPr>
      <w:bookmarkStart w:id="2" w:name="Commission"/>
      <w:r w:rsidRPr="002A1326">
        <w:rPr>
          <w:vanish/>
        </w:rPr>
        <w:t>Odbor za notranji trg in varstvo potrošnikov</w:t>
      </w:r>
      <w:bookmarkEnd w:id="2"/>
    </w:p>
    <w:p w14:paraId="460DA2D5" w14:textId="77777777" w:rsidR="00082065" w:rsidRPr="002A1326" w:rsidRDefault="00082065" w:rsidP="00082065">
      <w:pPr>
        <w:rPr>
          <w:vanish/>
        </w:rPr>
      </w:pPr>
      <w:bookmarkStart w:id="3" w:name="PE"/>
      <w:proofErr w:type="spellStart"/>
      <w:r w:rsidRPr="002A1326">
        <w:rPr>
          <w:vanish/>
        </w:rPr>
        <w:t>PE756.195</w:t>
      </w:r>
      <w:bookmarkEnd w:id="3"/>
      <w:proofErr w:type="spellEnd"/>
    </w:p>
    <w:p w14:paraId="142C9CF7" w14:textId="33FBC93C" w:rsidR="00082065" w:rsidRPr="002A1326" w:rsidRDefault="00082065" w:rsidP="004E0262">
      <w:pPr>
        <w:pStyle w:val="ATHeading3"/>
      </w:pPr>
      <w:bookmarkStart w:id="4" w:name="Sujet"/>
      <w:r w:rsidRPr="002A1326">
        <w:t xml:space="preserve">Zakonodajna resolucija Evropskega parlamenta z dne </w:t>
      </w:r>
      <w:r w:rsidR="004E0262" w:rsidRPr="002A1326">
        <w:t>13</w:t>
      </w:r>
      <w:r w:rsidRPr="002A1326">
        <w:t>. marca 2024 o predlogu uredbe Evropskega parlamenta in Sveta o spremembi uredb (EU) št. 1024/2012 in (EU) 2018/1724 glede uporabe informacijskega sistema za notranji trg in enotnega digitalnega vstopnega mesta za namene nekaterih zahtev iz Direktive (EU) .../... Evropskega parlamenta in Sveta o evropskih čezmejnih združenjih (</w:t>
      </w:r>
      <w:proofErr w:type="spellStart"/>
      <w:r w:rsidRPr="002A1326">
        <w:t>COM</w:t>
      </w:r>
      <w:proofErr w:type="spellEnd"/>
      <w:r w:rsidRPr="002A1326">
        <w:t>(2023)</w:t>
      </w:r>
      <w:r w:rsidR="006B364D">
        <w:t>0</w:t>
      </w:r>
      <w:r w:rsidRPr="002A1326">
        <w:t>516)</w:t>
      </w:r>
      <w:bookmarkEnd w:id="4"/>
      <w:r w:rsidRPr="002A1326">
        <w:t xml:space="preserve"> </w:t>
      </w:r>
      <w:bookmarkStart w:id="5" w:name="References"/>
      <w:r w:rsidRPr="002A1326">
        <w:t>(</w:t>
      </w:r>
      <w:proofErr w:type="spellStart"/>
      <w:r w:rsidRPr="002A1326">
        <w:t>COM</w:t>
      </w:r>
      <w:proofErr w:type="spellEnd"/>
      <w:r w:rsidRPr="002A1326">
        <w:t xml:space="preserve">(2023)0515 – </w:t>
      </w:r>
      <w:proofErr w:type="spellStart"/>
      <w:r w:rsidRPr="002A1326">
        <w:t>C9</w:t>
      </w:r>
      <w:proofErr w:type="spellEnd"/>
      <w:r w:rsidRPr="002A1326">
        <w:t>-0327/2023 – 2023/0314(COD))</w:t>
      </w:r>
      <w:bookmarkEnd w:id="5"/>
    </w:p>
    <w:p w14:paraId="07279DF0" w14:textId="77777777" w:rsidR="000D2895" w:rsidRPr="002A1326" w:rsidRDefault="000D2895" w:rsidP="000D2895">
      <w:pPr>
        <w:pStyle w:val="NormalBold"/>
      </w:pPr>
      <w:bookmarkStart w:id="6" w:name="TextBodyBegin"/>
      <w:bookmarkEnd w:id="6"/>
      <w:r w:rsidRPr="002A1326">
        <w:t>(Redni zakonodajni postopek: prva obravnava)</w:t>
      </w:r>
    </w:p>
    <w:p w14:paraId="15E2BFE1" w14:textId="77777777" w:rsidR="000D2895" w:rsidRPr="002A1326" w:rsidRDefault="000D2895" w:rsidP="000D2895">
      <w:pPr>
        <w:pStyle w:val="EPComma"/>
      </w:pPr>
      <w:r w:rsidRPr="002A1326">
        <w:rPr>
          <w:i/>
        </w:rPr>
        <w:t>Evropski parlament</w:t>
      </w:r>
      <w:r w:rsidRPr="002A1326">
        <w:t>,</w:t>
      </w:r>
    </w:p>
    <w:p w14:paraId="36E7DD5A" w14:textId="77777777" w:rsidR="000D2895" w:rsidRPr="002A1326" w:rsidRDefault="000D2895" w:rsidP="000D2895">
      <w:pPr>
        <w:pStyle w:val="NormalHanging12a"/>
      </w:pPr>
      <w:r w:rsidRPr="002A1326">
        <w:t>–</w:t>
      </w:r>
      <w:r w:rsidRPr="002A1326">
        <w:tab/>
        <w:t>ob upoštevanju predloga Komisije Evropskemu parlamentu in Svetu (</w:t>
      </w:r>
      <w:proofErr w:type="spellStart"/>
      <w:r w:rsidRPr="002A1326">
        <w:t>COM</w:t>
      </w:r>
      <w:proofErr w:type="spellEnd"/>
      <w:r w:rsidRPr="002A1326">
        <w:t>(2023)0515),</w:t>
      </w:r>
    </w:p>
    <w:p w14:paraId="78238B86" w14:textId="2A803DFA" w:rsidR="000D2895" w:rsidRPr="002A1326" w:rsidRDefault="000D2895" w:rsidP="004E0262">
      <w:pPr>
        <w:pStyle w:val="NormalHanging12a"/>
      </w:pPr>
      <w:r w:rsidRPr="002A1326">
        <w:t>–</w:t>
      </w:r>
      <w:r w:rsidRPr="002A1326">
        <w:tab/>
        <w:t>ob upoštevanju člena 294(2)</w:t>
      </w:r>
      <w:r w:rsidR="004E0262" w:rsidRPr="002A1326">
        <w:t xml:space="preserve"> ter</w:t>
      </w:r>
      <w:r w:rsidRPr="002A1326">
        <w:t xml:space="preserve"> člen</w:t>
      </w:r>
      <w:r w:rsidR="004E0262" w:rsidRPr="002A1326">
        <w:t>ov</w:t>
      </w:r>
      <w:r w:rsidRPr="002A1326">
        <w:t xml:space="preserve"> 21(2) in 114 Pogodbe o delovanju Evropske unije, na podlagi katerih je Komisija podala predlog Parlamentu (</w:t>
      </w:r>
      <w:proofErr w:type="spellStart"/>
      <w:r w:rsidRPr="002A1326">
        <w:t>C9</w:t>
      </w:r>
      <w:proofErr w:type="spellEnd"/>
      <w:r w:rsidRPr="002A1326">
        <w:noBreakHyphen/>
        <w:t>0327/2023),</w:t>
      </w:r>
    </w:p>
    <w:p w14:paraId="06AC9EFA" w14:textId="77777777" w:rsidR="000D2895" w:rsidRPr="002A1326" w:rsidRDefault="000D2895" w:rsidP="000D2895">
      <w:pPr>
        <w:pStyle w:val="NormalHanging12a"/>
      </w:pPr>
      <w:r w:rsidRPr="002A1326">
        <w:t>–</w:t>
      </w:r>
      <w:r w:rsidRPr="002A1326">
        <w:tab/>
        <w:t>ob upoštevanju člena 294(3) Pogodbe o delovanju Evropske unije,</w:t>
      </w:r>
    </w:p>
    <w:p w14:paraId="275B83B6" w14:textId="069078B9" w:rsidR="004E0262" w:rsidRPr="002A1326" w:rsidRDefault="004E0262" w:rsidP="004E0262">
      <w:pPr>
        <w:pStyle w:val="NormalHanging12a"/>
      </w:pPr>
      <w:r w:rsidRPr="002A1326">
        <w:t>–</w:t>
      </w:r>
      <w:r w:rsidRPr="002A1326">
        <w:tab/>
        <w:t xml:space="preserve">ob upoštevanju mnenja Evropskega ekonomsko-socialnega odbora z dne </w:t>
      </w:r>
      <w:r w:rsidR="00A54738">
        <w:t>17. januarja</w:t>
      </w:r>
      <w:r w:rsidRPr="002A1326">
        <w:t> </w:t>
      </w:r>
      <w:r w:rsidR="00A54738" w:rsidRPr="002A1326">
        <w:t>202</w:t>
      </w:r>
      <w:r w:rsidR="00A54738">
        <w:t>4</w:t>
      </w:r>
      <w:r w:rsidRPr="002A1326">
        <w:rPr>
          <w:rStyle w:val="FootnoteReference"/>
        </w:rPr>
        <w:footnoteReference w:id="1"/>
      </w:r>
      <w:r w:rsidRPr="002A1326">
        <w:t>,</w:t>
      </w:r>
    </w:p>
    <w:p w14:paraId="7CD89B01" w14:textId="77777777" w:rsidR="000D2895" w:rsidRPr="002A1326" w:rsidRDefault="000D2895" w:rsidP="000D2895">
      <w:pPr>
        <w:pStyle w:val="NormalHanging12a"/>
      </w:pPr>
      <w:r w:rsidRPr="002A1326">
        <w:t>–</w:t>
      </w:r>
      <w:r w:rsidRPr="002A1326">
        <w:tab/>
        <w:t>ob upoštevanju člena 59 Poslovnika,</w:t>
      </w:r>
    </w:p>
    <w:p w14:paraId="1CBF76EB" w14:textId="77777777" w:rsidR="000D2895" w:rsidRPr="002A1326" w:rsidRDefault="000D2895" w:rsidP="000D2895">
      <w:pPr>
        <w:pStyle w:val="NormalHanging12a"/>
      </w:pPr>
      <w:r w:rsidRPr="002A1326">
        <w:t>–</w:t>
      </w:r>
      <w:r w:rsidRPr="002A1326">
        <w:tab/>
        <w:t>ob upoštevanju mnenja Odbora za pravne zadeve,</w:t>
      </w:r>
    </w:p>
    <w:p w14:paraId="7841CB17" w14:textId="77777777" w:rsidR="000D2895" w:rsidRPr="002A1326" w:rsidRDefault="000D2895" w:rsidP="000D2895">
      <w:pPr>
        <w:pStyle w:val="NormalHanging12a"/>
      </w:pPr>
      <w:r w:rsidRPr="002A1326">
        <w:t>–</w:t>
      </w:r>
      <w:r w:rsidRPr="002A1326">
        <w:tab/>
        <w:t>ob upoštevanju poročila Odbora za notranji trg in varstvo potrošnikov (</w:t>
      </w:r>
      <w:proofErr w:type="spellStart"/>
      <w:r w:rsidRPr="002A1326">
        <w:t>A9</w:t>
      </w:r>
      <w:proofErr w:type="spellEnd"/>
      <w:r w:rsidRPr="002A1326">
        <w:noBreakHyphen/>
        <w:t>0006/2024),</w:t>
      </w:r>
    </w:p>
    <w:p w14:paraId="0F193AA1" w14:textId="77777777" w:rsidR="000D2895" w:rsidRPr="002A1326" w:rsidRDefault="000D2895" w:rsidP="000D2895">
      <w:pPr>
        <w:pStyle w:val="NormalHanging12a"/>
      </w:pPr>
      <w:r w:rsidRPr="002A1326">
        <w:t>1.</w:t>
      </w:r>
      <w:r w:rsidRPr="002A1326">
        <w:tab/>
        <w:t>sprejme stališče v prvi obravnavi, kakor je določeno v nadaljevanju;</w:t>
      </w:r>
    </w:p>
    <w:p w14:paraId="55EADCF9" w14:textId="77777777" w:rsidR="000D2895" w:rsidRPr="002A1326" w:rsidRDefault="000D2895" w:rsidP="000D2895">
      <w:pPr>
        <w:pStyle w:val="NormalHanging12a"/>
      </w:pPr>
      <w:r w:rsidRPr="002A1326">
        <w:t>2.</w:t>
      </w:r>
      <w:r w:rsidRPr="002A1326">
        <w:tab/>
        <w:t xml:space="preserve">poziva Komisijo, naj mu zadevo ponovno predloži, če svoj predlog nadomesti, ga </w:t>
      </w:r>
      <w:r w:rsidRPr="002A1326">
        <w:lastRenderedPageBreak/>
        <w:t>bistveno spremeni ali ga namerava bistveno spremeniti;</w:t>
      </w:r>
    </w:p>
    <w:p w14:paraId="2E2C15EC" w14:textId="7EC1CB35" w:rsidR="000D2895" w:rsidRPr="002A1326" w:rsidRDefault="000D2895" w:rsidP="004E0262">
      <w:pPr>
        <w:pStyle w:val="NormalHanging12a"/>
      </w:pPr>
      <w:r w:rsidRPr="002A1326">
        <w:t>3.</w:t>
      </w:r>
      <w:r w:rsidRPr="002A1326">
        <w:tab/>
        <w:t>naroči svoji predsednici, naj stališče Parlamenta posreduje Svetu</w:t>
      </w:r>
      <w:r w:rsidR="004E0262" w:rsidRPr="002A1326">
        <w:t>,</w:t>
      </w:r>
      <w:r w:rsidRPr="002A1326">
        <w:t xml:space="preserve"> Komisiji </w:t>
      </w:r>
      <w:r w:rsidR="004E0262" w:rsidRPr="002A1326">
        <w:t>in</w:t>
      </w:r>
      <w:r w:rsidRPr="002A1326">
        <w:t xml:space="preserve"> nacionalnim parlamentom.</w:t>
      </w:r>
    </w:p>
    <w:p w14:paraId="41103776" w14:textId="77777777" w:rsidR="009333DC" w:rsidRDefault="009333DC" w:rsidP="006B30C5">
      <w:pPr>
        <w:widowControl/>
        <w:spacing w:after="240"/>
        <w:jc w:val="both"/>
        <w:rPr>
          <w:rFonts w:eastAsia="Calibri"/>
          <w:b/>
          <w:szCs w:val="24"/>
          <w:lang w:eastAsia="en-US"/>
        </w:rPr>
        <w:sectPr w:rsidR="009333DC" w:rsidSect="00521F7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9741B84" w14:textId="32ED053A" w:rsidR="006B30C5" w:rsidRDefault="0001095C" w:rsidP="006B30C5">
      <w:pPr>
        <w:widowControl/>
        <w:spacing w:after="240"/>
        <w:jc w:val="both"/>
        <w:rPr>
          <w:rFonts w:eastAsia="Calibri"/>
          <w:b/>
          <w:szCs w:val="24"/>
          <w:lang w:eastAsia="en-US"/>
        </w:rPr>
      </w:pPr>
      <w:proofErr w:type="spellStart"/>
      <w:r>
        <w:rPr>
          <w:rFonts w:eastAsia="Calibri"/>
          <w:b/>
          <w:szCs w:val="24"/>
          <w:lang w:eastAsia="en-US"/>
        </w:rPr>
        <w:lastRenderedPageBreak/>
        <w:t>P9_TC1</w:t>
      </w:r>
      <w:proofErr w:type="spellEnd"/>
      <w:r>
        <w:rPr>
          <w:rFonts w:eastAsia="Calibri"/>
          <w:b/>
          <w:szCs w:val="24"/>
          <w:lang w:eastAsia="en-US"/>
        </w:rPr>
        <w:t>-COD(2023</w:t>
      </w:r>
      <w:r w:rsidR="006B30C5">
        <w:rPr>
          <w:rFonts w:eastAsia="Calibri"/>
          <w:b/>
          <w:szCs w:val="24"/>
          <w:lang w:eastAsia="en-US"/>
        </w:rPr>
        <w:t>)0314</w:t>
      </w:r>
    </w:p>
    <w:p w14:paraId="76508E50" w14:textId="6E69C5BE" w:rsidR="006B30C5" w:rsidRDefault="006B30C5" w:rsidP="006B30C5">
      <w:pPr>
        <w:widowControl/>
        <w:spacing w:after="200"/>
        <w:rPr>
          <w:b/>
          <w:szCs w:val="24"/>
          <w:lang w:eastAsia="en-US"/>
        </w:rPr>
      </w:pPr>
      <w:r>
        <w:rPr>
          <w:rFonts w:eastAsia="Calibri"/>
          <w:b/>
          <w:szCs w:val="24"/>
          <w:lang w:eastAsia="en-US"/>
        </w:rPr>
        <w:t xml:space="preserve">Stališče Evropskega parlamenta, sprejeto v prvi obravnavi 13. marca 2024 z namenom sprejetja Uredbe (EU) 2024/... Evropskega parlamenta in Sveta </w:t>
      </w:r>
      <w:r w:rsidR="009333DC" w:rsidRPr="009333DC">
        <w:rPr>
          <w:b/>
          <w:szCs w:val="24"/>
          <w:lang w:eastAsia="en-US"/>
        </w:rPr>
        <w:t xml:space="preserve">o spremembi uredb (EU) št. 1024/2012 in (EU) 2018/1724 glede uporabe informacijskega sistema za notranji trg in enotnega digitalnega vstopnega mesta za namene nekaterih zahtev iz Direktive (EU) .../... Evropskega parlamenta in Sveta o evropskih čezmejnih združenjih </w:t>
      </w:r>
      <w:r w:rsidR="009333DC" w:rsidRPr="00912CBB">
        <w:rPr>
          <w:b/>
          <w:szCs w:val="24"/>
          <w:lang w:eastAsia="en-US"/>
        </w:rPr>
        <w:t>(</w:t>
      </w:r>
      <w:proofErr w:type="spellStart"/>
      <w:r w:rsidR="009333DC" w:rsidRPr="00912CBB">
        <w:rPr>
          <w:b/>
          <w:szCs w:val="24"/>
          <w:lang w:eastAsia="en-US"/>
        </w:rPr>
        <w:t>COM</w:t>
      </w:r>
      <w:proofErr w:type="spellEnd"/>
      <w:r w:rsidR="009333DC" w:rsidRPr="00912CBB">
        <w:rPr>
          <w:b/>
          <w:szCs w:val="24"/>
          <w:lang w:eastAsia="en-US"/>
        </w:rPr>
        <w:t>(2023)</w:t>
      </w:r>
      <w:r w:rsidR="006B364D">
        <w:rPr>
          <w:b/>
          <w:szCs w:val="24"/>
          <w:lang w:eastAsia="en-US"/>
        </w:rPr>
        <w:t>0</w:t>
      </w:r>
      <w:r w:rsidR="009333DC" w:rsidRPr="00912CBB">
        <w:rPr>
          <w:b/>
          <w:szCs w:val="24"/>
          <w:lang w:eastAsia="en-US"/>
        </w:rPr>
        <w:t>516)</w:t>
      </w:r>
    </w:p>
    <w:p w14:paraId="6AD3FB50" w14:textId="615D1E7A" w:rsidR="003D5E8F" w:rsidRDefault="003D5E8F" w:rsidP="003D5E8F">
      <w:pPr>
        <w:widowControl/>
        <w:spacing w:after="200"/>
        <w:jc w:val="center"/>
        <w:rPr>
          <w:rFonts w:eastAsiaTheme="minorHAnsi"/>
          <w:b/>
          <w:noProof/>
          <w:szCs w:val="24"/>
          <w:lang w:eastAsia="en-US"/>
        </w:rPr>
      </w:pPr>
      <w:r w:rsidRPr="008900F8">
        <w:rPr>
          <w:szCs w:val="24"/>
          <w:lang w:eastAsia="en-US"/>
        </w:rPr>
        <w:t>(Besedilo velja za EGP)</w:t>
      </w:r>
      <w:bookmarkStart w:id="7" w:name="_GoBack"/>
      <w:bookmarkEnd w:id="7"/>
    </w:p>
    <w:p w14:paraId="6B781C2B" w14:textId="77777777" w:rsidR="009333DC" w:rsidRPr="009333DC" w:rsidRDefault="009333DC" w:rsidP="009333DC">
      <w:pPr>
        <w:keepNext/>
        <w:spacing w:before="600" w:after="120" w:line="360" w:lineRule="auto"/>
        <w:rPr>
          <w:szCs w:val="24"/>
          <w:lang w:eastAsia="en-US"/>
        </w:rPr>
      </w:pPr>
      <w:r w:rsidRPr="009333DC">
        <w:rPr>
          <w:szCs w:val="24"/>
          <w:lang w:eastAsia="en-US"/>
        </w:rPr>
        <w:t>EVROPSKI PARLAMENT IN SVET EVROPSKE UNIJE STA –</w:t>
      </w:r>
    </w:p>
    <w:p w14:paraId="79DD7F66" w14:textId="77777777" w:rsidR="009333DC" w:rsidRPr="009333DC" w:rsidRDefault="009333DC" w:rsidP="009333DC">
      <w:pPr>
        <w:spacing w:before="120" w:after="120" w:line="360" w:lineRule="auto"/>
        <w:rPr>
          <w:lang w:eastAsia="en-US"/>
        </w:rPr>
      </w:pPr>
      <w:r w:rsidRPr="009333DC">
        <w:rPr>
          <w:lang w:eastAsia="en-US"/>
        </w:rPr>
        <w:t>ob upoštevanju Pogodbe o delovanju Evropske unije ter zlasti člena 21(2) in člena 114 Pogodbe,</w:t>
      </w:r>
    </w:p>
    <w:p w14:paraId="416D6DE8" w14:textId="77777777" w:rsidR="009333DC" w:rsidRPr="009333DC" w:rsidRDefault="009333DC" w:rsidP="009333DC">
      <w:pPr>
        <w:spacing w:before="120" w:after="120" w:line="360" w:lineRule="auto"/>
        <w:rPr>
          <w:lang w:eastAsia="en-US"/>
        </w:rPr>
      </w:pPr>
      <w:r w:rsidRPr="009333DC">
        <w:rPr>
          <w:lang w:eastAsia="en-US"/>
        </w:rPr>
        <w:t>ob upoštevanju predloga Evropske komisije,</w:t>
      </w:r>
    </w:p>
    <w:p w14:paraId="1E1E2EE1" w14:textId="77777777" w:rsidR="009333DC" w:rsidRPr="009333DC" w:rsidRDefault="009333DC" w:rsidP="009333DC">
      <w:pPr>
        <w:spacing w:before="120" w:after="120" w:line="360" w:lineRule="auto"/>
        <w:rPr>
          <w:lang w:eastAsia="en-US"/>
        </w:rPr>
      </w:pPr>
      <w:r w:rsidRPr="009333DC">
        <w:rPr>
          <w:lang w:eastAsia="en-US"/>
        </w:rPr>
        <w:t>po posredovanju osnutka zakonodajnega akta nacionalnim parlamentom,</w:t>
      </w:r>
    </w:p>
    <w:p w14:paraId="06F9402A" w14:textId="77777777" w:rsidR="009333DC" w:rsidRPr="009333DC" w:rsidRDefault="009333DC" w:rsidP="009333DC">
      <w:pPr>
        <w:spacing w:before="120" w:after="120" w:line="360" w:lineRule="auto"/>
        <w:rPr>
          <w:lang w:eastAsia="en-US"/>
        </w:rPr>
      </w:pPr>
      <w:r w:rsidRPr="009333DC">
        <w:rPr>
          <w:lang w:eastAsia="en-US"/>
        </w:rPr>
        <w:t>ob upoštevanju mnenja Evropskega ekonomsko-socialnega odbora</w:t>
      </w:r>
      <w:r w:rsidRPr="009333DC">
        <w:rPr>
          <w:vertAlign w:val="superscript"/>
          <w:lang w:eastAsia="en-US"/>
        </w:rPr>
        <w:footnoteReference w:id="2"/>
      </w:r>
      <w:r w:rsidRPr="009333DC">
        <w:rPr>
          <w:lang w:eastAsia="en-US"/>
        </w:rPr>
        <w:t>,</w:t>
      </w:r>
    </w:p>
    <w:p w14:paraId="231F373E" w14:textId="77777777" w:rsidR="009333DC" w:rsidRPr="009333DC" w:rsidRDefault="009333DC" w:rsidP="009333DC">
      <w:pPr>
        <w:spacing w:before="120" w:after="120" w:line="360" w:lineRule="auto"/>
        <w:rPr>
          <w:lang w:eastAsia="en-US"/>
        </w:rPr>
      </w:pPr>
      <w:r w:rsidRPr="009333DC">
        <w:rPr>
          <w:lang w:eastAsia="en-US"/>
        </w:rPr>
        <w:t>v skladu z rednim zakonodajnim postopkom,</w:t>
      </w:r>
    </w:p>
    <w:p w14:paraId="0E5C6F9E" w14:textId="77777777" w:rsidR="00A54738" w:rsidRDefault="00A54738">
      <w:pPr>
        <w:widowControl/>
        <w:rPr>
          <w:lang w:eastAsia="en-US"/>
        </w:rPr>
      </w:pPr>
      <w:r>
        <w:rPr>
          <w:lang w:eastAsia="en-US"/>
        </w:rPr>
        <w:br w:type="page"/>
      </w:r>
    </w:p>
    <w:p w14:paraId="7F9710E6" w14:textId="00B08149" w:rsidR="009333DC" w:rsidRPr="009333DC" w:rsidRDefault="009333DC" w:rsidP="009333DC">
      <w:pPr>
        <w:spacing w:before="120" w:after="120" w:line="360" w:lineRule="auto"/>
        <w:rPr>
          <w:lang w:eastAsia="en-US"/>
        </w:rPr>
      </w:pPr>
      <w:r w:rsidRPr="009333DC">
        <w:rPr>
          <w:lang w:eastAsia="en-US"/>
        </w:rPr>
        <w:lastRenderedPageBreak/>
        <w:t>ob upoštevanju naslednjega:</w:t>
      </w:r>
    </w:p>
    <w:p w14:paraId="61703D6A" w14:textId="047EA809" w:rsidR="009333DC" w:rsidRPr="009333DC" w:rsidRDefault="009333DC" w:rsidP="009333DC">
      <w:pPr>
        <w:spacing w:before="120" w:after="120" w:line="360" w:lineRule="auto"/>
        <w:ind w:left="850" w:hanging="850"/>
        <w:rPr>
          <w:b/>
          <w:szCs w:val="24"/>
          <w:lang w:eastAsia="en-US"/>
        </w:rPr>
      </w:pPr>
      <w:r w:rsidRPr="009333DC">
        <w:rPr>
          <w:szCs w:val="24"/>
          <w:lang w:eastAsia="en-US"/>
        </w:rPr>
        <w:t>(1)</w:t>
      </w:r>
      <w:r w:rsidRPr="009333DC">
        <w:rPr>
          <w:szCs w:val="24"/>
          <w:lang w:eastAsia="en-US"/>
        </w:rPr>
        <w:tab/>
        <w:t>Direktiva (EU) Evropskega parlamenta in Sveta o evropskih čezmejnih združenjih (</w:t>
      </w:r>
      <w:proofErr w:type="spellStart"/>
      <w:r w:rsidRPr="009333DC">
        <w:rPr>
          <w:szCs w:val="24"/>
          <w:lang w:eastAsia="en-US"/>
        </w:rPr>
        <w:t>COM</w:t>
      </w:r>
      <w:proofErr w:type="spellEnd"/>
      <w:r w:rsidRPr="009333DC">
        <w:rPr>
          <w:szCs w:val="24"/>
          <w:lang w:eastAsia="en-US"/>
        </w:rPr>
        <w:t>(2023)0516)</w:t>
      </w:r>
      <w:r w:rsidRPr="009333DC">
        <w:rPr>
          <w:szCs w:val="24"/>
          <w:vertAlign w:val="superscript"/>
          <w:lang w:eastAsia="en-US"/>
        </w:rPr>
        <w:footnoteReference w:id="3"/>
      </w:r>
      <w:r w:rsidRPr="009333DC">
        <w:rPr>
          <w:szCs w:val="24"/>
          <w:lang w:eastAsia="en-US"/>
        </w:rPr>
        <w:t xml:space="preserve"> določa ukrepe za usklajevanje pogojev za ustanovitev in delovanje „evropskih čezmejnih združenj“, da bi se olajšalo učinkovito uresničevanje prostega gibanja neprofitnih združenj, ki delujejo na notranjem trgu.</w:t>
      </w:r>
      <w:r w:rsidRPr="009333DC">
        <w:rPr>
          <w:b/>
          <w:szCs w:val="24"/>
          <w:lang w:eastAsia="en-US"/>
        </w:rPr>
        <w:t xml:space="preserve"> </w:t>
      </w:r>
    </w:p>
    <w:p w14:paraId="29F10112" w14:textId="44F066D6" w:rsidR="009333DC" w:rsidRPr="009333DC" w:rsidRDefault="009333DC" w:rsidP="009333DC">
      <w:pPr>
        <w:spacing w:before="120" w:after="120" w:line="360" w:lineRule="auto"/>
        <w:ind w:left="850" w:hanging="850"/>
        <w:rPr>
          <w:b/>
          <w:szCs w:val="24"/>
          <w:lang w:eastAsia="en-US"/>
        </w:rPr>
      </w:pPr>
      <w:r w:rsidRPr="009333DC">
        <w:rPr>
          <w:szCs w:val="24"/>
          <w:lang w:eastAsia="en-US"/>
        </w:rPr>
        <w:t>(2)</w:t>
      </w:r>
      <w:r w:rsidRPr="009333DC">
        <w:rPr>
          <w:szCs w:val="24"/>
          <w:lang w:eastAsia="en-US"/>
        </w:rPr>
        <w:tab/>
        <w:t xml:space="preserve">V skladu s členom </w:t>
      </w:r>
      <w:r w:rsidRPr="009333DC">
        <w:rPr>
          <w:strike/>
          <w:szCs w:val="24"/>
          <w:lang w:eastAsia="en-US"/>
        </w:rPr>
        <w:t>30(2)</w:t>
      </w:r>
      <w:r w:rsidRPr="009333DC">
        <w:rPr>
          <w:b/>
          <w:i/>
          <w:szCs w:val="24"/>
          <w:lang w:eastAsia="en-US"/>
        </w:rPr>
        <w:t>28(2)</w:t>
      </w:r>
      <w:r w:rsidR="00AA0CD2">
        <w:rPr>
          <w:szCs w:val="24"/>
          <w:lang w:eastAsia="en-US"/>
        </w:rPr>
        <w:t xml:space="preserve"> Direktive </w:t>
      </w:r>
      <w:proofErr w:type="spellStart"/>
      <w:r w:rsidR="00AA0CD2">
        <w:rPr>
          <w:szCs w:val="24"/>
          <w:lang w:eastAsia="en-US"/>
        </w:rPr>
        <w:t>COM</w:t>
      </w:r>
      <w:proofErr w:type="spellEnd"/>
      <w:r w:rsidR="00AA0CD2">
        <w:rPr>
          <w:szCs w:val="24"/>
          <w:lang w:eastAsia="en-US"/>
        </w:rPr>
        <w:t>(2023)0</w:t>
      </w:r>
      <w:r w:rsidRPr="009333DC">
        <w:rPr>
          <w:szCs w:val="24"/>
          <w:lang w:eastAsia="en-US"/>
        </w:rPr>
        <w:t xml:space="preserve">516 se upravno sodelovanje in izmenjava informacij med pristojnimi organi držav članic izvajata prek informacijskega sistema za notranji trg (sistem </w:t>
      </w:r>
      <w:proofErr w:type="spellStart"/>
      <w:r w:rsidRPr="009333DC">
        <w:rPr>
          <w:szCs w:val="24"/>
          <w:lang w:eastAsia="en-US"/>
        </w:rPr>
        <w:t>IMI</w:t>
      </w:r>
      <w:proofErr w:type="spellEnd"/>
      <w:r w:rsidRPr="009333DC">
        <w:rPr>
          <w:szCs w:val="24"/>
          <w:lang w:eastAsia="en-US"/>
        </w:rPr>
        <w:t>), vzpostavljenega z Uredbo (EU) št. 1024/2012 Evropskega parlamenta in Sveta</w:t>
      </w:r>
      <w:r w:rsidRPr="009333DC">
        <w:rPr>
          <w:szCs w:val="24"/>
          <w:vertAlign w:val="superscript"/>
          <w:lang w:eastAsia="en-US"/>
        </w:rPr>
        <w:footnoteReference w:id="4"/>
      </w:r>
      <w:r w:rsidRPr="009333DC">
        <w:rPr>
          <w:szCs w:val="24"/>
          <w:lang w:eastAsia="en-US"/>
        </w:rPr>
        <w:t xml:space="preserve">. Zato bi bilo treba v sistemu </w:t>
      </w:r>
      <w:proofErr w:type="spellStart"/>
      <w:r w:rsidRPr="009333DC">
        <w:rPr>
          <w:szCs w:val="24"/>
          <w:lang w:eastAsia="en-US"/>
        </w:rPr>
        <w:t>IMI</w:t>
      </w:r>
      <w:proofErr w:type="spellEnd"/>
      <w:r w:rsidRPr="009333DC">
        <w:rPr>
          <w:szCs w:val="24"/>
          <w:lang w:eastAsia="en-US"/>
        </w:rPr>
        <w:t xml:space="preserve"> vzpostaviti potrebne postopke upravnega sodelovanja.</w:t>
      </w:r>
      <w:r>
        <w:rPr>
          <w:b/>
          <w:szCs w:val="24"/>
          <w:lang w:eastAsia="en-US"/>
        </w:rPr>
        <w:t xml:space="preserve"> [Sprememba </w:t>
      </w:r>
      <w:r w:rsidR="008D0A5B">
        <w:rPr>
          <w:b/>
          <w:szCs w:val="24"/>
          <w:lang w:eastAsia="en-US"/>
        </w:rPr>
        <w:t>1</w:t>
      </w:r>
      <w:r>
        <w:rPr>
          <w:b/>
          <w:szCs w:val="24"/>
          <w:lang w:eastAsia="en-US"/>
        </w:rPr>
        <w:t>]</w:t>
      </w:r>
    </w:p>
    <w:p w14:paraId="3695887E" w14:textId="77777777" w:rsidR="00A54738" w:rsidRDefault="00A54738">
      <w:pPr>
        <w:widowControl/>
        <w:rPr>
          <w:szCs w:val="24"/>
          <w:lang w:eastAsia="en-US"/>
        </w:rPr>
      </w:pPr>
      <w:r>
        <w:rPr>
          <w:szCs w:val="24"/>
          <w:lang w:eastAsia="en-US"/>
        </w:rPr>
        <w:br w:type="page"/>
      </w:r>
    </w:p>
    <w:p w14:paraId="1DC2E928" w14:textId="2D8085B0" w:rsidR="009333DC" w:rsidRPr="008D0A5B" w:rsidRDefault="009333DC" w:rsidP="009333DC">
      <w:pPr>
        <w:spacing w:before="120" w:after="120" w:line="360" w:lineRule="auto"/>
        <w:ind w:left="850" w:hanging="850"/>
        <w:rPr>
          <w:b/>
          <w:szCs w:val="24"/>
          <w:lang w:eastAsia="en-US"/>
        </w:rPr>
      </w:pPr>
      <w:r w:rsidRPr="009333DC">
        <w:rPr>
          <w:szCs w:val="24"/>
          <w:lang w:eastAsia="en-US"/>
        </w:rPr>
        <w:t>(3)</w:t>
      </w:r>
      <w:r w:rsidRPr="009333DC">
        <w:rPr>
          <w:szCs w:val="24"/>
          <w:lang w:eastAsia="en-US"/>
        </w:rPr>
        <w:tab/>
        <w:t>V skladu s členoma 2 in 3 Uredbe (EU) 2018/1724 Evropskega parlamenta in Sveta</w:t>
      </w:r>
      <w:r w:rsidRPr="009333DC">
        <w:rPr>
          <w:szCs w:val="24"/>
          <w:vertAlign w:val="superscript"/>
          <w:lang w:eastAsia="en-US"/>
        </w:rPr>
        <w:footnoteReference w:id="5"/>
      </w:r>
      <w:r w:rsidRPr="009333DC">
        <w:rPr>
          <w:szCs w:val="24"/>
          <w:lang w:eastAsia="en-US"/>
        </w:rPr>
        <w:t xml:space="preserve"> enotno digitalno vstopno mesto državljanom Unije, fizičnim osebam s prebivališčem v eni od držav članic in pravnim osebam s statutarnim sedežem v eni od držav članic omogoča dostop do informacij, postopkov ter storitev za pomoč in reševanje težav. Operativni del in Prilogo I k Uredbi (EU) 2018/1724 bi bilo treba </w:t>
      </w:r>
      <w:r w:rsidRPr="009333DC">
        <w:rPr>
          <w:b/>
          <w:i/>
          <w:szCs w:val="24"/>
          <w:lang w:eastAsia="en-US"/>
        </w:rPr>
        <w:t xml:space="preserve">s to uredbo </w:t>
      </w:r>
      <w:r w:rsidRPr="009333DC">
        <w:rPr>
          <w:szCs w:val="24"/>
          <w:lang w:eastAsia="en-US"/>
        </w:rPr>
        <w:t>spremeniti, da se zagotovi, da se področje uporabe ne razume kot omejeno na državljane in podjetja ter da se nanaša na pravne osebe, ki niso podjetja, kot so evropska čezmejna združenja.</w:t>
      </w:r>
      <w:r w:rsidR="008D0A5B">
        <w:rPr>
          <w:b/>
          <w:szCs w:val="24"/>
          <w:lang w:eastAsia="en-US"/>
        </w:rPr>
        <w:t xml:space="preserve"> [Sprememba 2]</w:t>
      </w:r>
    </w:p>
    <w:p w14:paraId="5977604C" w14:textId="0B32A651" w:rsidR="009333DC" w:rsidRPr="009333DC" w:rsidRDefault="009333DC" w:rsidP="009333DC">
      <w:pPr>
        <w:spacing w:before="120" w:after="120" w:line="360" w:lineRule="auto"/>
        <w:ind w:left="850" w:hanging="850"/>
        <w:rPr>
          <w:szCs w:val="24"/>
          <w:lang w:eastAsia="en-US"/>
        </w:rPr>
      </w:pPr>
      <w:r w:rsidRPr="009333DC">
        <w:rPr>
          <w:szCs w:val="24"/>
          <w:lang w:eastAsia="en-US"/>
        </w:rPr>
        <w:t>(4)</w:t>
      </w:r>
      <w:r w:rsidRPr="009333DC">
        <w:rPr>
          <w:szCs w:val="24"/>
          <w:lang w:eastAsia="en-US"/>
        </w:rPr>
        <w:tab/>
        <w:t>Uredba (EU) 2018/1724 Evropskega parlamenta in Sveta</w:t>
      </w:r>
      <w:r w:rsidRPr="009333DC">
        <w:rPr>
          <w:szCs w:val="24"/>
          <w:vertAlign w:val="superscript"/>
          <w:lang w:eastAsia="en-US"/>
        </w:rPr>
        <w:footnoteReference w:id="6"/>
      </w:r>
      <w:r w:rsidRPr="009333DC">
        <w:rPr>
          <w:szCs w:val="24"/>
          <w:lang w:eastAsia="en-US"/>
        </w:rPr>
        <w:t>, ki vzpostavlja enotno digitalno vstopno mesto, določa splošna pravila za spletno zagotavljanje informacij, postopkov in storitev za pomoč, pomembnih za delovanje notranjega trga. Postopki, ki jih zajema ta uredba, bi morali biti skladni z zahtevami iz Uredbe (EU) 2018/1724 za zagotovitev, da lahko vsako evropsko čezmejno združenje v celoti izkoristi spletne postopke in čezmejno avtomatizirano izmenjavo dokazil v skladu z načelom „samo enkrat“. Ti postopki zajemajo zahtevo za registracijo evropskega čezmejnega združenja in postopek prenosa statutarnega sedeža evropskega čezmejnega združenja.</w:t>
      </w:r>
    </w:p>
    <w:p w14:paraId="4CF06B5E" w14:textId="77777777" w:rsidR="00A54738" w:rsidRDefault="00A54738">
      <w:pPr>
        <w:widowControl/>
        <w:rPr>
          <w:szCs w:val="24"/>
          <w:lang w:eastAsia="en-US"/>
        </w:rPr>
      </w:pPr>
      <w:r>
        <w:rPr>
          <w:szCs w:val="24"/>
          <w:lang w:eastAsia="en-US"/>
        </w:rPr>
        <w:br w:type="page"/>
      </w:r>
    </w:p>
    <w:p w14:paraId="53B6295C" w14:textId="62C8D06A" w:rsidR="009333DC" w:rsidRPr="009333DC" w:rsidRDefault="009333DC" w:rsidP="009333DC">
      <w:pPr>
        <w:spacing w:before="120" w:after="120" w:line="360" w:lineRule="auto"/>
        <w:ind w:left="850" w:hanging="850"/>
        <w:rPr>
          <w:szCs w:val="24"/>
          <w:lang w:eastAsia="en-US"/>
        </w:rPr>
      </w:pPr>
      <w:r w:rsidRPr="009333DC">
        <w:rPr>
          <w:szCs w:val="24"/>
          <w:lang w:eastAsia="en-US"/>
        </w:rPr>
        <w:t>(5)</w:t>
      </w:r>
      <w:r w:rsidRPr="009333DC">
        <w:rPr>
          <w:szCs w:val="24"/>
          <w:lang w:eastAsia="en-US"/>
        </w:rPr>
        <w:tab/>
        <w:t>Uredbi (EU) št. 1024/2012 in (EU) 2018/1724 bi bilo</w:t>
      </w:r>
      <w:r>
        <w:rPr>
          <w:szCs w:val="24"/>
          <w:lang w:eastAsia="en-US"/>
        </w:rPr>
        <w:t xml:space="preserve"> zato treba ustrezno spremeniti.</w:t>
      </w:r>
    </w:p>
    <w:p w14:paraId="0E5DA1E4" w14:textId="434C6076" w:rsidR="009333DC" w:rsidRPr="009333DC" w:rsidRDefault="009333DC" w:rsidP="009333DC">
      <w:pPr>
        <w:spacing w:before="120" w:after="120" w:line="360" w:lineRule="auto"/>
        <w:ind w:left="850" w:hanging="850"/>
        <w:rPr>
          <w:b/>
          <w:szCs w:val="24"/>
          <w:lang w:eastAsia="en-US"/>
        </w:rPr>
      </w:pPr>
      <w:r w:rsidRPr="009333DC">
        <w:rPr>
          <w:b/>
          <w:i/>
          <w:szCs w:val="24"/>
          <w:lang w:eastAsia="en-US"/>
        </w:rPr>
        <w:t>(</w:t>
      </w:r>
      <w:proofErr w:type="spellStart"/>
      <w:r w:rsidRPr="009333DC">
        <w:rPr>
          <w:b/>
          <w:i/>
          <w:szCs w:val="24"/>
          <w:lang w:eastAsia="en-US"/>
        </w:rPr>
        <w:t>5a</w:t>
      </w:r>
      <w:proofErr w:type="spellEnd"/>
      <w:r w:rsidRPr="009333DC">
        <w:rPr>
          <w:b/>
          <w:i/>
          <w:szCs w:val="24"/>
          <w:lang w:eastAsia="en-US"/>
        </w:rPr>
        <w:t>)</w:t>
      </w:r>
      <w:r w:rsidRPr="009333DC">
        <w:rPr>
          <w:szCs w:val="24"/>
          <w:lang w:eastAsia="en-US"/>
        </w:rPr>
        <w:tab/>
      </w:r>
      <w:r w:rsidRPr="009333DC">
        <w:rPr>
          <w:b/>
          <w:i/>
          <w:szCs w:val="24"/>
          <w:lang w:eastAsia="en-US"/>
        </w:rPr>
        <w:t>V skladu s členom 42(1) Uredbe (EU) 2018/1725 je bilo opravljeno posvetovanje z Evropskim nadzornikom za varstvo podatkov, ki je mnenje podal 31. oktobra 2023</w:t>
      </w:r>
      <w:r>
        <w:rPr>
          <w:b/>
          <w:i/>
          <w:szCs w:val="24"/>
          <w:lang w:eastAsia="en-US"/>
        </w:rPr>
        <w:t xml:space="preserve"> –</w:t>
      </w:r>
      <w:r>
        <w:rPr>
          <w:b/>
          <w:szCs w:val="24"/>
          <w:lang w:eastAsia="en-US"/>
        </w:rPr>
        <w:t xml:space="preserve"> [Sprememba </w:t>
      </w:r>
      <w:r w:rsidR="00AA0CD2">
        <w:rPr>
          <w:b/>
          <w:szCs w:val="24"/>
          <w:lang w:eastAsia="en-US"/>
        </w:rPr>
        <w:t>3</w:t>
      </w:r>
      <w:r>
        <w:rPr>
          <w:b/>
          <w:szCs w:val="24"/>
          <w:lang w:eastAsia="en-US"/>
        </w:rPr>
        <w:t>]</w:t>
      </w:r>
    </w:p>
    <w:p w14:paraId="391857C8" w14:textId="77777777" w:rsidR="009333DC" w:rsidRPr="009333DC" w:rsidRDefault="009333DC" w:rsidP="009333DC">
      <w:pPr>
        <w:keepNext/>
        <w:widowControl/>
        <w:spacing w:before="120" w:after="120" w:line="360" w:lineRule="auto"/>
        <w:rPr>
          <w:szCs w:val="24"/>
          <w:lang w:eastAsia="en-US"/>
        </w:rPr>
      </w:pPr>
      <w:r w:rsidRPr="009333DC">
        <w:rPr>
          <w:szCs w:val="24"/>
          <w:lang w:eastAsia="en-US"/>
        </w:rPr>
        <w:t>SPREJELA NASLEDNJO UREDBO:</w:t>
      </w:r>
    </w:p>
    <w:p w14:paraId="3024727D" w14:textId="77777777" w:rsidR="00A54738" w:rsidRDefault="00A54738">
      <w:pPr>
        <w:widowControl/>
        <w:rPr>
          <w:szCs w:val="24"/>
          <w:lang w:eastAsia="en-US"/>
        </w:rPr>
      </w:pPr>
      <w:r>
        <w:rPr>
          <w:szCs w:val="24"/>
          <w:lang w:eastAsia="en-US"/>
        </w:rPr>
        <w:br w:type="page"/>
      </w:r>
    </w:p>
    <w:p w14:paraId="75EC7715" w14:textId="3E53CE77" w:rsidR="009333DC" w:rsidRPr="009333DC" w:rsidRDefault="009333DC" w:rsidP="009333DC">
      <w:pPr>
        <w:spacing w:before="120" w:after="120" w:line="360" w:lineRule="auto"/>
        <w:jc w:val="center"/>
        <w:rPr>
          <w:szCs w:val="24"/>
          <w:lang w:eastAsia="en-US"/>
        </w:rPr>
      </w:pPr>
      <w:r w:rsidRPr="009333DC">
        <w:rPr>
          <w:szCs w:val="24"/>
          <w:lang w:eastAsia="en-US"/>
        </w:rPr>
        <w:t>Člen 1</w:t>
      </w:r>
      <w:r w:rsidRPr="009333DC">
        <w:rPr>
          <w:szCs w:val="24"/>
          <w:lang w:eastAsia="en-US"/>
        </w:rPr>
        <w:br/>
        <w:t>Sprememba Uredbe (EU) št. 1024/2012</w:t>
      </w:r>
    </w:p>
    <w:p w14:paraId="0BA16242" w14:textId="5029412D" w:rsidR="009333DC" w:rsidRPr="009333DC" w:rsidRDefault="009333DC" w:rsidP="00912CBB">
      <w:pPr>
        <w:spacing w:before="120" w:after="120" w:line="360" w:lineRule="auto"/>
        <w:rPr>
          <w:szCs w:val="24"/>
          <w:lang w:eastAsia="en-US"/>
        </w:rPr>
      </w:pPr>
      <w:r w:rsidRPr="009333DC">
        <w:rPr>
          <w:szCs w:val="24"/>
          <w:lang w:eastAsia="en-US"/>
        </w:rPr>
        <w:t>V Prilogi k Uredbi (EU) št. 1024/2012 se doda naslednja točka:</w:t>
      </w:r>
    </w:p>
    <w:p w14:paraId="49433ABE" w14:textId="3D8DCAD6" w:rsidR="009333DC" w:rsidRPr="009333DC" w:rsidRDefault="009333DC" w:rsidP="00912CBB">
      <w:pPr>
        <w:spacing w:before="120" w:after="120" w:line="360" w:lineRule="auto"/>
        <w:ind w:left="851" w:hanging="851"/>
        <w:rPr>
          <w:szCs w:val="24"/>
          <w:lang w:eastAsia="en-US"/>
        </w:rPr>
      </w:pPr>
      <w:r w:rsidRPr="009333DC">
        <w:rPr>
          <w:szCs w:val="24"/>
          <w:lang w:eastAsia="en-US"/>
        </w:rPr>
        <w:t>„16.</w:t>
      </w:r>
      <w:r w:rsidRPr="009333DC">
        <w:rPr>
          <w:szCs w:val="24"/>
          <w:lang w:eastAsia="en-US"/>
        </w:rPr>
        <w:tab/>
        <w:t>Direktiva (EU) Evropskega parlamenta in Sveta o evropskih čezmejnih združenjih (</w:t>
      </w:r>
      <w:proofErr w:type="spellStart"/>
      <w:r w:rsidRPr="009333DC">
        <w:rPr>
          <w:szCs w:val="24"/>
          <w:lang w:eastAsia="en-US"/>
        </w:rPr>
        <w:t>COM</w:t>
      </w:r>
      <w:proofErr w:type="spellEnd"/>
      <w:r w:rsidRPr="009333DC">
        <w:rPr>
          <w:szCs w:val="24"/>
          <w:lang w:eastAsia="en-US"/>
        </w:rPr>
        <w:t>(2023)</w:t>
      </w:r>
      <w:r w:rsidR="00A54738">
        <w:rPr>
          <w:szCs w:val="24"/>
          <w:lang w:eastAsia="en-US"/>
        </w:rPr>
        <w:t>0</w:t>
      </w:r>
      <w:r w:rsidRPr="009333DC">
        <w:rPr>
          <w:szCs w:val="24"/>
          <w:lang w:eastAsia="en-US"/>
        </w:rPr>
        <w:t>516)*: člen 19(2) in (4), člen 23(5) do (7), člen 24(3), člen 25(6) in člen 27.</w:t>
      </w:r>
    </w:p>
    <w:p w14:paraId="333170C7" w14:textId="77777777" w:rsidR="009333DC" w:rsidRPr="009333DC" w:rsidRDefault="009333DC" w:rsidP="00912CBB">
      <w:pPr>
        <w:spacing w:before="120" w:after="120" w:line="360" w:lineRule="auto"/>
        <w:ind w:left="851"/>
        <w:rPr>
          <w:szCs w:val="24"/>
          <w:lang w:eastAsia="en-US"/>
        </w:rPr>
      </w:pPr>
      <w:r w:rsidRPr="009333DC">
        <w:rPr>
          <w:szCs w:val="24"/>
          <w:lang w:eastAsia="en-US"/>
        </w:rPr>
        <w:t>____________________</w:t>
      </w:r>
    </w:p>
    <w:p w14:paraId="0AC04F66" w14:textId="12D04BB3" w:rsidR="009333DC" w:rsidRPr="009333DC" w:rsidRDefault="009333DC" w:rsidP="00912CBB">
      <w:pPr>
        <w:spacing w:before="120" w:after="120" w:line="360" w:lineRule="auto"/>
        <w:ind w:left="851"/>
        <w:rPr>
          <w:szCs w:val="24"/>
          <w:lang w:eastAsia="en-US"/>
        </w:rPr>
      </w:pPr>
      <w:r w:rsidRPr="009333DC">
        <w:rPr>
          <w:szCs w:val="24"/>
          <w:lang w:eastAsia="en-US"/>
        </w:rPr>
        <w:t>*</w:t>
      </w:r>
      <w:r w:rsidR="00A54738">
        <w:rPr>
          <w:szCs w:val="24"/>
          <w:lang w:eastAsia="en-US"/>
        </w:rPr>
        <w:tab/>
      </w:r>
      <w:r w:rsidRPr="009333DC">
        <w:rPr>
          <w:szCs w:val="24"/>
          <w:lang w:eastAsia="en-US"/>
        </w:rPr>
        <w:t>UL</w:t>
      </w:r>
      <w:r w:rsidR="000950DF">
        <w:rPr>
          <w:szCs w:val="24"/>
          <w:lang w:eastAsia="en-US"/>
        </w:rPr>
        <w:t xml:space="preserve"> ...</w:t>
      </w:r>
      <w:r w:rsidRPr="009333DC">
        <w:rPr>
          <w:szCs w:val="24"/>
          <w:lang w:eastAsia="en-US"/>
        </w:rPr>
        <w:t>.“</w:t>
      </w:r>
    </w:p>
    <w:p w14:paraId="5AC6B973" w14:textId="77777777" w:rsidR="00A54738" w:rsidRDefault="00A54738">
      <w:pPr>
        <w:widowControl/>
        <w:rPr>
          <w:szCs w:val="24"/>
          <w:lang w:eastAsia="en-US"/>
        </w:rPr>
      </w:pPr>
      <w:r>
        <w:rPr>
          <w:szCs w:val="24"/>
          <w:lang w:eastAsia="en-US"/>
        </w:rPr>
        <w:br w:type="page"/>
      </w:r>
    </w:p>
    <w:p w14:paraId="0EB2AC03" w14:textId="44C5291B" w:rsidR="009333DC" w:rsidRPr="009333DC" w:rsidRDefault="009333DC" w:rsidP="009333DC">
      <w:pPr>
        <w:spacing w:before="120" w:after="120" w:line="360" w:lineRule="auto"/>
        <w:jc w:val="center"/>
        <w:rPr>
          <w:szCs w:val="24"/>
          <w:lang w:eastAsia="en-US"/>
        </w:rPr>
      </w:pPr>
      <w:r w:rsidRPr="009333DC">
        <w:rPr>
          <w:szCs w:val="24"/>
          <w:lang w:eastAsia="en-US"/>
        </w:rPr>
        <w:t>Člen 2</w:t>
      </w:r>
      <w:r w:rsidRPr="009333DC">
        <w:rPr>
          <w:szCs w:val="24"/>
          <w:lang w:eastAsia="en-US"/>
        </w:rPr>
        <w:br/>
        <w:t>Spremembe Uredbe (EU) 2018/1724</w:t>
      </w:r>
    </w:p>
    <w:p w14:paraId="777DAC27" w14:textId="77777777" w:rsidR="009333DC" w:rsidRPr="009333DC" w:rsidRDefault="009333DC" w:rsidP="009333DC">
      <w:pPr>
        <w:spacing w:before="120" w:after="120" w:line="360" w:lineRule="auto"/>
        <w:rPr>
          <w:szCs w:val="24"/>
          <w:lang w:eastAsia="en-US"/>
        </w:rPr>
      </w:pPr>
      <w:r w:rsidRPr="009333DC">
        <w:rPr>
          <w:szCs w:val="24"/>
          <w:lang w:eastAsia="en-US"/>
        </w:rPr>
        <w:t>Uredba (EU) 2018/1724 se spremeni:</w:t>
      </w:r>
    </w:p>
    <w:p w14:paraId="2B4255CC" w14:textId="77777777" w:rsidR="009333DC" w:rsidRPr="009333DC" w:rsidRDefault="009333DC" w:rsidP="009333DC">
      <w:pPr>
        <w:spacing w:before="120" w:after="120" w:line="360" w:lineRule="auto"/>
        <w:ind w:left="850" w:hanging="850"/>
        <w:rPr>
          <w:szCs w:val="24"/>
          <w:lang w:eastAsia="en-US"/>
        </w:rPr>
      </w:pPr>
      <w:r w:rsidRPr="009333DC">
        <w:rPr>
          <w:szCs w:val="24"/>
          <w:lang w:eastAsia="en-US"/>
        </w:rPr>
        <w:t>(1)</w:t>
      </w:r>
      <w:r w:rsidRPr="009333DC">
        <w:rPr>
          <w:szCs w:val="24"/>
          <w:lang w:eastAsia="en-US"/>
        </w:rPr>
        <w:tab/>
        <w:t>v členu 1(1) se točka (a) nadomesti z naslednjim:</w:t>
      </w:r>
    </w:p>
    <w:p w14:paraId="2AE22FE1" w14:textId="14C5619F" w:rsidR="009333DC" w:rsidRPr="009333DC" w:rsidRDefault="009333DC" w:rsidP="009333DC">
      <w:pPr>
        <w:spacing w:before="120" w:after="120" w:line="360" w:lineRule="auto"/>
        <w:ind w:left="1416" w:hanging="566"/>
        <w:rPr>
          <w:szCs w:val="24"/>
          <w:lang w:eastAsia="en-US"/>
        </w:rPr>
      </w:pPr>
      <w:r w:rsidRPr="009333DC">
        <w:rPr>
          <w:szCs w:val="24"/>
          <w:lang w:eastAsia="en-US"/>
        </w:rPr>
        <w:t>„(a)</w:t>
      </w:r>
      <w:r w:rsidRPr="009333DC">
        <w:rPr>
          <w:szCs w:val="24"/>
          <w:lang w:eastAsia="en-US"/>
        </w:rPr>
        <w:tab/>
        <w:t xml:space="preserve">vzpostavitvi in delovanju enotnega digitalnega vstopnega mesta, da se državljanom, podjetjem in pravnim osebam, ki niso podjetja, omogoči enostaven dostop do kakovostnih informacij, učinkovitih postopkov ter uspešnih storitev za pomoč in reševanje težav glede pravil Unije in nacionalnih pravil, veljavnih za državljane, podjetja in pravne osebe, ki niso podjetja, ki uveljavljajo ali nameravajo uveljavljati svoje pravice, ki izhajajo iz prava Unije na področju notranjega trga, v smislu člena 26(2) </w:t>
      </w:r>
      <w:proofErr w:type="spellStart"/>
      <w:r w:rsidRPr="009333DC">
        <w:rPr>
          <w:szCs w:val="24"/>
          <w:lang w:eastAsia="en-US"/>
        </w:rPr>
        <w:t>PDEU</w:t>
      </w:r>
      <w:proofErr w:type="spellEnd"/>
      <w:r w:rsidRPr="009333DC">
        <w:rPr>
          <w:szCs w:val="24"/>
          <w:lang w:eastAsia="en-US"/>
        </w:rPr>
        <w:t>;“</w:t>
      </w:r>
      <w:r w:rsidR="00A54738">
        <w:rPr>
          <w:szCs w:val="24"/>
          <w:lang w:eastAsia="en-US"/>
        </w:rPr>
        <w:t>;</w:t>
      </w:r>
    </w:p>
    <w:p w14:paraId="4D25C55D" w14:textId="77777777" w:rsidR="00A54738" w:rsidRDefault="00A54738">
      <w:pPr>
        <w:widowControl/>
        <w:rPr>
          <w:szCs w:val="24"/>
          <w:lang w:eastAsia="en-US"/>
        </w:rPr>
      </w:pPr>
      <w:r>
        <w:rPr>
          <w:szCs w:val="24"/>
          <w:lang w:eastAsia="en-US"/>
        </w:rPr>
        <w:br w:type="page"/>
      </w:r>
    </w:p>
    <w:p w14:paraId="42538A21" w14:textId="733ED95D" w:rsidR="009333DC" w:rsidRPr="009333DC" w:rsidRDefault="009333DC" w:rsidP="009333DC">
      <w:pPr>
        <w:spacing w:before="120" w:after="120" w:line="360" w:lineRule="auto"/>
        <w:ind w:left="850" w:hanging="850"/>
        <w:rPr>
          <w:szCs w:val="24"/>
          <w:lang w:eastAsia="en-US"/>
        </w:rPr>
      </w:pPr>
      <w:r w:rsidRPr="009333DC">
        <w:rPr>
          <w:szCs w:val="24"/>
          <w:lang w:eastAsia="en-US"/>
        </w:rPr>
        <w:t>(2)</w:t>
      </w:r>
      <w:r w:rsidRPr="009333DC">
        <w:rPr>
          <w:szCs w:val="24"/>
          <w:lang w:eastAsia="en-US"/>
        </w:rPr>
        <w:tab/>
        <w:t>v členu 1(1) se točka (b) nadomesti z naslednjim:</w:t>
      </w:r>
    </w:p>
    <w:p w14:paraId="19E6E118" w14:textId="5BF4DB4E" w:rsidR="009333DC" w:rsidRPr="009333DC" w:rsidRDefault="009333DC" w:rsidP="009333DC">
      <w:pPr>
        <w:spacing w:before="120" w:after="120" w:line="360" w:lineRule="auto"/>
        <w:ind w:left="1416" w:hanging="566"/>
        <w:rPr>
          <w:szCs w:val="24"/>
          <w:lang w:eastAsia="en-US"/>
        </w:rPr>
      </w:pPr>
      <w:r w:rsidRPr="009333DC">
        <w:rPr>
          <w:szCs w:val="24"/>
          <w:lang w:eastAsia="en-US"/>
        </w:rPr>
        <w:t>„(b)</w:t>
      </w:r>
      <w:r w:rsidRPr="009333DC">
        <w:rPr>
          <w:szCs w:val="24"/>
          <w:lang w:eastAsia="en-US"/>
        </w:rPr>
        <w:tab/>
        <w:t>uporabi postopkov s strani čezmejnih uporabnikov in izvajanje načela „samo enkrat“ v zvezi s postopki iz Priloge II k tej uredbi in postopki, določenimi v direktivah 2005/36/ES, 2006/123/ES, 2014/24/EU, 2014/25/EU in …/…*;</w:t>
      </w:r>
    </w:p>
    <w:p w14:paraId="495605AC" w14:textId="77777777" w:rsidR="009333DC" w:rsidRPr="009333DC" w:rsidRDefault="009333DC" w:rsidP="009333DC">
      <w:pPr>
        <w:spacing w:before="120" w:after="120" w:line="360" w:lineRule="auto"/>
        <w:ind w:left="1416"/>
        <w:rPr>
          <w:szCs w:val="24"/>
          <w:lang w:eastAsia="en-US"/>
        </w:rPr>
      </w:pPr>
      <w:r w:rsidRPr="009333DC">
        <w:rPr>
          <w:szCs w:val="24"/>
          <w:lang w:eastAsia="en-US"/>
        </w:rPr>
        <w:t>____________________</w:t>
      </w:r>
    </w:p>
    <w:p w14:paraId="04247AEB" w14:textId="71540A1F" w:rsidR="009333DC" w:rsidRPr="009333DC" w:rsidRDefault="009333DC" w:rsidP="00912CBB">
      <w:pPr>
        <w:spacing w:before="120" w:after="120" w:line="360" w:lineRule="auto"/>
        <w:ind w:left="1985" w:hanging="569"/>
        <w:rPr>
          <w:szCs w:val="24"/>
          <w:lang w:eastAsia="en-US"/>
        </w:rPr>
      </w:pPr>
      <w:r w:rsidRPr="009333DC">
        <w:rPr>
          <w:szCs w:val="24"/>
          <w:lang w:eastAsia="en-US"/>
        </w:rPr>
        <w:t xml:space="preserve">* </w:t>
      </w:r>
      <w:r w:rsidR="00A54738">
        <w:rPr>
          <w:szCs w:val="24"/>
          <w:lang w:eastAsia="en-US"/>
        </w:rPr>
        <w:tab/>
      </w:r>
      <w:r w:rsidRPr="009333DC">
        <w:rPr>
          <w:szCs w:val="24"/>
          <w:lang w:eastAsia="en-US"/>
        </w:rPr>
        <w:t>Direktiva Evropskega parlamenta in Sveta z dne … o evropskih čezmejnih združenjih (UL</w:t>
      </w:r>
      <w:r w:rsidR="000950DF">
        <w:rPr>
          <w:szCs w:val="24"/>
          <w:lang w:eastAsia="en-US"/>
        </w:rPr>
        <w:t xml:space="preserve"> ...</w:t>
      </w:r>
      <w:r w:rsidRPr="009333DC">
        <w:rPr>
          <w:szCs w:val="24"/>
          <w:lang w:eastAsia="en-US"/>
        </w:rPr>
        <w:t>).“</w:t>
      </w:r>
      <w:r w:rsidR="00A54738">
        <w:rPr>
          <w:szCs w:val="24"/>
          <w:lang w:eastAsia="en-US"/>
        </w:rPr>
        <w:t>;</w:t>
      </w:r>
    </w:p>
    <w:p w14:paraId="068C3E46" w14:textId="77777777" w:rsidR="009333DC" w:rsidRPr="009333DC" w:rsidRDefault="009333DC" w:rsidP="009333DC">
      <w:pPr>
        <w:spacing w:before="120" w:after="120" w:line="360" w:lineRule="auto"/>
        <w:ind w:left="850" w:hanging="850"/>
        <w:rPr>
          <w:szCs w:val="24"/>
          <w:lang w:eastAsia="en-US"/>
        </w:rPr>
      </w:pPr>
      <w:r w:rsidRPr="009333DC">
        <w:rPr>
          <w:szCs w:val="24"/>
          <w:lang w:eastAsia="en-US"/>
        </w:rPr>
        <w:t>(3)</w:t>
      </w:r>
      <w:r w:rsidRPr="009333DC">
        <w:rPr>
          <w:szCs w:val="24"/>
          <w:lang w:eastAsia="en-US"/>
        </w:rPr>
        <w:tab/>
        <w:t>v členu 2(2) se točka (c) nadomesti z naslednjim:</w:t>
      </w:r>
    </w:p>
    <w:p w14:paraId="4D3DC00C" w14:textId="40154478" w:rsidR="009333DC" w:rsidRPr="009333DC" w:rsidRDefault="009333DC" w:rsidP="009333DC">
      <w:pPr>
        <w:spacing w:before="120" w:after="120" w:line="360" w:lineRule="auto"/>
        <w:ind w:left="1416" w:hanging="566"/>
        <w:rPr>
          <w:szCs w:val="24"/>
          <w:lang w:eastAsia="en-US"/>
        </w:rPr>
      </w:pPr>
      <w:r w:rsidRPr="009333DC">
        <w:rPr>
          <w:szCs w:val="24"/>
          <w:lang w:eastAsia="en-US"/>
        </w:rPr>
        <w:t>„(c)</w:t>
      </w:r>
      <w:r w:rsidRPr="009333DC">
        <w:rPr>
          <w:szCs w:val="24"/>
          <w:lang w:eastAsia="en-US"/>
        </w:rPr>
        <w:tab/>
        <w:t>informacij o storitvah za pomoč in reševanje težav iz Priloge III ali člena 7, ki jih lahko državljani, podjetja in pravne osebe, ki niso podjetja, uporabijo, če imajo vprašanja ali težave v zvezi s pravicami, obveznostmi, pravili ali postopki iz točk (a) in (b) tega odstavka, ter povezav do njih.“</w:t>
      </w:r>
      <w:r w:rsidR="00A54738">
        <w:rPr>
          <w:szCs w:val="24"/>
          <w:lang w:eastAsia="en-US"/>
        </w:rPr>
        <w:t>;</w:t>
      </w:r>
    </w:p>
    <w:p w14:paraId="10208758" w14:textId="77777777" w:rsidR="00A54738" w:rsidRDefault="00A54738">
      <w:pPr>
        <w:widowControl/>
        <w:rPr>
          <w:szCs w:val="24"/>
          <w:lang w:eastAsia="en-US"/>
        </w:rPr>
      </w:pPr>
      <w:r>
        <w:rPr>
          <w:szCs w:val="24"/>
          <w:lang w:eastAsia="en-US"/>
        </w:rPr>
        <w:br w:type="page"/>
      </w:r>
    </w:p>
    <w:p w14:paraId="54FD642D" w14:textId="5BE58B5E" w:rsidR="009333DC" w:rsidRPr="009333DC" w:rsidRDefault="009333DC" w:rsidP="009333DC">
      <w:pPr>
        <w:spacing w:before="120" w:after="120" w:line="360" w:lineRule="auto"/>
        <w:ind w:left="850" w:hanging="850"/>
        <w:rPr>
          <w:szCs w:val="24"/>
          <w:lang w:eastAsia="en-US"/>
        </w:rPr>
      </w:pPr>
      <w:r w:rsidRPr="009333DC">
        <w:rPr>
          <w:szCs w:val="24"/>
          <w:lang w:eastAsia="en-US"/>
        </w:rPr>
        <w:t>(4)</w:t>
      </w:r>
      <w:r w:rsidRPr="009333DC">
        <w:rPr>
          <w:szCs w:val="24"/>
          <w:lang w:eastAsia="en-US"/>
        </w:rPr>
        <w:tab/>
        <w:t>v členu 14 se odstavek 1 nadomesti z naslednjim:</w:t>
      </w:r>
    </w:p>
    <w:p w14:paraId="17F8E7B2" w14:textId="0AF07727" w:rsidR="009333DC" w:rsidRPr="009333DC" w:rsidRDefault="009333DC" w:rsidP="009333DC">
      <w:pPr>
        <w:spacing w:before="120" w:after="120" w:line="360" w:lineRule="auto"/>
        <w:ind w:left="1416" w:hanging="566"/>
        <w:rPr>
          <w:szCs w:val="24"/>
          <w:lang w:eastAsia="en-US"/>
        </w:rPr>
      </w:pPr>
      <w:r w:rsidRPr="009333DC">
        <w:rPr>
          <w:szCs w:val="24"/>
          <w:lang w:eastAsia="en-US"/>
        </w:rPr>
        <w:t>„1.</w:t>
      </w:r>
      <w:r w:rsidRPr="009333DC">
        <w:rPr>
          <w:szCs w:val="24"/>
          <w:lang w:eastAsia="en-US"/>
        </w:rPr>
        <w:tab/>
        <w:t>Komisija za namen izmenjave dokazil za spletne postopke iz Priloge II k tej Uredbi ter postopke iz direktiv 2005/36/ES, 2006/123/ES, 2014/24/EU, 2014/25/EU in …/…/… v sodelovanju z državami članicami vzpostavi tehnični sistem za elektronsko izmenjavo dokazil med pristojnimi organi različnih držav članic (v nadaljnjem besedilu: tehnični sistem).“</w:t>
      </w:r>
      <w:r w:rsidR="00A54738">
        <w:rPr>
          <w:szCs w:val="24"/>
          <w:lang w:eastAsia="en-US"/>
        </w:rPr>
        <w:t>;</w:t>
      </w:r>
    </w:p>
    <w:p w14:paraId="42DD46DE" w14:textId="77777777" w:rsidR="009333DC" w:rsidRPr="009333DC" w:rsidRDefault="009333DC" w:rsidP="009333DC">
      <w:pPr>
        <w:spacing w:before="120" w:after="120" w:line="360" w:lineRule="auto"/>
        <w:ind w:left="850" w:hanging="850"/>
        <w:rPr>
          <w:szCs w:val="24"/>
          <w:lang w:eastAsia="en-US"/>
        </w:rPr>
      </w:pPr>
      <w:r w:rsidRPr="009333DC">
        <w:rPr>
          <w:szCs w:val="24"/>
          <w:lang w:eastAsia="en-US"/>
        </w:rPr>
        <w:t>(5)</w:t>
      </w:r>
      <w:r w:rsidRPr="009333DC">
        <w:rPr>
          <w:szCs w:val="24"/>
          <w:lang w:eastAsia="en-US"/>
        </w:rPr>
        <w:tab/>
        <w:t>Priloga I k Uredbi (EU) 2018/1724 se spremeni:</w:t>
      </w:r>
    </w:p>
    <w:p w14:paraId="3DF49D1F" w14:textId="77777777" w:rsidR="009333DC" w:rsidRPr="009333DC" w:rsidRDefault="009333DC" w:rsidP="009333DC">
      <w:pPr>
        <w:spacing w:before="120" w:after="120" w:line="360" w:lineRule="auto"/>
        <w:ind w:left="1416" w:hanging="566"/>
        <w:rPr>
          <w:szCs w:val="24"/>
          <w:lang w:eastAsia="en-US"/>
        </w:rPr>
      </w:pPr>
      <w:r w:rsidRPr="009333DC">
        <w:rPr>
          <w:szCs w:val="24"/>
          <w:lang w:eastAsia="en-US"/>
        </w:rPr>
        <w:t>(a)</w:t>
      </w:r>
      <w:r w:rsidRPr="009333DC">
        <w:rPr>
          <w:szCs w:val="24"/>
          <w:lang w:eastAsia="en-US"/>
        </w:rPr>
        <w:tab/>
        <w:t>naslov se nadomesti z naslednjim:</w:t>
      </w:r>
    </w:p>
    <w:p w14:paraId="6C3C8C5F" w14:textId="77777777" w:rsidR="009333DC" w:rsidRPr="009333DC" w:rsidRDefault="009333DC" w:rsidP="009333DC">
      <w:pPr>
        <w:spacing w:before="120" w:after="120" w:line="360" w:lineRule="auto"/>
        <w:ind w:left="1416"/>
        <w:rPr>
          <w:szCs w:val="24"/>
          <w:lang w:eastAsia="en-US"/>
        </w:rPr>
      </w:pPr>
      <w:r w:rsidRPr="009333DC">
        <w:rPr>
          <w:szCs w:val="24"/>
          <w:lang w:eastAsia="en-US"/>
        </w:rPr>
        <w:t>„Seznam področij informacij, pomembnih za državljane, podjetja in pravne osebe, ki niso podjetja in imajo statutarni sedež v eni od držav članic, ki uveljavljajo svoje pravice na notranjem trgu iz točke (a) člena 2(2);</w:t>
      </w:r>
    </w:p>
    <w:p w14:paraId="0B5066A4" w14:textId="77777777" w:rsidR="00A54738" w:rsidRDefault="00A54738">
      <w:pPr>
        <w:widowControl/>
        <w:rPr>
          <w:b/>
          <w:i/>
          <w:szCs w:val="24"/>
          <w:lang w:eastAsia="en-US"/>
        </w:rPr>
      </w:pPr>
      <w:r>
        <w:rPr>
          <w:b/>
          <w:i/>
          <w:szCs w:val="24"/>
          <w:lang w:eastAsia="en-US"/>
        </w:rPr>
        <w:br w:type="page"/>
      </w:r>
    </w:p>
    <w:p w14:paraId="5F1EEF89" w14:textId="00946266" w:rsidR="009333DC" w:rsidRDefault="00A54738" w:rsidP="009333DC">
      <w:pPr>
        <w:spacing w:before="120" w:after="120" w:line="360" w:lineRule="auto"/>
        <w:ind w:left="850"/>
        <w:rPr>
          <w:b/>
          <w:i/>
        </w:rPr>
      </w:pPr>
      <w:r>
        <w:rPr>
          <w:b/>
          <w:i/>
          <w:szCs w:val="24"/>
          <w:lang w:eastAsia="en-US"/>
        </w:rPr>
        <w:t>(</w:t>
      </w:r>
      <w:proofErr w:type="spellStart"/>
      <w:r>
        <w:rPr>
          <w:b/>
          <w:i/>
          <w:szCs w:val="24"/>
          <w:lang w:eastAsia="en-US"/>
        </w:rPr>
        <w:t>aa</w:t>
      </w:r>
      <w:proofErr w:type="spellEnd"/>
      <w:r>
        <w:rPr>
          <w:b/>
          <w:i/>
          <w:szCs w:val="24"/>
          <w:lang w:eastAsia="en-US"/>
        </w:rPr>
        <w:t>)</w:t>
      </w:r>
      <w:r>
        <w:rPr>
          <w:b/>
          <w:i/>
          <w:szCs w:val="24"/>
          <w:lang w:eastAsia="en-US"/>
        </w:rPr>
        <w:tab/>
      </w:r>
      <w:r w:rsidR="00BD0FE9">
        <w:rPr>
          <w:b/>
          <w:i/>
        </w:rPr>
        <w:t>v „p</w:t>
      </w:r>
      <w:r w:rsidR="008254F5" w:rsidRPr="00912CBB">
        <w:rPr>
          <w:b/>
          <w:i/>
        </w:rPr>
        <w:t>odročj</w:t>
      </w:r>
      <w:r w:rsidR="00BD0FE9">
        <w:rPr>
          <w:b/>
          <w:i/>
        </w:rPr>
        <w:t>ih</w:t>
      </w:r>
      <w:r w:rsidR="008254F5" w:rsidRPr="00912CBB">
        <w:rPr>
          <w:b/>
          <w:i/>
        </w:rPr>
        <w:t xml:space="preserve"> informacij </w:t>
      </w:r>
      <w:r w:rsidR="00BD0FE9">
        <w:rPr>
          <w:b/>
          <w:i/>
        </w:rPr>
        <w:t xml:space="preserve">v zvezi s podjetji“ </w:t>
      </w:r>
      <w:r w:rsidR="008254F5" w:rsidRPr="00912CBB">
        <w:rPr>
          <w:b/>
          <w:i/>
        </w:rPr>
        <w:t>se</w:t>
      </w:r>
      <w:r w:rsidR="00BD0FE9">
        <w:rPr>
          <w:b/>
          <w:i/>
        </w:rPr>
        <w:t xml:space="preserve"> točka J nadomesti z naslednjim:</w:t>
      </w:r>
    </w:p>
    <w:p w14:paraId="53A847DF" w14:textId="79DA24D4" w:rsidR="00BD0FE9" w:rsidRDefault="00BD0FE9" w:rsidP="009333DC">
      <w:pPr>
        <w:spacing w:before="120" w:after="120" w:line="360" w:lineRule="auto"/>
        <w:ind w:left="850"/>
        <w:rPr>
          <w:b/>
          <w:i/>
        </w:rPr>
      </w:pPr>
      <w:r w:rsidRPr="002A1326">
        <w:t>„Področja informacij v zvezi s podjetji: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254F5" w:rsidRPr="00912CBB" w14:paraId="3353D901" w14:textId="77777777" w:rsidTr="00D34FD1">
        <w:trPr>
          <w:jc w:val="center"/>
        </w:trPr>
        <w:tc>
          <w:tcPr>
            <w:tcW w:w="4876" w:type="dxa"/>
            <w:tcBorders>
              <w:top w:val="single" w:sz="4" w:space="0" w:color="auto"/>
              <w:left w:val="single" w:sz="4" w:space="0" w:color="auto"/>
              <w:bottom w:val="single" w:sz="4" w:space="0" w:color="auto"/>
              <w:right w:val="single" w:sz="4" w:space="0" w:color="auto"/>
            </w:tcBorders>
            <w:hideMark/>
          </w:tcPr>
          <w:p w14:paraId="6D5E3232" w14:textId="77777777" w:rsidR="008254F5" w:rsidRPr="00912CBB" w:rsidRDefault="008254F5" w:rsidP="00D34FD1">
            <w:pPr>
              <w:pStyle w:val="Normal6"/>
              <w:rPr>
                <w:b/>
                <w:i/>
              </w:rPr>
            </w:pPr>
            <w:r w:rsidRPr="00912CBB">
              <w:rPr>
                <w:b/>
                <w:i/>
              </w:rPr>
              <w:t>Področje</w:t>
            </w:r>
          </w:p>
        </w:tc>
        <w:tc>
          <w:tcPr>
            <w:tcW w:w="4876" w:type="dxa"/>
            <w:tcBorders>
              <w:top w:val="single" w:sz="4" w:space="0" w:color="auto"/>
              <w:left w:val="single" w:sz="4" w:space="0" w:color="auto"/>
              <w:bottom w:val="single" w:sz="4" w:space="0" w:color="auto"/>
              <w:right w:val="single" w:sz="4" w:space="0" w:color="auto"/>
            </w:tcBorders>
            <w:hideMark/>
          </w:tcPr>
          <w:p w14:paraId="51B8A30C" w14:textId="77777777" w:rsidR="008254F5" w:rsidRPr="00912CBB" w:rsidRDefault="008254F5" w:rsidP="00D34FD1">
            <w:pPr>
              <w:pStyle w:val="Normal6"/>
              <w:rPr>
                <w:b/>
                <w:i/>
              </w:rPr>
            </w:pPr>
            <w:r w:rsidRPr="00912CBB">
              <w:rPr>
                <w:b/>
                <w:i/>
              </w:rPr>
              <w:t>INFORMACIJE O PRAVICAH, OBVEZNOSTIH IN PRAVILIH</w:t>
            </w:r>
          </w:p>
        </w:tc>
      </w:tr>
      <w:tr w:rsidR="008254F5" w:rsidRPr="00912CBB" w14:paraId="44B51659" w14:textId="77777777" w:rsidTr="00D34FD1">
        <w:trPr>
          <w:jc w:val="center"/>
        </w:trPr>
        <w:tc>
          <w:tcPr>
            <w:tcW w:w="4876" w:type="dxa"/>
            <w:tcBorders>
              <w:top w:val="single" w:sz="4" w:space="0" w:color="auto"/>
              <w:left w:val="single" w:sz="4" w:space="0" w:color="auto"/>
              <w:bottom w:val="single" w:sz="4" w:space="0" w:color="auto"/>
              <w:right w:val="single" w:sz="4" w:space="0" w:color="auto"/>
            </w:tcBorders>
            <w:hideMark/>
          </w:tcPr>
          <w:p w14:paraId="32B8C671" w14:textId="77777777" w:rsidR="008254F5" w:rsidRPr="00912CBB" w:rsidRDefault="008254F5" w:rsidP="00D34FD1">
            <w:pPr>
              <w:pStyle w:val="Normal6"/>
              <w:rPr>
                <w:b/>
                <w:i/>
              </w:rPr>
            </w:pPr>
            <w:r w:rsidRPr="00912CBB">
              <w:rPr>
                <w:b/>
                <w:i/>
              </w:rPr>
              <w:t>J. Ustanovitev, poslovanje in prenehanje podjetja</w:t>
            </w:r>
          </w:p>
        </w:tc>
        <w:tc>
          <w:tcPr>
            <w:tcW w:w="4876" w:type="dxa"/>
            <w:tcBorders>
              <w:top w:val="single" w:sz="4" w:space="0" w:color="auto"/>
              <w:left w:val="single" w:sz="4" w:space="0" w:color="auto"/>
              <w:bottom w:val="single" w:sz="4" w:space="0" w:color="auto"/>
              <w:right w:val="single" w:sz="4" w:space="0" w:color="auto"/>
            </w:tcBorders>
          </w:tcPr>
          <w:p w14:paraId="75A1B709" w14:textId="77777777" w:rsidR="008254F5" w:rsidRPr="00912CBB" w:rsidRDefault="008254F5" w:rsidP="00D34FD1">
            <w:pPr>
              <w:pStyle w:val="Normal6"/>
              <w:rPr>
                <w:b/>
                <w:i/>
              </w:rPr>
            </w:pPr>
            <w:r w:rsidRPr="00912CBB">
              <w:rPr>
                <w:b/>
                <w:i/>
              </w:rPr>
              <w:t>1. registracija, sprememba pravne oblike ali zaprtje podjetja (postopki registracije in pravne oblike poslovanja)</w:t>
            </w:r>
          </w:p>
          <w:p w14:paraId="57F7DA3D" w14:textId="77777777" w:rsidR="008254F5" w:rsidRPr="00912CBB" w:rsidRDefault="008254F5" w:rsidP="00D34FD1">
            <w:pPr>
              <w:pStyle w:val="Normal6"/>
              <w:rPr>
                <w:b/>
                <w:i/>
              </w:rPr>
            </w:pPr>
            <w:r w:rsidRPr="00912CBB">
              <w:rPr>
                <w:b/>
                <w:i/>
              </w:rPr>
              <w:t xml:space="preserve">2. </w:t>
            </w:r>
            <w:r w:rsidRPr="00BD0FE9">
              <w:rPr>
                <w:b/>
                <w:i/>
              </w:rPr>
              <w:t>preselitev statutarnega sedeža podjetja</w:t>
            </w:r>
            <w:r w:rsidRPr="00912CBB">
              <w:rPr>
                <w:b/>
                <w:i/>
              </w:rPr>
              <w:t xml:space="preserve"> v drugo državo članico</w:t>
            </w:r>
          </w:p>
          <w:p w14:paraId="5A7C4DAB" w14:textId="77777777" w:rsidR="008254F5" w:rsidRPr="00801A41" w:rsidRDefault="008254F5" w:rsidP="00D34FD1">
            <w:pPr>
              <w:pStyle w:val="Normal6"/>
              <w:rPr>
                <w:b/>
                <w:i/>
              </w:rPr>
            </w:pPr>
            <w:proofErr w:type="spellStart"/>
            <w:r w:rsidRPr="00BD0FE9">
              <w:rPr>
                <w:b/>
                <w:i/>
              </w:rPr>
              <w:t>2a</w:t>
            </w:r>
            <w:proofErr w:type="spellEnd"/>
            <w:r w:rsidRPr="00BD0FE9">
              <w:rPr>
                <w:b/>
                <w:i/>
              </w:rPr>
              <w:t>. obveznosti do upnikov in pravice delavcev v zvezi s preselitvijo statutarnega sedeža pravne osebe, ki ni podjetje, v drugo državo članico</w:t>
            </w:r>
          </w:p>
          <w:p w14:paraId="6DBC8E75" w14:textId="77777777" w:rsidR="008254F5" w:rsidRPr="00912CBB" w:rsidRDefault="008254F5" w:rsidP="00D34FD1">
            <w:pPr>
              <w:pStyle w:val="Normal6"/>
              <w:rPr>
                <w:b/>
                <w:i/>
              </w:rPr>
            </w:pPr>
            <w:r w:rsidRPr="00912CBB">
              <w:rPr>
                <w:b/>
                <w:i/>
              </w:rPr>
              <w:t>3. pravice intelektualne lastnine (vložitev patentne prijave, registracija blagovne znamke, risbe ali modela, pridobitev dovoljenja za razmnoževanje)</w:t>
            </w:r>
          </w:p>
          <w:p w14:paraId="75B20993" w14:textId="77777777" w:rsidR="008254F5" w:rsidRPr="00912CBB" w:rsidRDefault="008254F5" w:rsidP="00D34FD1">
            <w:pPr>
              <w:pStyle w:val="Normal6"/>
              <w:rPr>
                <w:b/>
                <w:i/>
              </w:rPr>
            </w:pPr>
            <w:r w:rsidRPr="00912CBB">
              <w:rPr>
                <w:b/>
                <w:i/>
              </w:rPr>
              <w:t>4. pravice potrošnikov ter jamstva v zvezi s prodajo blaga in storitev</w:t>
            </w:r>
          </w:p>
          <w:p w14:paraId="4A263BF8" w14:textId="77777777" w:rsidR="008254F5" w:rsidRPr="00912CBB" w:rsidRDefault="008254F5" w:rsidP="00D34FD1">
            <w:pPr>
              <w:pStyle w:val="Normal6"/>
              <w:rPr>
                <w:b/>
                <w:i/>
              </w:rPr>
            </w:pPr>
            <w:r w:rsidRPr="00912CBB">
              <w:rPr>
                <w:b/>
                <w:i/>
              </w:rPr>
              <w:t>5. zagotavljanje spletnih storitev za čezmejna plačila pri prodaji blaga in storitev na spletu</w:t>
            </w:r>
          </w:p>
          <w:p w14:paraId="37D784C4" w14:textId="77777777" w:rsidR="008254F5" w:rsidRPr="00912CBB" w:rsidRDefault="008254F5" w:rsidP="00D34FD1">
            <w:pPr>
              <w:pStyle w:val="Normal6"/>
              <w:rPr>
                <w:b/>
                <w:i/>
              </w:rPr>
            </w:pPr>
            <w:r w:rsidRPr="00912CBB">
              <w:rPr>
                <w:b/>
                <w:i/>
              </w:rPr>
              <w:t>6. pravice in obveznosti, ki izhajajo iz pogodbenega prava, vključno z zamudnimi obrestmi</w:t>
            </w:r>
          </w:p>
          <w:p w14:paraId="620D2DB7" w14:textId="77777777" w:rsidR="008254F5" w:rsidRPr="00912CBB" w:rsidRDefault="008254F5" w:rsidP="00D34FD1">
            <w:pPr>
              <w:pStyle w:val="Normal6"/>
              <w:rPr>
                <w:b/>
                <w:i/>
              </w:rPr>
            </w:pPr>
            <w:r w:rsidRPr="00912CBB">
              <w:rPr>
                <w:b/>
                <w:i/>
              </w:rPr>
              <w:t>7. postopek zaradi insolventnosti in likvidacija podjetij</w:t>
            </w:r>
          </w:p>
          <w:p w14:paraId="2E9FAF81" w14:textId="77777777" w:rsidR="008254F5" w:rsidRPr="00912CBB" w:rsidRDefault="008254F5" w:rsidP="00D34FD1">
            <w:pPr>
              <w:pStyle w:val="Normal6"/>
              <w:rPr>
                <w:b/>
                <w:i/>
              </w:rPr>
            </w:pPr>
            <w:r w:rsidRPr="00912CBB">
              <w:rPr>
                <w:b/>
                <w:i/>
              </w:rPr>
              <w:t>8. kreditno zavarovanje</w:t>
            </w:r>
          </w:p>
          <w:p w14:paraId="3F1CC287" w14:textId="77777777" w:rsidR="008254F5" w:rsidRPr="00912CBB" w:rsidRDefault="008254F5" w:rsidP="00D34FD1">
            <w:pPr>
              <w:pStyle w:val="Normal6"/>
              <w:rPr>
                <w:b/>
                <w:i/>
              </w:rPr>
            </w:pPr>
            <w:r w:rsidRPr="00912CBB">
              <w:rPr>
                <w:b/>
                <w:i/>
              </w:rPr>
              <w:t>9. združitve podjetij ali prodaja podjetja</w:t>
            </w:r>
          </w:p>
          <w:p w14:paraId="4D5F86A4" w14:textId="77777777" w:rsidR="008254F5" w:rsidRPr="00912CBB" w:rsidRDefault="008254F5" w:rsidP="00D34FD1">
            <w:pPr>
              <w:pStyle w:val="Normal6"/>
              <w:rPr>
                <w:b/>
                <w:i/>
              </w:rPr>
            </w:pPr>
            <w:r w:rsidRPr="00912CBB">
              <w:rPr>
                <w:b/>
                <w:i/>
              </w:rPr>
              <w:t xml:space="preserve">10. civilna odgovornost </w:t>
            </w:r>
            <w:r w:rsidRPr="00BD0FE9">
              <w:rPr>
                <w:b/>
                <w:i/>
              </w:rPr>
              <w:t xml:space="preserve">članov vodstva ali </w:t>
            </w:r>
            <w:r w:rsidRPr="00912CBB">
              <w:rPr>
                <w:b/>
                <w:i/>
              </w:rPr>
              <w:t>direktorjev podjetja</w:t>
            </w:r>
          </w:p>
          <w:p w14:paraId="64BD13FF" w14:textId="77777777" w:rsidR="008254F5" w:rsidRPr="00912CBB" w:rsidRDefault="008254F5" w:rsidP="00D34FD1">
            <w:pPr>
              <w:pStyle w:val="Normal6"/>
              <w:rPr>
                <w:b/>
                <w:i/>
              </w:rPr>
            </w:pPr>
            <w:r w:rsidRPr="00912CBB">
              <w:rPr>
                <w:b/>
                <w:i/>
              </w:rPr>
              <w:t>11. pravila in obveznosti v zvezi z obdelavo osebnih podatkov“</w:t>
            </w:r>
          </w:p>
        </w:tc>
      </w:tr>
    </w:tbl>
    <w:p w14:paraId="0F126667" w14:textId="7D518FF2" w:rsidR="008254F5" w:rsidRDefault="008254F5" w:rsidP="00912CBB">
      <w:pPr>
        <w:spacing w:before="120" w:after="120" w:line="360" w:lineRule="auto"/>
        <w:jc w:val="right"/>
        <w:rPr>
          <w:b/>
          <w:szCs w:val="24"/>
          <w:lang w:eastAsia="en-US"/>
        </w:rPr>
      </w:pPr>
      <w:r>
        <w:rPr>
          <w:b/>
          <w:szCs w:val="24"/>
          <w:lang w:eastAsia="en-US"/>
        </w:rPr>
        <w:t>[Sprememba 4]</w:t>
      </w:r>
    </w:p>
    <w:p w14:paraId="3D0C37CB" w14:textId="77777777" w:rsidR="008254F5" w:rsidRDefault="008254F5">
      <w:pPr>
        <w:widowControl/>
        <w:rPr>
          <w:b/>
          <w:szCs w:val="24"/>
          <w:lang w:eastAsia="en-US"/>
        </w:rPr>
      </w:pPr>
      <w:r>
        <w:rPr>
          <w:b/>
          <w:szCs w:val="24"/>
          <w:lang w:eastAsia="en-US"/>
        </w:rPr>
        <w:br w:type="page"/>
      </w:r>
    </w:p>
    <w:p w14:paraId="387F09BE" w14:textId="77777777" w:rsidR="008254F5" w:rsidRPr="009333DC" w:rsidRDefault="008254F5" w:rsidP="008254F5">
      <w:pPr>
        <w:spacing w:before="120" w:after="120" w:line="360" w:lineRule="auto"/>
        <w:ind w:left="1416" w:hanging="566"/>
        <w:rPr>
          <w:szCs w:val="24"/>
          <w:lang w:eastAsia="en-US"/>
        </w:rPr>
      </w:pPr>
      <w:r w:rsidRPr="009333DC">
        <w:rPr>
          <w:szCs w:val="24"/>
          <w:lang w:eastAsia="en-US"/>
        </w:rPr>
        <w:t>(b)</w:t>
      </w:r>
      <w:r w:rsidRPr="009333DC">
        <w:rPr>
          <w:szCs w:val="24"/>
          <w:lang w:eastAsia="en-US"/>
        </w:rPr>
        <w:tab/>
        <w:t>dodajo se naslednja področja informacij:</w:t>
      </w:r>
    </w:p>
    <w:p w14:paraId="7CA593C7" w14:textId="77777777" w:rsidR="008254F5" w:rsidRDefault="008254F5" w:rsidP="00912CBB">
      <w:pPr>
        <w:spacing w:before="120" w:after="120" w:line="360" w:lineRule="auto"/>
        <w:ind w:left="850"/>
        <w:rPr>
          <w:szCs w:val="24"/>
          <w:lang w:eastAsia="en-US"/>
        </w:rPr>
      </w:pPr>
      <w:r w:rsidRPr="009333DC">
        <w:rPr>
          <w:szCs w:val="24"/>
          <w:lang w:eastAsia="en-US"/>
        </w:rPr>
        <w:t>„Področja informacij v zvezi s pravnimi osebami, ki niso podjetja in imajo statutarni sedež v eni od držav članic:</w:t>
      </w:r>
    </w:p>
    <w:tbl>
      <w:tblPr>
        <w:tblW w:w="9752" w:type="dxa"/>
        <w:jc w:val="center"/>
        <w:tblLayout w:type="fixed"/>
        <w:tblCellMar>
          <w:left w:w="340" w:type="dxa"/>
          <w:right w:w="340" w:type="dxa"/>
        </w:tblCellMar>
        <w:tblLook w:val="04A0" w:firstRow="1" w:lastRow="0" w:firstColumn="1" w:lastColumn="0" w:noHBand="0" w:noVBand="1"/>
      </w:tblPr>
      <w:tblGrid>
        <w:gridCol w:w="2547"/>
        <w:gridCol w:w="7205"/>
      </w:tblGrid>
      <w:tr w:rsidR="008254F5" w:rsidRPr="002A1326" w14:paraId="43C2B467"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hideMark/>
          </w:tcPr>
          <w:p w14:paraId="2A702BAA" w14:textId="77777777" w:rsidR="008254F5" w:rsidRPr="00912CBB" w:rsidRDefault="008254F5" w:rsidP="00912CBB">
            <w:pPr>
              <w:pStyle w:val="Normal6"/>
            </w:pPr>
            <w:r w:rsidRPr="00912CBB">
              <w:t>AA. Ustanovitev, vodenje in zaprtje pravne osebe, ki ni podjetje</w:t>
            </w:r>
          </w:p>
        </w:tc>
        <w:tc>
          <w:tcPr>
            <w:tcW w:w="7205" w:type="dxa"/>
            <w:tcBorders>
              <w:top w:val="single" w:sz="4" w:space="0" w:color="auto"/>
              <w:left w:val="single" w:sz="4" w:space="0" w:color="auto"/>
              <w:bottom w:val="single" w:sz="4" w:space="0" w:color="auto"/>
              <w:right w:val="single" w:sz="4" w:space="0" w:color="auto"/>
            </w:tcBorders>
          </w:tcPr>
          <w:p w14:paraId="5CC5C530" w14:textId="2623F744" w:rsidR="008254F5" w:rsidRPr="002A1326" w:rsidRDefault="008254F5" w:rsidP="000950DF">
            <w:pPr>
              <w:spacing w:before="120" w:after="120" w:line="360" w:lineRule="auto"/>
            </w:pPr>
            <w:r w:rsidRPr="002A1326">
              <w:t>1. registracija, sprememba pravne oblike ali zaprtje pravne osebe, ki ni podjetje (postopki registracije in pravne oblike poslovanja)</w:t>
            </w:r>
          </w:p>
          <w:p w14:paraId="40D3D4CB" w14:textId="4CD1B1FC" w:rsidR="008254F5" w:rsidRPr="002A1326" w:rsidRDefault="008254F5" w:rsidP="000950DF">
            <w:pPr>
              <w:spacing w:before="120" w:after="120" w:line="360" w:lineRule="auto"/>
            </w:pPr>
            <w:r w:rsidRPr="002A1326">
              <w:t xml:space="preserve">2. preselitev </w:t>
            </w:r>
            <w:r w:rsidRPr="002A1326">
              <w:rPr>
                <w:b/>
                <w:i/>
              </w:rPr>
              <w:t>statutarnega sedeža</w:t>
            </w:r>
            <w:r w:rsidRPr="002A1326">
              <w:t xml:space="preserve"> pravne osebe, ki ni podjetje, v drugo državo članico</w:t>
            </w:r>
          </w:p>
          <w:p w14:paraId="58D574DB" w14:textId="23A5F8ED" w:rsidR="008254F5" w:rsidRPr="002A1326" w:rsidRDefault="008254F5" w:rsidP="000950DF">
            <w:pPr>
              <w:spacing w:before="120" w:after="120" w:line="360" w:lineRule="auto"/>
            </w:pPr>
            <w:proofErr w:type="spellStart"/>
            <w:r w:rsidRPr="002A1326">
              <w:rPr>
                <w:b/>
                <w:i/>
              </w:rPr>
              <w:t>2a</w:t>
            </w:r>
            <w:proofErr w:type="spellEnd"/>
            <w:r w:rsidRPr="002A1326">
              <w:rPr>
                <w:b/>
                <w:i/>
              </w:rPr>
              <w:t>. obveznosti do upnikov in pravice delavcev v zvezi s preselitvijo statutarnega sedeža pravne osebe, ki ni podjetje, v drugo državo članico</w:t>
            </w:r>
          </w:p>
          <w:p w14:paraId="27FA6391" w14:textId="314B508C" w:rsidR="008254F5" w:rsidRPr="002A1326" w:rsidRDefault="008254F5" w:rsidP="000950DF">
            <w:pPr>
              <w:spacing w:before="120" w:after="120" w:line="360" w:lineRule="auto"/>
            </w:pPr>
            <w:r w:rsidRPr="002A1326">
              <w:t>3. pravice intelektualne lastnine (vložitev patentne prijave, registracija blagovne znamke, risbe ali modela, pridobitev dovoljenja za razmnoževanje)</w:t>
            </w:r>
          </w:p>
          <w:p w14:paraId="34291AB2" w14:textId="315DEA65" w:rsidR="008254F5" w:rsidRPr="002A1326" w:rsidRDefault="008254F5" w:rsidP="000950DF">
            <w:pPr>
              <w:spacing w:before="120" w:after="120" w:line="360" w:lineRule="auto"/>
            </w:pPr>
            <w:r w:rsidRPr="002A1326">
              <w:t>4. pravice potrošnikov ter jamstva v zvezi s prodajo blaga in storitev</w:t>
            </w:r>
          </w:p>
          <w:p w14:paraId="072811F0" w14:textId="7AF5EEDE" w:rsidR="008254F5" w:rsidRPr="002A1326" w:rsidRDefault="008254F5" w:rsidP="000950DF">
            <w:pPr>
              <w:spacing w:before="120" w:after="120" w:line="360" w:lineRule="auto"/>
            </w:pPr>
            <w:r w:rsidRPr="002A1326">
              <w:t>5. zagotavljanje spletnih storitev za čezmejna plačila pri prodaji blaga in storitev na spletu</w:t>
            </w:r>
          </w:p>
          <w:p w14:paraId="17A7DFB5" w14:textId="47D9B41B" w:rsidR="008254F5" w:rsidRPr="002A1326" w:rsidRDefault="008254F5" w:rsidP="000950DF">
            <w:pPr>
              <w:spacing w:before="120" w:after="120" w:line="360" w:lineRule="auto"/>
            </w:pPr>
            <w:r w:rsidRPr="002A1326">
              <w:t>6. pravice in obveznosti, ki izhajajo iz pogodbenega prava, vključno z zamudnimi obrestmi</w:t>
            </w:r>
          </w:p>
          <w:p w14:paraId="1E3DE5AB" w14:textId="77777777" w:rsidR="008254F5" w:rsidRPr="002A1326" w:rsidRDefault="008254F5" w:rsidP="000950DF">
            <w:pPr>
              <w:spacing w:before="120" w:after="120" w:line="360" w:lineRule="auto"/>
            </w:pPr>
            <w:r w:rsidRPr="002A1326">
              <w:t>7. postopek zaradi insolventnosti in likvidacija pravnih oseb, ki niso podjetja</w:t>
            </w:r>
          </w:p>
          <w:p w14:paraId="753985AC" w14:textId="05DF5A96" w:rsidR="008254F5" w:rsidRPr="002A1326" w:rsidRDefault="008254F5" w:rsidP="000950DF">
            <w:pPr>
              <w:spacing w:before="120" w:after="120" w:line="360" w:lineRule="auto"/>
            </w:pPr>
            <w:r w:rsidRPr="002A1326">
              <w:t>8. kreditno zavarovanje</w:t>
            </w:r>
          </w:p>
          <w:p w14:paraId="744F4007" w14:textId="64A2D9BF" w:rsidR="008254F5" w:rsidRPr="002A1326" w:rsidRDefault="008254F5" w:rsidP="000950DF">
            <w:pPr>
              <w:spacing w:before="120" w:after="120" w:line="360" w:lineRule="auto"/>
            </w:pPr>
            <w:r w:rsidRPr="002A1326">
              <w:t>9. združitve pravnih oseb, ki niso podjetja, ali prodaja pravne osebe, ki ni podjetje</w:t>
            </w:r>
          </w:p>
          <w:p w14:paraId="15D357C2" w14:textId="56886980" w:rsidR="008254F5" w:rsidRPr="002A1326" w:rsidRDefault="008254F5" w:rsidP="000950DF">
            <w:pPr>
              <w:spacing w:before="120" w:after="120" w:line="360" w:lineRule="auto"/>
            </w:pPr>
            <w:r w:rsidRPr="002A1326">
              <w:t xml:space="preserve">10. civilna odgovornost </w:t>
            </w:r>
            <w:r w:rsidRPr="002A1326">
              <w:rPr>
                <w:b/>
                <w:i/>
              </w:rPr>
              <w:t xml:space="preserve">članov vodstva ali </w:t>
            </w:r>
            <w:r w:rsidRPr="002A1326">
              <w:t>direktorjev pravnih oseb, ki niso podjetja</w:t>
            </w:r>
          </w:p>
          <w:p w14:paraId="67DA7B8D" w14:textId="77777777" w:rsidR="008254F5" w:rsidRPr="002A1326" w:rsidRDefault="008254F5" w:rsidP="000950DF">
            <w:pPr>
              <w:spacing w:before="120" w:after="120" w:line="360" w:lineRule="auto"/>
            </w:pPr>
            <w:r w:rsidRPr="002A1326">
              <w:t>11. pravila in obveznosti v zvezi z obdelavo osebnih podatkov</w:t>
            </w:r>
          </w:p>
        </w:tc>
      </w:tr>
      <w:tr w:rsidR="00E514F7" w:rsidRPr="00E514F7" w14:paraId="54BE6528"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207FAA12" w14:textId="24A8411B" w:rsidR="00E514F7" w:rsidRPr="00E514F7" w:rsidRDefault="00E514F7">
            <w:pPr>
              <w:pStyle w:val="Normal6"/>
            </w:pPr>
            <w:r w:rsidRPr="00912CBB">
              <w:rPr>
                <w:noProof/>
                <w:color w:val="000000"/>
                <w:shd w:val="clear" w:color="auto" w:fill="FFFFFF"/>
              </w:rPr>
              <w:t>AB. Zaposleni</w:t>
            </w:r>
          </w:p>
        </w:tc>
        <w:tc>
          <w:tcPr>
            <w:tcW w:w="7205" w:type="dxa"/>
            <w:tcBorders>
              <w:top w:val="single" w:sz="4" w:space="0" w:color="auto"/>
              <w:left w:val="single" w:sz="4" w:space="0" w:color="auto"/>
              <w:bottom w:val="single" w:sz="4" w:space="0" w:color="auto"/>
              <w:right w:val="single" w:sz="4" w:space="0" w:color="auto"/>
            </w:tcBorders>
          </w:tcPr>
          <w:p w14:paraId="2AC6E8C9" w14:textId="4A4429AB" w:rsidR="00E514F7" w:rsidRPr="00912CBB" w:rsidRDefault="00E514F7" w:rsidP="000950DF">
            <w:pPr>
              <w:spacing w:before="120" w:after="120" w:line="360" w:lineRule="auto"/>
            </w:pPr>
            <w:r w:rsidRPr="00912CBB">
              <w:t>1. pogoji zaposlovanja, ki so določeni z zakoni ali podzakonskimi akti (vključno z delovnim časom, plačanim dopustom, pravicami do letnega dopusta, pravicami in obveznostmi glede nadurnega dela, zdravstvenimi pregledi, prenehanjem pogodb, odpovedjo in odpuščanji)</w:t>
            </w:r>
          </w:p>
          <w:p w14:paraId="5DE0B9B4" w14:textId="33FF5A9E" w:rsidR="00E514F7" w:rsidRPr="00912CBB" w:rsidRDefault="00E514F7" w:rsidP="000950DF">
            <w:pPr>
              <w:spacing w:before="120" w:after="120" w:line="360" w:lineRule="auto"/>
            </w:pPr>
            <w:r w:rsidRPr="00912CBB">
              <w:t>2. pravice in obveznosti na področju socialne varnosti v Uniji (registracija delodajalca, registracija zaposlenih, obvestilo o izteku pogodbe zaposlenega, plačevanje socialnih prispevkov, pravice in obveznosti v zvezi s pokojninami)</w:t>
            </w:r>
          </w:p>
          <w:p w14:paraId="069AD479" w14:textId="66441C8A" w:rsidR="00E514F7" w:rsidRPr="00912CBB" w:rsidRDefault="00E514F7" w:rsidP="000950DF">
            <w:pPr>
              <w:spacing w:before="120" w:after="120" w:line="360" w:lineRule="auto"/>
            </w:pPr>
            <w:r w:rsidRPr="00912CBB">
              <w:t>3. zaposlovanje delavcev v drugih državah članicah (napotitev delavcev, pravila o svobodi opravljanja storitev, zahteve glede stalnega prebivališča delavcev)</w:t>
            </w:r>
          </w:p>
          <w:p w14:paraId="31C1577B" w14:textId="5E07BC5D" w:rsidR="00E514F7" w:rsidRPr="00912CBB" w:rsidRDefault="00E514F7" w:rsidP="000950DF">
            <w:pPr>
              <w:spacing w:before="120" w:after="120" w:line="360" w:lineRule="auto"/>
            </w:pPr>
            <w:r w:rsidRPr="00912CBB">
              <w:t>4. enaka obravnava (pravila, ki prepovedujejo diskriminacijo na delovnem mestu, pravila o enakem plačilu za moške in ženske in enakem plačilu za zaposlene s pogodbami o zaposlitvi za določen/nedoločen čas)</w:t>
            </w:r>
          </w:p>
          <w:p w14:paraId="5CAC301B" w14:textId="69D21AA4" w:rsidR="00E514F7" w:rsidRPr="00E514F7" w:rsidRDefault="00E514F7" w:rsidP="000950DF">
            <w:pPr>
              <w:spacing w:before="120" w:after="120" w:line="360" w:lineRule="auto"/>
            </w:pPr>
            <w:r w:rsidRPr="00912CBB">
              <w:t>5. pravila o zastopanju zaposlenih</w:t>
            </w:r>
          </w:p>
        </w:tc>
      </w:tr>
      <w:tr w:rsidR="00E514F7" w:rsidRPr="00E514F7" w14:paraId="0C229712"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44CF4A56" w14:textId="513DFADF" w:rsidR="00E514F7" w:rsidRPr="00E514F7" w:rsidRDefault="00E514F7" w:rsidP="00E514F7">
            <w:pPr>
              <w:pStyle w:val="Normal6"/>
            </w:pPr>
            <w:r w:rsidRPr="00912CBB">
              <w:rPr>
                <w:noProof/>
                <w:color w:val="000000"/>
                <w:shd w:val="clear" w:color="auto" w:fill="FFFFFF"/>
              </w:rPr>
              <w:t>AC. Davki</w:t>
            </w:r>
          </w:p>
        </w:tc>
        <w:tc>
          <w:tcPr>
            <w:tcW w:w="7205" w:type="dxa"/>
            <w:tcBorders>
              <w:top w:val="single" w:sz="4" w:space="0" w:color="auto"/>
              <w:left w:val="single" w:sz="4" w:space="0" w:color="auto"/>
              <w:bottom w:val="single" w:sz="4" w:space="0" w:color="auto"/>
              <w:right w:val="single" w:sz="4" w:space="0" w:color="auto"/>
            </w:tcBorders>
          </w:tcPr>
          <w:p w14:paraId="77BC4758" w14:textId="0331829F" w:rsidR="00E514F7" w:rsidRPr="00912CBB" w:rsidRDefault="00E514F7" w:rsidP="000950DF">
            <w:pPr>
              <w:spacing w:before="120" w:after="120" w:line="360" w:lineRule="auto"/>
              <w:rPr>
                <w:noProof/>
              </w:rPr>
            </w:pPr>
            <w:r w:rsidRPr="00912CBB">
              <w:rPr>
                <w:noProof/>
                <w:color w:val="000000"/>
                <w:shd w:val="clear" w:color="auto" w:fill="FFFFFF"/>
              </w:rPr>
              <w:t xml:space="preserve">1. DDV: </w:t>
            </w:r>
            <w:r w:rsidRPr="00912CBB">
              <w:rPr>
                <w:noProof/>
              </w:rPr>
              <w:t>informacije o splošnih pravilih, stopnjah in oprostitvah, registracija za namene DDV in plačevanje DDV, pridobitev vračila</w:t>
            </w:r>
          </w:p>
          <w:p w14:paraId="0D09FC26" w14:textId="7199E32F" w:rsidR="00E514F7" w:rsidRPr="00912CBB" w:rsidRDefault="00E514F7" w:rsidP="000950DF">
            <w:pPr>
              <w:spacing w:before="120" w:after="120" w:line="360" w:lineRule="auto"/>
              <w:rPr>
                <w:noProof/>
              </w:rPr>
            </w:pPr>
            <w:r w:rsidRPr="00912CBB">
              <w:rPr>
                <w:noProof/>
              </w:rPr>
              <w:t>2. trošarine: informacije o splošnih pravilih, stopnjah in oprostitvah, registracija za namene trošarine in vračilo trošarine, pridobitev vračila</w:t>
            </w:r>
          </w:p>
          <w:p w14:paraId="531AF6F9" w14:textId="14100AB4" w:rsidR="00E514F7" w:rsidRPr="00912CBB" w:rsidRDefault="00E514F7" w:rsidP="000950DF">
            <w:pPr>
              <w:spacing w:before="120" w:after="120" w:line="360" w:lineRule="auto"/>
              <w:rPr>
                <w:noProof/>
              </w:rPr>
            </w:pPr>
            <w:r w:rsidRPr="00912CBB">
              <w:rPr>
                <w:noProof/>
              </w:rPr>
              <w:t>3. carine in drugi davki in dajatve ob uvozu</w:t>
            </w:r>
          </w:p>
          <w:p w14:paraId="4C819F00" w14:textId="6889DE4B" w:rsidR="00E514F7" w:rsidRPr="00912CBB" w:rsidRDefault="00E514F7" w:rsidP="000950DF">
            <w:pPr>
              <w:spacing w:before="120" w:after="120" w:line="360" w:lineRule="auto"/>
              <w:rPr>
                <w:noProof/>
              </w:rPr>
            </w:pPr>
            <w:r w:rsidRPr="00912CBB">
              <w:rPr>
                <w:noProof/>
              </w:rPr>
              <w:t>4. carinski postopki za uvoz in izvoz na podlagi carinskega zakonika Unije</w:t>
            </w:r>
          </w:p>
          <w:p w14:paraId="5F63A0F4" w14:textId="02598282" w:rsidR="00E514F7" w:rsidRPr="00E514F7" w:rsidRDefault="00E514F7" w:rsidP="000950DF">
            <w:pPr>
              <w:spacing w:before="120" w:after="120" w:line="360" w:lineRule="auto"/>
            </w:pPr>
            <w:r w:rsidRPr="00912CBB">
              <w:rPr>
                <w:noProof/>
              </w:rPr>
              <w:t>5. drugi davki: plačevanje, stopnje, davčne napovedi</w:t>
            </w:r>
          </w:p>
        </w:tc>
      </w:tr>
      <w:tr w:rsidR="00E514F7" w:rsidRPr="00E514F7" w14:paraId="3FEB18EB"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6626E069" w14:textId="5FB38EFB" w:rsidR="00E514F7" w:rsidRPr="00E514F7" w:rsidRDefault="00E514F7" w:rsidP="00E514F7">
            <w:pPr>
              <w:pStyle w:val="Normal6"/>
            </w:pPr>
            <w:r w:rsidRPr="00912CBB">
              <w:rPr>
                <w:noProof/>
                <w:color w:val="000000"/>
                <w:shd w:val="clear" w:color="auto" w:fill="FFFFFF"/>
              </w:rPr>
              <w:t xml:space="preserve">AD. Blago </w:t>
            </w:r>
          </w:p>
        </w:tc>
        <w:tc>
          <w:tcPr>
            <w:tcW w:w="7205" w:type="dxa"/>
            <w:tcBorders>
              <w:top w:val="single" w:sz="4" w:space="0" w:color="auto"/>
              <w:left w:val="single" w:sz="4" w:space="0" w:color="auto"/>
              <w:bottom w:val="single" w:sz="4" w:space="0" w:color="auto"/>
              <w:right w:val="single" w:sz="4" w:space="0" w:color="auto"/>
            </w:tcBorders>
          </w:tcPr>
          <w:p w14:paraId="6A31D844" w14:textId="0AA9A9C1" w:rsidR="00E514F7" w:rsidRPr="00912CBB" w:rsidRDefault="00E514F7" w:rsidP="000950DF">
            <w:pPr>
              <w:spacing w:before="120" w:after="120" w:line="360" w:lineRule="auto"/>
              <w:rPr>
                <w:noProof/>
                <w:color w:val="000000"/>
                <w:shd w:val="clear" w:color="auto" w:fill="FFFFFF"/>
              </w:rPr>
            </w:pPr>
            <w:r w:rsidRPr="00912CBB">
              <w:rPr>
                <w:noProof/>
                <w:color w:val="000000"/>
                <w:shd w:val="clear" w:color="auto" w:fill="FFFFFF"/>
              </w:rPr>
              <w:t xml:space="preserve">1. pridobitev oznake CE </w:t>
            </w:r>
          </w:p>
          <w:p w14:paraId="1542888A" w14:textId="6118AC88" w:rsidR="00E514F7" w:rsidRPr="00912CBB" w:rsidRDefault="00E514F7" w:rsidP="000950DF">
            <w:pPr>
              <w:spacing w:before="120" w:after="120" w:line="360" w:lineRule="auto"/>
              <w:rPr>
                <w:noProof/>
              </w:rPr>
            </w:pPr>
            <w:r w:rsidRPr="00912CBB">
              <w:rPr>
                <w:noProof/>
              </w:rPr>
              <w:t>2. pravila in zahteve v zvezi s proizvodi</w:t>
            </w:r>
          </w:p>
          <w:p w14:paraId="347CD5D3" w14:textId="2E8D434F" w:rsidR="00E514F7" w:rsidRPr="00912CBB" w:rsidRDefault="00E514F7" w:rsidP="000950DF">
            <w:pPr>
              <w:spacing w:before="120" w:after="120" w:line="360" w:lineRule="auto"/>
              <w:rPr>
                <w:noProof/>
              </w:rPr>
            </w:pPr>
            <w:r w:rsidRPr="00912CBB">
              <w:rPr>
                <w:noProof/>
              </w:rPr>
              <w:t>3. opredelitev veljavnih standardov, tehničnih specifikacij in certifikacija proizvodov</w:t>
            </w:r>
          </w:p>
          <w:p w14:paraId="3423C244" w14:textId="6CE5A0FD" w:rsidR="00E514F7" w:rsidRPr="00912CBB" w:rsidRDefault="00E514F7" w:rsidP="000950DF">
            <w:pPr>
              <w:spacing w:before="120" w:after="120" w:line="360" w:lineRule="auto"/>
              <w:rPr>
                <w:noProof/>
              </w:rPr>
            </w:pPr>
            <w:r w:rsidRPr="00912CBB">
              <w:rPr>
                <w:noProof/>
              </w:rPr>
              <w:t>4. vzajemno priznavanje proizvodov, za katere specifikacije Unije ne veljajo</w:t>
            </w:r>
          </w:p>
          <w:p w14:paraId="5AE07089" w14:textId="72B6CC47" w:rsidR="00E514F7" w:rsidRPr="00912CBB" w:rsidRDefault="00E514F7" w:rsidP="000950DF">
            <w:pPr>
              <w:spacing w:before="120" w:after="120" w:line="360" w:lineRule="auto"/>
              <w:rPr>
                <w:noProof/>
              </w:rPr>
            </w:pPr>
            <w:r w:rsidRPr="00912CBB">
              <w:rPr>
                <w:noProof/>
              </w:rPr>
              <w:t>5. zahteve glede razvrščanja, označevanja in pakiranja nevarnih kemikalij</w:t>
            </w:r>
          </w:p>
          <w:p w14:paraId="6F4A1CB2" w14:textId="30178035" w:rsidR="00E514F7" w:rsidRPr="00912CBB" w:rsidRDefault="00E514F7" w:rsidP="000950DF">
            <w:pPr>
              <w:spacing w:before="120" w:after="120" w:line="360" w:lineRule="auto"/>
              <w:rPr>
                <w:noProof/>
              </w:rPr>
            </w:pPr>
            <w:r w:rsidRPr="00912CBB">
              <w:rPr>
                <w:noProof/>
              </w:rPr>
              <w:t>6.·prodaja na daljavo/prodaja zunaj poslovnih prostorov: informacije, ki jih je treba vnaprej zagotoviti strankam, pisna potrditev pogodbe, odstop od pogodbe, dobava blaga, druge posebne obveznosti</w:t>
            </w:r>
          </w:p>
          <w:p w14:paraId="093BCC35" w14:textId="23BC4901" w:rsidR="00E514F7" w:rsidRPr="00912CBB" w:rsidRDefault="00E514F7" w:rsidP="000950DF">
            <w:pPr>
              <w:spacing w:before="120" w:after="120" w:line="360" w:lineRule="auto"/>
              <w:rPr>
                <w:noProof/>
              </w:rPr>
            </w:pPr>
            <w:r w:rsidRPr="00912CBB">
              <w:rPr>
                <w:noProof/>
              </w:rPr>
              <w:t>7.·izdelki z napako: pravice in jamstva za potrošnike, odgovornosti po prodaji, pravna sredstva, ki so na voljo oškodovancu</w:t>
            </w:r>
          </w:p>
          <w:p w14:paraId="5615C453" w14:textId="629C63AD" w:rsidR="00E514F7" w:rsidRPr="00912CBB" w:rsidRDefault="00E514F7" w:rsidP="000950DF">
            <w:pPr>
              <w:spacing w:before="120" w:after="120" w:line="360" w:lineRule="auto"/>
              <w:rPr>
                <w:noProof/>
              </w:rPr>
            </w:pPr>
            <w:r w:rsidRPr="00912CBB">
              <w:rPr>
                <w:noProof/>
              </w:rPr>
              <w:t>8. certificiranje, oznake (EMAS, energijske nalepke, okoljsko primerna zasnova, znak EU za okolje)</w:t>
            </w:r>
          </w:p>
          <w:p w14:paraId="7C7C197F" w14:textId="623EFCDC" w:rsidR="00E514F7" w:rsidRPr="00E514F7" w:rsidRDefault="00E514F7" w:rsidP="000950DF">
            <w:pPr>
              <w:spacing w:before="120" w:after="120" w:line="360" w:lineRule="auto"/>
            </w:pPr>
            <w:r w:rsidRPr="00912CBB">
              <w:rPr>
                <w:noProof/>
              </w:rPr>
              <w:t>9. recikliranje in ravnanje z odpadki</w:t>
            </w:r>
          </w:p>
        </w:tc>
      </w:tr>
      <w:tr w:rsidR="00E514F7" w:rsidRPr="00E514F7" w14:paraId="4F6F7F38"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70F9B9C2" w14:textId="1BF0329C" w:rsidR="00E514F7" w:rsidRPr="00E514F7" w:rsidRDefault="00E514F7" w:rsidP="00E514F7">
            <w:pPr>
              <w:pStyle w:val="Normal6"/>
            </w:pPr>
            <w:r w:rsidRPr="00912CBB">
              <w:rPr>
                <w:noProof/>
                <w:color w:val="000000"/>
                <w:shd w:val="clear" w:color="auto" w:fill="FFFFFF"/>
              </w:rPr>
              <w:t xml:space="preserve">AE. Storitve </w:t>
            </w:r>
          </w:p>
        </w:tc>
        <w:tc>
          <w:tcPr>
            <w:tcW w:w="7205" w:type="dxa"/>
            <w:tcBorders>
              <w:top w:val="single" w:sz="4" w:space="0" w:color="auto"/>
              <w:left w:val="single" w:sz="4" w:space="0" w:color="auto"/>
              <w:bottom w:val="single" w:sz="4" w:space="0" w:color="auto"/>
              <w:right w:val="single" w:sz="4" w:space="0" w:color="auto"/>
            </w:tcBorders>
          </w:tcPr>
          <w:p w14:paraId="447566B3" w14:textId="7173A27E" w:rsidR="00E514F7" w:rsidRPr="00E514F7" w:rsidRDefault="00E514F7" w:rsidP="000950DF">
            <w:pPr>
              <w:spacing w:before="120" w:after="120" w:line="360" w:lineRule="auto"/>
            </w:pPr>
            <w:r w:rsidRPr="00E514F7">
              <w:t>1. pridobitev licenc, odobritev ali dovoljenj za ustanovitev in delovanje pravne osebe, ki ni podjetje</w:t>
            </w:r>
          </w:p>
          <w:p w14:paraId="66F1CCFF" w14:textId="7EF65591" w:rsidR="00E514F7" w:rsidRPr="000950DF" w:rsidRDefault="00E514F7" w:rsidP="000950DF">
            <w:pPr>
              <w:spacing w:before="120" w:after="120" w:line="360" w:lineRule="auto"/>
            </w:pPr>
            <w:r w:rsidRPr="000950DF">
              <w:t>2. obveščanje organov o čezmejnih dejavnostih</w:t>
            </w:r>
          </w:p>
          <w:p w14:paraId="37583ED7" w14:textId="65524905" w:rsidR="00E514F7" w:rsidRPr="000950DF" w:rsidRDefault="00E514F7" w:rsidP="000950DF">
            <w:pPr>
              <w:spacing w:before="120" w:after="120" w:line="360" w:lineRule="auto"/>
            </w:pPr>
            <w:r w:rsidRPr="000950DF">
              <w:t>3. priznavanje poklicnih kvalifikacij, vključno s poklicnim izobraževanjem in usposabljanjem</w:t>
            </w:r>
          </w:p>
        </w:tc>
      </w:tr>
      <w:tr w:rsidR="00E514F7" w:rsidRPr="00E514F7" w14:paraId="738A86DE"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73EFAB87" w14:textId="47154639" w:rsidR="00E514F7" w:rsidRPr="00E514F7" w:rsidRDefault="00E514F7" w:rsidP="00E514F7">
            <w:pPr>
              <w:pStyle w:val="Normal6"/>
            </w:pPr>
            <w:r w:rsidRPr="00912CBB">
              <w:rPr>
                <w:noProof/>
                <w:color w:val="000000"/>
                <w:shd w:val="clear" w:color="auto" w:fill="FFFFFF"/>
              </w:rPr>
              <w:t>AF. Financiranje pravne osebe, ki ni podjetje</w:t>
            </w:r>
          </w:p>
        </w:tc>
        <w:tc>
          <w:tcPr>
            <w:tcW w:w="7205" w:type="dxa"/>
            <w:tcBorders>
              <w:top w:val="single" w:sz="4" w:space="0" w:color="auto"/>
              <w:left w:val="single" w:sz="4" w:space="0" w:color="auto"/>
              <w:bottom w:val="single" w:sz="4" w:space="0" w:color="auto"/>
              <w:right w:val="single" w:sz="4" w:space="0" w:color="auto"/>
            </w:tcBorders>
          </w:tcPr>
          <w:p w14:paraId="736CEA58" w14:textId="161BD248" w:rsidR="00E514F7" w:rsidRPr="00E514F7" w:rsidRDefault="00E514F7" w:rsidP="000950DF">
            <w:pPr>
              <w:spacing w:before="120" w:after="120" w:line="360" w:lineRule="auto"/>
            </w:pPr>
            <w:r w:rsidRPr="00E514F7">
              <w:t>1. pridobitev dostopa do financiranja na ravni Unije, vključno s programi financiranja in nepovratnimi sredstvi Unije</w:t>
            </w:r>
          </w:p>
          <w:p w14:paraId="3467382B" w14:textId="77777777" w:rsidR="00E514F7" w:rsidRPr="00380330" w:rsidRDefault="00E514F7" w:rsidP="000950DF">
            <w:pPr>
              <w:spacing w:before="120" w:after="120" w:line="360" w:lineRule="auto"/>
            </w:pPr>
            <w:r w:rsidRPr="00380330">
              <w:t>2. pridobitev dostopa do financiranja na nacionalni ravni</w:t>
            </w:r>
          </w:p>
          <w:p w14:paraId="4C946243" w14:textId="76E28962" w:rsidR="00E514F7" w:rsidRPr="000950DF" w:rsidRDefault="00E514F7" w:rsidP="000950DF">
            <w:pPr>
              <w:spacing w:before="120" w:after="120" w:line="360" w:lineRule="auto"/>
            </w:pPr>
            <w:r w:rsidRPr="000950DF">
              <w:t>3. pobude, namenjene pravnim osebam, ki niso podjetja (izmenjave, programi mentorstva itd.)</w:t>
            </w:r>
          </w:p>
        </w:tc>
      </w:tr>
      <w:tr w:rsidR="00E514F7" w:rsidRPr="00E514F7" w14:paraId="433BBE7A"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17F96F49" w14:textId="0E58C0EA" w:rsidR="00E514F7" w:rsidRPr="00E514F7" w:rsidRDefault="00E514F7" w:rsidP="00E514F7">
            <w:pPr>
              <w:pStyle w:val="Normal6"/>
            </w:pPr>
            <w:r w:rsidRPr="00912CBB">
              <w:rPr>
                <w:noProof/>
                <w:color w:val="000000"/>
                <w:shd w:val="clear" w:color="auto" w:fill="FFFFFF"/>
              </w:rPr>
              <w:t>AG. Javna naročila</w:t>
            </w:r>
          </w:p>
        </w:tc>
        <w:tc>
          <w:tcPr>
            <w:tcW w:w="7205" w:type="dxa"/>
            <w:tcBorders>
              <w:top w:val="single" w:sz="4" w:space="0" w:color="auto"/>
              <w:left w:val="single" w:sz="4" w:space="0" w:color="auto"/>
              <w:bottom w:val="single" w:sz="4" w:space="0" w:color="auto"/>
              <w:right w:val="single" w:sz="4" w:space="0" w:color="auto"/>
            </w:tcBorders>
          </w:tcPr>
          <w:p w14:paraId="3411CE38" w14:textId="7A8FE2F1" w:rsidR="00E514F7" w:rsidRPr="00912CBB" w:rsidRDefault="00E514F7" w:rsidP="000950DF">
            <w:pPr>
              <w:spacing w:before="120" w:after="120" w:line="360" w:lineRule="auto"/>
              <w:rPr>
                <w:noProof/>
                <w:color w:val="000000"/>
                <w:shd w:val="clear" w:color="auto" w:fill="FFFFFF"/>
              </w:rPr>
            </w:pPr>
            <w:r w:rsidRPr="00912CBB">
              <w:rPr>
                <w:noProof/>
                <w:color w:val="000000"/>
                <w:shd w:val="clear" w:color="auto" w:fill="FFFFFF"/>
              </w:rPr>
              <w:t>1.·sodelovanje na javnih razpisih: pravila in postopki</w:t>
            </w:r>
          </w:p>
          <w:p w14:paraId="2A210B6B" w14:textId="5547C525" w:rsidR="00E514F7" w:rsidRPr="00912CBB" w:rsidRDefault="00E514F7" w:rsidP="000950DF">
            <w:pPr>
              <w:spacing w:before="120" w:after="120" w:line="360" w:lineRule="auto"/>
              <w:rPr>
                <w:noProof/>
                <w:color w:val="000000"/>
                <w:shd w:val="clear" w:color="auto" w:fill="FFFFFF"/>
              </w:rPr>
            </w:pPr>
            <w:r w:rsidRPr="00912CBB">
              <w:rPr>
                <w:noProof/>
                <w:color w:val="000000"/>
                <w:shd w:val="clear" w:color="auto" w:fill="FFFFFF"/>
              </w:rPr>
              <w:t>2. predložitev ponudbe prek spleta v okviru javnega razpisa</w:t>
            </w:r>
          </w:p>
          <w:p w14:paraId="572F0E12" w14:textId="25776F39" w:rsidR="00E514F7" w:rsidRPr="00E514F7" w:rsidRDefault="00E514F7" w:rsidP="000950DF">
            <w:pPr>
              <w:spacing w:before="120" w:after="120" w:line="360" w:lineRule="auto"/>
            </w:pPr>
            <w:r w:rsidRPr="00912CBB">
              <w:rPr>
                <w:noProof/>
              </w:rPr>
              <w:t>3. sporočanje nepravilnosti v zvezi s postopkom javnega razpisa</w:t>
            </w:r>
          </w:p>
        </w:tc>
      </w:tr>
      <w:tr w:rsidR="00E514F7" w:rsidRPr="00E514F7" w14:paraId="606672FE" w14:textId="77777777" w:rsidTr="000950DF">
        <w:trPr>
          <w:jc w:val="center"/>
        </w:trPr>
        <w:tc>
          <w:tcPr>
            <w:tcW w:w="2547" w:type="dxa"/>
            <w:tcBorders>
              <w:top w:val="single" w:sz="4" w:space="0" w:color="auto"/>
              <w:left w:val="single" w:sz="4" w:space="0" w:color="auto"/>
              <w:bottom w:val="single" w:sz="4" w:space="0" w:color="auto"/>
              <w:right w:val="single" w:sz="4" w:space="0" w:color="auto"/>
            </w:tcBorders>
          </w:tcPr>
          <w:p w14:paraId="5E5CFB17" w14:textId="74016B46" w:rsidR="00E514F7" w:rsidRPr="00E514F7" w:rsidRDefault="00E514F7" w:rsidP="00E514F7">
            <w:pPr>
              <w:pStyle w:val="Normal6"/>
            </w:pPr>
            <w:r w:rsidRPr="00912CBB">
              <w:rPr>
                <w:noProof/>
                <w:color w:val="000000"/>
                <w:shd w:val="clear" w:color="auto" w:fill="FFFFFF"/>
              </w:rPr>
              <w:t>AH. Varnost in zdravje pri delu</w:t>
            </w:r>
          </w:p>
        </w:tc>
        <w:tc>
          <w:tcPr>
            <w:tcW w:w="7205" w:type="dxa"/>
            <w:tcBorders>
              <w:top w:val="single" w:sz="4" w:space="0" w:color="auto"/>
              <w:left w:val="single" w:sz="4" w:space="0" w:color="auto"/>
              <w:bottom w:val="single" w:sz="4" w:space="0" w:color="auto"/>
              <w:right w:val="single" w:sz="4" w:space="0" w:color="auto"/>
            </w:tcBorders>
          </w:tcPr>
          <w:p w14:paraId="30199499" w14:textId="71F29560" w:rsidR="00E514F7" w:rsidRPr="00E514F7" w:rsidRDefault="00E514F7" w:rsidP="000950DF">
            <w:pPr>
              <w:spacing w:before="120" w:after="120" w:line="360" w:lineRule="auto"/>
            </w:pPr>
            <w:r w:rsidRPr="00912CBB">
              <w:rPr>
                <w:noProof/>
              </w:rPr>
              <w:t>1. obveznosti na področju zdravja in varnosti v zvezi z različnimi vrstami dejavnosti, vključno s preprečevanjem tveganj, obveščanjem in usposabljanjem“.</w:t>
            </w:r>
          </w:p>
        </w:tc>
      </w:tr>
    </w:tbl>
    <w:p w14:paraId="150C9ADE" w14:textId="64ED7D82" w:rsidR="00AA0CD2" w:rsidRDefault="00AA0CD2" w:rsidP="00912CBB">
      <w:pPr>
        <w:jc w:val="right"/>
      </w:pPr>
      <w:r>
        <w:rPr>
          <w:b/>
        </w:rPr>
        <w:t>[Sprememba 5]</w:t>
      </w:r>
      <w:r>
        <w:br w:type="page"/>
      </w:r>
    </w:p>
    <w:p w14:paraId="2914A7C5" w14:textId="30A402BB" w:rsidR="009333DC" w:rsidRPr="009333DC" w:rsidRDefault="009333DC" w:rsidP="009333DC">
      <w:pPr>
        <w:spacing w:before="120" w:after="120" w:line="360" w:lineRule="auto"/>
        <w:jc w:val="center"/>
        <w:rPr>
          <w:szCs w:val="24"/>
          <w:lang w:eastAsia="en-US"/>
        </w:rPr>
      </w:pPr>
      <w:r w:rsidRPr="009333DC">
        <w:rPr>
          <w:szCs w:val="24"/>
          <w:lang w:eastAsia="en-US"/>
        </w:rPr>
        <w:t>Člen 3</w:t>
      </w:r>
      <w:r w:rsidRPr="009333DC">
        <w:rPr>
          <w:szCs w:val="24"/>
          <w:lang w:eastAsia="en-US"/>
        </w:rPr>
        <w:br/>
        <w:t>Začetek veljavnosti</w:t>
      </w:r>
    </w:p>
    <w:p w14:paraId="18750936" w14:textId="77777777" w:rsidR="009333DC" w:rsidRPr="009333DC" w:rsidRDefault="009333DC" w:rsidP="009333DC">
      <w:pPr>
        <w:spacing w:before="120" w:after="120" w:line="360" w:lineRule="auto"/>
        <w:rPr>
          <w:szCs w:val="24"/>
          <w:lang w:eastAsia="en-US"/>
        </w:rPr>
      </w:pPr>
      <w:r w:rsidRPr="009333DC">
        <w:rPr>
          <w:szCs w:val="24"/>
          <w:lang w:eastAsia="en-US"/>
        </w:rPr>
        <w:t xml:space="preserve">Ta uredba začne veljati dvajseti dan po objavi v </w:t>
      </w:r>
      <w:r w:rsidRPr="009333DC">
        <w:rPr>
          <w:i/>
          <w:szCs w:val="24"/>
          <w:lang w:eastAsia="en-US"/>
        </w:rPr>
        <w:t>Uradnem listu Evropske unije</w:t>
      </w:r>
      <w:r w:rsidRPr="009333DC">
        <w:rPr>
          <w:szCs w:val="24"/>
          <w:lang w:eastAsia="en-US"/>
        </w:rPr>
        <w:t>.</w:t>
      </w:r>
    </w:p>
    <w:p w14:paraId="5CEF0B85" w14:textId="77777777" w:rsidR="009333DC" w:rsidRPr="009333DC" w:rsidRDefault="009333DC" w:rsidP="009333DC">
      <w:pPr>
        <w:spacing w:before="120" w:after="120" w:line="360" w:lineRule="auto"/>
        <w:rPr>
          <w:szCs w:val="24"/>
          <w:lang w:eastAsia="en-US"/>
        </w:rPr>
      </w:pPr>
      <w:r w:rsidRPr="009333DC">
        <w:rPr>
          <w:szCs w:val="24"/>
          <w:lang w:eastAsia="en-US"/>
        </w:rPr>
        <w:t>Ta uredba je v celoti zavezujoča in se neposredno uporablja v vseh državah članicah.</w:t>
      </w:r>
    </w:p>
    <w:p w14:paraId="5999E247" w14:textId="578F8CF0" w:rsidR="009333DC" w:rsidRPr="009333DC" w:rsidRDefault="009333DC" w:rsidP="009333DC">
      <w:pPr>
        <w:keepNext/>
        <w:widowControl/>
        <w:spacing w:before="120" w:line="360" w:lineRule="auto"/>
        <w:rPr>
          <w:szCs w:val="24"/>
          <w:lang w:eastAsia="en-US"/>
        </w:rPr>
      </w:pPr>
      <w:r w:rsidRPr="009333DC">
        <w:rPr>
          <w:szCs w:val="24"/>
          <w:lang w:eastAsia="en-US"/>
        </w:rPr>
        <w:t xml:space="preserve">V </w:t>
      </w:r>
      <w:r w:rsidR="008254F5">
        <w:rPr>
          <w:szCs w:val="24"/>
          <w:lang w:eastAsia="en-US"/>
        </w:rPr>
        <w:t>...</w:t>
      </w:r>
      <w:r w:rsidRPr="009333DC">
        <w:rPr>
          <w:szCs w:val="24"/>
          <w:lang w:eastAsia="en-US"/>
        </w:rPr>
        <w:t>,</w:t>
      </w:r>
    </w:p>
    <w:p w14:paraId="7F8AAC62" w14:textId="77777777" w:rsidR="009333DC" w:rsidRPr="009333DC" w:rsidRDefault="009333DC" w:rsidP="009333DC">
      <w:pPr>
        <w:keepNext/>
        <w:widowControl/>
        <w:tabs>
          <w:tab w:val="left" w:pos="4252"/>
        </w:tabs>
        <w:spacing w:before="720" w:after="100" w:line="360" w:lineRule="auto"/>
        <w:jc w:val="both"/>
        <w:rPr>
          <w:i/>
          <w:szCs w:val="24"/>
          <w:lang w:eastAsia="en-US"/>
        </w:rPr>
      </w:pPr>
      <w:r w:rsidRPr="009333DC">
        <w:rPr>
          <w:i/>
          <w:szCs w:val="24"/>
          <w:lang w:eastAsia="en-US"/>
        </w:rPr>
        <w:t>Za Evropski parlament</w:t>
      </w:r>
      <w:r w:rsidRPr="009333DC">
        <w:rPr>
          <w:i/>
          <w:szCs w:val="24"/>
          <w:lang w:eastAsia="en-US"/>
        </w:rPr>
        <w:tab/>
        <w:t>Za Svet</w:t>
      </w:r>
    </w:p>
    <w:p w14:paraId="0F1B15A7" w14:textId="41979682" w:rsidR="009333DC" w:rsidRDefault="009333DC" w:rsidP="00AA0CD2">
      <w:pPr>
        <w:widowControl/>
        <w:tabs>
          <w:tab w:val="left" w:pos="4252"/>
        </w:tabs>
        <w:spacing w:line="360" w:lineRule="auto"/>
        <w:rPr>
          <w:rFonts w:eastAsiaTheme="minorHAnsi"/>
          <w:szCs w:val="22"/>
          <w:lang w:eastAsia="en-US"/>
        </w:rPr>
      </w:pPr>
      <w:r w:rsidRPr="009333DC">
        <w:rPr>
          <w:i/>
          <w:szCs w:val="24"/>
          <w:lang w:eastAsia="en-US"/>
        </w:rPr>
        <w:t>predsednica</w:t>
      </w:r>
      <w:r w:rsidRPr="009333DC">
        <w:rPr>
          <w:i/>
          <w:szCs w:val="24"/>
          <w:lang w:eastAsia="en-US"/>
        </w:rPr>
        <w:tab/>
        <w:t>predsednik</w:t>
      </w:r>
      <w:r w:rsidR="008254F5">
        <w:rPr>
          <w:i/>
          <w:szCs w:val="24"/>
          <w:lang w:eastAsia="en-US"/>
        </w:rPr>
        <w:t>/predsednica</w:t>
      </w:r>
    </w:p>
    <w:sectPr w:rsidR="009333DC" w:rsidSect="00521F7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E662A" w14:textId="77777777" w:rsidR="00082065" w:rsidRPr="00521F7D" w:rsidRDefault="00082065">
      <w:r w:rsidRPr="00521F7D">
        <w:separator/>
      </w:r>
    </w:p>
  </w:endnote>
  <w:endnote w:type="continuationSeparator" w:id="0">
    <w:p w14:paraId="6F5A2FA9" w14:textId="77777777" w:rsidR="00082065" w:rsidRPr="00521F7D" w:rsidRDefault="00082065">
      <w:r w:rsidRPr="00521F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C373B" w14:textId="77777777" w:rsidR="00082065" w:rsidRPr="00521F7D" w:rsidRDefault="00082065">
      <w:r w:rsidRPr="00521F7D">
        <w:separator/>
      </w:r>
    </w:p>
  </w:footnote>
  <w:footnote w:type="continuationSeparator" w:id="0">
    <w:p w14:paraId="73326158" w14:textId="77777777" w:rsidR="00082065" w:rsidRPr="00521F7D" w:rsidRDefault="00082065">
      <w:r w:rsidRPr="00521F7D">
        <w:continuationSeparator/>
      </w:r>
    </w:p>
  </w:footnote>
  <w:footnote w:id="1">
    <w:p w14:paraId="30314A09" w14:textId="77777777" w:rsidR="004E0262" w:rsidRPr="00BA4B6C" w:rsidRDefault="004E0262" w:rsidP="004E0262">
      <w:pPr>
        <w:pStyle w:val="FootnoteText"/>
        <w:ind w:left="567" w:hanging="567"/>
        <w:rPr>
          <w:sz w:val="24"/>
          <w:lang w:val="sl-SI"/>
        </w:rPr>
      </w:pPr>
      <w:r w:rsidRPr="00BA4B6C">
        <w:rPr>
          <w:rStyle w:val="FootnoteReference"/>
          <w:sz w:val="24"/>
          <w:lang w:val="sl-SI"/>
        </w:rPr>
        <w:footnoteRef/>
      </w:r>
      <w:r w:rsidRPr="00BA4B6C">
        <w:rPr>
          <w:sz w:val="24"/>
          <w:lang w:val="sl-SI"/>
        </w:rPr>
        <w:t xml:space="preserve"> </w:t>
      </w:r>
      <w:r w:rsidRPr="00BA4B6C">
        <w:rPr>
          <w:sz w:val="24"/>
          <w:lang w:val="sl-SI"/>
        </w:rPr>
        <w:tab/>
      </w:r>
      <w:r>
        <w:rPr>
          <w:sz w:val="24"/>
          <w:lang w:val="sl-SI"/>
        </w:rPr>
        <w:t>Še ni objavljeno v Uradnem listu</w:t>
      </w:r>
      <w:r w:rsidRPr="00DF7672">
        <w:rPr>
          <w:sz w:val="24"/>
          <w:lang w:val="sl-SI"/>
        </w:rPr>
        <w:t>.</w:t>
      </w:r>
    </w:p>
  </w:footnote>
  <w:footnote w:id="2">
    <w:p w14:paraId="69A6C8DB" w14:textId="77777777" w:rsidR="009333DC" w:rsidRPr="009333DC" w:rsidRDefault="009333DC" w:rsidP="009333DC">
      <w:pPr>
        <w:pStyle w:val="FootnoteTextForceStyle"/>
        <w:rPr>
          <w:lang w:val="sl-SI"/>
        </w:rPr>
      </w:pPr>
      <w:r>
        <w:rPr>
          <w:vertAlign w:val="superscript"/>
        </w:rPr>
        <w:footnoteRef/>
      </w:r>
      <w:r w:rsidRPr="009333DC">
        <w:rPr>
          <w:lang w:val="sl-SI"/>
        </w:rPr>
        <w:tab/>
      </w:r>
      <w:r w:rsidRPr="009333DC">
        <w:rPr>
          <w:lang w:val="sl-SI"/>
        </w:rPr>
        <w:t>Sklic na mnenje.</w:t>
      </w:r>
    </w:p>
  </w:footnote>
  <w:footnote w:id="3">
    <w:p w14:paraId="3E7469CD" w14:textId="391EC1A2" w:rsidR="009333DC" w:rsidRPr="009333DC" w:rsidRDefault="009333DC" w:rsidP="009333DC">
      <w:pPr>
        <w:pStyle w:val="FootnoteTextForceStyle"/>
        <w:rPr>
          <w:lang w:val="sl-SI"/>
        </w:rPr>
      </w:pPr>
      <w:r>
        <w:rPr>
          <w:vertAlign w:val="superscript"/>
        </w:rPr>
        <w:footnoteRef/>
      </w:r>
      <w:r w:rsidRPr="009333DC">
        <w:rPr>
          <w:lang w:val="sl-SI"/>
        </w:rPr>
        <w:tab/>
      </w:r>
      <w:r w:rsidRPr="009333DC">
        <w:rPr>
          <w:lang w:val="sl-SI"/>
        </w:rPr>
        <w:t>Direktiva Evropskega parlamenta in Sveta z dne … o evropskih čezmejnih združenjih (UL</w:t>
      </w:r>
      <w:r w:rsidR="00BD0FE9">
        <w:rPr>
          <w:lang w:val="sl-SI"/>
        </w:rPr>
        <w:t xml:space="preserve"> ..</w:t>
      </w:r>
      <w:r w:rsidR="000950DF">
        <w:rPr>
          <w:lang w:val="sl-SI"/>
        </w:rPr>
        <w:t>.</w:t>
      </w:r>
      <w:r w:rsidRPr="009333DC">
        <w:rPr>
          <w:lang w:val="sl-SI"/>
        </w:rPr>
        <w:t>).</w:t>
      </w:r>
    </w:p>
  </w:footnote>
  <w:footnote w:id="4">
    <w:p w14:paraId="130BBB10" w14:textId="77777777" w:rsidR="009333DC" w:rsidRPr="00A54738" w:rsidRDefault="009333DC" w:rsidP="009333DC">
      <w:pPr>
        <w:pStyle w:val="FootnoteTextForceStyle"/>
        <w:rPr>
          <w:lang w:val="sl-SI"/>
        </w:rPr>
      </w:pPr>
      <w:r>
        <w:rPr>
          <w:vertAlign w:val="superscript"/>
        </w:rPr>
        <w:footnoteRef/>
      </w:r>
      <w:r w:rsidRPr="009333DC">
        <w:rPr>
          <w:lang w:val="sl-SI"/>
        </w:rPr>
        <w:tab/>
      </w:r>
      <w:r w:rsidRPr="00912CBB">
        <w:rPr>
          <w:lang w:val="sl-SI"/>
        </w:rPr>
        <w:t xml:space="preserve">Uredba (EU) št. 1024/2012 Evropskega parlamenta in Sveta z dne 25. oktobra 2012 o upravnem sodelovanju prek informacijskega sistema za notranji trg in razveljavitvi Odločbe Komisije 2008/49/ES (uredba </w:t>
      </w:r>
      <w:proofErr w:type="spellStart"/>
      <w:r w:rsidRPr="00912CBB">
        <w:rPr>
          <w:lang w:val="sl-SI"/>
        </w:rPr>
        <w:t>IMI</w:t>
      </w:r>
      <w:proofErr w:type="spellEnd"/>
      <w:r w:rsidRPr="00912CBB">
        <w:rPr>
          <w:lang w:val="sl-SI"/>
        </w:rPr>
        <w:t>) (UL L 316, 14.11.2012, str. 1).</w:t>
      </w:r>
    </w:p>
  </w:footnote>
  <w:footnote w:id="5">
    <w:p w14:paraId="44140345" w14:textId="77777777" w:rsidR="009333DC" w:rsidRPr="009333DC" w:rsidRDefault="009333DC" w:rsidP="009333DC">
      <w:pPr>
        <w:pStyle w:val="FootnoteTextForceStyle"/>
        <w:rPr>
          <w:lang w:val="sl-SI"/>
        </w:rPr>
      </w:pPr>
      <w:r>
        <w:rPr>
          <w:vertAlign w:val="superscript"/>
        </w:rPr>
        <w:footnoteRef/>
      </w:r>
      <w:r w:rsidRPr="009333DC">
        <w:rPr>
          <w:lang w:val="sl-SI"/>
        </w:rPr>
        <w:tab/>
      </w:r>
      <w:r w:rsidRPr="009333DC">
        <w:rPr>
          <w:lang w:val="sl-SI"/>
        </w:rPr>
        <w:t>Uredba (EU) 2018/1724 Evropskega parlamenta in Sveta z dne 2. oktobra 2018 o vzpostavitvi enotnega digitalnega portala za zagotavljanje dostopa do informacij, do postopkov ter do storitev za pomoč in reševanje težav ter o spremembi Uredbe (EU) št. 1024/2012 (UL L 295, 21.11.2018, str. 1).</w:t>
      </w:r>
    </w:p>
  </w:footnote>
  <w:footnote w:id="6">
    <w:p w14:paraId="4ECE3938" w14:textId="77777777" w:rsidR="009333DC" w:rsidRPr="009333DC" w:rsidRDefault="009333DC" w:rsidP="009333DC">
      <w:pPr>
        <w:pStyle w:val="FootnoteTextForceStyle"/>
        <w:rPr>
          <w:lang w:val="sl-SI"/>
        </w:rPr>
      </w:pPr>
      <w:r>
        <w:rPr>
          <w:vertAlign w:val="superscript"/>
        </w:rPr>
        <w:footnoteRef/>
      </w:r>
      <w:r w:rsidRPr="009333DC">
        <w:rPr>
          <w:lang w:val="sl-SI"/>
        </w:rPr>
        <w:tab/>
      </w:r>
      <w:r w:rsidRPr="009333DC">
        <w:rPr>
          <w:lang w:val="sl-SI"/>
        </w:rPr>
        <w:t>Uredba (EU) 2018/1724 Evropskega parlamenta in Sveta z dne 2. oktobra 2018 o vzpostavitvi enotnega digitalnega portala za zagotavljanje dostopa do informacij, do postopkov ter do storitev za pomoč in reševanje težav ter o spremembi Uredbe (EU) št. 1024/2012 (UL L 295, 21.11.2018, str.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SL"/>
    <w:docVar w:name="dvnumam" w:val="5"/>
    <w:docVar w:name="dvpe" w:val="756.195"/>
    <w:docVar w:name="dvrapporteur" w:val="Poročevalka: "/>
    <w:docVar w:name="dvstar" w:val="***I"/>
    <w:docVar w:name="dvtitre" w:val="Zakonodajna resolucija Evropskega parlamenta z dne xx. marca 2024 o predlogu uredbe Evropskega parlamenta in Sveta o spremembi uredb (EU) št. 1024/2012 in (EU) 2018/1724 glede uporabe informacijskega sistema za notranji trg in enotnega digitalnega vstopnega mesta za namene nekaterih zahtev iz Direktive (EU) .../... Evropskega parlamenta in Sveta o evropskih čezmejnih združenjih (COM(2023)516)(COM(2023)0515 – C9-0327/2023 – 2023/0314(COD))"/>
  </w:docVars>
  <w:rsids>
    <w:rsidRoot w:val="00082065"/>
    <w:rsid w:val="00002272"/>
    <w:rsid w:val="0001095C"/>
    <w:rsid w:val="00064002"/>
    <w:rsid w:val="000677B9"/>
    <w:rsid w:val="00082065"/>
    <w:rsid w:val="000831BA"/>
    <w:rsid w:val="000950DF"/>
    <w:rsid w:val="000A42CC"/>
    <w:rsid w:val="000D2895"/>
    <w:rsid w:val="000E7DD9"/>
    <w:rsid w:val="0010095E"/>
    <w:rsid w:val="00125B37"/>
    <w:rsid w:val="00187494"/>
    <w:rsid w:val="001F32AE"/>
    <w:rsid w:val="002767FF"/>
    <w:rsid w:val="002A1326"/>
    <w:rsid w:val="002B18FE"/>
    <w:rsid w:val="002B5493"/>
    <w:rsid w:val="00343214"/>
    <w:rsid w:val="00361C00"/>
    <w:rsid w:val="0036480A"/>
    <w:rsid w:val="00380330"/>
    <w:rsid w:val="00395FA1"/>
    <w:rsid w:val="003D5E8F"/>
    <w:rsid w:val="003E15D4"/>
    <w:rsid w:val="00411CCE"/>
    <w:rsid w:val="0041666E"/>
    <w:rsid w:val="00421060"/>
    <w:rsid w:val="00471C19"/>
    <w:rsid w:val="004867E3"/>
    <w:rsid w:val="00494A28"/>
    <w:rsid w:val="004C0004"/>
    <w:rsid w:val="004C5D52"/>
    <w:rsid w:val="004E0262"/>
    <w:rsid w:val="0050519A"/>
    <w:rsid w:val="005072A1"/>
    <w:rsid w:val="00514517"/>
    <w:rsid w:val="00521F7D"/>
    <w:rsid w:val="00545827"/>
    <w:rsid w:val="00560270"/>
    <w:rsid w:val="005C2568"/>
    <w:rsid w:val="006037C0"/>
    <w:rsid w:val="006631B6"/>
    <w:rsid w:val="00680577"/>
    <w:rsid w:val="006B30C5"/>
    <w:rsid w:val="006B364D"/>
    <w:rsid w:val="006F74FA"/>
    <w:rsid w:val="00731ADD"/>
    <w:rsid w:val="00734777"/>
    <w:rsid w:val="00747932"/>
    <w:rsid w:val="00751A4A"/>
    <w:rsid w:val="00756632"/>
    <w:rsid w:val="00762C74"/>
    <w:rsid w:val="00786EC0"/>
    <w:rsid w:val="007D1690"/>
    <w:rsid w:val="007E22AD"/>
    <w:rsid w:val="00801A41"/>
    <w:rsid w:val="00817416"/>
    <w:rsid w:val="008254F5"/>
    <w:rsid w:val="00842779"/>
    <w:rsid w:val="00865F67"/>
    <w:rsid w:val="00881A7B"/>
    <w:rsid w:val="008840E5"/>
    <w:rsid w:val="00887B3E"/>
    <w:rsid w:val="008C2AC6"/>
    <w:rsid w:val="008D0A5B"/>
    <w:rsid w:val="00912CBB"/>
    <w:rsid w:val="00930C23"/>
    <w:rsid w:val="0093193B"/>
    <w:rsid w:val="009333DC"/>
    <w:rsid w:val="009509D8"/>
    <w:rsid w:val="00950B64"/>
    <w:rsid w:val="00981893"/>
    <w:rsid w:val="009F0258"/>
    <w:rsid w:val="00A1687D"/>
    <w:rsid w:val="00A43E52"/>
    <w:rsid w:val="00A4678D"/>
    <w:rsid w:val="00A54738"/>
    <w:rsid w:val="00A778C7"/>
    <w:rsid w:val="00AA0CD2"/>
    <w:rsid w:val="00AB441E"/>
    <w:rsid w:val="00AB6293"/>
    <w:rsid w:val="00AE0928"/>
    <w:rsid w:val="00AF3B82"/>
    <w:rsid w:val="00B12E95"/>
    <w:rsid w:val="00B22876"/>
    <w:rsid w:val="00B4495C"/>
    <w:rsid w:val="00B558F0"/>
    <w:rsid w:val="00B81103"/>
    <w:rsid w:val="00BD0FE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4F7"/>
    <w:rsid w:val="00E820A4"/>
    <w:rsid w:val="00EB006A"/>
    <w:rsid w:val="00EB4772"/>
    <w:rsid w:val="00ED169E"/>
    <w:rsid w:val="00ED4235"/>
    <w:rsid w:val="00F04346"/>
    <w:rsid w:val="00F075DC"/>
    <w:rsid w:val="00F11B9D"/>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B90728"/>
  <w15:chartTrackingRefBased/>
  <w15:docId w15:val="{06DD0F22-FC8F-4484-ADBE-4AD51DFA2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D2895"/>
    <w:pPr>
      <w:spacing w:after="120"/>
    </w:pPr>
  </w:style>
  <w:style w:type="paragraph" w:customStyle="1" w:styleId="NormalBold">
    <w:name w:val="NormalBold"/>
    <w:basedOn w:val="Normal"/>
    <w:link w:val="NormalBoldChar"/>
    <w:rsid w:val="000D2895"/>
    <w:rPr>
      <w:b/>
    </w:rPr>
  </w:style>
  <w:style w:type="paragraph" w:customStyle="1" w:styleId="NormalHanging12a">
    <w:name w:val="NormalHanging12a"/>
    <w:basedOn w:val="Normal"/>
    <w:rsid w:val="000D2895"/>
    <w:pPr>
      <w:spacing w:after="240"/>
      <w:ind w:left="567" w:hanging="567"/>
    </w:pPr>
  </w:style>
  <w:style w:type="paragraph" w:customStyle="1" w:styleId="AmNumberTabs">
    <w:name w:val="AmNumberTabs"/>
    <w:basedOn w:val="Normal"/>
    <w:rsid w:val="000D289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0D2895"/>
    <w:pPr>
      <w:spacing w:before="480" w:after="240"/>
    </w:pPr>
  </w:style>
  <w:style w:type="character" w:customStyle="1" w:styleId="Normal6Char">
    <w:name w:val="Normal6 Char"/>
    <w:basedOn w:val="DefaultParagraphFont"/>
    <w:link w:val="Normal6"/>
    <w:locked/>
    <w:rsid w:val="000D2895"/>
    <w:rPr>
      <w:sz w:val="24"/>
      <w:lang w:val="sl-SI"/>
    </w:rPr>
  </w:style>
  <w:style w:type="paragraph" w:customStyle="1" w:styleId="Normal6">
    <w:name w:val="Normal6"/>
    <w:basedOn w:val="Normal"/>
    <w:link w:val="Normal6Char"/>
    <w:rsid w:val="000D2895"/>
    <w:pPr>
      <w:spacing w:after="120"/>
    </w:pPr>
  </w:style>
  <w:style w:type="character" w:customStyle="1" w:styleId="NormalBoldChar">
    <w:name w:val="NormalBold Char"/>
    <w:basedOn w:val="DefaultParagraphFont"/>
    <w:link w:val="NormalBold"/>
    <w:locked/>
    <w:rsid w:val="000D2895"/>
    <w:rPr>
      <w:b/>
      <w:sz w:val="24"/>
      <w:lang w:val="sl-SI"/>
    </w:rPr>
  </w:style>
  <w:style w:type="paragraph" w:customStyle="1" w:styleId="ColumnHeading">
    <w:name w:val="ColumnHeading"/>
    <w:basedOn w:val="Normal"/>
    <w:rsid w:val="000D2895"/>
    <w:pPr>
      <w:spacing w:after="240"/>
      <w:jc w:val="center"/>
    </w:pPr>
    <w:rPr>
      <w:i/>
    </w:rPr>
  </w:style>
  <w:style w:type="character" w:customStyle="1" w:styleId="content">
    <w:name w:val="content"/>
    <w:basedOn w:val="DefaultParagraphFont"/>
    <w:rsid w:val="000D2895"/>
  </w:style>
  <w:style w:type="paragraph" w:customStyle="1" w:styleId="Point1">
    <w:name w:val="Point 1"/>
    <w:basedOn w:val="Normal"/>
    <w:rsid w:val="000D2895"/>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4E0262"/>
    <w:rPr>
      <w:rFonts w:ascii="Segoe UI" w:hAnsi="Segoe UI" w:cs="Segoe UI"/>
      <w:sz w:val="18"/>
      <w:szCs w:val="18"/>
    </w:rPr>
  </w:style>
  <w:style w:type="character" w:customStyle="1" w:styleId="BalloonTextChar">
    <w:name w:val="Balloon Text Char"/>
    <w:basedOn w:val="DefaultParagraphFont"/>
    <w:link w:val="BalloonText"/>
    <w:rsid w:val="004E0262"/>
    <w:rPr>
      <w:rFonts w:ascii="Segoe UI" w:hAnsi="Segoe UI" w:cs="Segoe UI"/>
      <w:sz w:val="18"/>
      <w:szCs w:val="18"/>
      <w:lang w:val="sl-SI"/>
    </w:rPr>
  </w:style>
  <w:style w:type="character" w:styleId="CommentReference">
    <w:name w:val="annotation reference"/>
    <w:basedOn w:val="DefaultParagraphFont"/>
    <w:rsid w:val="004E0262"/>
    <w:rPr>
      <w:sz w:val="16"/>
      <w:szCs w:val="16"/>
    </w:rPr>
  </w:style>
  <w:style w:type="paragraph" w:styleId="CommentText">
    <w:name w:val="annotation text"/>
    <w:basedOn w:val="Normal"/>
    <w:link w:val="CommentTextChar"/>
    <w:rsid w:val="004E0262"/>
    <w:rPr>
      <w:sz w:val="20"/>
    </w:rPr>
  </w:style>
  <w:style w:type="character" w:customStyle="1" w:styleId="CommentTextChar">
    <w:name w:val="Comment Text Char"/>
    <w:basedOn w:val="DefaultParagraphFont"/>
    <w:link w:val="CommentText"/>
    <w:rsid w:val="004E0262"/>
    <w:rPr>
      <w:lang w:val="sl-SI"/>
    </w:rPr>
  </w:style>
  <w:style w:type="paragraph" w:styleId="CommentSubject">
    <w:name w:val="annotation subject"/>
    <w:basedOn w:val="CommentText"/>
    <w:next w:val="CommentText"/>
    <w:link w:val="CommentSubjectChar"/>
    <w:rsid w:val="004E0262"/>
    <w:rPr>
      <w:b/>
      <w:bCs/>
    </w:rPr>
  </w:style>
  <w:style w:type="character" w:customStyle="1" w:styleId="CommentSubjectChar">
    <w:name w:val="Comment Subject Char"/>
    <w:basedOn w:val="CommentTextChar"/>
    <w:link w:val="CommentSubject"/>
    <w:rsid w:val="004E0262"/>
    <w:rPr>
      <w:b/>
      <w:bCs/>
      <w:lang w:val="sl-SI"/>
    </w:rPr>
  </w:style>
  <w:style w:type="character" w:styleId="Hyperlink">
    <w:name w:val="Hyperlink"/>
    <w:basedOn w:val="DefaultParagraphFont"/>
    <w:rsid w:val="004E0262"/>
    <w:rPr>
      <w:color w:val="0563C1" w:themeColor="hyperlink"/>
      <w:u w:val="single"/>
    </w:rPr>
  </w:style>
  <w:style w:type="paragraph" w:customStyle="1" w:styleId="FootnoteTextForceStyle">
    <w:name w:val="Footnote Text ForceStyle"/>
    <w:rsid w:val="009333DC"/>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90D5B-114A-41FB-8D96-165C4E9EB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1862</Words>
  <Characters>11419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2024-11-26T15:53:00Z</dcterms:created>
  <dcterms:modified xsi:type="dcterms:W3CDTF">2024-11-26T15:53:00Z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A9-0006/2024</vt:lpwstr>
  </property>
  <property fmtid="{D5CDD505-2E9C-101B-9397-08002B2CF9AE}" pid="4" name="&lt;Type&gt;">
    <vt:lpwstr>RR</vt:lpwstr>
  </property>
</Properties>
</file>