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3B1" w14:paraId="731EA682" w14:textId="77777777" w:rsidTr="0010095E">
        <w:trPr>
          <w:trHeight w:hRule="exact" w:val="1418"/>
        </w:trPr>
        <w:tc>
          <w:tcPr>
            <w:tcW w:w="6804" w:type="dxa"/>
            <w:shd w:val="clear" w:color="auto" w:fill="auto"/>
            <w:vAlign w:val="center"/>
          </w:tcPr>
          <w:p w14:paraId="60F3FCCA" w14:textId="77777777" w:rsidR="00751A4A" w:rsidRPr="008923B1" w:rsidRDefault="002D035F" w:rsidP="0010095E">
            <w:pPr>
              <w:pStyle w:val="EPName"/>
            </w:pPr>
            <w:r w:rsidRPr="00C702FB">
              <w:t>Europa-Parlamentet</w:t>
            </w:r>
          </w:p>
          <w:p w14:paraId="0B35BDCF" w14:textId="77777777" w:rsidR="00751A4A" w:rsidRPr="008923B1" w:rsidRDefault="00817416" w:rsidP="00756632">
            <w:pPr>
              <w:pStyle w:val="EPTerm"/>
              <w:rPr>
                <w:rStyle w:val="HideTWBExt"/>
                <w:noProof w:val="0"/>
                <w:vanish w:val="0"/>
                <w:color w:val="auto"/>
              </w:rPr>
            </w:pPr>
            <w:r w:rsidRPr="008923B1">
              <w:t>2019-2024</w:t>
            </w:r>
          </w:p>
        </w:tc>
        <w:tc>
          <w:tcPr>
            <w:tcW w:w="2268" w:type="dxa"/>
            <w:shd w:val="clear" w:color="auto" w:fill="auto"/>
          </w:tcPr>
          <w:p w14:paraId="27BF5B4F" w14:textId="77777777" w:rsidR="00751A4A" w:rsidRPr="00C702FB" w:rsidRDefault="00187494" w:rsidP="0010095E">
            <w:pPr>
              <w:pStyle w:val="EPLogo"/>
            </w:pPr>
            <w:r w:rsidRPr="00C702FB">
              <w:rPr>
                <w:noProof/>
                <w:lang w:val="en-GB"/>
              </w:rPr>
              <w:drawing>
                <wp:inline distT="0" distB="0" distL="0" distR="0" wp14:anchorId="6D1354E2" wp14:editId="19AC5C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E6CDFF" w14:textId="77777777" w:rsidR="00D058B8" w:rsidRPr="008923B1" w:rsidRDefault="00D058B8" w:rsidP="004C5D52">
      <w:pPr>
        <w:pStyle w:val="LineTop"/>
      </w:pPr>
    </w:p>
    <w:p w14:paraId="2679AABF" w14:textId="77777777" w:rsidR="00680577" w:rsidRPr="008923B1" w:rsidRDefault="002D035F" w:rsidP="00680577">
      <w:pPr>
        <w:pStyle w:val="EPBodyTA1"/>
      </w:pPr>
      <w:r w:rsidRPr="008923B1">
        <w:t>VEDTAGNE TEKSTER</w:t>
      </w:r>
    </w:p>
    <w:p w14:paraId="249825A6" w14:textId="77777777" w:rsidR="00D058B8" w:rsidRPr="008923B1" w:rsidRDefault="00D058B8" w:rsidP="00D058B8">
      <w:pPr>
        <w:pStyle w:val="LineBottom"/>
      </w:pPr>
    </w:p>
    <w:p w14:paraId="7BE916FC" w14:textId="2BFADE00" w:rsidR="002D035F" w:rsidRPr="00D22D01" w:rsidRDefault="002D035F" w:rsidP="002D035F">
      <w:pPr>
        <w:pStyle w:val="ATHeading1"/>
      </w:pPr>
      <w:bookmarkStart w:id="0" w:name="TANumber"/>
      <w:r w:rsidRPr="00D22D01">
        <w:t>P9_</w:t>
      </w:r>
      <w:proofErr w:type="gramStart"/>
      <w:r w:rsidRPr="00D22D01">
        <w:t>TA(</w:t>
      </w:r>
      <w:proofErr w:type="gramEnd"/>
      <w:r w:rsidRPr="00D22D01">
        <w:t>2024)0</w:t>
      </w:r>
      <w:r w:rsidR="00CE52C8">
        <w:t>143</w:t>
      </w:r>
      <w:bookmarkEnd w:id="0"/>
    </w:p>
    <w:p w14:paraId="3823BEE7" w14:textId="77777777" w:rsidR="002D035F" w:rsidRPr="00D22D01" w:rsidRDefault="002D035F" w:rsidP="002D035F">
      <w:pPr>
        <w:pStyle w:val="ATHeading2"/>
      </w:pPr>
      <w:bookmarkStart w:id="1" w:name="title"/>
      <w:r w:rsidRPr="00D22D01">
        <w:t>Udstedelse af tvangslicens med henblik på krisestyring og ændring af forordning (EF) nr. 816/2006</w:t>
      </w:r>
      <w:bookmarkEnd w:id="1"/>
    </w:p>
    <w:p w14:paraId="4E5F7969" w14:textId="77777777" w:rsidR="002D035F" w:rsidRPr="00C702FB" w:rsidRDefault="002D035F" w:rsidP="002D035F">
      <w:pPr>
        <w:rPr>
          <w:i/>
          <w:vanish/>
        </w:rPr>
      </w:pPr>
      <w:r w:rsidRPr="00C702FB">
        <w:rPr>
          <w:i/>
        </w:rPr>
        <w:fldChar w:fldCharType="begin"/>
      </w:r>
      <w:r w:rsidRPr="00C702FB">
        <w:rPr>
          <w:i/>
        </w:rPr>
        <w:instrText xml:space="preserve"> TC"(</w:instrText>
      </w:r>
      <w:bookmarkStart w:id="2" w:name="DocNumber"/>
      <w:r w:rsidRPr="00C702FB">
        <w:rPr>
          <w:i/>
        </w:rPr>
        <w:instrText>A9-0042/2024</w:instrText>
      </w:r>
      <w:bookmarkEnd w:id="2"/>
      <w:r w:rsidRPr="00C702FB">
        <w:rPr>
          <w:i/>
        </w:rPr>
        <w:instrText xml:space="preserve"> - Ordfører: </w:instrText>
      </w:r>
      <w:proofErr w:type="spellStart"/>
      <w:r w:rsidRPr="00C702FB">
        <w:rPr>
          <w:i/>
        </w:rPr>
        <w:instrText>Adrián</w:instrText>
      </w:r>
      <w:proofErr w:type="spellEnd"/>
      <w:r w:rsidRPr="00C702FB">
        <w:rPr>
          <w:i/>
        </w:rPr>
        <w:instrText xml:space="preserve"> </w:instrText>
      </w:r>
      <w:proofErr w:type="spellStart"/>
      <w:r w:rsidRPr="00C702FB">
        <w:rPr>
          <w:i/>
        </w:rPr>
        <w:instrText>Vázquez</w:instrText>
      </w:r>
      <w:proofErr w:type="spellEnd"/>
      <w:r w:rsidRPr="00C702FB">
        <w:rPr>
          <w:i/>
        </w:rPr>
        <w:instrText xml:space="preserve"> </w:instrText>
      </w:r>
      <w:proofErr w:type="spellStart"/>
      <w:r w:rsidRPr="00C702FB">
        <w:rPr>
          <w:i/>
        </w:rPr>
        <w:instrText>Lázara</w:instrText>
      </w:r>
      <w:proofErr w:type="spellEnd"/>
      <w:r w:rsidRPr="00C702FB">
        <w:rPr>
          <w:i/>
        </w:rPr>
        <w:instrText xml:space="preserve">)"\l3 \n&gt; \* MERGEFORMAT </w:instrText>
      </w:r>
      <w:r w:rsidRPr="00C702FB">
        <w:rPr>
          <w:i/>
        </w:rPr>
        <w:fldChar w:fldCharType="end"/>
      </w:r>
    </w:p>
    <w:p w14:paraId="3FC194A6" w14:textId="77777777" w:rsidR="002D035F" w:rsidRPr="008923B1" w:rsidRDefault="002D035F" w:rsidP="002D035F">
      <w:pPr>
        <w:rPr>
          <w:vanish/>
        </w:rPr>
      </w:pPr>
      <w:bookmarkStart w:id="3" w:name="Commission"/>
      <w:r w:rsidRPr="008923B1">
        <w:rPr>
          <w:vanish/>
        </w:rPr>
        <w:t>Retsudvalget</w:t>
      </w:r>
      <w:bookmarkEnd w:id="3"/>
    </w:p>
    <w:p w14:paraId="0070868A" w14:textId="77777777" w:rsidR="002D035F" w:rsidRPr="008923B1" w:rsidRDefault="002D035F" w:rsidP="002D035F">
      <w:pPr>
        <w:rPr>
          <w:vanish/>
        </w:rPr>
      </w:pPr>
      <w:bookmarkStart w:id="4" w:name="PE"/>
      <w:r w:rsidRPr="008923B1">
        <w:rPr>
          <w:vanish/>
        </w:rPr>
        <w:t>PE753.706</w:t>
      </w:r>
      <w:bookmarkEnd w:id="4"/>
    </w:p>
    <w:p w14:paraId="77E614A0" w14:textId="05AB9361" w:rsidR="002D035F" w:rsidRPr="00D22D01" w:rsidRDefault="002D035F" w:rsidP="002D035F">
      <w:pPr>
        <w:pStyle w:val="ATHeading3"/>
      </w:pPr>
      <w:bookmarkStart w:id="5" w:name="Sujet"/>
      <w:r w:rsidRPr="00D22D01">
        <w:t xml:space="preserve">Europa-Parlamentets lovgivningsmæssige beslutning af </w:t>
      </w:r>
      <w:r w:rsidR="004806A3" w:rsidRPr="00D22D01">
        <w:t>13</w:t>
      </w:r>
      <w:r w:rsidRPr="00D22D01">
        <w:t>. marts 2024 om forslag til Europa-Parlamentets og Rådets forordning om udstedelse af tvangslicens med henblik på krisestyring og om ændring af forordning (EF) nr. 816/2006</w:t>
      </w:r>
      <w:bookmarkEnd w:id="5"/>
      <w:r w:rsidRPr="00D22D01">
        <w:t xml:space="preserve"> </w:t>
      </w:r>
      <w:bookmarkStart w:id="6" w:name="References"/>
      <w:r w:rsidRPr="00D22D01">
        <w:t>(</w:t>
      </w:r>
      <w:proofErr w:type="gramStart"/>
      <w:r w:rsidRPr="00D22D01">
        <w:t>COM(</w:t>
      </w:r>
      <w:proofErr w:type="gramEnd"/>
      <w:r w:rsidRPr="00D22D01">
        <w:t>2023)0224 – C9-0151/2023 – 2023/0129(COD))</w:t>
      </w:r>
      <w:bookmarkEnd w:id="6"/>
    </w:p>
    <w:p w14:paraId="60CEBCA5" w14:textId="77777777" w:rsidR="00F84690" w:rsidRPr="008923B1" w:rsidRDefault="00F84690" w:rsidP="00F84690">
      <w:pPr>
        <w:pStyle w:val="NormalBold"/>
      </w:pPr>
      <w:bookmarkStart w:id="7" w:name="TextBodyBegin"/>
      <w:bookmarkEnd w:id="7"/>
      <w:r w:rsidRPr="008923B1">
        <w:t>(Almindelig lovgivningsprocedure: førstebehandling)</w:t>
      </w:r>
    </w:p>
    <w:p w14:paraId="7627F32F" w14:textId="77777777" w:rsidR="00F84690" w:rsidRPr="00D22D01" w:rsidRDefault="00F84690" w:rsidP="00F84690">
      <w:pPr>
        <w:pStyle w:val="EPComma"/>
      </w:pPr>
      <w:r w:rsidRPr="00D22D01">
        <w:rPr>
          <w:i/>
        </w:rPr>
        <w:t>Europa-Parlamentet</w:t>
      </w:r>
      <w:r w:rsidRPr="00D22D01">
        <w:t>,</w:t>
      </w:r>
    </w:p>
    <w:p w14:paraId="75A94BD4" w14:textId="77777777" w:rsidR="00F84690" w:rsidRPr="00D22D01" w:rsidRDefault="00F84690" w:rsidP="00F84690">
      <w:pPr>
        <w:pStyle w:val="NormalHanging12a"/>
      </w:pPr>
      <w:r w:rsidRPr="00D22D01">
        <w:t>–</w:t>
      </w:r>
      <w:r w:rsidRPr="00D22D01">
        <w:tab/>
        <w:t>der henviser til Kommissionens forslag til Europa-Parlamentet og Rådet (</w:t>
      </w:r>
      <w:proofErr w:type="gramStart"/>
      <w:r w:rsidRPr="00D22D01">
        <w:t>COM(</w:t>
      </w:r>
      <w:proofErr w:type="gramEnd"/>
      <w:r w:rsidRPr="00D22D01">
        <w:t>2023)0224),</w:t>
      </w:r>
    </w:p>
    <w:p w14:paraId="7ACF0AA9" w14:textId="2CD6F257" w:rsidR="00F84690" w:rsidRPr="00D22D01" w:rsidRDefault="00F84690" w:rsidP="00F84690">
      <w:pPr>
        <w:pStyle w:val="NormalHanging12a"/>
      </w:pPr>
      <w:r w:rsidRPr="00D22D01">
        <w:t>–</w:t>
      </w:r>
      <w:r w:rsidRPr="00D22D01">
        <w:tab/>
        <w:t xml:space="preserve">der henviser til artikel 294, stk. 2, </w:t>
      </w:r>
      <w:r w:rsidR="00E6416A" w:rsidRPr="00D22D01">
        <w:t xml:space="preserve">og </w:t>
      </w:r>
      <w:r w:rsidRPr="00D22D01">
        <w:t xml:space="preserve">artikel </w:t>
      </w:r>
      <w:r w:rsidR="00960C49" w:rsidRPr="00D22D01">
        <w:t>114</w:t>
      </w:r>
      <w:r w:rsidRPr="00D22D01">
        <w:t xml:space="preserve"> og </w:t>
      </w:r>
      <w:r w:rsidR="00960C49" w:rsidRPr="00D22D01">
        <w:t>207</w:t>
      </w:r>
      <w:r w:rsidRPr="00D22D01">
        <w:t xml:space="preserve"> i traktaten om Den Europæiske Unions funktionsmåde, på grundlag af hvilke Kommissionen har forelagt forslaget for Parlamentet (C9</w:t>
      </w:r>
      <w:r w:rsidRPr="00D22D01">
        <w:noBreakHyphen/>
        <w:t>0151/2023),</w:t>
      </w:r>
    </w:p>
    <w:p w14:paraId="73D8DEF7" w14:textId="77777777" w:rsidR="00F84690" w:rsidRPr="00D22D01" w:rsidRDefault="00F84690" w:rsidP="00F84690">
      <w:pPr>
        <w:pStyle w:val="NormalHanging12a"/>
      </w:pPr>
      <w:r w:rsidRPr="00D22D01">
        <w:t>–</w:t>
      </w:r>
      <w:r w:rsidRPr="00D22D01">
        <w:tab/>
        <w:t>der henviser til artikel 294, stk. 3, i traktaten om Den Europæiske Unions funktionsmåde,</w:t>
      </w:r>
    </w:p>
    <w:p w14:paraId="61EEA762" w14:textId="77777777" w:rsidR="00F84690" w:rsidRPr="008923B1" w:rsidRDefault="00F84690" w:rsidP="00F84690">
      <w:pPr>
        <w:pStyle w:val="NormalHanging12a"/>
      </w:pPr>
      <w:r w:rsidRPr="00D22D01">
        <w:t>–</w:t>
      </w:r>
      <w:r w:rsidRPr="00D22D01">
        <w:tab/>
        <w:t>der henviser til udtalelse af 27. september 2023 fra Det Europæiske Økonomiske og Sociale Udvalg</w:t>
      </w:r>
      <w:r w:rsidRPr="00C702FB">
        <w:rPr>
          <w:rStyle w:val="FootnoteReference"/>
        </w:rPr>
        <w:footnoteReference w:id="1"/>
      </w:r>
      <w:r w:rsidRPr="00C702FB">
        <w:t xml:space="preserve">, </w:t>
      </w:r>
    </w:p>
    <w:p w14:paraId="1B984BF8" w14:textId="77777777" w:rsidR="00F84690" w:rsidRPr="008923B1" w:rsidRDefault="00F84690" w:rsidP="00F84690">
      <w:pPr>
        <w:pStyle w:val="NormalHanging12a"/>
      </w:pPr>
      <w:r w:rsidRPr="008923B1">
        <w:t>–</w:t>
      </w:r>
      <w:r w:rsidRPr="008923B1">
        <w:tab/>
        <w:t>der henviser til forretningsordenens artikel 59,</w:t>
      </w:r>
    </w:p>
    <w:p w14:paraId="3CA73C1D" w14:textId="77777777" w:rsidR="00F84690" w:rsidRPr="00D22D01" w:rsidRDefault="00F84690" w:rsidP="00F84690">
      <w:pPr>
        <w:pStyle w:val="NormalHanging12a"/>
      </w:pPr>
      <w:r w:rsidRPr="00D22D01">
        <w:t>–</w:t>
      </w:r>
      <w:r w:rsidRPr="00D22D01">
        <w:tab/>
        <w:t>der henviser til udtalelse fra Udvalget om International Handel,</w:t>
      </w:r>
    </w:p>
    <w:p w14:paraId="76BA0843" w14:textId="77777777" w:rsidR="00F84690" w:rsidRPr="00D22D01" w:rsidRDefault="00F84690" w:rsidP="00F84690">
      <w:pPr>
        <w:pStyle w:val="NormalHanging12a"/>
      </w:pPr>
      <w:r w:rsidRPr="00D22D01">
        <w:t>–</w:t>
      </w:r>
      <w:r w:rsidRPr="00D22D01">
        <w:tab/>
        <w:t>der henviser til betænkning fra Retsudvalget (A9</w:t>
      </w:r>
      <w:r w:rsidRPr="00D22D01">
        <w:noBreakHyphen/>
        <w:t>0042/2024),</w:t>
      </w:r>
    </w:p>
    <w:p w14:paraId="59DBE979" w14:textId="77777777" w:rsidR="00F84690" w:rsidRPr="00D22D01" w:rsidRDefault="00F84690" w:rsidP="00F84690">
      <w:pPr>
        <w:pStyle w:val="NormalHanging12a"/>
      </w:pPr>
      <w:r w:rsidRPr="00D22D01">
        <w:t>1.</w:t>
      </w:r>
      <w:r w:rsidRPr="00D22D01">
        <w:tab/>
        <w:t>vedtager nedenstående holdning ved førstebehandling;</w:t>
      </w:r>
    </w:p>
    <w:p w14:paraId="6498BFF7" w14:textId="77777777" w:rsidR="00F84690" w:rsidRPr="00D22D01" w:rsidRDefault="00F84690" w:rsidP="00F84690">
      <w:pPr>
        <w:pStyle w:val="NormalHanging12a"/>
      </w:pPr>
      <w:r w:rsidRPr="00D22D01">
        <w:t>2.</w:t>
      </w:r>
      <w:r w:rsidRPr="00D22D01">
        <w:tab/>
        <w:t>anmoder om fornyet forelæggelse, hvis Kommissionen erstatter, i væsentlig grad ændrer eller agter i væsentlig grad at ændre sit forslag;</w:t>
      </w:r>
    </w:p>
    <w:p w14:paraId="53094DFB" w14:textId="77777777" w:rsidR="00F84690" w:rsidRPr="00D22D01" w:rsidRDefault="00F84690" w:rsidP="00F84690">
      <w:pPr>
        <w:pStyle w:val="NormalHanging12a"/>
      </w:pPr>
      <w:r w:rsidRPr="00D22D01">
        <w:lastRenderedPageBreak/>
        <w:t>3.</w:t>
      </w:r>
      <w:r w:rsidRPr="00D22D01">
        <w:tab/>
        <w:t>pålægger sin formand at sende Parlamentets holdning til Rådet og Kommissionen samt til de nationale parlamenter.</w:t>
      </w:r>
    </w:p>
    <w:p w14:paraId="6C4CAA4A" w14:textId="77777777" w:rsidR="009E74FB" w:rsidRDefault="009E74FB" w:rsidP="00F84690">
      <w:pPr>
        <w:sectPr w:rsidR="009E74FB" w:rsidSect="0022563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FB220E" w14:textId="13520478" w:rsidR="009E74FB" w:rsidRPr="00EF7590" w:rsidRDefault="009E74FB" w:rsidP="00915FE1">
      <w:pPr>
        <w:pStyle w:val="ATHeading3"/>
      </w:pPr>
      <w:r w:rsidRPr="00EF7590">
        <w:lastRenderedPageBreak/>
        <w:t>P9_TC1-</w:t>
      </w:r>
      <w:proofErr w:type="gramStart"/>
      <w:r w:rsidRPr="00EF7590">
        <w:t>COD(</w:t>
      </w:r>
      <w:proofErr w:type="gramEnd"/>
      <w:r w:rsidRPr="00EF7590">
        <w:t>202</w:t>
      </w:r>
      <w:r>
        <w:t>3)0129</w:t>
      </w:r>
    </w:p>
    <w:p w14:paraId="0B562943" w14:textId="71FCFBE2" w:rsidR="009E74FB" w:rsidRPr="00EF7590" w:rsidRDefault="009E74FB" w:rsidP="00915FE1">
      <w:pPr>
        <w:pStyle w:val="Typedudocument"/>
        <w:spacing w:before="240" w:after="240"/>
        <w:jc w:val="left"/>
        <w:rPr>
          <w:noProof/>
        </w:rPr>
      </w:pPr>
      <w:r w:rsidRPr="00EF7590">
        <w:t xml:space="preserve">Europa-Parlamentets holdning fastlagt ved førstebehandlingen den </w:t>
      </w:r>
      <w:r w:rsidRPr="00D22D01">
        <w:t>13. marts</w:t>
      </w:r>
      <w:r w:rsidRPr="00EF7590">
        <w:t xml:space="preserve"> 202</w:t>
      </w:r>
      <w:r>
        <w:t>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Pr="009E74FB">
        <w:rPr>
          <w:szCs w:val="24"/>
        </w:rPr>
        <w:t>udstedelse af tvangslicens med henblik på krisestyring og om ændring af forordning (EF) nr. 816/2006</w:t>
      </w:r>
    </w:p>
    <w:p w14:paraId="21DC8D34" w14:textId="77777777" w:rsidR="009E74FB" w:rsidRPr="009E74FB" w:rsidRDefault="009E74FB" w:rsidP="009E74FB">
      <w:pPr>
        <w:widowControl/>
        <w:spacing w:before="360" w:after="240" w:line="360" w:lineRule="auto"/>
        <w:jc w:val="center"/>
        <w:rPr>
          <w:szCs w:val="24"/>
          <w:lang w:eastAsia="en-US"/>
        </w:rPr>
      </w:pPr>
      <w:r w:rsidRPr="009E74FB">
        <w:rPr>
          <w:szCs w:val="24"/>
          <w:lang w:eastAsia="en-US"/>
        </w:rPr>
        <w:t>(EØS-relevant tekst)</w:t>
      </w:r>
    </w:p>
    <w:p w14:paraId="2521C1A2" w14:textId="77777777" w:rsidR="009E74FB" w:rsidRPr="009E74FB" w:rsidRDefault="009E74FB" w:rsidP="009E74FB">
      <w:pPr>
        <w:keepNext/>
        <w:spacing w:before="600" w:after="120" w:line="360" w:lineRule="auto"/>
        <w:rPr>
          <w:szCs w:val="24"/>
          <w:lang w:eastAsia="en-US"/>
        </w:rPr>
      </w:pPr>
      <w:r w:rsidRPr="009E74FB">
        <w:rPr>
          <w:szCs w:val="24"/>
          <w:lang w:eastAsia="en-US"/>
        </w:rPr>
        <w:t>EUROPA-PARLAMENTET OG RÅDET FOR DEN EUROPÆISKE UNION HAR —</w:t>
      </w:r>
    </w:p>
    <w:p w14:paraId="1B0E311B" w14:textId="77777777" w:rsidR="009E74FB" w:rsidRPr="009E74FB" w:rsidRDefault="009E74FB" w:rsidP="009E74FB">
      <w:pPr>
        <w:spacing w:before="120" w:after="120" w:line="360" w:lineRule="auto"/>
        <w:rPr>
          <w:lang w:eastAsia="en-US"/>
        </w:rPr>
      </w:pPr>
      <w:r w:rsidRPr="009E74FB">
        <w:rPr>
          <w:lang w:eastAsia="en-US"/>
        </w:rPr>
        <w:t>under henvisning til traktaten om Den Europæiske Unions funktionsmåde, særlig artikel 114 og 207,</w:t>
      </w:r>
    </w:p>
    <w:p w14:paraId="0A7E96B4" w14:textId="77777777" w:rsidR="009E74FB" w:rsidRPr="009E74FB" w:rsidRDefault="009E74FB" w:rsidP="009E74FB">
      <w:pPr>
        <w:spacing w:before="120" w:after="120" w:line="360" w:lineRule="auto"/>
        <w:rPr>
          <w:lang w:eastAsia="en-US"/>
        </w:rPr>
      </w:pPr>
      <w:r w:rsidRPr="009E74FB">
        <w:rPr>
          <w:lang w:eastAsia="en-US"/>
        </w:rPr>
        <w:t>under henvisning til forslag fra Kommissionen,</w:t>
      </w:r>
    </w:p>
    <w:p w14:paraId="35682C37" w14:textId="77777777" w:rsidR="009E74FB" w:rsidRPr="009E74FB" w:rsidRDefault="009E74FB" w:rsidP="009E74FB">
      <w:pPr>
        <w:spacing w:before="120" w:after="120" w:line="360" w:lineRule="auto"/>
        <w:rPr>
          <w:lang w:eastAsia="en-US"/>
        </w:rPr>
      </w:pPr>
      <w:r w:rsidRPr="009E74FB">
        <w:rPr>
          <w:lang w:eastAsia="en-US"/>
        </w:rPr>
        <w:t>efter fremsendelse af udkast til lovgivningsmæssig retsakt til de nationale parlamenter,</w:t>
      </w:r>
    </w:p>
    <w:p w14:paraId="787515FD" w14:textId="77777777" w:rsidR="009E74FB" w:rsidRPr="009E74FB" w:rsidRDefault="009E74FB" w:rsidP="009E74FB">
      <w:pPr>
        <w:spacing w:before="120" w:after="120" w:line="360" w:lineRule="auto"/>
        <w:rPr>
          <w:lang w:eastAsia="en-US"/>
        </w:rPr>
      </w:pPr>
      <w:r w:rsidRPr="009E74FB">
        <w:rPr>
          <w:lang w:eastAsia="en-US"/>
        </w:rPr>
        <w:t>under henvisning til udtalelse fra Det Europæiske Økonomiske og Sociale Udvalg</w:t>
      </w:r>
      <w:r w:rsidRPr="009E74FB">
        <w:rPr>
          <w:vertAlign w:val="superscript"/>
          <w:lang w:val="en-GB" w:eastAsia="en-US"/>
        </w:rPr>
        <w:footnoteReference w:id="2"/>
      </w:r>
      <w:r w:rsidRPr="009E74FB">
        <w:rPr>
          <w:lang w:eastAsia="en-US"/>
        </w:rPr>
        <w:t>,</w:t>
      </w:r>
    </w:p>
    <w:p w14:paraId="3ED98D36" w14:textId="77777777" w:rsidR="009E74FB" w:rsidRPr="009E74FB" w:rsidRDefault="009E74FB" w:rsidP="009E74FB">
      <w:pPr>
        <w:spacing w:before="120" w:after="120" w:line="360" w:lineRule="auto"/>
        <w:rPr>
          <w:lang w:eastAsia="en-US"/>
        </w:rPr>
      </w:pPr>
      <w:r w:rsidRPr="009E74FB">
        <w:rPr>
          <w:lang w:eastAsia="en-US"/>
        </w:rPr>
        <w:t>under henvisning til udtalelse fra Regionsudvalget</w:t>
      </w:r>
      <w:r w:rsidRPr="009E74FB">
        <w:rPr>
          <w:vertAlign w:val="superscript"/>
          <w:lang w:val="en-GB" w:eastAsia="en-US"/>
        </w:rPr>
        <w:footnoteReference w:id="3"/>
      </w:r>
      <w:r w:rsidRPr="009E74FB">
        <w:rPr>
          <w:lang w:eastAsia="en-US"/>
        </w:rPr>
        <w:t>,</w:t>
      </w:r>
    </w:p>
    <w:p w14:paraId="3B0B25A9" w14:textId="77777777" w:rsidR="009E74FB" w:rsidRPr="009E74FB" w:rsidRDefault="009E74FB" w:rsidP="009E74FB">
      <w:pPr>
        <w:spacing w:before="120" w:after="120" w:line="360" w:lineRule="auto"/>
        <w:rPr>
          <w:lang w:eastAsia="en-US"/>
        </w:rPr>
      </w:pPr>
      <w:r w:rsidRPr="009E74FB">
        <w:rPr>
          <w:lang w:eastAsia="en-US"/>
        </w:rPr>
        <w:t>efter den almindelige lovgivningsprocedure, og</w:t>
      </w:r>
    </w:p>
    <w:p w14:paraId="7201FB6D" w14:textId="77777777" w:rsidR="008E7550" w:rsidRDefault="008E7550">
      <w:pPr>
        <w:widowControl/>
        <w:rPr>
          <w:lang w:eastAsia="en-US"/>
        </w:rPr>
      </w:pPr>
      <w:r>
        <w:rPr>
          <w:lang w:eastAsia="en-US"/>
        </w:rPr>
        <w:br w:type="page"/>
      </w:r>
    </w:p>
    <w:p w14:paraId="35B0A474" w14:textId="41F1BD8F" w:rsidR="009E74FB" w:rsidRPr="009E74FB" w:rsidRDefault="009E74FB" w:rsidP="009E74FB">
      <w:pPr>
        <w:spacing w:before="120" w:after="120" w:line="360" w:lineRule="auto"/>
        <w:rPr>
          <w:lang w:eastAsia="en-US"/>
        </w:rPr>
      </w:pPr>
      <w:r w:rsidRPr="009E74FB">
        <w:rPr>
          <w:lang w:eastAsia="en-US"/>
        </w:rPr>
        <w:lastRenderedPageBreak/>
        <w:t>ud fra følgende betragtninger:</w:t>
      </w:r>
    </w:p>
    <w:p w14:paraId="54A1CABC" w14:textId="1FE7E12D" w:rsidR="009E74FB" w:rsidRPr="00E05E5E" w:rsidRDefault="009E74FB" w:rsidP="009E74FB">
      <w:pPr>
        <w:spacing w:before="120" w:after="120" w:line="360" w:lineRule="auto"/>
        <w:ind w:left="850" w:hanging="850"/>
        <w:rPr>
          <w:b/>
          <w:szCs w:val="24"/>
          <w:lang w:eastAsia="en-US"/>
        </w:rPr>
      </w:pPr>
      <w:r w:rsidRPr="009E74FB">
        <w:rPr>
          <w:szCs w:val="24"/>
          <w:lang w:eastAsia="en-US"/>
        </w:rPr>
        <w:t>(1)</w:t>
      </w:r>
      <w:r w:rsidRPr="009E74FB">
        <w:rPr>
          <w:szCs w:val="24"/>
          <w:lang w:eastAsia="en-US"/>
        </w:rPr>
        <w:tab/>
        <w:t>Når der indtræffer en krise, skal der træffes ekstraordinære, hurtige</w:t>
      </w:r>
      <w:r w:rsidRPr="009E74FB">
        <w:rPr>
          <w:strike/>
          <w:szCs w:val="24"/>
          <w:lang w:eastAsia="en-US"/>
        </w:rPr>
        <w:t xml:space="preserve"> og</w:t>
      </w:r>
      <w:r w:rsidRPr="009E74FB">
        <w:rPr>
          <w:b/>
          <w:i/>
          <w:szCs w:val="24"/>
          <w:lang w:eastAsia="en-US"/>
        </w:rPr>
        <w:t>,</w:t>
      </w:r>
      <w:r w:rsidRPr="009E74FB">
        <w:rPr>
          <w:szCs w:val="24"/>
          <w:lang w:eastAsia="en-US"/>
        </w:rPr>
        <w:t xml:space="preserve"> passende</w:t>
      </w:r>
      <w:r w:rsidRPr="009E74FB">
        <w:rPr>
          <w:b/>
          <w:i/>
          <w:szCs w:val="24"/>
          <w:lang w:eastAsia="en-US"/>
        </w:rPr>
        <w:t xml:space="preserve"> og forholdsmæssige</w:t>
      </w:r>
      <w:r w:rsidRPr="009E74FB">
        <w:rPr>
          <w:szCs w:val="24"/>
          <w:lang w:eastAsia="en-US"/>
        </w:rPr>
        <w:t xml:space="preserve"> foranstaltninger, der kan tilvejebringe midler til at afhjælpe konsekvenserne af krisen</w:t>
      </w:r>
      <w:r w:rsidRPr="009E74FB">
        <w:rPr>
          <w:b/>
          <w:i/>
          <w:szCs w:val="24"/>
          <w:lang w:eastAsia="en-US"/>
        </w:rPr>
        <w:t xml:space="preserve"> uden unødigt og uforholdsmæssigt at påvirke borgernes rettigheder eller beskyttelsen af virksomhedernes intellektuelle ejendomsrettigheder</w:t>
      </w:r>
      <w:r w:rsidRPr="009E74FB">
        <w:rPr>
          <w:szCs w:val="24"/>
          <w:lang w:eastAsia="en-US"/>
        </w:rPr>
        <w:t>. Det kan i den forbindelse vise sig nødvendigt at anvende patenterede produkter eller metoder til at imødegå konsekvenserne af en krise. Frivillige licensaftaler er normalt tilstrækkelige til at licensere patentrettighederne til disse produkter og give mulighed for, at de leveres på Unionens område. Frivillige aftaler er den mest hensigtsmæssige, hurtige og effektive løsning til at give adgang til at anvende patenterede produkter</w:t>
      </w:r>
      <w:r w:rsidRPr="009E74FB">
        <w:rPr>
          <w:strike/>
          <w:szCs w:val="24"/>
          <w:lang w:eastAsia="en-US"/>
        </w:rPr>
        <w:t>, herunder</w:t>
      </w:r>
      <w:r w:rsidRPr="009E74FB">
        <w:rPr>
          <w:b/>
          <w:i/>
          <w:szCs w:val="24"/>
          <w:lang w:eastAsia="en-US"/>
        </w:rPr>
        <w:t xml:space="preserve"> og øge produktionen</w:t>
      </w:r>
      <w:r w:rsidRPr="009E74FB">
        <w:rPr>
          <w:szCs w:val="24"/>
          <w:lang w:eastAsia="en-US"/>
        </w:rPr>
        <w:t xml:space="preserve"> i krisesituationer. Frivillige aftaler foreligger dog ikke altid eller kun under utilstrækkelige vilkår såsom lange leveringstider. I sådanne tilfælde kan tvangslicenser være en løsning, der kan give adgang til patenterede produkter, som er nødvendige for at afhjælpe konsekvenserne af en krise.</w:t>
      </w:r>
      <w:r w:rsidR="00E05E5E">
        <w:rPr>
          <w:b/>
          <w:szCs w:val="24"/>
          <w:lang w:eastAsia="en-US"/>
        </w:rPr>
        <w:t xml:space="preserve"> [Ændring 1]</w:t>
      </w:r>
    </w:p>
    <w:p w14:paraId="0BE479F4" w14:textId="77777777" w:rsidR="008E7550" w:rsidRDefault="008E7550">
      <w:pPr>
        <w:widowControl/>
        <w:rPr>
          <w:szCs w:val="24"/>
          <w:lang w:eastAsia="en-US"/>
        </w:rPr>
      </w:pPr>
      <w:r>
        <w:rPr>
          <w:szCs w:val="24"/>
          <w:lang w:eastAsia="en-US"/>
        </w:rPr>
        <w:br w:type="page"/>
      </w:r>
    </w:p>
    <w:p w14:paraId="5DEB6AE8" w14:textId="110191AA"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(2)</w:t>
      </w:r>
      <w:r w:rsidRPr="009E74FB">
        <w:rPr>
          <w:szCs w:val="24"/>
          <w:lang w:eastAsia="en-US"/>
        </w:rPr>
        <w:tab/>
      </w:r>
      <w:r w:rsidRPr="009E74FB">
        <w:rPr>
          <w:strike/>
          <w:szCs w:val="24"/>
          <w:lang w:eastAsia="en-US"/>
        </w:rPr>
        <w:t xml:space="preserve">Unionen bør derfor </w:t>
      </w:r>
      <w:r w:rsidRPr="009E74FB">
        <w:rPr>
          <w:szCs w:val="24"/>
          <w:lang w:eastAsia="en-US"/>
        </w:rPr>
        <w:t>I forbindelse med</w:t>
      </w:r>
      <w:r w:rsidRPr="009E74FB">
        <w:rPr>
          <w:strike/>
          <w:szCs w:val="24"/>
          <w:lang w:eastAsia="en-US"/>
        </w:rPr>
        <w:t xml:space="preserve"> sine</w:t>
      </w:r>
      <w:r w:rsidRPr="009E74FB">
        <w:rPr>
          <w:szCs w:val="24"/>
          <w:lang w:eastAsia="en-US"/>
        </w:rPr>
        <w:t xml:space="preserve"> krise- eller nødmekanismer</w:t>
      </w:r>
      <w:r w:rsidRPr="009E74FB">
        <w:rPr>
          <w:b/>
          <w:i/>
          <w:szCs w:val="24"/>
          <w:lang w:eastAsia="en-US"/>
        </w:rPr>
        <w:t>, der har en grænseoverskridende virkning i Unionen, og som involverer to eller flere medlemsstater, bør Unionen derfor</w:t>
      </w:r>
      <w:r w:rsidRPr="009E74FB">
        <w:rPr>
          <w:szCs w:val="24"/>
          <w:lang w:eastAsia="en-US"/>
        </w:rPr>
        <w:t xml:space="preserve"> have mulighed for at forlade sig på tvangslicenser</w:t>
      </w:r>
      <w:r w:rsidRPr="009E74FB">
        <w:rPr>
          <w:b/>
          <w:i/>
          <w:szCs w:val="24"/>
          <w:lang w:eastAsia="en-US"/>
        </w:rPr>
        <w:t xml:space="preserve"> for på passende vis at imødekomme de behov, som offentlighedens interesser kræver</w:t>
      </w:r>
      <w:r w:rsidRPr="009E74FB">
        <w:rPr>
          <w:szCs w:val="24"/>
          <w:lang w:eastAsia="en-US"/>
        </w:rPr>
        <w:t>. Ved aktivering af en krise- eller nødsituationstilstand eller erklærings af en krise eller undtagelsestilstand afhjælpes hindringer for den frie bevægelighed for varer, tjenesteydelser og personer i krisesituationer og mangel på kriserelevante varer og tjenesteydelser. I tilfælde, hvor der ikke kan opnås adgang til kriserelevante produkter og processer, der er beskyttet af et patent, gennem frivilligt samarbejde, kan tvangslicenser bidrage til at fjerne eventuelle patentrelaterede hindringer og dermed sikre levering af de produkter eller tjenester, der er nødvendige for at imødegå en igangværende krise eller nødsituation. Det er derfor vigtigt, at Unionen i forbindelse med de nævnte krisemekanismer kan forlade sig på en effektiv og virkningsfuld ordning for tvangslicenser på EU-plan, som finder ensartet anvendelse i Unionen. Dette vil skabe sikkerhed for et velfungerende indre marked, idet det sikrer forsyningen af og den frie bevægelighed for krisekritiske produkter, der er omfattet af tvangslicenser på det indre marked.</w:t>
      </w:r>
      <w:r w:rsidR="00E05E5E">
        <w:rPr>
          <w:b/>
          <w:szCs w:val="24"/>
          <w:lang w:eastAsia="en-US"/>
        </w:rPr>
        <w:t xml:space="preserve"> [Ændring 2]</w:t>
      </w:r>
    </w:p>
    <w:p w14:paraId="1742A003" w14:textId="77777777" w:rsidR="008E7550" w:rsidRDefault="008E7550">
      <w:pPr>
        <w:widowControl/>
        <w:rPr>
          <w:szCs w:val="24"/>
          <w:lang w:eastAsia="en-US"/>
        </w:rPr>
      </w:pPr>
      <w:r>
        <w:rPr>
          <w:szCs w:val="24"/>
          <w:lang w:eastAsia="en-US"/>
        </w:rPr>
        <w:br w:type="page"/>
      </w:r>
    </w:p>
    <w:p w14:paraId="2B71339A" w14:textId="57273C56"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(3)</w:t>
      </w:r>
      <w:r w:rsidRPr="009E74FB">
        <w:rPr>
          <w:szCs w:val="24"/>
          <w:lang w:eastAsia="en-US"/>
        </w:rPr>
        <w:tab/>
        <w:t>Muligheden for at anvende tvangslicenser i tilfælde af nødsituationer på nationalt plan eller andre særligt hastende omstændigheder er udtrykkeligt fastsat i aftalen om handelsrelaterede intellektuelle ejendomsrettigheder ("TRIPS-aftalen")</w:t>
      </w:r>
      <w:r w:rsidRPr="009E74FB">
        <w:rPr>
          <w:szCs w:val="24"/>
          <w:vertAlign w:val="superscript"/>
          <w:lang w:val="en-GB" w:eastAsia="en-US"/>
        </w:rPr>
        <w:footnoteReference w:id="4"/>
      </w:r>
      <w:r w:rsidRPr="009E74FB">
        <w:rPr>
          <w:szCs w:val="24"/>
          <w:lang w:eastAsia="en-US"/>
        </w:rPr>
        <w:t>.</w:t>
      </w:r>
    </w:p>
    <w:p w14:paraId="30D5754F"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(4)</w:t>
      </w:r>
      <w:r w:rsidRPr="009E74FB">
        <w:rPr>
          <w:szCs w:val="24"/>
          <w:lang w:eastAsia="en-US"/>
        </w:rPr>
        <w:tab/>
        <w:t>Alle medlemsstater har gennemført rammerne for tvangslicenser for patenter i deres nationale lovgivning. De nationale love tillader normalt tvangslicenser, hvis det er i offentlighedens interesse eller i nødstilfælde. Der er imidlertid forskelle mellem medlemsstaterne, hvad angår grundlaget, betingelserne og procedurerne for udstedelse af tvangslicens. Dette udmønter sig i et fragmenteret, suboptimalt og ukoordineret system, der forhindrer Unionen i at forlade sig på tvangslicenser på en effektiv måde i forbindelse med håndteringen af en grænseoverskridende krise.</w:t>
      </w:r>
    </w:p>
    <w:p w14:paraId="381C41E8" w14:textId="77777777" w:rsidR="008E7550" w:rsidRDefault="008E7550">
      <w:pPr>
        <w:widowControl/>
        <w:rPr>
          <w:szCs w:val="24"/>
          <w:lang w:eastAsia="en-US"/>
        </w:rPr>
      </w:pPr>
      <w:r>
        <w:rPr>
          <w:szCs w:val="24"/>
          <w:lang w:eastAsia="en-US"/>
        </w:rPr>
        <w:br w:type="page"/>
      </w:r>
    </w:p>
    <w:p w14:paraId="080233CA" w14:textId="644E9CF5"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(5)</w:t>
      </w:r>
      <w:r w:rsidRPr="009E74FB">
        <w:rPr>
          <w:szCs w:val="24"/>
          <w:lang w:eastAsia="en-US"/>
        </w:rPr>
        <w:tab/>
        <w:t xml:space="preserve">De nationale tvangslicensordninger fungerer kun inden for det nationale område. De er udformet med henblik på at imødekomme befolkningens behov i den udstedende medlemsstat og opfylde denne medlemsstats offentlige interesser. Den begrænsede territoriale rækkevidde af en national tvangslicensordning forstærkes af, at der ikke er nogen konsumption af patentretten for produkter, der er fremstillet under tvangslicens. Tvangslicensordninger er derfor ikke en passende løsning for grænseoverskridende fremstillingsprocesser, og der er således ikke noget fungerende indre marked for produkter, der er fremstillet under en tvangslicens. Udstedelsen af flere nationale tvangslicenser er en stor hindring for grænseoverskridende forsyninger på det indre marked og indebærer desuden en risiko for modsatrettede og usammenhængende beslutninger mellem medlemsstaterne. Den nuværende ramme for tvangslicenser forekommer derfor ikke at være tilstrækkelig til at håndtere realiteterne på det indre marked og dets iboende grænseoverskridende forsyningskæder. Denne suboptimale ramme for tvangslicenser forhindrer Unionen i at forlade sig på et yderligere instrument, når den befinder sig i en krisesituation, </w:t>
      </w:r>
      <w:proofErr w:type="spellStart"/>
      <w:r w:rsidRPr="009E74FB">
        <w:rPr>
          <w:strike/>
          <w:szCs w:val="24"/>
          <w:lang w:eastAsia="en-US"/>
        </w:rPr>
        <w:t>navnlig</w:t>
      </w:r>
      <w:r w:rsidRPr="009E74FB">
        <w:rPr>
          <w:b/>
          <w:i/>
          <w:szCs w:val="24"/>
          <w:lang w:eastAsia="en-US"/>
        </w:rPr>
        <w:t>og</w:t>
      </w:r>
      <w:proofErr w:type="spellEnd"/>
      <w:r w:rsidRPr="009E74FB">
        <w:rPr>
          <w:szCs w:val="24"/>
          <w:lang w:eastAsia="en-US"/>
        </w:rPr>
        <w:t xml:space="preserve"> når der ikke foreligger frivillige aftaler, </w:t>
      </w:r>
      <w:r w:rsidRPr="009E74FB">
        <w:rPr>
          <w:strike/>
          <w:szCs w:val="24"/>
          <w:lang w:eastAsia="en-US"/>
        </w:rPr>
        <w:t xml:space="preserve">eller når sådanne aftaler er </w:t>
      </w:r>
      <w:proofErr w:type="spellStart"/>
      <w:r w:rsidRPr="009E74FB">
        <w:rPr>
          <w:strike/>
          <w:szCs w:val="24"/>
          <w:lang w:eastAsia="en-US"/>
        </w:rPr>
        <w:t>utilstrækkelige</w:t>
      </w:r>
      <w:r w:rsidRPr="009E74FB">
        <w:rPr>
          <w:b/>
          <w:i/>
          <w:szCs w:val="24"/>
          <w:lang w:eastAsia="en-US"/>
        </w:rPr>
        <w:t>og</w:t>
      </w:r>
      <w:proofErr w:type="spellEnd"/>
      <w:r w:rsidRPr="009E74FB">
        <w:rPr>
          <w:b/>
          <w:i/>
          <w:szCs w:val="24"/>
          <w:lang w:eastAsia="en-US"/>
        </w:rPr>
        <w:t xml:space="preserve"> de ikke kan nås inden for fire uger</w:t>
      </w:r>
      <w:r w:rsidRPr="009E74FB">
        <w:rPr>
          <w:szCs w:val="24"/>
          <w:lang w:eastAsia="en-US"/>
        </w:rPr>
        <w:t>. I en tid, hvor Unionen og dens medlemsstater bestræber sig på at forbedre deres modstandsdygtighed over for kriser, er der behov for en optimal tvangslicensordning til krisestyring, der kan udnytte det indre marked fuldt ud og giver medlemsstaterne mulighed for at støtte hinanden i krisesituationer.</w:t>
      </w:r>
      <w:r w:rsidR="00E05E5E">
        <w:rPr>
          <w:b/>
          <w:szCs w:val="24"/>
          <w:lang w:eastAsia="en-US"/>
        </w:rPr>
        <w:t xml:space="preserve"> [Ændring 3]</w:t>
      </w:r>
    </w:p>
    <w:p w14:paraId="7431FA9F" w14:textId="77777777" w:rsidR="008E7550" w:rsidRDefault="008E7550">
      <w:pPr>
        <w:widowControl/>
        <w:rPr>
          <w:szCs w:val="24"/>
          <w:lang w:eastAsia="en-US"/>
        </w:rPr>
      </w:pPr>
      <w:r>
        <w:rPr>
          <w:szCs w:val="24"/>
          <w:lang w:eastAsia="en-US"/>
        </w:rPr>
        <w:br w:type="page"/>
      </w:r>
    </w:p>
    <w:p w14:paraId="578988EC" w14:textId="2F192F22"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(6)</w:t>
      </w:r>
      <w:r w:rsidRPr="009E74FB">
        <w:rPr>
          <w:szCs w:val="24"/>
          <w:lang w:eastAsia="en-US"/>
        </w:rPr>
        <w:tab/>
        <w:t>Det er derfor nødvendigt at indføre en tvangslicens til håndtering af kriser eller nødsituationer på EU-plan. Efter denne ordning bør Kommissionen have beføjelse til at udstede en tvangslicens, der er gyldig i hele Unionen, og som gør det muligt at fremstille og distribuere produkter, der er nødvendige for at afhjælpe en krise eller en nødsituation i Unionen ("EU-tvangslicens").</w:t>
      </w:r>
    </w:p>
    <w:p w14:paraId="5256BCF2" w14:textId="6E042591" w:rsidR="009E74FB" w:rsidRPr="00E05E5E" w:rsidRDefault="009E74FB" w:rsidP="009E74FB">
      <w:pPr>
        <w:spacing w:before="120" w:after="120" w:line="360" w:lineRule="auto"/>
        <w:ind w:left="850" w:hanging="850"/>
        <w:rPr>
          <w:b/>
          <w:szCs w:val="24"/>
          <w:lang w:eastAsia="en-US"/>
        </w:rPr>
      </w:pPr>
      <w:r w:rsidRPr="009E74FB">
        <w:rPr>
          <w:b/>
          <w:i/>
          <w:szCs w:val="24"/>
          <w:lang w:eastAsia="en-US"/>
        </w:rPr>
        <w:t>(6a)</w:t>
      </w:r>
      <w:r w:rsidRPr="009E74FB">
        <w:rPr>
          <w:szCs w:val="24"/>
          <w:lang w:eastAsia="en-US"/>
        </w:rPr>
        <w:tab/>
      </w:r>
      <w:r w:rsidRPr="009E74FB">
        <w:rPr>
          <w:b/>
          <w:i/>
          <w:szCs w:val="24"/>
          <w:lang w:eastAsia="en-US"/>
        </w:rPr>
        <w:t>Kommissionen må kun udstede en EU-tvangslicens for et kriserelevant produkt, når rettighedshaveren, som har fået mulighed for at indlede forhandlinger med en potentiel licenstager, ikke har indgået en aftale inden for fire uger.</w:t>
      </w:r>
      <w:r w:rsidR="00E05E5E">
        <w:rPr>
          <w:b/>
          <w:szCs w:val="24"/>
          <w:lang w:eastAsia="en-US"/>
        </w:rPr>
        <w:t xml:space="preserve"> [Ændring 4]</w:t>
      </w:r>
    </w:p>
    <w:p w14:paraId="16B67AD7" w14:textId="77777777" w:rsidR="008E7550" w:rsidRDefault="008E7550">
      <w:pPr>
        <w:widowControl/>
        <w:rPr>
          <w:szCs w:val="24"/>
          <w:lang w:eastAsia="en-US"/>
        </w:rPr>
      </w:pPr>
      <w:r>
        <w:rPr>
          <w:szCs w:val="24"/>
          <w:lang w:eastAsia="en-US"/>
        </w:rPr>
        <w:br w:type="page"/>
      </w:r>
    </w:p>
    <w:p w14:paraId="649B6960" w14:textId="7F73AEBC"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(7)</w:t>
      </w:r>
      <w:r w:rsidRPr="009E74FB">
        <w:rPr>
          <w:szCs w:val="24"/>
          <w:lang w:eastAsia="en-US"/>
        </w:rPr>
        <w:tab/>
        <w:t>Den Europæiske Union har i de seneste år vedtaget flere krisemekanismer for at forbedre sin modstandsdygtighed over for kriser eller nødsituationer, der påvirker Unionen. De seneste mekanismer omfatter nødinstrumentet for det indre marked (SMEI), der er oprettet ved forordning (EU) XXX/XX [</w:t>
      </w:r>
      <w:proofErr w:type="gramStart"/>
      <w:r w:rsidRPr="009E74FB">
        <w:rPr>
          <w:szCs w:val="24"/>
          <w:lang w:eastAsia="en-US"/>
        </w:rPr>
        <w:t>COM(</w:t>
      </w:r>
      <w:proofErr w:type="gramEnd"/>
      <w:r w:rsidRPr="009E74FB">
        <w:rPr>
          <w:szCs w:val="24"/>
          <w:lang w:eastAsia="en-US"/>
        </w:rPr>
        <w:t>2022)</w:t>
      </w:r>
      <w:r w:rsidR="004A2881">
        <w:rPr>
          <w:szCs w:val="24"/>
          <w:lang w:eastAsia="en-US"/>
        </w:rPr>
        <w:t>0</w:t>
      </w:r>
      <w:r w:rsidRPr="009E74FB">
        <w:rPr>
          <w:szCs w:val="24"/>
          <w:lang w:eastAsia="en-US"/>
        </w:rPr>
        <w:t>459], og forordning (EU) 2022/2371, der giver Kommissionen mulighed for at anerkende en folkesundhedsmæssig krisesituation på EU-plan. Hvis der opstår en folkesundhedsmæssig krisesituation på EU-plan, kan der aktiveres en række foranstaltninger for at sikre forsyningen af kriserelevante medicinske modforanstaltninger i henhold til forordning (EU) 2022/2372. Hvis der opstår en betydelig mangel på halvledere på grund af alvorlige forstyrrelser i forsyningsleddet, kan Kommissionen desuden aktivere en krisefase ved hjælp af gennemførelsesretsakter i henhold til forordning (EU) XXX/XX (mikrochipforordningen) [</w:t>
      </w:r>
      <w:proofErr w:type="gramStart"/>
      <w:r w:rsidRPr="009E74FB">
        <w:rPr>
          <w:szCs w:val="24"/>
          <w:lang w:eastAsia="en-US"/>
        </w:rPr>
        <w:t>COM(</w:t>
      </w:r>
      <w:proofErr w:type="gramEnd"/>
      <w:r w:rsidRPr="009E74FB">
        <w:rPr>
          <w:szCs w:val="24"/>
          <w:lang w:eastAsia="en-US"/>
        </w:rPr>
        <w:t>2022)</w:t>
      </w:r>
      <w:r w:rsidR="004A2881">
        <w:rPr>
          <w:szCs w:val="24"/>
          <w:lang w:eastAsia="en-US"/>
        </w:rPr>
        <w:t>00</w:t>
      </w:r>
      <w:r w:rsidRPr="009E74FB">
        <w:rPr>
          <w:szCs w:val="24"/>
          <w:lang w:eastAsia="en-US"/>
        </w:rPr>
        <w:t>46].</w:t>
      </w:r>
    </w:p>
    <w:p w14:paraId="3B910D91" w14:textId="77777777" w:rsidR="008E7550" w:rsidRDefault="008E7550">
      <w:pPr>
        <w:widowControl/>
        <w:rPr>
          <w:szCs w:val="24"/>
          <w:lang w:eastAsia="en-US"/>
        </w:rPr>
      </w:pPr>
      <w:r>
        <w:rPr>
          <w:szCs w:val="24"/>
          <w:lang w:eastAsia="en-US"/>
        </w:rPr>
        <w:br w:type="page"/>
      </w:r>
    </w:p>
    <w:p w14:paraId="3926836F" w14:textId="719350D6"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(8)</w:t>
      </w:r>
      <w:r w:rsidRPr="009E74FB">
        <w:rPr>
          <w:szCs w:val="24"/>
          <w:lang w:eastAsia="en-US"/>
        </w:rPr>
        <w:tab/>
        <w:t>Disse mekanismer giver mulighed for at aktivere en nødsituations- eller krisetilstand og har til formål at tilvejebringe midler til håndtering af nødsituationer på EU-plan. Ved at give Kommissionen mulighed for at udstede en tvangslicens, når der aktiveres en krise- eller nødsituationstilstand gennem en EU-retsakt, opnås den nødvendige synergi mellem de eksisterende krisemekanismer og en EU-dækkende tvangslicensordning. I sådanne tilfælde afhænger vurderingen af, om der foreligger en krise eller en nødsituation, udelukkende af den EU-retsakt, der ligger til grund for krisemekanismen, og den deri indeholdte krisedefinition. Af hensyn til retssikkerheden bør de krisemekanismer, der kan betegnes som hasteforanstaltninger eller ekstraordinære hasteforanstaltninger på EU-plan, og som kan udløse en EU-tvangslicens, opføres i et bilag til denne forordning.</w:t>
      </w:r>
    </w:p>
    <w:p w14:paraId="158D00F5"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(9)</w:t>
      </w:r>
      <w:r w:rsidRPr="009E74FB">
        <w:rPr>
          <w:szCs w:val="24"/>
          <w:lang w:eastAsia="en-US"/>
        </w:rPr>
        <w:tab/>
        <w:t>For at sikre, at EU-tvangslicensen fungerer optimalt som et krisehåndteringsredskab, bør den kunne udstedes for patenter, brugsmodeller, offentliggjorte patentansøgninger og supplerende beskyttelsescertifikater. EU-tvangslicensen bør gælde for både nationale patenter, europæiske patenter og europæiske patenter med ensartet retsvirkning.</w:t>
      </w:r>
    </w:p>
    <w:p w14:paraId="23983B7E" w14:textId="77777777" w:rsidR="008E7550" w:rsidRDefault="008E7550">
      <w:pPr>
        <w:widowControl/>
        <w:rPr>
          <w:szCs w:val="24"/>
          <w:lang w:eastAsia="en-US"/>
        </w:rPr>
      </w:pPr>
      <w:r>
        <w:rPr>
          <w:szCs w:val="24"/>
          <w:lang w:eastAsia="en-US"/>
        </w:rPr>
        <w:br w:type="page"/>
      </w:r>
    </w:p>
    <w:p w14:paraId="5D6A835B" w14:textId="46C235D6"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(10)</w:t>
      </w:r>
      <w:r w:rsidRPr="009E74FB">
        <w:rPr>
          <w:szCs w:val="24"/>
          <w:lang w:eastAsia="en-US"/>
        </w:rPr>
        <w:tab/>
        <w:t>Systemer med brugsmodeller beskytter nye tekniske opfindelser, der ikke opfylder kravene om patenterbarhed, gennem tildeling af en eneret, der i et begrænset tidsrum kan forhindre andre i at udnytte de beskyttede opfindelser i kommercielt øjemed uden rettighedshavernes samtykke. Definitionen på brugsmodeller varierer fra land til land, og det er ikke alle medlemsstater, der har systemer med brugsmodeller. Brugsmodeller er generelt velegnede til at beskytte opfindelser, der repræsenterer små forbedringer eller tilpasninger af eksisterende produkter, eller som har en kort kommerciel levetid. I lighed med patenter kan brugsmodeller imidlertid beskytte opfindelser, der kan vise sig nødvendige for at afhjælpe en krise, og de bør derfor være omfattet af anvendelsesområdet for EU-tvangslicensen.</w:t>
      </w:r>
    </w:p>
    <w:p w14:paraId="5A3E176B"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(11)</w:t>
      </w:r>
      <w:r w:rsidRPr="009E74FB">
        <w:rPr>
          <w:szCs w:val="24"/>
          <w:lang w:eastAsia="en-US"/>
        </w:rPr>
        <w:tab/>
        <w:t>En EU-tvangslicens til et patent bør udvides til at omfatte det supplerende beskyttelsescertifikat, hvis der ydes en sådan beskyttelse, når patentet udløber i den periode, hvor tvangslicensen gælder. Derved kan en tvangslicens på et patent få virkning for kriserelevante produkter, der ikke længere er beskyttet af et patent, men er beskyttet ved et supplerende beskyttelsescertifikat efter patentets udløb. EU-tvangslicensen bør også gælde for et supplerende beskyttelsescertifikat isoleret set, hvis licensen udstedes efter patentets udløb.</w:t>
      </w:r>
    </w:p>
    <w:p w14:paraId="0620DF1C" w14:textId="77777777" w:rsidR="008E7550" w:rsidRDefault="008E7550">
      <w:pPr>
        <w:widowControl/>
        <w:rPr>
          <w:szCs w:val="24"/>
          <w:lang w:eastAsia="en-US"/>
        </w:rPr>
      </w:pPr>
      <w:r>
        <w:rPr>
          <w:szCs w:val="24"/>
          <w:lang w:eastAsia="en-US"/>
        </w:rPr>
        <w:br w:type="page"/>
      </w:r>
    </w:p>
    <w:p w14:paraId="1B154A27" w14:textId="222F2811"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(12)</w:t>
      </w:r>
      <w:r w:rsidRPr="009E74FB">
        <w:rPr>
          <w:szCs w:val="24"/>
          <w:lang w:eastAsia="en-US"/>
        </w:rPr>
        <w:tab/>
        <w:t>EU-tvangslicensen bør også gælde for offentliggjorte patentansøgninger om nationale patenter og europæiske patenter. Da det kan tage flere år at udstede et patent efter patentansøgningens offentliggørelse, kan det forhindre en effektiv og rettidig kriserespons, hvis EU-tvangslicensen kun omfatter patenter, der allerede er udstedt. I krisesituationer kan løsningerne være baseret på den nyeste teknologi. Visse nationale patentlovgivninger og den europæiske patentkonvention indeholder desuden bestemmelser om beskyttelse af patentansøgere med hensyn til anvendelse af opfindelser uden deres samtykke og tilsvarende mulighed for, at sådanne ansøgere kan give licens til anvendelse af deres patentansøgningsrettigheder. For at sikre, at en EU-tvangslicens på en offentliggjort patentansøgning fortsat har virkning, når patentet er udstedt, bør EU-tvangslicensen til offentliggjorte patentansøgninger udvides til at omfatte det patent, der er udstedt, i det omfang at det kriserelevante produkt stadig er omfattet af patentkravenes anvendelsesområde.</w:t>
      </w:r>
    </w:p>
    <w:p w14:paraId="65A811C5" w14:textId="77777777" w:rsidR="008E7550" w:rsidRDefault="008E7550">
      <w:pPr>
        <w:widowControl/>
        <w:rPr>
          <w:szCs w:val="24"/>
          <w:lang w:eastAsia="en-US"/>
        </w:rPr>
      </w:pPr>
      <w:r>
        <w:rPr>
          <w:szCs w:val="24"/>
          <w:lang w:eastAsia="en-US"/>
        </w:rPr>
        <w:br w:type="page"/>
      </w:r>
    </w:p>
    <w:p w14:paraId="1ACA6B53" w14:textId="361BDADD"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(13)</w:t>
      </w:r>
      <w:r w:rsidRPr="009E74FB">
        <w:rPr>
          <w:szCs w:val="24"/>
          <w:lang w:eastAsia="en-US"/>
        </w:rPr>
        <w:tab/>
        <w:t>Det bør præciseres, at denne forordning ikke berører EU-retten om ophavsret og beslægtede rettigheder, herunder Europa-Parlamentets og Rådets direktiv 96/9/EF</w:t>
      </w:r>
      <w:r w:rsidRPr="009E74FB">
        <w:rPr>
          <w:szCs w:val="24"/>
          <w:vertAlign w:val="superscript"/>
          <w:lang w:val="en-GB" w:eastAsia="en-US"/>
        </w:rPr>
        <w:footnoteReference w:id="5"/>
      </w:r>
      <w:r w:rsidRPr="009E74FB">
        <w:rPr>
          <w:szCs w:val="24"/>
          <w:lang w:eastAsia="en-US"/>
        </w:rPr>
        <w:t>, 2009/24/EF</w:t>
      </w:r>
      <w:r w:rsidRPr="009E74FB">
        <w:rPr>
          <w:szCs w:val="24"/>
          <w:vertAlign w:val="superscript"/>
          <w:lang w:val="en-GB" w:eastAsia="en-US"/>
        </w:rPr>
        <w:footnoteReference w:id="6"/>
      </w:r>
      <w:r w:rsidRPr="009E74FB">
        <w:rPr>
          <w:szCs w:val="24"/>
          <w:lang w:eastAsia="en-US"/>
        </w:rPr>
        <w:t>, 2001/29/EF</w:t>
      </w:r>
      <w:r w:rsidRPr="009E74FB">
        <w:rPr>
          <w:szCs w:val="24"/>
          <w:vertAlign w:val="superscript"/>
          <w:lang w:val="en-GB" w:eastAsia="en-US"/>
        </w:rPr>
        <w:footnoteReference w:id="7"/>
      </w:r>
      <w:r w:rsidRPr="009E74FB">
        <w:rPr>
          <w:szCs w:val="24"/>
          <w:lang w:eastAsia="en-US"/>
        </w:rPr>
        <w:t>, 2004/48/EF</w:t>
      </w:r>
      <w:r w:rsidRPr="009E74FB">
        <w:rPr>
          <w:szCs w:val="24"/>
          <w:vertAlign w:val="superscript"/>
          <w:lang w:val="en-GB" w:eastAsia="en-US"/>
        </w:rPr>
        <w:footnoteReference w:id="8"/>
      </w:r>
      <w:r w:rsidRPr="009E74FB">
        <w:rPr>
          <w:szCs w:val="24"/>
          <w:lang w:eastAsia="en-US"/>
        </w:rPr>
        <w:t xml:space="preserve"> og (EU) 2019/790</w:t>
      </w:r>
      <w:r w:rsidRPr="009E74FB">
        <w:rPr>
          <w:szCs w:val="24"/>
          <w:vertAlign w:val="superscript"/>
          <w:lang w:val="en-GB" w:eastAsia="en-US"/>
        </w:rPr>
        <w:footnoteReference w:id="9"/>
      </w:r>
      <w:r w:rsidRPr="009E74FB">
        <w:rPr>
          <w:szCs w:val="24"/>
          <w:lang w:eastAsia="en-US"/>
        </w:rPr>
        <w:t>, som fastsætter specifikke regler og procedurer, som ikke bør berøres.</w:t>
      </w:r>
    </w:p>
    <w:p w14:paraId="5C72D188" w14:textId="77777777" w:rsidR="008E7550" w:rsidRDefault="008E7550">
      <w:pPr>
        <w:widowControl/>
        <w:rPr>
          <w:szCs w:val="24"/>
          <w:lang w:eastAsia="en-US"/>
        </w:rPr>
      </w:pPr>
      <w:r>
        <w:rPr>
          <w:szCs w:val="24"/>
          <w:lang w:eastAsia="en-US"/>
        </w:rPr>
        <w:br w:type="page"/>
      </w:r>
    </w:p>
    <w:p w14:paraId="6284089F" w14:textId="49934DE7"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(14)</w:t>
      </w:r>
      <w:r w:rsidRPr="009E74FB">
        <w:rPr>
          <w:szCs w:val="24"/>
          <w:lang w:eastAsia="en-US"/>
        </w:rPr>
        <w:tab/>
        <w:t xml:space="preserve">Når der er udstedt en tvangslicens, kan den lovgivningsmæssige databeskyttelse, hvis den stadig er i kraft, forhindre, at tvangslicensen anvendes på effektiv vis, da den hindrer godkendelsen af generiske lægemidler. Dette vil få alvorlige negative konsekvenser for EU-tvangslicenser, der udstedes for at imødegå en krise, da det kan hæmme adgangen til de lægemidler, der er nødvendige for at håndtere krisen. </w:t>
      </w:r>
      <w:r w:rsidRPr="00FA123A">
        <w:rPr>
          <w:szCs w:val="24"/>
          <w:lang w:eastAsia="en-US"/>
        </w:rPr>
        <w:t>EU's</w:t>
      </w:r>
      <w:r w:rsidRPr="009E74FB">
        <w:rPr>
          <w:szCs w:val="24"/>
          <w:lang w:eastAsia="en-US"/>
        </w:rPr>
        <w:t xml:space="preserve"> lægemiddellovgivning (jf. art. 80, stk. 4, i direktiv (EU) XXX/XX [</w:t>
      </w:r>
      <w:proofErr w:type="gramStart"/>
      <w:r w:rsidRPr="009E74FB">
        <w:rPr>
          <w:szCs w:val="24"/>
          <w:lang w:eastAsia="en-US"/>
        </w:rPr>
        <w:t>COM(</w:t>
      </w:r>
      <w:proofErr w:type="gramEnd"/>
      <w:r w:rsidRPr="009E74FB">
        <w:rPr>
          <w:szCs w:val="24"/>
          <w:lang w:eastAsia="en-US"/>
        </w:rPr>
        <w:t>2023)</w:t>
      </w:r>
      <w:r w:rsidR="004A2881">
        <w:rPr>
          <w:szCs w:val="24"/>
          <w:lang w:eastAsia="en-US"/>
        </w:rPr>
        <w:t>0</w:t>
      </w:r>
      <w:r w:rsidRPr="009E74FB">
        <w:rPr>
          <w:szCs w:val="24"/>
          <w:lang w:eastAsia="en-US"/>
        </w:rPr>
        <w:t>192]) fastsætter, at dataeksklusivitet og markedsbeskyttelse kan suspenderes, når der er udstedt en tvangslicens for at imødegå en nødsituation på folkesundhedsområdet. En sådan suspension er kun tilladt i forbindelse med den udstedte tvangslicens og skal være i overensstemmelse med formålene, det territoriale anvendelsesområde, varigheden og genstanden for den udstedte tvangslicens. Suspensionen betyder, at dataeksklusiviteten og markedsbeskyttelsen ikke har nogen virkning over for licenstageren for den pågældende tvangslicens, mens denne licens er i kraft. Når tvangslicensen udløber, får dataeksklusiviteten og markedsbeskyttelsen igen virkning. Suspensionen bør ikke medføre, at den oprindelige varighed af den lovgivningsmæssige databeskyttelse forlænges.</w:t>
      </w:r>
    </w:p>
    <w:p w14:paraId="316027E7" w14:textId="77777777" w:rsidR="008E7550" w:rsidRDefault="008E7550">
      <w:pPr>
        <w:widowControl/>
        <w:rPr>
          <w:szCs w:val="24"/>
          <w:lang w:eastAsia="en-US"/>
        </w:rPr>
      </w:pPr>
      <w:r>
        <w:rPr>
          <w:szCs w:val="24"/>
          <w:lang w:eastAsia="en-US"/>
        </w:rPr>
        <w:br w:type="page"/>
      </w:r>
    </w:p>
    <w:p w14:paraId="7E4BA1D0" w14:textId="6B558466"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(15)</w:t>
      </w:r>
      <w:r w:rsidRPr="009E74FB">
        <w:rPr>
          <w:szCs w:val="24"/>
          <w:lang w:eastAsia="en-US"/>
        </w:rPr>
        <w:tab/>
        <w:t>For at sikre størst mulig sammenhæng med eksisterende krisemekanismer</w:t>
      </w:r>
      <w:r w:rsidRPr="009E74FB">
        <w:rPr>
          <w:b/>
          <w:i/>
          <w:szCs w:val="24"/>
          <w:lang w:eastAsia="en-US"/>
        </w:rPr>
        <w:t xml:space="preserve"> og deres krav, der vedrører offentlighedens interesser,</w:t>
      </w:r>
      <w:r w:rsidRPr="009E74FB">
        <w:rPr>
          <w:szCs w:val="24"/>
          <w:lang w:eastAsia="en-US"/>
        </w:rPr>
        <w:t xml:space="preserve"> og anden EU-lovgivning bør definitionen på et "kriserelevant produkt" være baseret på den definition, der er vedtaget i nødinstrumentet for det indre marked, men bør være mere generel for at omfatte produkter, der er relateret til forskellige former for kriser eller nødsituationer.</w:t>
      </w:r>
      <w:r w:rsidR="00E05E5E">
        <w:rPr>
          <w:b/>
          <w:szCs w:val="24"/>
          <w:lang w:eastAsia="en-US"/>
        </w:rPr>
        <w:t xml:space="preserve"> [Ændring 5]</w:t>
      </w:r>
    </w:p>
    <w:p w14:paraId="5CC1332C" w14:textId="77777777" w:rsidR="008E7550" w:rsidRDefault="008E7550">
      <w:pPr>
        <w:widowControl/>
        <w:rPr>
          <w:szCs w:val="24"/>
          <w:lang w:eastAsia="en-US"/>
        </w:rPr>
      </w:pPr>
      <w:r>
        <w:rPr>
          <w:szCs w:val="24"/>
          <w:lang w:eastAsia="en-US"/>
        </w:rPr>
        <w:br w:type="page"/>
      </w:r>
    </w:p>
    <w:p w14:paraId="368B918A" w14:textId="7BAB515B"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(16)</w:t>
      </w:r>
      <w:r w:rsidRPr="009E74FB">
        <w:rPr>
          <w:szCs w:val="24"/>
          <w:lang w:eastAsia="en-US"/>
        </w:rPr>
        <w:tab/>
        <w:t>En EU-tvangslicens tillader anvendelse af en beskyttet opfindelse uden rettighedshaverens samtykke. Den skal derfor kun indrømmes undtagelsesvis</w:t>
      </w:r>
      <w:r w:rsidRPr="009E74FB">
        <w:rPr>
          <w:b/>
          <w:i/>
          <w:szCs w:val="24"/>
          <w:lang w:eastAsia="en-US"/>
        </w:rPr>
        <w:t xml:space="preserve"> med henblik på at beskytte offentlighedens interesser som en sidste udvej</w:t>
      </w:r>
      <w:r w:rsidRPr="009E74FB">
        <w:rPr>
          <w:szCs w:val="24"/>
          <w:lang w:eastAsia="en-US"/>
        </w:rPr>
        <w:t xml:space="preserve"> og på betingelser, der tager hensyn til rettighedshaverens interesser. Dette omfatter en klar fastlæggelse af licensens omfang, varighed og territoriale dækning</w:t>
      </w:r>
      <w:r w:rsidRPr="009E74FB">
        <w:rPr>
          <w:b/>
          <w:i/>
          <w:szCs w:val="24"/>
          <w:lang w:eastAsia="en-US"/>
        </w:rPr>
        <w:t>, der er strengt i overensstemmelse med krisens varighed og det formål, som tvangslicensen blev tildelt til</w:t>
      </w:r>
      <w:r w:rsidRPr="009E74FB">
        <w:rPr>
          <w:szCs w:val="24"/>
          <w:lang w:eastAsia="en-US"/>
        </w:rPr>
        <w:t>. I forbindelse med en krisemekanisme på EU-plan aktiveres eller erklæres krisetilstanden eller nødsituationstilstanden for en begrænset periode. Hvis en EU-tvangslicens udstedes inden for disse rammer, må licensens gyldighedsperiode ikke overstige varigheden af den aktiverede eller erklærede krise- eller nødsituationstilstand</w:t>
      </w:r>
      <w:r w:rsidRPr="009E74FB">
        <w:rPr>
          <w:b/>
          <w:i/>
          <w:szCs w:val="24"/>
          <w:lang w:eastAsia="en-US"/>
        </w:rPr>
        <w:t xml:space="preserve"> og bør i princippet ikke overstige 12 måneder, medmindre en fornyelse er nødvendig på grund af den fortsatte eksistens af de omstændigheder, der førte til udstedelsen af licensen</w:t>
      </w:r>
      <w:r w:rsidRPr="009E74FB">
        <w:rPr>
          <w:szCs w:val="24"/>
          <w:lang w:eastAsia="en-US"/>
        </w:rPr>
        <w:t>. For at sikre, at tvangslicensen opfylder sit formål og sine betingelser, bør udnyttelsen af opfindelsen kun være tilladt for en kvalificeret person, der er i stand til at fremstille det kriserelevante produkt og betale et rimeligt vederlag til rettighedshaveren.</w:t>
      </w:r>
      <w:r w:rsidR="00E05E5E">
        <w:rPr>
          <w:b/>
          <w:szCs w:val="24"/>
          <w:lang w:eastAsia="en-US"/>
        </w:rPr>
        <w:t xml:space="preserve"> [Ændring 6]</w:t>
      </w:r>
    </w:p>
    <w:p w14:paraId="57888641" w14:textId="77777777" w:rsidR="008E7550" w:rsidRDefault="008E7550">
      <w:pPr>
        <w:widowControl/>
        <w:rPr>
          <w:szCs w:val="24"/>
          <w:lang w:eastAsia="en-US"/>
        </w:rPr>
      </w:pPr>
      <w:r>
        <w:rPr>
          <w:szCs w:val="24"/>
          <w:lang w:eastAsia="en-US"/>
        </w:rPr>
        <w:br w:type="page"/>
      </w:r>
    </w:p>
    <w:p w14:paraId="235B210B" w14:textId="7AD4FA05"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(17)</w:t>
      </w:r>
      <w:r w:rsidRPr="009E74FB">
        <w:rPr>
          <w:szCs w:val="24"/>
          <w:lang w:eastAsia="en-US"/>
        </w:rPr>
        <w:tab/>
        <w:t>Når Kommissionen påtænker at udstede en EU-tvangslicens, bør den for at kunne træffe en velinformeret afgørelse bistås af et rådgivende organ. Høringen af det rådgivende organ bør finde sted tidligt i drøftelserne om behovet for at udstede en tvangslicens i henhold til det relevante instrument. Drøftelserne om, hvorvidt der er behov for en EU-tvangslicens, indledes ofte i forbindelse med arbejdet i det rådgivende organ, der er involveret i de relevante EU-krise- eller nødmekanismer. I sådanne tilfælde behøver Kommissionen ikke indkalde det rådgivende organ, men bør blot straks angive, at dette organ også har kompetence til at vurdere behovet for tvangslicenser på EU-plan og betingelserne herfor. Der bør foretages en præcisering af det rådgivende organs kompetence tidligt i processen, lige så snart Kommissionen giver udtryk for konkrete overvejelser om at anvende tvangslicenser på EU-plan.</w:t>
      </w:r>
    </w:p>
    <w:p w14:paraId="4D6EB2B5" w14:textId="77777777" w:rsidR="008E7550" w:rsidRDefault="008E7550">
      <w:pPr>
        <w:widowControl/>
        <w:rPr>
          <w:szCs w:val="24"/>
          <w:lang w:eastAsia="en-US"/>
        </w:rPr>
      </w:pPr>
      <w:r>
        <w:rPr>
          <w:szCs w:val="24"/>
          <w:lang w:eastAsia="en-US"/>
        </w:rPr>
        <w:br w:type="page"/>
      </w:r>
    </w:p>
    <w:p w14:paraId="7A0F6887" w14:textId="7F3F17D9"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(18)</w:t>
      </w:r>
      <w:r w:rsidRPr="009E74FB">
        <w:rPr>
          <w:szCs w:val="24"/>
          <w:lang w:eastAsia="en-US"/>
        </w:rPr>
        <w:tab/>
        <w:t>Formålet med at inddrage et rådgivende organ er at opnå en omfattende, grundig og konkret vurdering af situationen under hensyntagen til de konkrete omstændigheder i hver enkelt situation. Det er derfor vigtigt, at det rådgivende organ har den rette sammensætning og ekspertise og de nødvendige procedurer til at bistå Kommissionen, når den træffer afgørelse om, hvorvidt der skal udstedes en EU-tvangslicens, og på hvilke betingelser. Unionens krisemekanismer omfatter normalt et rådgivende organ, der oprettes for at sikre koordinering af Kommissionens og de relevante organers og agenturers samt Rådets og medlemsstaternes indsats. Der nedsættes således en rådgivende gruppe under nødinstrumentet for det indre marked. Forordning (EU) 2022/2371 indeholder bestemmelser om et sundhedskriseudvalg, og i henhold til forordning (EU) XXX/XX (mikrochipforordningen) [</w:t>
      </w:r>
      <w:proofErr w:type="gramStart"/>
      <w:r w:rsidRPr="009E74FB">
        <w:rPr>
          <w:szCs w:val="24"/>
          <w:lang w:eastAsia="en-US"/>
        </w:rPr>
        <w:t>COM(</w:t>
      </w:r>
      <w:proofErr w:type="gramEnd"/>
      <w:r w:rsidRPr="009E74FB">
        <w:rPr>
          <w:szCs w:val="24"/>
          <w:lang w:eastAsia="en-US"/>
        </w:rPr>
        <w:t>2022)</w:t>
      </w:r>
      <w:r w:rsidR="004A2881">
        <w:rPr>
          <w:szCs w:val="24"/>
          <w:lang w:eastAsia="en-US"/>
        </w:rPr>
        <w:t>00</w:t>
      </w:r>
      <w:r w:rsidRPr="009E74FB">
        <w:rPr>
          <w:szCs w:val="24"/>
          <w:lang w:eastAsia="en-US"/>
        </w:rPr>
        <w:t xml:space="preserve">46] støtter Kommissionen sig til halvlederrådet. Disse rådgivende organer har den rette sammensætning og ekspertise og de nødvendige procedurer til at afhjælpe de kriser og nødsituationer, som de er oprettet til. Når der drøftes tvangslicenser i forbindelse med et sådant kriseinstrument, giver anvendelsen af det rådgivende organ, der er oprettet for det specifikke instrument, Kommissionen mulighed for at modtage passende rådgivning og undgå overlapning mellem rådgivende organer, der fører til uoverensstemmelser mellem processerne. De kompetente rådgivende organer </w:t>
      </w:r>
      <w:r w:rsidRPr="009E74FB">
        <w:rPr>
          <w:b/>
          <w:i/>
          <w:szCs w:val="24"/>
          <w:lang w:eastAsia="en-US"/>
        </w:rPr>
        <w:t xml:space="preserve">bør </w:t>
      </w:r>
      <w:r w:rsidRPr="009E74FB">
        <w:rPr>
          <w:szCs w:val="24"/>
          <w:lang w:eastAsia="en-US"/>
        </w:rPr>
        <w:t xml:space="preserve">anføres sammen med de tilsvarende krisemekanismer i et bilag til denne forordning. </w:t>
      </w:r>
      <w:r w:rsidRPr="009E74FB">
        <w:rPr>
          <w:b/>
          <w:i/>
          <w:szCs w:val="24"/>
          <w:lang w:eastAsia="en-US"/>
        </w:rPr>
        <w:t xml:space="preserve">Kommissionen bør sikre, at repræsentanter for andre kriserelevante organer på EU-plan deltager i og inviteres som observatører til de relevante møder i det rådgivende organ for at sikre sammenhæng med de foranstaltninger, der gennemføres gennem andre EU-mekanismer. Det er vigtigt, at Kommissionen altid inviterer nationale repræsentanter fra alle nationale myndigheder med ansvar for udstedelse af tvangslicenser i henhold til deres nationale patentlovgivning som observatører. </w:t>
      </w:r>
      <w:r w:rsidRPr="009E74FB">
        <w:rPr>
          <w:szCs w:val="24"/>
          <w:lang w:eastAsia="en-US"/>
        </w:rPr>
        <w:t xml:space="preserve">Hvis EU-krisemekanismen ikke indeholder bestemmelser om et rådgivende organ, bør </w:t>
      </w:r>
      <w:r w:rsidRPr="009E74FB">
        <w:rPr>
          <w:strike/>
          <w:szCs w:val="24"/>
          <w:lang w:eastAsia="en-US"/>
        </w:rPr>
        <w:t>Kommissionen oprette et rådgivende ad hoc-organ for udstedelse af EU-tvangslicenser ("</w:t>
      </w:r>
      <w:r w:rsidRPr="009E74FB">
        <w:rPr>
          <w:szCs w:val="24"/>
          <w:lang w:eastAsia="en-US"/>
        </w:rPr>
        <w:t xml:space="preserve">det rådgivende </w:t>
      </w:r>
      <w:r w:rsidRPr="009E74FB">
        <w:rPr>
          <w:b/>
          <w:i/>
          <w:szCs w:val="24"/>
          <w:lang w:eastAsia="en-US"/>
        </w:rPr>
        <w:t xml:space="preserve">organ nedsættes på ad hoc-basis af Kommissionen og bør bestå af repræsentanter for de institutioner og organer i medlemsstaterne, der udøver kompetencen til at udstede nationale tvangslicenser i henhold til national </w:t>
      </w:r>
      <w:proofErr w:type="spellStart"/>
      <w:r w:rsidRPr="009E74FB">
        <w:rPr>
          <w:b/>
          <w:i/>
          <w:szCs w:val="24"/>
          <w:lang w:eastAsia="en-US"/>
        </w:rPr>
        <w:t>ret</w:t>
      </w:r>
      <w:r w:rsidRPr="009E74FB">
        <w:rPr>
          <w:strike/>
          <w:szCs w:val="24"/>
          <w:lang w:eastAsia="en-US"/>
        </w:rPr>
        <w:t>ad</w:t>
      </w:r>
      <w:proofErr w:type="spellEnd"/>
      <w:r w:rsidRPr="009E74FB">
        <w:rPr>
          <w:strike/>
          <w:szCs w:val="24"/>
          <w:lang w:eastAsia="en-US"/>
        </w:rPr>
        <w:t xml:space="preserve"> hoc-organ")</w:t>
      </w:r>
      <w:r w:rsidRPr="009E74FB">
        <w:rPr>
          <w:szCs w:val="24"/>
          <w:lang w:eastAsia="en-US"/>
        </w:rPr>
        <w:t>.</w:t>
      </w:r>
      <w:r w:rsidR="00E05E5E">
        <w:rPr>
          <w:b/>
          <w:szCs w:val="24"/>
          <w:lang w:eastAsia="en-US"/>
        </w:rPr>
        <w:t xml:space="preserve"> [Ændring 7]</w:t>
      </w:r>
    </w:p>
    <w:p w14:paraId="3AA81341" w14:textId="77777777" w:rsidR="008E7550" w:rsidRDefault="008E7550">
      <w:pPr>
        <w:widowControl/>
        <w:rPr>
          <w:szCs w:val="24"/>
          <w:lang w:eastAsia="en-US"/>
        </w:rPr>
      </w:pPr>
      <w:r>
        <w:rPr>
          <w:szCs w:val="24"/>
          <w:lang w:eastAsia="en-US"/>
        </w:rPr>
        <w:br w:type="page"/>
      </w:r>
    </w:p>
    <w:p w14:paraId="3C29F276" w14:textId="04451C75"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(19)</w:t>
      </w:r>
      <w:r w:rsidRPr="009E74FB">
        <w:rPr>
          <w:szCs w:val="24"/>
          <w:lang w:eastAsia="en-US"/>
        </w:rPr>
        <w:tab/>
        <w:t xml:space="preserve">Det rådgivende organ har til opgave at rådgive Kommissionen, når der opstår spørgsmål om behovet for at forlade sig på tvangslicenser på EU-plan. Det bør afgive en ikkebindende udtalelse til Kommissionen. Organets vigtigste opgaver er at bistå Kommissionen med at fastslå nødvendigheden af at anvende tvangslicenser på EU-plan og fastlægge betingelserne for udstedelsen af sådanne licenser. Når det rådgivende organ allerede er oprettet, bør dets eksisterende forretningsorden finde anvendelse. For så vidt angår rådgivende ad hoc-organer bør de bestå af </w:t>
      </w:r>
      <w:r w:rsidRPr="009E74FB">
        <w:rPr>
          <w:strike/>
          <w:szCs w:val="24"/>
          <w:lang w:eastAsia="en-US"/>
        </w:rPr>
        <w:t xml:space="preserve">en repræsentant for hver </w:t>
      </w:r>
      <w:proofErr w:type="spellStart"/>
      <w:r w:rsidRPr="009E74FB">
        <w:rPr>
          <w:strike/>
          <w:szCs w:val="24"/>
          <w:lang w:eastAsia="en-US"/>
        </w:rPr>
        <w:t>medlemsstat</w:t>
      </w:r>
      <w:r w:rsidRPr="009E74FB">
        <w:rPr>
          <w:b/>
          <w:i/>
          <w:szCs w:val="24"/>
          <w:lang w:eastAsia="en-US"/>
        </w:rPr>
        <w:t>repræsentanter</w:t>
      </w:r>
      <w:proofErr w:type="spellEnd"/>
      <w:r w:rsidRPr="009E74FB">
        <w:rPr>
          <w:b/>
          <w:i/>
          <w:szCs w:val="24"/>
          <w:lang w:eastAsia="en-US"/>
        </w:rPr>
        <w:t xml:space="preserve"> for nationale kompetente myndigheder</w:t>
      </w:r>
      <w:r w:rsidRPr="009E74FB">
        <w:rPr>
          <w:szCs w:val="24"/>
          <w:lang w:eastAsia="en-US"/>
        </w:rPr>
        <w:t xml:space="preserve">, så Kommissionen kan få oplysninger og input om situationen på nationalt plan, herunder oplysninger om produktionskapacitet, potentielle </w:t>
      </w:r>
      <w:proofErr w:type="spellStart"/>
      <w:r w:rsidRPr="009E74FB">
        <w:rPr>
          <w:szCs w:val="24"/>
          <w:lang w:eastAsia="en-US"/>
        </w:rPr>
        <w:t>licenstagere</w:t>
      </w:r>
      <w:proofErr w:type="spellEnd"/>
      <w:r w:rsidRPr="009E74FB">
        <w:rPr>
          <w:szCs w:val="24"/>
          <w:lang w:eastAsia="en-US"/>
        </w:rPr>
        <w:t xml:space="preserve"> og, hvis det er relevant, forslag til frivillige løsninger. Det rådgivende organ bør desuden have til opgave at indsamle og analysere relevante data og sikre sammenhæng og samarbejde med andre relevante organer på EU-plan og nationalt plan for at sikre en passende, koordineret og sammenhængende kriserespons på EU-plan.</w:t>
      </w:r>
      <w:r w:rsidR="00E05E5E">
        <w:rPr>
          <w:b/>
          <w:szCs w:val="24"/>
          <w:lang w:eastAsia="en-US"/>
        </w:rPr>
        <w:t xml:space="preserve"> [Ændring 8]</w:t>
      </w:r>
    </w:p>
    <w:p w14:paraId="1C79084D" w14:textId="77777777" w:rsidR="008E7550" w:rsidRDefault="008E7550">
      <w:pPr>
        <w:widowControl/>
        <w:rPr>
          <w:szCs w:val="24"/>
          <w:lang w:eastAsia="en-US"/>
        </w:rPr>
      </w:pPr>
      <w:r>
        <w:rPr>
          <w:szCs w:val="24"/>
          <w:lang w:eastAsia="en-US"/>
        </w:rPr>
        <w:br w:type="page"/>
      </w:r>
    </w:p>
    <w:p w14:paraId="3047769B" w14:textId="66745604"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(20)</w:t>
      </w:r>
      <w:r w:rsidRPr="009E74FB">
        <w:rPr>
          <w:szCs w:val="24"/>
          <w:lang w:eastAsia="en-US"/>
        </w:rPr>
        <w:tab/>
        <w:t xml:space="preserve">Kommissionen bør udstede EU-tvangslicensen i lyset af det rådgivende organs ikkebindende udtalelse. Personer, navnlig licenstageren og rettighedshaveren, hvis interesser kan blive berørt af EU-tvangslicensen, bør have mulighed for at fremsætte </w:t>
      </w:r>
      <w:r w:rsidRPr="009E74FB">
        <w:rPr>
          <w:b/>
          <w:i/>
          <w:szCs w:val="24"/>
          <w:lang w:eastAsia="en-US"/>
        </w:rPr>
        <w:t xml:space="preserve">deres </w:t>
      </w:r>
      <w:r w:rsidRPr="009E74FB">
        <w:rPr>
          <w:szCs w:val="24"/>
          <w:lang w:eastAsia="en-US"/>
        </w:rPr>
        <w:t>bemærkninger</w:t>
      </w:r>
      <w:r w:rsidRPr="009E74FB">
        <w:rPr>
          <w:b/>
          <w:i/>
          <w:szCs w:val="24"/>
          <w:lang w:eastAsia="en-US"/>
        </w:rPr>
        <w:t xml:space="preserve"> inden for en rimelig tidsfrist til det rådgivende organ, når de har modtaget de sagsakter og analyser, der forelægges for eller foretages af det rådgivende organ, og de bør have alle andre relevante oplysninger, som de har brug for med henblik på deres vurdering af de potentielle konsekvenser af en foreslået EU-tvangslicens for deres intellektuelle ejendomsrettigheder</w:t>
      </w:r>
      <w:r w:rsidRPr="009E74FB">
        <w:rPr>
          <w:szCs w:val="24"/>
          <w:lang w:eastAsia="en-US"/>
        </w:rPr>
        <w:t>. Disse elementer bør sætte Kommissionen i stand til at vurdere de konkrete omstændigheder og på dette grundlag fastlægge passende betingelser for licensen, herunder et passende vederlag, som licenstageren skal betale til rettighedshaveren. For at undgå overproduktion af produkter, der fremstilles i henhold til en EU-tvangslicens, bør Kommissionen også tage hensyn til eventuelle eksisterende tvangslicenser på nationalt plan.</w:t>
      </w:r>
      <w:r w:rsidR="00E05E5E">
        <w:rPr>
          <w:b/>
          <w:szCs w:val="24"/>
          <w:lang w:eastAsia="en-US"/>
        </w:rPr>
        <w:t xml:space="preserve"> [Ændring 9]</w:t>
      </w:r>
    </w:p>
    <w:p w14:paraId="3A063D28" w14:textId="77777777" w:rsidR="008E7550" w:rsidRDefault="008E7550">
      <w:pPr>
        <w:widowControl/>
        <w:rPr>
          <w:szCs w:val="24"/>
          <w:lang w:eastAsia="en-US"/>
        </w:rPr>
      </w:pPr>
      <w:r>
        <w:rPr>
          <w:szCs w:val="24"/>
          <w:lang w:eastAsia="en-US"/>
        </w:rPr>
        <w:br w:type="page"/>
      </w:r>
    </w:p>
    <w:p w14:paraId="409DD4B3" w14:textId="1684393E"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(21)</w:t>
      </w:r>
      <w:r w:rsidRPr="009E74FB">
        <w:rPr>
          <w:szCs w:val="24"/>
          <w:lang w:eastAsia="en-US"/>
        </w:rPr>
        <w:tab/>
        <w:t>Kommissionen bør garantere, at rettighedshaveren har ret til at blive hørt, inden EU-tvangslicensen vedtages. Kommissionen bør derfor,</w:t>
      </w:r>
      <w:r w:rsidRPr="009E74FB">
        <w:rPr>
          <w:strike/>
          <w:szCs w:val="24"/>
          <w:lang w:eastAsia="en-US"/>
        </w:rPr>
        <w:t xml:space="preserve"> om muligt</w:t>
      </w:r>
      <w:r w:rsidRPr="009E74FB">
        <w:rPr>
          <w:szCs w:val="24"/>
          <w:lang w:eastAsia="en-US"/>
        </w:rPr>
        <w:t xml:space="preserve"> på individuel basis, uden unødig forsinkelse underrette den berørte rettighedshaver om, at der muligvis vil blive udstedt en EU-tvangslicens. Det bør være muligt at inddrage rettighedshaveren, når drøftelserne om udstedelse af en EU-tvangslicens i det relevante rådgivende organ befinder sig i en fremskreden fase.</w:t>
      </w:r>
      <w:r w:rsidR="00E05E5E">
        <w:rPr>
          <w:b/>
          <w:szCs w:val="24"/>
          <w:lang w:eastAsia="en-US"/>
        </w:rPr>
        <w:t xml:space="preserve"> [Ændring 10]</w:t>
      </w:r>
    </w:p>
    <w:p w14:paraId="6FDE7E11" w14:textId="77777777" w:rsidR="00EC5167" w:rsidRDefault="00EC5167">
      <w:pPr>
        <w:widowControl/>
        <w:rPr>
          <w:szCs w:val="24"/>
          <w:lang w:eastAsia="en-US"/>
        </w:rPr>
      </w:pPr>
      <w:r>
        <w:rPr>
          <w:szCs w:val="24"/>
          <w:lang w:eastAsia="en-US"/>
        </w:rPr>
        <w:br w:type="page"/>
      </w:r>
    </w:p>
    <w:p w14:paraId="01F5C04E" w14:textId="4878E588"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(22)</w:t>
      </w:r>
      <w:r w:rsidRPr="009E74FB">
        <w:rPr>
          <w:szCs w:val="24"/>
          <w:lang w:eastAsia="en-US"/>
        </w:rPr>
        <w:tab/>
      </w:r>
      <w:proofErr w:type="spellStart"/>
      <w:r w:rsidRPr="009E74FB">
        <w:rPr>
          <w:strike/>
          <w:szCs w:val="24"/>
          <w:lang w:eastAsia="en-US"/>
        </w:rPr>
        <w:t>Når</w:t>
      </w:r>
      <w:r w:rsidRPr="009E74FB">
        <w:rPr>
          <w:b/>
          <w:i/>
          <w:szCs w:val="24"/>
          <w:lang w:eastAsia="en-US"/>
        </w:rPr>
        <w:t>Da</w:t>
      </w:r>
      <w:proofErr w:type="spellEnd"/>
      <w:r w:rsidRPr="009E74FB">
        <w:rPr>
          <w:b/>
          <w:i/>
          <w:szCs w:val="24"/>
          <w:lang w:eastAsia="en-US"/>
        </w:rPr>
        <w:t xml:space="preserve"> frivillige aftaler er den mest hensigtsmæssige måde at håndtere patenterede produkter eller processer på i en krisetid, bør</w:t>
      </w:r>
      <w:r w:rsidRPr="009E74FB">
        <w:rPr>
          <w:szCs w:val="24"/>
          <w:lang w:eastAsia="en-US"/>
        </w:rPr>
        <w:t xml:space="preserve"> rettighedshaveren </w:t>
      </w:r>
      <w:r w:rsidRPr="009E74FB">
        <w:rPr>
          <w:strike/>
          <w:szCs w:val="24"/>
          <w:lang w:eastAsia="en-US"/>
        </w:rPr>
        <w:t xml:space="preserve">underrettes om, at der er fremskredne drøftelser om </w:t>
      </w:r>
      <w:proofErr w:type="spellStart"/>
      <w:r w:rsidRPr="009E74FB">
        <w:rPr>
          <w:strike/>
          <w:szCs w:val="24"/>
          <w:lang w:eastAsia="en-US"/>
        </w:rPr>
        <w:t>udstedelse</w:t>
      </w:r>
      <w:r w:rsidRPr="009E74FB">
        <w:rPr>
          <w:b/>
          <w:i/>
          <w:szCs w:val="24"/>
          <w:lang w:eastAsia="en-US"/>
        </w:rPr>
        <w:t>forud</w:t>
      </w:r>
      <w:proofErr w:type="spellEnd"/>
      <w:r w:rsidRPr="009E74FB">
        <w:rPr>
          <w:b/>
          <w:i/>
          <w:szCs w:val="24"/>
          <w:lang w:eastAsia="en-US"/>
        </w:rPr>
        <w:t xml:space="preserve"> for enhver afgørelse fra Kommissionen om tildeling</w:t>
      </w:r>
      <w:r w:rsidRPr="009E74FB">
        <w:rPr>
          <w:szCs w:val="24"/>
          <w:lang w:eastAsia="en-US"/>
        </w:rPr>
        <w:t xml:space="preserve"> af en EU-tvangslicens</w:t>
      </w:r>
      <w:r w:rsidRPr="009E74FB">
        <w:rPr>
          <w:strike/>
          <w:szCs w:val="24"/>
          <w:lang w:eastAsia="en-US"/>
        </w:rPr>
        <w:t>, bør denne</w:t>
      </w:r>
      <w:r w:rsidRPr="009E74FB">
        <w:rPr>
          <w:szCs w:val="24"/>
          <w:lang w:eastAsia="en-US"/>
        </w:rPr>
        <w:t xml:space="preserve"> have</w:t>
      </w:r>
      <w:r w:rsidRPr="009E74FB">
        <w:rPr>
          <w:b/>
          <w:i/>
          <w:szCs w:val="24"/>
          <w:lang w:eastAsia="en-US"/>
        </w:rPr>
        <w:t xml:space="preserve"> en rimelig</w:t>
      </w:r>
      <w:r w:rsidRPr="009E74FB">
        <w:rPr>
          <w:szCs w:val="24"/>
          <w:lang w:eastAsia="en-US"/>
        </w:rPr>
        <w:t xml:space="preserve"> mulighed for at </w:t>
      </w:r>
      <w:r w:rsidRPr="009E74FB">
        <w:rPr>
          <w:strike/>
          <w:szCs w:val="24"/>
          <w:lang w:eastAsia="en-US"/>
        </w:rPr>
        <w:t>foreslå en frivillig</w:t>
      </w:r>
      <w:r w:rsidRPr="009E74FB">
        <w:rPr>
          <w:b/>
          <w:i/>
          <w:szCs w:val="24"/>
          <w:lang w:eastAsia="en-US"/>
        </w:rPr>
        <w:t>forhandle en sådan</w:t>
      </w:r>
      <w:r w:rsidRPr="009E74FB">
        <w:rPr>
          <w:szCs w:val="24"/>
          <w:lang w:eastAsia="en-US"/>
        </w:rPr>
        <w:t xml:space="preserve"> aftale</w:t>
      </w:r>
      <w:r w:rsidRPr="009E74FB">
        <w:rPr>
          <w:strike/>
          <w:szCs w:val="24"/>
          <w:lang w:eastAsia="en-US"/>
        </w:rPr>
        <w:t>, hvis omstændighederne i forbindelse med EU-krisen eller nødsituationen, herunder</w:t>
      </w:r>
      <w:r w:rsidRPr="009E74FB">
        <w:rPr>
          <w:b/>
          <w:i/>
          <w:szCs w:val="24"/>
          <w:lang w:eastAsia="en-US"/>
        </w:rPr>
        <w:t>. En tidsfrist på fire uger bør være tilstrækkelig til at muliggøre god tro og meningsfulde forhandlinger under hensyntagen til</w:t>
      </w:r>
      <w:r w:rsidRPr="009E74FB">
        <w:rPr>
          <w:szCs w:val="24"/>
          <w:lang w:eastAsia="en-US"/>
        </w:rPr>
        <w:t xml:space="preserve"> situationens hastende karakter</w:t>
      </w:r>
      <w:r w:rsidRPr="009E74FB">
        <w:rPr>
          <w:strike/>
          <w:szCs w:val="24"/>
          <w:lang w:eastAsia="en-US"/>
        </w:rPr>
        <w:t>, tillader det</w:t>
      </w:r>
      <w:r w:rsidRPr="009E74FB">
        <w:rPr>
          <w:szCs w:val="24"/>
          <w:lang w:eastAsia="en-US"/>
        </w:rPr>
        <w:t xml:space="preserve">. Rettighedshaveren bør også have mulighed for at fremsætte bemærkninger om behovet for en EU-tvangslicens og om betingelserne for licensen, herunder vederlaget, hvis den tildeles. Rettighedshaveren bør i dette øjemed have mulighed for at give Kommissionen skriftlige eller mundtlige bemærkninger og alle oplysninger, som rettighedshaveren finder nyttige, så Kommissionen har mulighed for at foretage en retfærdig, omfattende og grundig vurdering af situationen. Kommissionen bør give rettighedshaveren en rimelig frist til at fremsætte bemærkninger og oplysninger under hensyntagen til </w:t>
      </w:r>
      <w:r w:rsidRPr="009E74FB">
        <w:rPr>
          <w:b/>
          <w:i/>
          <w:szCs w:val="24"/>
          <w:lang w:eastAsia="en-US"/>
        </w:rPr>
        <w:t xml:space="preserve">balancen mellem offentlighedens interesser og </w:t>
      </w:r>
      <w:r w:rsidRPr="009E74FB">
        <w:rPr>
          <w:szCs w:val="24"/>
          <w:lang w:eastAsia="en-US"/>
        </w:rPr>
        <w:t>rettighedshaverens situation og</w:t>
      </w:r>
      <w:r w:rsidRPr="009E74FB">
        <w:rPr>
          <w:b/>
          <w:i/>
          <w:szCs w:val="24"/>
          <w:lang w:eastAsia="en-US"/>
        </w:rPr>
        <w:t xml:space="preserve"> under hensyntagen til</w:t>
      </w:r>
      <w:r w:rsidRPr="009E74FB">
        <w:rPr>
          <w:szCs w:val="24"/>
          <w:lang w:eastAsia="en-US"/>
        </w:rPr>
        <w:t xml:space="preserve"> situationens hastende karakter. Kommissionen bør, hvor det er relevant,</w:t>
      </w:r>
      <w:r w:rsidRPr="009E74FB">
        <w:rPr>
          <w:b/>
          <w:i/>
          <w:szCs w:val="24"/>
          <w:lang w:eastAsia="en-US"/>
        </w:rPr>
        <w:t xml:space="preserve"> rettidigt</w:t>
      </w:r>
      <w:r w:rsidRPr="009E74FB">
        <w:rPr>
          <w:szCs w:val="24"/>
          <w:lang w:eastAsia="en-US"/>
        </w:rPr>
        <w:t xml:space="preserve"> fremsende rettighedshaverens bemærkninger til det kompetente rådgivende organ. For at fortrolige oplysninger kan deles med Kommissionen, sørger Kommissionen for, at der forefindes et sikkert system til udveksling af disse oplysninger, og at der træffes foranstaltninger til at sikre fortroligheden af de dokumenter, som rettighedshaveren fremlægger i forbindelse med denne procedure. Når der er udstedt en EU-tvangslicens, bør Kommissionen underrette rettighedshaveren, så snart det er praktisk muligt.</w:t>
      </w:r>
      <w:r w:rsidR="00E05E5E">
        <w:rPr>
          <w:b/>
          <w:szCs w:val="24"/>
          <w:lang w:eastAsia="en-US"/>
        </w:rPr>
        <w:t xml:space="preserve"> [Ændring 11]</w:t>
      </w:r>
    </w:p>
    <w:p w14:paraId="5973E2A8" w14:textId="77777777" w:rsidR="00EC5167" w:rsidRDefault="00EC5167">
      <w:pPr>
        <w:widowControl/>
        <w:rPr>
          <w:szCs w:val="24"/>
          <w:lang w:eastAsia="en-US"/>
        </w:rPr>
      </w:pPr>
      <w:r>
        <w:rPr>
          <w:szCs w:val="24"/>
          <w:lang w:eastAsia="en-US"/>
        </w:rPr>
        <w:br w:type="page"/>
      </w:r>
    </w:p>
    <w:p w14:paraId="4BDF2BAE" w14:textId="11D7F955"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(23)</w:t>
      </w:r>
      <w:r w:rsidRPr="009E74FB">
        <w:rPr>
          <w:szCs w:val="24"/>
          <w:lang w:eastAsia="en-US"/>
        </w:rPr>
        <w:tab/>
        <w:t xml:space="preserve">Indledningen af </w:t>
      </w:r>
      <w:r w:rsidRPr="009E74FB">
        <w:rPr>
          <w:strike/>
          <w:szCs w:val="24"/>
          <w:lang w:eastAsia="en-US"/>
        </w:rPr>
        <w:t>tvangslicensproceduren bør offentliggøres i en meddelelse i Den Europæiske Unions Tidende. Denne meddelelse bør indeholde oplysninger om drøftelserne om udstedelse af en EU-tvangslicens i forbindelse med en EU-krise- eller nødmekanisme. Denne meddelelse bør også hjælpe Kommissionen til at identificere</w:t>
      </w:r>
      <w:r w:rsidRPr="009E74FB">
        <w:rPr>
          <w:b/>
          <w:i/>
          <w:szCs w:val="24"/>
          <w:lang w:eastAsia="en-US"/>
        </w:rPr>
        <w:t>enhver tvangslicensprocedure bør først omfatte identifikation af</w:t>
      </w:r>
      <w:r w:rsidRPr="009E74FB">
        <w:rPr>
          <w:szCs w:val="24"/>
          <w:lang w:eastAsia="en-US"/>
        </w:rPr>
        <w:t xml:space="preserve"> de pågældende intellektuelle ejendomsrettigheder, de berørte rettighedshavere og potentielle </w:t>
      </w:r>
      <w:proofErr w:type="spellStart"/>
      <w:r w:rsidRPr="009E74FB">
        <w:rPr>
          <w:szCs w:val="24"/>
          <w:lang w:eastAsia="en-US"/>
        </w:rPr>
        <w:t>licenstagere</w:t>
      </w:r>
      <w:proofErr w:type="spellEnd"/>
      <w:r w:rsidRPr="009E74FB">
        <w:rPr>
          <w:b/>
          <w:i/>
          <w:szCs w:val="24"/>
          <w:lang w:eastAsia="en-US"/>
        </w:rPr>
        <w:t xml:space="preserve"> med inddragelse af de nationale myndigheder med ansvar for udstedelse af tvangslicenser under deres nationale patentlovgivninger</w:t>
      </w:r>
      <w:r w:rsidRPr="009E74FB">
        <w:rPr>
          <w:szCs w:val="24"/>
          <w:lang w:eastAsia="en-US"/>
        </w:rPr>
        <w:t>.</w:t>
      </w:r>
      <w:r w:rsidRPr="009E74FB">
        <w:rPr>
          <w:b/>
          <w:i/>
          <w:szCs w:val="24"/>
          <w:lang w:eastAsia="en-US"/>
        </w:rPr>
        <w:t xml:space="preserve"> Den bør offentliggøres i en meddelelse i Den Europæiske Unions Tidende.</w:t>
      </w:r>
      <w:r w:rsidR="00E05E5E">
        <w:rPr>
          <w:b/>
          <w:szCs w:val="24"/>
          <w:lang w:eastAsia="en-US"/>
        </w:rPr>
        <w:t xml:space="preserve"> [Ændring 12]</w:t>
      </w:r>
    </w:p>
    <w:p w14:paraId="0614AD0A" w14:textId="77777777" w:rsidR="00EC5167" w:rsidRDefault="00EC5167">
      <w:pPr>
        <w:widowControl/>
        <w:rPr>
          <w:szCs w:val="24"/>
          <w:lang w:eastAsia="en-US"/>
        </w:rPr>
      </w:pPr>
      <w:r>
        <w:rPr>
          <w:szCs w:val="24"/>
          <w:lang w:eastAsia="en-US"/>
        </w:rPr>
        <w:br w:type="page"/>
      </w:r>
    </w:p>
    <w:p w14:paraId="4B9B86A8" w14:textId="646E816B"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(24)</w:t>
      </w:r>
      <w:r w:rsidRPr="009E74FB">
        <w:rPr>
          <w:szCs w:val="24"/>
          <w:lang w:eastAsia="en-US"/>
        </w:rPr>
        <w:tab/>
        <w:t xml:space="preserve">Kommissionen bør med bistand fra det rådgivende organ </w:t>
      </w:r>
      <w:r w:rsidRPr="009E74FB">
        <w:rPr>
          <w:strike/>
          <w:szCs w:val="24"/>
          <w:lang w:eastAsia="en-US"/>
        </w:rPr>
        <w:t xml:space="preserve">gøre sit bedste for </w:t>
      </w:r>
      <w:r w:rsidRPr="009E74FB">
        <w:rPr>
          <w:szCs w:val="24"/>
          <w:lang w:eastAsia="en-US"/>
        </w:rPr>
        <w:t>i sin afgørelse</w:t>
      </w:r>
      <w:r w:rsidRPr="009E74FB">
        <w:rPr>
          <w:strike/>
          <w:szCs w:val="24"/>
          <w:lang w:eastAsia="en-US"/>
        </w:rPr>
        <w:t xml:space="preserve"> at</w:t>
      </w:r>
      <w:r w:rsidRPr="009E74FB">
        <w:rPr>
          <w:szCs w:val="24"/>
          <w:lang w:eastAsia="en-US"/>
        </w:rPr>
        <w:t xml:space="preserve"> identificere patentet, patentansøgningen, det supplerende beskyttelsescertifikat og brugsmodellen for de kriserelevante produkter og rettighedshaverne af disse intellektuelle ejendomsrettigheder. Under visse omstændigheder kan det være nødvendigt at gennemføre langvarige og komplekse undersøgelser for at identificere de intellektuelle ejendomsrettigheder og de respektive rettighedshavere. </w:t>
      </w:r>
      <w:r w:rsidRPr="009E74FB">
        <w:rPr>
          <w:strike/>
          <w:szCs w:val="24"/>
          <w:lang w:eastAsia="en-US"/>
        </w:rPr>
        <w:t xml:space="preserve">I sådanne tilfælde kan en fuldstændig identifikation af alle intellektuelle ejendomsrettigheder og de respektive rettighedshavere i alvorlig grad undergrave en effektiv anvendelse af EU-tvangslicensen til hurtigt at imødegå krisen eller nødsituationen. Hvis identifikationen af alle disse intellektuelle ejendomsrettigheder eller rettighedshavere i væsentlig grad forsinker udstedelsen af EU-tvangslicensen, bør Kommissionen derfor i første omgang kunne nøjes med i licensen at angive fællesnavnet på det produkt, som licensen vedrører. </w:t>
      </w:r>
      <w:r w:rsidRPr="009E74FB">
        <w:rPr>
          <w:szCs w:val="24"/>
          <w:lang w:eastAsia="en-US"/>
        </w:rPr>
        <w:t>Kommissionen bør</w:t>
      </w:r>
      <w:r w:rsidRPr="009E74FB">
        <w:rPr>
          <w:strike/>
          <w:szCs w:val="24"/>
          <w:lang w:eastAsia="en-US"/>
        </w:rPr>
        <w:t xml:space="preserve"> ikke desto mindre</w:t>
      </w:r>
      <w:r w:rsidRPr="009E74FB">
        <w:rPr>
          <w:szCs w:val="24"/>
          <w:lang w:eastAsia="en-US"/>
        </w:rPr>
        <w:t xml:space="preserve"> identificere alle gældende og relevante intellektuelle ejendomsrettigheder og de respektive </w:t>
      </w:r>
      <w:r w:rsidRPr="009E74FB">
        <w:rPr>
          <w:strike/>
          <w:szCs w:val="24"/>
          <w:lang w:eastAsia="en-US"/>
        </w:rPr>
        <w:t>rettighedshavere så hurtigt som muligt og ændre</w:t>
      </w:r>
      <w:r w:rsidRPr="009E74FB">
        <w:rPr>
          <w:b/>
          <w:i/>
          <w:szCs w:val="24"/>
          <w:lang w:eastAsia="en-US"/>
        </w:rPr>
        <w:t>rettighedshaver, inden der udstedes en tvangslicens.</w:t>
      </w:r>
      <w:r w:rsidRPr="009E74FB">
        <w:rPr>
          <w:szCs w:val="24"/>
          <w:lang w:eastAsia="en-US"/>
        </w:rPr>
        <w:t xml:space="preserve"> Gennemførelsesretsakten </w:t>
      </w:r>
      <w:r w:rsidRPr="009E74FB">
        <w:rPr>
          <w:strike/>
          <w:szCs w:val="24"/>
          <w:lang w:eastAsia="en-US"/>
        </w:rPr>
        <w:t xml:space="preserve">i overensstemmelse hermed. Den ændrede gennemførelsesretsakt bør </w:t>
      </w:r>
      <w:proofErr w:type="spellStart"/>
      <w:r w:rsidRPr="009E74FB">
        <w:rPr>
          <w:strike/>
          <w:szCs w:val="24"/>
          <w:lang w:eastAsia="en-US"/>
        </w:rPr>
        <w:t>også</w:t>
      </w:r>
      <w:r w:rsidRPr="009E74FB">
        <w:rPr>
          <w:b/>
          <w:i/>
          <w:szCs w:val="24"/>
          <w:lang w:eastAsia="en-US"/>
        </w:rPr>
        <w:t>bør</w:t>
      </w:r>
      <w:proofErr w:type="spellEnd"/>
      <w:r w:rsidRPr="009E74FB">
        <w:rPr>
          <w:szCs w:val="24"/>
          <w:lang w:eastAsia="en-US"/>
        </w:rPr>
        <w:t xml:space="preserve"> identificere eventuelle nødvendige garantier og vederlag, der skal betales til hver identificeret rettighedshaver.</w:t>
      </w:r>
      <w:r w:rsidR="00E05E5E">
        <w:rPr>
          <w:b/>
          <w:szCs w:val="24"/>
          <w:lang w:eastAsia="en-US"/>
        </w:rPr>
        <w:t xml:space="preserve"> [Ændring 13]</w:t>
      </w:r>
    </w:p>
    <w:p w14:paraId="27B2007E" w14:textId="77777777" w:rsidR="00EC5167" w:rsidRDefault="00EC5167">
      <w:pPr>
        <w:widowControl/>
        <w:rPr>
          <w:szCs w:val="24"/>
          <w:lang w:eastAsia="en-US"/>
        </w:rPr>
      </w:pPr>
      <w:r>
        <w:rPr>
          <w:szCs w:val="24"/>
          <w:lang w:eastAsia="en-US"/>
        </w:rPr>
        <w:br w:type="page"/>
      </w:r>
    </w:p>
    <w:p w14:paraId="2889C0B6" w14:textId="170C14AA"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(25)</w:t>
      </w:r>
      <w:r w:rsidRPr="009E74FB">
        <w:rPr>
          <w:szCs w:val="24"/>
          <w:lang w:eastAsia="en-US"/>
        </w:rPr>
        <w:tab/>
        <w:t xml:space="preserve">Hvis det ikke er muligt at identificere rettighedshaveren eller samtlige rettighedshavere inden for en rimelig frist, bør Kommissionen </w:t>
      </w:r>
      <w:r w:rsidRPr="009E74FB">
        <w:rPr>
          <w:strike/>
          <w:szCs w:val="24"/>
          <w:lang w:eastAsia="en-US"/>
        </w:rPr>
        <w:t xml:space="preserve">undtagelsesvis have ret til </w:t>
      </w:r>
      <w:proofErr w:type="spellStart"/>
      <w:r w:rsidRPr="009E74FB">
        <w:rPr>
          <w:strike/>
          <w:szCs w:val="24"/>
          <w:lang w:eastAsia="en-US"/>
        </w:rPr>
        <w:t>at</w:t>
      </w:r>
      <w:r w:rsidRPr="009E74FB">
        <w:rPr>
          <w:b/>
          <w:i/>
          <w:szCs w:val="24"/>
          <w:lang w:eastAsia="en-US"/>
        </w:rPr>
        <w:t>ikke</w:t>
      </w:r>
      <w:proofErr w:type="spellEnd"/>
      <w:r w:rsidRPr="009E74FB">
        <w:rPr>
          <w:szCs w:val="24"/>
          <w:lang w:eastAsia="en-US"/>
        </w:rPr>
        <w:t xml:space="preserve"> udstede EU-tvangslicensen</w:t>
      </w:r>
      <w:r w:rsidRPr="009E74FB">
        <w:rPr>
          <w:strike/>
          <w:szCs w:val="24"/>
          <w:lang w:eastAsia="en-US"/>
        </w:rPr>
        <w:t xml:space="preserve"> ved kun at henvise til fællesnavnet på det kriserelevante produkt, hvis det er absolut nødvendigt i betragtning af situationens hastende karakter</w:t>
      </w:r>
      <w:r w:rsidRPr="009E74FB">
        <w:rPr>
          <w:szCs w:val="24"/>
          <w:lang w:eastAsia="en-US"/>
        </w:rPr>
        <w:t>.</w:t>
      </w:r>
      <w:r w:rsidRPr="009E74FB">
        <w:rPr>
          <w:strike/>
          <w:szCs w:val="24"/>
          <w:lang w:eastAsia="en-US"/>
        </w:rPr>
        <w:t xml:space="preserve"> Kommissionen bør ikke desto mindre efter udstedelsen af EU-tvangslicensen identificere, underrette og høre de berørte rettighedshavere så hurtigt som muligt, herunder ved hjælp af offentliggørelsesforanstaltninger og nationale kontorer for intellektuel ejendomsret.</w:t>
      </w:r>
      <w:r w:rsidR="00E05E5E">
        <w:rPr>
          <w:b/>
          <w:szCs w:val="24"/>
          <w:lang w:eastAsia="en-US"/>
        </w:rPr>
        <w:t xml:space="preserve"> [Ændring 14]</w:t>
      </w:r>
    </w:p>
    <w:p w14:paraId="3D74C722" w14:textId="77777777" w:rsidR="00EC5167" w:rsidRDefault="00EC5167">
      <w:pPr>
        <w:widowControl/>
        <w:rPr>
          <w:szCs w:val="24"/>
          <w:lang w:eastAsia="en-US"/>
        </w:rPr>
      </w:pPr>
      <w:r>
        <w:rPr>
          <w:szCs w:val="24"/>
          <w:lang w:eastAsia="en-US"/>
        </w:rPr>
        <w:br w:type="page"/>
      </w:r>
    </w:p>
    <w:p w14:paraId="47B2CC40" w14:textId="72C9A967"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(26)</w:t>
      </w:r>
      <w:r w:rsidRPr="009E74FB">
        <w:rPr>
          <w:szCs w:val="24"/>
          <w:lang w:eastAsia="en-US"/>
        </w:rPr>
        <w:tab/>
        <w:t xml:space="preserve">EU-tvangslicensen bør også indeholde oplysninger, der gør det muligt at identificere det kriserelevante produkt, for hvilket den er udstedt, samt nærmere oplysninger om den licenstager, som EU-tvangslicensen er udstedt til, herunder oplysninger om produktets beskrivelse, navn eller varemærke, de varekoder, som de kriserelevante produkter er klassificeret under, jf. Rådets forordning (EØF) nr. 2658/87, og nærmere oplysninger om de </w:t>
      </w:r>
      <w:proofErr w:type="spellStart"/>
      <w:r w:rsidRPr="009E74FB">
        <w:rPr>
          <w:szCs w:val="24"/>
          <w:lang w:eastAsia="en-US"/>
        </w:rPr>
        <w:t>licenstagere</w:t>
      </w:r>
      <w:proofErr w:type="spellEnd"/>
      <w:r w:rsidRPr="009E74FB">
        <w:rPr>
          <w:szCs w:val="24"/>
          <w:lang w:eastAsia="en-US"/>
        </w:rPr>
        <w:t xml:space="preserve"> (og, hvor det er relevant, producenter), til hvem tvangslicensen er udstedt, herunder deres navn, firmanavn eller registrerede varemærke, kontaktoplysninger, deres unikke identifikationsnummer i det land, hvor de er etableret, og, hvis det findes, deres registrerings- og identifikationsnummer for økonomiske operatører (EORI-nummer). Hvis EU-lovgivningen kræver det, bør der medtages andre oplysninger såsom type-, reference-, model-, batch- eller serienummer eller unik </w:t>
      </w:r>
      <w:proofErr w:type="spellStart"/>
      <w:r w:rsidRPr="009E74FB">
        <w:rPr>
          <w:szCs w:val="24"/>
          <w:lang w:eastAsia="en-US"/>
        </w:rPr>
        <w:t>identifikator</w:t>
      </w:r>
      <w:proofErr w:type="spellEnd"/>
      <w:r w:rsidRPr="009E74FB">
        <w:rPr>
          <w:szCs w:val="24"/>
          <w:lang w:eastAsia="en-US"/>
        </w:rPr>
        <w:t xml:space="preserve"> for et produktpas.</w:t>
      </w:r>
    </w:p>
    <w:p w14:paraId="0BAA4C45" w14:textId="77777777" w:rsidR="00EC5167" w:rsidRDefault="00EC5167">
      <w:pPr>
        <w:widowControl/>
        <w:rPr>
          <w:szCs w:val="24"/>
          <w:lang w:eastAsia="en-US"/>
        </w:rPr>
      </w:pPr>
      <w:r>
        <w:rPr>
          <w:szCs w:val="24"/>
          <w:lang w:eastAsia="en-US"/>
        </w:rPr>
        <w:br w:type="page"/>
      </w:r>
    </w:p>
    <w:p w14:paraId="31528DB1" w14:textId="75A8A889"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(27)</w:t>
      </w:r>
      <w:r w:rsidRPr="009E74FB">
        <w:rPr>
          <w:szCs w:val="24"/>
          <w:lang w:eastAsia="en-US"/>
        </w:rPr>
        <w:tab/>
        <w:t>Licenstageren bør betale et passende vederlag til rettighedshaveren som fastsat af Kommissionen. Vederlagets størrelse bør fastsættes under hensyntagen til</w:t>
      </w:r>
      <w:r w:rsidRPr="009E74FB">
        <w:rPr>
          <w:b/>
          <w:i/>
          <w:szCs w:val="24"/>
          <w:lang w:eastAsia="en-US"/>
        </w:rPr>
        <w:t xml:space="preserve"> licenstagerens samlede bruttoindtægter som følge af de relevante aktiviteter, der udføres i forbindelse med EU-tvangslicensen,</w:t>
      </w:r>
      <w:r w:rsidRPr="009E74FB">
        <w:rPr>
          <w:szCs w:val="24"/>
          <w:lang w:eastAsia="en-US"/>
        </w:rPr>
        <w:t xml:space="preserve"> den økonomiske værdi af den udnyttelse, som licensen giver tilladelse til, for licenstageren og for de medlemsstater, der er berørt af krisen, enhver offentlig støtte, som rettighedshaveren har modtaget for at udvikle opfindelsen, i hvilket omfang udviklingsomkostningerne er blevet afskrevet, samt humanitære omstændigheder i forbindelse med udstedelsen af EU-tvangslicensen. Kommissionen bør </w:t>
      </w:r>
      <w:proofErr w:type="spellStart"/>
      <w:r w:rsidRPr="009E74FB">
        <w:rPr>
          <w:strike/>
          <w:szCs w:val="24"/>
          <w:lang w:eastAsia="en-US"/>
        </w:rPr>
        <w:t>desuden</w:t>
      </w:r>
      <w:r w:rsidRPr="009E74FB">
        <w:rPr>
          <w:b/>
          <w:i/>
          <w:szCs w:val="24"/>
          <w:lang w:eastAsia="en-US"/>
        </w:rPr>
        <w:t>også</w:t>
      </w:r>
      <w:proofErr w:type="spellEnd"/>
      <w:r w:rsidRPr="009E74FB">
        <w:rPr>
          <w:szCs w:val="24"/>
          <w:lang w:eastAsia="en-US"/>
        </w:rPr>
        <w:t xml:space="preserve"> tage hensyn til rettighedshaverens bemærkninger og det rådgivende organs vurdering af vederlagets størrelse.</w:t>
      </w:r>
      <w:r w:rsidRPr="009E74FB">
        <w:rPr>
          <w:strike/>
          <w:szCs w:val="24"/>
          <w:lang w:eastAsia="en-US"/>
        </w:rPr>
        <w:t xml:space="preserve"> Vederlaget bør under alle omstændigheder ikke overstige 4 % af licenstagerens samlede bruttoindtægter som følge af de handlinger, der udføres i forbindelse med EU-tvangslicensen. Denne procentsats er den samme som den, der er fastsat i forordning (EF) nr. 816/2006. Hvis en tvangslicens udstedes på grundlag af en offentliggjort patentansøgning, som i sidste ende ikke fører til udstedelse af et patent, har rettighedshaveren ingen grund til at modtage vederlag i henhold til tvangslicensen, da genstanden for modtagelsen af vederlaget ikke har udmøntet sig i noget konkret. Under sådanne omstændigheder bør rettighedshaveren tilbagebetale det vederlag, denne har modtaget under tvangslicensen.</w:t>
      </w:r>
      <w:r w:rsidR="00E05E5E">
        <w:rPr>
          <w:b/>
          <w:szCs w:val="24"/>
          <w:lang w:eastAsia="en-US"/>
        </w:rPr>
        <w:t xml:space="preserve"> [Ændring 15]</w:t>
      </w:r>
    </w:p>
    <w:p w14:paraId="73D6BF4A" w14:textId="77777777" w:rsidR="00EC5167" w:rsidRDefault="00EC5167">
      <w:pPr>
        <w:widowControl/>
        <w:rPr>
          <w:szCs w:val="24"/>
          <w:lang w:eastAsia="en-US"/>
        </w:rPr>
      </w:pPr>
      <w:r>
        <w:rPr>
          <w:szCs w:val="24"/>
          <w:lang w:eastAsia="en-US"/>
        </w:rPr>
        <w:br w:type="page"/>
      </w:r>
    </w:p>
    <w:p w14:paraId="47127BFE" w14:textId="1F3CA01A"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(28)</w:t>
      </w:r>
      <w:r w:rsidRPr="009E74FB">
        <w:rPr>
          <w:szCs w:val="24"/>
          <w:lang w:eastAsia="en-US"/>
        </w:rPr>
        <w:tab/>
        <w:t>Det er bydende nødvendigt, at produkter, der er fremstillet under en EU-tvangslicens, kun når det indre marked. EU-tvangslicensen bør derfor pålægge licenstageren klare betingelser med hensyn til hvilke aktiviteter, der er tilladt i henhold til licensen, herunder disse aktiviteters territoriale rækkevidde. Rettighedshaveren bør kunne anfægte handlinger og anvendelser af de rettigheder, der er omfattet af EU-tvangslicensen, som ikke opfylder betingelserne for licensen, som en krænkelse af vedkommendes intellektuelle ejendomsrettigheder i overensstemmelse med Europa-Parlamentets og Rådets direktiv 2004/48/EF</w:t>
      </w:r>
      <w:r w:rsidRPr="009E74FB">
        <w:rPr>
          <w:szCs w:val="24"/>
          <w:vertAlign w:val="superscript"/>
          <w:lang w:val="en-GB" w:eastAsia="en-US"/>
        </w:rPr>
        <w:footnoteReference w:id="10"/>
      </w:r>
      <w:r w:rsidRPr="009E74FB">
        <w:rPr>
          <w:szCs w:val="24"/>
          <w:lang w:eastAsia="en-US"/>
        </w:rPr>
        <w:t>. For at lette overvågningen af distributionen af produkter, der er fremstillet i henhold til en EU-tvangslicens, herunder toldmyndighedernes kontrol, bør licenstageren sikre, at sådanne produkter har særlige kendetegn, der gør det let at identificere dem og skelne dem fra de produkter, der markedsføres af rettighedshaveren.</w:t>
      </w:r>
    </w:p>
    <w:p w14:paraId="2B2B9E0F"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(29)</w:t>
      </w:r>
      <w:r w:rsidRPr="009E74FB">
        <w:rPr>
          <w:szCs w:val="24"/>
          <w:lang w:eastAsia="en-US"/>
        </w:rPr>
        <w:tab/>
        <w:t>En EU-tvangslicens i forbindelse med en EU-krise- eller nødmekanisme bør kun udstedes med henblik på at forsyne det indre marked med kriserelevante produkter. Det bør derfor forbydes at eksportere produkter, der er fremstillet i henhold til en EU-tvangslicens.</w:t>
      </w:r>
    </w:p>
    <w:p w14:paraId="016722F5" w14:textId="77777777" w:rsidR="00EC5167" w:rsidRDefault="00EC5167">
      <w:pPr>
        <w:widowControl/>
        <w:rPr>
          <w:szCs w:val="24"/>
          <w:lang w:eastAsia="en-US"/>
        </w:rPr>
      </w:pPr>
      <w:r>
        <w:rPr>
          <w:szCs w:val="24"/>
          <w:lang w:eastAsia="en-US"/>
        </w:rPr>
        <w:br w:type="page"/>
      </w:r>
    </w:p>
    <w:p w14:paraId="435B76AC" w14:textId="10755C6B"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(30)</w:t>
      </w:r>
      <w:r w:rsidRPr="009E74FB">
        <w:rPr>
          <w:szCs w:val="24"/>
          <w:lang w:eastAsia="en-US"/>
        </w:rPr>
        <w:tab/>
        <w:t>Toldmyndighederne bør gennem en risikoanalysetilgang sikre, at produkter, der er fremstillet i henhold til en EU-tvangslicens, ikke eksporteres. For at identificere sådanne produkter bør den vigtigste kilde til oplysninger, der kan anvendes som input til en sådan toldrisikoanalyse, være selve EU-tvangslicensen. Oplysninger om hver gennemførelsesretsakt om udstedelse eller ændring af en EU-tvangslicens bør derfor registreres i det elektroniske toldrisikoforvaltningssystem, der er omhandlet i artikel 36 i Kommissionens gennemførelsesforordning (EU) 2015/2447</w:t>
      </w:r>
      <w:r w:rsidRPr="009E74FB">
        <w:rPr>
          <w:szCs w:val="24"/>
          <w:vertAlign w:val="superscript"/>
          <w:lang w:val="en-GB" w:eastAsia="en-US"/>
        </w:rPr>
        <w:footnoteReference w:id="11"/>
      </w:r>
      <w:r w:rsidRPr="009E74FB">
        <w:rPr>
          <w:szCs w:val="24"/>
          <w:lang w:eastAsia="en-US"/>
        </w:rPr>
        <w:t>. Når toldmyndighederne identificerer et produkt, der mistænkes for ikke at overholde eksportforbuddet, bør de suspendere eksporten af det pågældende produkt og straks underrette Kommissionen herom. Kommissionen bør inden for 10 arbejdsdage nå frem til en konklusion om, hvorvidt eksportforbuddet er overholdt, men bør have mulighed for at kræve, at toldmyndighederne opretholder suspensionen, hvis det er nødvendigt. Som hjælp til sin vurdering kan Kommissionen høre den relevante rettighedshaver. Hvis Kommissionen konkluderer, at et produkt ikke overholder eksportforbuddet, bør toldmyndighederne nægte at lade det eksportere.</w:t>
      </w:r>
    </w:p>
    <w:p w14:paraId="6C3627A0" w14:textId="77777777" w:rsidR="00EC5167" w:rsidRDefault="00EC5167">
      <w:pPr>
        <w:widowControl/>
        <w:rPr>
          <w:szCs w:val="24"/>
          <w:lang w:eastAsia="en-US"/>
        </w:rPr>
      </w:pPr>
      <w:r>
        <w:rPr>
          <w:szCs w:val="24"/>
          <w:lang w:eastAsia="en-US"/>
        </w:rPr>
        <w:br w:type="page"/>
      </w:r>
    </w:p>
    <w:p w14:paraId="26E47A6E" w14:textId="6CB4B950"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(31)</w:t>
      </w:r>
      <w:r w:rsidRPr="009E74FB">
        <w:rPr>
          <w:szCs w:val="24"/>
          <w:lang w:eastAsia="en-US"/>
        </w:rPr>
        <w:tab/>
        <w:t>Den retlige gyldighed af gennemførelsesretsakten om udstedelse af EU-tvangslicensen og enhver efterfølgende gennemførelsesretsakt bør være underlagt domstolskontrol.</w:t>
      </w:r>
    </w:p>
    <w:p w14:paraId="26398E8D"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(32)</w:t>
      </w:r>
      <w:r w:rsidRPr="009E74FB">
        <w:rPr>
          <w:szCs w:val="24"/>
          <w:lang w:eastAsia="en-US"/>
        </w:rPr>
        <w:tab/>
        <w:t>Forholdet mellem rettighedshaveren og licenstageren bør være underlagt princippet om god tro. Rettighedshaveren og licenstageren bør arbejde for en vellykket EU-tvangslicens og samarbejde, hvor det er nødvendigt, for at sikre, at EU-tvangslicensen opfylder sit mål på effektiv vis. Kommissionen kan fungere som formidler med hensyn til at opnå et loyalt samarbejde mellem rettighedshaveren og licenstageren under hensyntagen til alle parters interesser. Kommissionen bør i den forbindelse også have ret til at træffe yderligere foranstaltninger i overensstemmelse med EU-retten for at sikre, at tvangslicensen opfylder sit mål, og sikre, at de nødvendige kriserelevante varer kan stilles til rådighed i Unionen. Sådanne yderligere foranstaltninger kan omfatte anmodning om yderligere oplysninger, som anses for nødvendige for at realisere formålet med tvangslicensen. Disse foranstaltninger bør altid omfatte tilstrækkelige garantier for at sikre, at alle parters legitime interesser beskyttes.</w:t>
      </w:r>
    </w:p>
    <w:p w14:paraId="7AE907D1" w14:textId="77777777" w:rsidR="00EC5167" w:rsidRDefault="00EC5167">
      <w:pPr>
        <w:widowControl/>
        <w:rPr>
          <w:b/>
          <w:i/>
          <w:szCs w:val="24"/>
          <w:lang w:eastAsia="en-US"/>
        </w:rPr>
      </w:pPr>
      <w:r>
        <w:rPr>
          <w:b/>
          <w:i/>
          <w:szCs w:val="24"/>
          <w:lang w:eastAsia="en-US"/>
        </w:rPr>
        <w:br w:type="page"/>
      </w:r>
    </w:p>
    <w:p w14:paraId="091E80BB" w14:textId="7F717395" w:rsidR="009E74FB" w:rsidRPr="00E05E5E" w:rsidRDefault="009E74FB" w:rsidP="009E74FB">
      <w:pPr>
        <w:spacing w:before="120" w:after="120" w:line="360" w:lineRule="auto"/>
        <w:ind w:left="850" w:hanging="850"/>
        <w:rPr>
          <w:b/>
          <w:szCs w:val="24"/>
          <w:lang w:eastAsia="en-US"/>
        </w:rPr>
      </w:pPr>
      <w:r w:rsidRPr="009E74FB">
        <w:rPr>
          <w:b/>
          <w:i/>
          <w:szCs w:val="24"/>
          <w:lang w:eastAsia="en-US"/>
        </w:rPr>
        <w:lastRenderedPageBreak/>
        <w:t>(32a)</w:t>
      </w:r>
      <w:r w:rsidRPr="009E74FB">
        <w:rPr>
          <w:szCs w:val="24"/>
          <w:lang w:eastAsia="en-US"/>
        </w:rPr>
        <w:tab/>
      </w:r>
      <w:r w:rsidRPr="009E74FB">
        <w:rPr>
          <w:b/>
          <w:i/>
          <w:szCs w:val="24"/>
          <w:lang w:eastAsia="en-US"/>
        </w:rPr>
        <w:t xml:space="preserve">Hvor det er relevant, bør Kommissionen forpligte rettighedshaveren til at videregive de forretningshemmeligheder, der er strengt nødvendige for at opfylde formålet med EU-tvangslicensen. I sådanne tilfælde bør rettighedshaverne modtage et passende vederlag. Det er muligt, at en detaljeret beskrivelse af, hvordan opfindelsen gennemføres, ikke er tilstrækkelig og fuldstændig nok til at sætte licenstageren i stand til at udnytte opfindelsen effektivt. Dette kan omfatte, uden at være udtømmende begrænset til, omfattende overførsel af nødvendig teknologi, ekspertise, data, prøver og referenceprodukter, der er væsentlige for produktionen, og opnåelse af markedsføringstilladelse i samarbejde med licenstageren under hensyntagen til både rettighedshaveren og licenstagerens offentlige interesser. I tilfælde, hvor disse supplerende oplysninger og knowhow er nødvendige, hvoraf nogle er en ikkefrigivet forretningshemmelighed, bør videregivelsen af denne nødvendige forretningshemmelighed alene med henblik på at opfylde formålet med at udøve Unionens tvangslicens i henhold til denne forordning anses for at være lovlig i henhold til artikel 3, stk. 2, og artikel 5 i Europa-Parlamentets og Rådets direktiv (EU) 2016/943. Selv om denne forordning kun kræver videregivelse af forretningshemmeligheder, når de er strengt nødvendige for at opfylde formålet med EU-tvangslicensen, bør den fortolkes på en sådan måde, at beskyttelsen af forretningshemmeligheder i henhold til direktiv (EU) 2016/943 bevares. Kommissionen bør kræve, at licenstageren eller </w:t>
      </w:r>
      <w:proofErr w:type="spellStart"/>
      <w:r w:rsidRPr="009E74FB">
        <w:rPr>
          <w:b/>
          <w:i/>
          <w:szCs w:val="24"/>
          <w:lang w:eastAsia="en-US"/>
        </w:rPr>
        <w:t>licenstagerne</w:t>
      </w:r>
      <w:proofErr w:type="spellEnd"/>
      <w:r w:rsidRPr="009E74FB">
        <w:rPr>
          <w:b/>
          <w:i/>
          <w:szCs w:val="24"/>
          <w:lang w:eastAsia="en-US"/>
        </w:rPr>
        <w:t xml:space="preserve"> træffer alle foranstaltninger, som rettighedshaveren finder rimelige, herunder kontraktlige, tekniske og organisatoriske foranstaltninger, for at sikre fortroligheden af forretningshemmeligheder, navnlig i forhold til tredjeparter, og beskyttelsen af alle parters legitime interesser. Med henblik herpå bør rettighedshaverne identificere forretningshemmeligheder forud for videregivelsen. Disse passende foranstaltninger kan bestå af standardkontraktvilkår, fortrolighedsaftaler, strenge adgangsprotokoller, tekniske standarder og anvendelse af adfærdskodekser. Hvis licenstageren ikke gennemfører de foranstaltninger, der er nødvendige for at bevare fortroligheden af forretningshemmeligheder, bør Kommissionen kunne tilbageholde eller suspendere videregivelsen af forretningshemmeligheder, indtil situationen er rettet af licenstageren. Enhver brug, erhvervelse eller videregivelse af forretningshemmeligheder, som ikke er nødvendig for at opfylde målet med EU-tvangslicensen eller som strækker sig ud over EU-tvangslicensens </w:t>
      </w:r>
      <w:r w:rsidRPr="009E74FB">
        <w:rPr>
          <w:b/>
          <w:i/>
          <w:szCs w:val="24"/>
          <w:lang w:eastAsia="en-US"/>
        </w:rPr>
        <w:lastRenderedPageBreak/>
        <w:t>gyldighedsperiode, bør betragtes som ulovlig i henhold til nævnte direktiv.</w:t>
      </w:r>
      <w:r w:rsidR="00E05E5E">
        <w:rPr>
          <w:b/>
          <w:szCs w:val="24"/>
          <w:lang w:eastAsia="en-US"/>
        </w:rPr>
        <w:t xml:space="preserve"> [Ændring 16]</w:t>
      </w:r>
    </w:p>
    <w:p w14:paraId="723D40AD" w14:textId="050227ED" w:rsidR="009E74FB" w:rsidRPr="00E05E5E" w:rsidRDefault="009E74FB" w:rsidP="009E74FB">
      <w:pPr>
        <w:spacing w:before="120" w:after="120" w:line="360" w:lineRule="auto"/>
        <w:ind w:left="850" w:hanging="850"/>
        <w:rPr>
          <w:b/>
          <w:szCs w:val="24"/>
          <w:lang w:eastAsia="en-US"/>
        </w:rPr>
      </w:pPr>
      <w:r w:rsidRPr="009E74FB">
        <w:rPr>
          <w:b/>
          <w:i/>
          <w:szCs w:val="24"/>
          <w:lang w:eastAsia="en-US"/>
        </w:rPr>
        <w:t>(32b)</w:t>
      </w:r>
      <w:r w:rsidRPr="009E74FB">
        <w:rPr>
          <w:szCs w:val="24"/>
          <w:lang w:eastAsia="en-US"/>
        </w:rPr>
        <w:tab/>
      </w:r>
      <w:r w:rsidRPr="009E74FB">
        <w:rPr>
          <w:b/>
          <w:i/>
          <w:szCs w:val="24"/>
          <w:lang w:eastAsia="en-US"/>
        </w:rPr>
        <w:t>Denne forordning bør sikre, at Kommissionen har beføjelse til at tvinge rettighedshaverne til at fremlægge alle de oplysninger, der er nødvendige for at fremme en hurtig og effektiv produktion af kritiske kriserelaterede produkter såsom lægemidler og andre sundhedsrelaterede produkter. Disse oplysninger bør omfatte detaljer om knowhow, navnlig når det er afgørende for en effektiv gennemførelse af tvangslicenser. Selv om patentlicenser alene kan være tilstrækkelige til at sætte andre producenter i stand til hurtigt at fremstille simple lægemidler, er de ofte utilstrækkelige i tilfælde af mere indviklede farmaceutiske produkter såsom vacciner under en pandemi. Hvis det er afgørende for gennemførelsen af tvangslicensen, vil en alternativ producent også have brug for adgang til knowhow.</w:t>
      </w:r>
      <w:r w:rsidR="00E05E5E">
        <w:rPr>
          <w:b/>
          <w:szCs w:val="24"/>
          <w:lang w:eastAsia="en-US"/>
        </w:rPr>
        <w:t xml:space="preserve"> [Ændring 17]</w:t>
      </w:r>
    </w:p>
    <w:p w14:paraId="51931715" w14:textId="77777777" w:rsidR="00EC5167" w:rsidRDefault="00EC5167">
      <w:pPr>
        <w:widowControl/>
        <w:rPr>
          <w:szCs w:val="24"/>
          <w:lang w:eastAsia="en-US"/>
        </w:rPr>
      </w:pPr>
      <w:r>
        <w:rPr>
          <w:szCs w:val="24"/>
          <w:lang w:eastAsia="en-US"/>
        </w:rPr>
        <w:br w:type="page"/>
      </w:r>
    </w:p>
    <w:p w14:paraId="32E71646" w14:textId="4128B445"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(33)</w:t>
      </w:r>
      <w:r w:rsidRPr="009E74FB">
        <w:rPr>
          <w:szCs w:val="24"/>
          <w:lang w:eastAsia="en-US"/>
        </w:rPr>
        <w:tab/>
        <w:t>For at kunne reagere hensigtsmæssigt på krisesituationer bør Kommissionen tillægges beføjelser til at revidere betingelserne for EU-tvangslicensen og tilpasse dem til ændrede omstændigheder. Dette bør omfatte en ændring af tvangslicensen med henblik på at angive den fuldstændige liste over rettigheder og rettighedshavere, der er omfattet af tvangslicensen</w:t>
      </w:r>
      <w:r w:rsidRPr="009E74FB">
        <w:rPr>
          <w:strike/>
          <w:szCs w:val="24"/>
          <w:lang w:eastAsia="en-US"/>
        </w:rPr>
        <w:t>, hvis denne fuldstændige identifikation ikke har fundet sted fra starten</w:t>
      </w:r>
      <w:r w:rsidRPr="009E74FB">
        <w:rPr>
          <w:szCs w:val="24"/>
          <w:lang w:eastAsia="en-US"/>
        </w:rPr>
        <w:t xml:space="preserve">. Dette bør også omfatte ophævelse af licensen, hvis de omstændigheder, der førte til, at den blev udstedt, ikke længere er til stede og sandsynligvis ikke vil gentage sig. Når Kommissionen træffer afgørelse om at revidere EU-tvangslicensen, </w:t>
      </w:r>
      <w:r w:rsidRPr="009E74FB">
        <w:rPr>
          <w:strike/>
          <w:szCs w:val="24"/>
          <w:lang w:eastAsia="en-US"/>
        </w:rPr>
        <w:t xml:space="preserve">kan den beslutte </w:t>
      </w:r>
      <w:proofErr w:type="spellStart"/>
      <w:r w:rsidRPr="009E74FB">
        <w:rPr>
          <w:strike/>
          <w:szCs w:val="24"/>
          <w:lang w:eastAsia="en-US"/>
        </w:rPr>
        <w:t>at</w:t>
      </w:r>
      <w:r w:rsidRPr="009E74FB">
        <w:rPr>
          <w:b/>
          <w:i/>
          <w:szCs w:val="24"/>
          <w:lang w:eastAsia="en-US"/>
        </w:rPr>
        <w:t>bør</w:t>
      </w:r>
      <w:proofErr w:type="spellEnd"/>
      <w:r w:rsidRPr="009E74FB">
        <w:rPr>
          <w:b/>
          <w:i/>
          <w:szCs w:val="24"/>
          <w:lang w:eastAsia="en-US"/>
        </w:rPr>
        <w:t xml:space="preserve"> den</w:t>
      </w:r>
      <w:r w:rsidRPr="009E74FB">
        <w:rPr>
          <w:szCs w:val="24"/>
          <w:lang w:eastAsia="en-US"/>
        </w:rPr>
        <w:t xml:space="preserve"> høre det kompetente rådgivende organ med henblik herpå</w:t>
      </w:r>
      <w:r w:rsidRPr="009E74FB">
        <w:rPr>
          <w:b/>
          <w:i/>
          <w:szCs w:val="24"/>
          <w:lang w:eastAsia="en-US"/>
        </w:rPr>
        <w:t xml:space="preserve"> samt rettighedshaverne og </w:t>
      </w:r>
      <w:proofErr w:type="spellStart"/>
      <w:r w:rsidRPr="009E74FB">
        <w:rPr>
          <w:b/>
          <w:i/>
          <w:szCs w:val="24"/>
          <w:lang w:eastAsia="en-US"/>
        </w:rPr>
        <w:t>licenstagerne</w:t>
      </w:r>
      <w:proofErr w:type="spellEnd"/>
      <w:r w:rsidRPr="009E74FB">
        <w:rPr>
          <w:szCs w:val="24"/>
          <w:lang w:eastAsia="en-US"/>
        </w:rPr>
        <w:t>. Hvis Kommissionen agter at ændre vigtige elementer i EU-tvangslicensen, såsom varigheden eller vederlaget, eller hvis selve ændringen kan gøres til genstand for en særskilt tvangslicens, bør den være forpligtet til at høre det rådgivende organ.</w:t>
      </w:r>
      <w:r w:rsidR="00E05E5E">
        <w:rPr>
          <w:b/>
          <w:szCs w:val="24"/>
          <w:lang w:eastAsia="en-US"/>
        </w:rPr>
        <w:t xml:space="preserve"> [Ændring 18]</w:t>
      </w:r>
    </w:p>
    <w:p w14:paraId="1BE4AEEB" w14:textId="77777777" w:rsidR="00EC5167" w:rsidRDefault="00EC5167">
      <w:pPr>
        <w:widowControl/>
        <w:rPr>
          <w:szCs w:val="24"/>
          <w:lang w:eastAsia="en-US"/>
        </w:rPr>
      </w:pPr>
      <w:r>
        <w:rPr>
          <w:szCs w:val="24"/>
          <w:lang w:eastAsia="en-US"/>
        </w:rPr>
        <w:br w:type="page"/>
      </w:r>
    </w:p>
    <w:p w14:paraId="664E44C8" w14:textId="65745F3A"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(34)</w:t>
      </w:r>
      <w:r w:rsidRPr="009E74FB">
        <w:rPr>
          <w:szCs w:val="24"/>
          <w:lang w:eastAsia="en-US"/>
        </w:rPr>
        <w:tab/>
        <w:t>For at forebygge og stoppe misbrug af EU-tvangslicensen bør der indføres særlige sikkerhedsforanstaltninger, der giver Kommissionen mulighed for at træffe foranstaltninger. Ud over muligheden for at ophæve EU-tvangslicensen bør Kommissionen bemyndiges til at pålægge rettighedshaveren og licenstageren bøder og tvangsbøder med henblik på at håndhæve de forpligtelser, der er fastsat i denne forordning. Sanktionerne bør være effektive, stå i rimeligt forhold til overtrædelsen og have afskrækkende virkning</w:t>
      </w:r>
      <w:r w:rsidRPr="009E74FB">
        <w:rPr>
          <w:b/>
          <w:i/>
          <w:szCs w:val="24"/>
          <w:lang w:eastAsia="en-US"/>
        </w:rPr>
        <w:t xml:space="preserve"> og bør ikke være i strid med de sædvanlige håndhævelsesforanstaltninger for intellektuelle ejendomsrettigheder som fastsat i direktiv 2004/48/EF</w:t>
      </w:r>
      <w:r w:rsidRPr="009E74FB">
        <w:rPr>
          <w:szCs w:val="24"/>
          <w:lang w:eastAsia="en-US"/>
        </w:rPr>
        <w:t>.</w:t>
      </w:r>
      <w:r w:rsidR="00E05E5E">
        <w:rPr>
          <w:b/>
          <w:szCs w:val="24"/>
          <w:lang w:eastAsia="en-US"/>
        </w:rPr>
        <w:t xml:space="preserve"> [Ændring 19]</w:t>
      </w:r>
    </w:p>
    <w:p w14:paraId="253FD769" w14:textId="77777777" w:rsidR="00EC5167" w:rsidRDefault="00EC5167">
      <w:pPr>
        <w:widowControl/>
        <w:rPr>
          <w:szCs w:val="24"/>
          <w:lang w:eastAsia="en-US"/>
        </w:rPr>
      </w:pPr>
      <w:r>
        <w:rPr>
          <w:szCs w:val="24"/>
          <w:lang w:eastAsia="en-US"/>
        </w:rPr>
        <w:br w:type="page"/>
      </w:r>
    </w:p>
    <w:p w14:paraId="63B1A630" w14:textId="60430C6E"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(35)</w:t>
      </w:r>
      <w:r w:rsidRPr="009E74FB">
        <w:rPr>
          <w:szCs w:val="24"/>
          <w:lang w:eastAsia="en-US"/>
        </w:rPr>
        <w:tab/>
        <w:t xml:space="preserve">Håndhævelsen af de relevante forpligtelser i denne forordning bør kunne sikres ved hjælp af bøder og tvangsbøder. Med henblik herpå bør der fastsættes passende niveauer for bøder og tvangsbøder, og der bør gælde passende forældelsesfrister for bøder og tvangsbøder i overensstemmelse med proportionalitetsprincippet og </w:t>
      </w:r>
      <w:proofErr w:type="spellStart"/>
      <w:r w:rsidRPr="009E74FB">
        <w:rPr>
          <w:szCs w:val="24"/>
          <w:lang w:eastAsia="en-US"/>
        </w:rPr>
        <w:t>ne</w:t>
      </w:r>
      <w:proofErr w:type="spellEnd"/>
      <w:r w:rsidRPr="009E74FB">
        <w:rPr>
          <w:szCs w:val="24"/>
          <w:lang w:eastAsia="en-US"/>
        </w:rPr>
        <w:t xml:space="preserve"> bis in </w:t>
      </w:r>
      <w:proofErr w:type="spellStart"/>
      <w:r w:rsidRPr="009E74FB">
        <w:rPr>
          <w:szCs w:val="24"/>
          <w:lang w:eastAsia="en-US"/>
        </w:rPr>
        <w:t>idem</w:t>
      </w:r>
      <w:proofErr w:type="spellEnd"/>
      <w:r w:rsidRPr="009E74FB">
        <w:rPr>
          <w:szCs w:val="24"/>
          <w:lang w:eastAsia="en-US"/>
        </w:rPr>
        <w:t xml:space="preserve">-princippet. Samtlige afgørelser, som Kommissionen træffer i henhold til denne forordning, kan underkastes prøvelse ved Den Europæiske Unions Domstol i henhold til TEUF. Den Europæiske Unions Domstol bør have ubegrænset jurisdiktion for så vidt angår </w:t>
      </w:r>
      <w:r w:rsidRPr="009E74FB">
        <w:rPr>
          <w:b/>
          <w:i/>
          <w:szCs w:val="24"/>
          <w:lang w:eastAsia="en-US"/>
        </w:rPr>
        <w:t xml:space="preserve">gennemførelsesretsakten om udstedelse af tvangslicensen samt afgørelser om </w:t>
      </w:r>
      <w:r w:rsidRPr="009E74FB">
        <w:rPr>
          <w:szCs w:val="24"/>
          <w:lang w:eastAsia="en-US"/>
        </w:rPr>
        <w:t>bøder og tvangsbøder i henhold til artikel 261 i TEUF.</w:t>
      </w:r>
      <w:r w:rsidR="00E05E5E">
        <w:rPr>
          <w:b/>
          <w:szCs w:val="24"/>
          <w:lang w:eastAsia="en-US"/>
        </w:rPr>
        <w:t xml:space="preserve"> [Ændring 20]</w:t>
      </w:r>
    </w:p>
    <w:p w14:paraId="3141711B"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(36)</w:t>
      </w:r>
      <w:r w:rsidRPr="009E74FB">
        <w:rPr>
          <w:szCs w:val="24"/>
          <w:lang w:eastAsia="en-US"/>
        </w:rPr>
        <w:tab/>
        <w:t>Når der er udstedt en national tvangslicens for at afhjælpe en krise, bør medlemsstaten eller dens kompetente myndighed være forpligtet til at underrette Kommissionen om udstedelsen af licensen og om de særlige betingelser, der er knyttet til den, da det giver Kommissionen mulighed for at få et overblik over de nationale tvangslicenser i medlemsstaterne og tage hensyn til disse tvangslicenser, når den overvejer en EU-tvangslicens, og navnlig ved fastsættelsen af betingelserne for en sådan licens.</w:t>
      </w:r>
    </w:p>
    <w:p w14:paraId="7B0F366A" w14:textId="77777777" w:rsidR="00EC5167" w:rsidRDefault="00EC5167">
      <w:pPr>
        <w:widowControl/>
        <w:rPr>
          <w:szCs w:val="24"/>
          <w:lang w:eastAsia="en-US"/>
        </w:rPr>
      </w:pPr>
      <w:r>
        <w:rPr>
          <w:szCs w:val="24"/>
          <w:lang w:eastAsia="en-US"/>
        </w:rPr>
        <w:br w:type="page"/>
      </w:r>
    </w:p>
    <w:p w14:paraId="369CE157" w14:textId="0811C125"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(37)</w:t>
      </w:r>
      <w:r w:rsidRPr="009E74FB">
        <w:rPr>
          <w:szCs w:val="24"/>
          <w:lang w:eastAsia="en-US"/>
        </w:rPr>
        <w:tab/>
        <w:t>Muligheden for at udstede en tvangslicens på EU-plan bør ikke kun gælde for levering til EU-markedet, men bør også</w:t>
      </w:r>
      <w:r w:rsidRPr="009E74FB">
        <w:rPr>
          <w:strike/>
          <w:szCs w:val="24"/>
          <w:lang w:eastAsia="en-US"/>
        </w:rPr>
        <w:t xml:space="preserve"> på visse betingelser</w:t>
      </w:r>
      <w:r w:rsidRPr="009E74FB">
        <w:rPr>
          <w:szCs w:val="24"/>
          <w:lang w:eastAsia="en-US"/>
        </w:rPr>
        <w:t xml:space="preserve"> kunne benyttes med henblik på eksport til lande, der har folkesundhedsproblemer, hvilket allerede er reguleret ved Europa-Parlamentets og Rådets forordning (EF) nr. 816/2006</w:t>
      </w:r>
      <w:r w:rsidRPr="009E74FB">
        <w:rPr>
          <w:szCs w:val="24"/>
          <w:vertAlign w:val="superscript"/>
          <w:lang w:val="en-GB" w:eastAsia="en-US"/>
        </w:rPr>
        <w:footnoteReference w:id="12"/>
      </w:r>
      <w:r w:rsidRPr="009E74FB">
        <w:rPr>
          <w:szCs w:val="24"/>
          <w:lang w:eastAsia="en-US"/>
        </w:rPr>
        <w:t xml:space="preserve">. I henhold til nævnte forordning vedtages og foretages udstedelsen af sådanne tvangslicenser på nationalt plan af de kompetente myndigheder i de medlemsstater, der har modtaget en ansøgning herom fra en person, som har til hensigt at fremstille og sælge farmaceutiske produkter, der er omfattet af et patent eller en supplerende beskyttelse, med henblik på eksport til berettigede tredjelande. Forordning (EF) nr. 816/2006 tillader kun udstedelse af tvangslicenser, der dækker fremstilling af produkter i flere medlemsstater, gennem nationale procedurer. I forbindelse med en grænseoverskridende fremstillingsproces vil der være behov for forskellige nationale tvangslicenser. Dette kan føre til en besværlig og langvarig proces, da det vil kræve, at der iværksættes forskellige nationale procedurer, der kan have forskellige anvendelsesområder og betingelser. For ligesom med Unionens krisemekanismer at opnå </w:t>
      </w:r>
      <w:proofErr w:type="spellStart"/>
      <w:r w:rsidRPr="009E74FB">
        <w:rPr>
          <w:szCs w:val="24"/>
          <w:lang w:eastAsia="en-US"/>
        </w:rPr>
        <w:t>synergier</w:t>
      </w:r>
      <w:proofErr w:type="spellEnd"/>
      <w:r w:rsidRPr="009E74FB">
        <w:rPr>
          <w:szCs w:val="24"/>
          <w:lang w:eastAsia="en-US"/>
        </w:rPr>
        <w:t xml:space="preserve"> og en effektiv proces bør der også kunne udstedes en EU-tvangslicens inden for rammerne af forordning (EF) nr. 816/2006. Dette </w:t>
      </w:r>
      <w:r w:rsidRPr="009E74FB">
        <w:rPr>
          <w:b/>
          <w:i/>
          <w:szCs w:val="24"/>
          <w:lang w:eastAsia="en-US"/>
        </w:rPr>
        <w:t xml:space="preserve">bør lettes yderligere ved at revidere betingelserne for udstedelse af tvangslicenser med henblik på eksport for at sikre, at de er fuldt ud i overensstemmelse med TRIPS-aftalen og alle dens muligheder for fleksibilitet. EU-tvangslicensen </w:t>
      </w:r>
      <w:r w:rsidRPr="009E74FB">
        <w:rPr>
          <w:szCs w:val="24"/>
          <w:lang w:eastAsia="en-US"/>
        </w:rPr>
        <w:t xml:space="preserve">vil gøre </w:t>
      </w:r>
      <w:r w:rsidRPr="009E74FB">
        <w:rPr>
          <w:strike/>
          <w:szCs w:val="24"/>
          <w:lang w:eastAsia="en-US"/>
        </w:rPr>
        <w:t>det lettere at fremstille</w:t>
      </w:r>
      <w:r w:rsidRPr="009E74FB">
        <w:rPr>
          <w:b/>
          <w:i/>
          <w:szCs w:val="24"/>
          <w:lang w:eastAsia="en-US"/>
        </w:rPr>
        <w:t>brugen af denne mekanisme samt al fremstilling af</w:t>
      </w:r>
      <w:r w:rsidRPr="009E74FB">
        <w:rPr>
          <w:szCs w:val="24"/>
          <w:lang w:eastAsia="en-US"/>
        </w:rPr>
        <w:t xml:space="preserve"> de relevante produkter</w:t>
      </w:r>
      <w:r w:rsidRPr="009E74FB">
        <w:rPr>
          <w:b/>
          <w:i/>
          <w:szCs w:val="24"/>
          <w:lang w:eastAsia="en-US"/>
        </w:rPr>
        <w:t xml:space="preserve"> lettere</w:t>
      </w:r>
      <w:r w:rsidRPr="009E74FB">
        <w:rPr>
          <w:szCs w:val="24"/>
          <w:lang w:eastAsia="en-US"/>
        </w:rPr>
        <w:t xml:space="preserve"> på tværs af flere medlemsstater og tilvejebringe en løsning på EU-plan for at undgå en situation, hvor der er brug for flere tvangslicenser for det samme produkt i mere end én medlemsstat, for at </w:t>
      </w:r>
      <w:proofErr w:type="spellStart"/>
      <w:r w:rsidRPr="009E74FB">
        <w:rPr>
          <w:szCs w:val="24"/>
          <w:lang w:eastAsia="en-US"/>
        </w:rPr>
        <w:t>licenstagerne</w:t>
      </w:r>
      <w:proofErr w:type="spellEnd"/>
      <w:r w:rsidRPr="009E74FB">
        <w:rPr>
          <w:szCs w:val="24"/>
          <w:lang w:eastAsia="en-US"/>
        </w:rPr>
        <w:t xml:space="preserve"> kan fremstille og eksportere produkterne som tiltænkt. Enhver, der overvejer at ansøge om en tvangslicens</w:t>
      </w:r>
      <w:r w:rsidRPr="009E74FB">
        <w:rPr>
          <w:strike/>
          <w:szCs w:val="24"/>
          <w:lang w:eastAsia="en-US"/>
        </w:rPr>
        <w:t xml:space="preserve"> i henhold til,</w:t>
      </w:r>
      <w:r w:rsidRPr="009E74FB">
        <w:rPr>
          <w:szCs w:val="24"/>
          <w:lang w:eastAsia="en-US"/>
        </w:rPr>
        <w:t xml:space="preserve"> med henblik på og inden for anvendelsesområdet for forordning (EF) nr. 816/2006, bør have mulighed for i henhold til nævnte forordning med en enkelt ansøgning at anmode om en tvangslicens, der er gyldig i hele Unionen, hvis den pågældende person ellers på grundlag af medlemsstaternes nationale tvangslicensordninger ville være nødt til at ansøge om flere tvangslicenser for det samme kriserelevante produkt i mere end én medlemsstat for at gennemføre sine </w:t>
      </w:r>
      <w:r w:rsidRPr="009E74FB">
        <w:rPr>
          <w:szCs w:val="24"/>
          <w:lang w:eastAsia="en-US"/>
        </w:rPr>
        <w:lastRenderedPageBreak/>
        <w:t>påtænkte fremstillings- og salgsaktiviteter med henblik på eksport i henhold til forordning (EF) nr. 816/2006. Forordning (EF) nr. 816/2006 bør derfor ændres.</w:t>
      </w:r>
      <w:r w:rsidR="00E05E5E">
        <w:rPr>
          <w:b/>
          <w:szCs w:val="24"/>
          <w:lang w:eastAsia="en-US"/>
        </w:rPr>
        <w:t xml:space="preserve"> [Ændring 21]</w:t>
      </w:r>
    </w:p>
    <w:p w14:paraId="6396E58D" w14:textId="77777777" w:rsidR="00EC5167" w:rsidRDefault="00EC5167">
      <w:pPr>
        <w:widowControl/>
        <w:rPr>
          <w:szCs w:val="24"/>
          <w:lang w:eastAsia="en-US"/>
        </w:rPr>
      </w:pPr>
      <w:r>
        <w:rPr>
          <w:szCs w:val="24"/>
          <w:lang w:eastAsia="en-US"/>
        </w:rPr>
        <w:br w:type="page"/>
      </w:r>
    </w:p>
    <w:p w14:paraId="3B7D99DA" w14:textId="3F4F563B" w:rsidR="009E74FB" w:rsidRPr="00E05E5E" w:rsidRDefault="009E74FB" w:rsidP="009E74FB">
      <w:pPr>
        <w:spacing w:before="120" w:after="120" w:line="360" w:lineRule="auto"/>
        <w:ind w:left="850" w:hanging="850"/>
        <w:rPr>
          <w:b/>
          <w:szCs w:val="24"/>
          <w:lang w:eastAsia="en-US"/>
        </w:rPr>
      </w:pPr>
      <w:r w:rsidRPr="009E74FB">
        <w:rPr>
          <w:szCs w:val="24"/>
          <w:lang w:eastAsia="en-US"/>
        </w:rPr>
        <w:lastRenderedPageBreak/>
        <w:t>(38)</w:t>
      </w:r>
      <w:r w:rsidRPr="009E74FB">
        <w:rPr>
          <w:szCs w:val="24"/>
          <w:lang w:eastAsia="en-US"/>
        </w:rPr>
        <w:tab/>
        <w:t>For at sikre, at der er ensartede betingelser for gennemførelsen af denne forordning, bør Kommissionen tillægges gennemførelsesbeføjelser for så vidt angår udstedelse, supplering, ændring eller ophævelse af en EU-tvangslicens, fastsættelsen</w:t>
      </w:r>
      <w:r w:rsidRPr="009E74FB">
        <w:rPr>
          <w:b/>
          <w:i/>
          <w:szCs w:val="24"/>
          <w:lang w:eastAsia="en-US"/>
        </w:rPr>
        <w:t>, i mangel af en aftale mellem rettighedshaveren og licenstageren,</w:t>
      </w:r>
      <w:r w:rsidRPr="009E74FB">
        <w:rPr>
          <w:szCs w:val="24"/>
          <w:lang w:eastAsia="en-US"/>
        </w:rPr>
        <w:t xml:space="preserve"> af det vederlag, der skal betales til rettighedshaveren, procedurereglerne for det rådgivende ad hoc-organ og de kendetegn, der gør det muligt at identificere produkter, der er fremstillet i henhold til en EU-tvangslicens. Disse beføjelser bør udøves i overensstemmelse med Europa-Parlamentets og Rådets forordning (EU) nr. 182/2011</w:t>
      </w:r>
      <w:r w:rsidRPr="009E74FB">
        <w:rPr>
          <w:szCs w:val="24"/>
          <w:vertAlign w:val="superscript"/>
          <w:lang w:val="en-GB" w:eastAsia="en-US"/>
        </w:rPr>
        <w:footnoteReference w:id="13"/>
      </w:r>
      <w:r w:rsidRPr="009E74FB">
        <w:rPr>
          <w:szCs w:val="24"/>
          <w:lang w:eastAsia="en-US"/>
        </w:rPr>
        <w:t>. Rådgivningsproceduren bør anvendes til at vedtage gennemførelsesretsakter om udstedelse, supplering, ændring eller ophævelse af en EU-tvangslicens og gennemførelsesretsakter om fastsættelse af vederlaget. Valget af rådgivningsprocedure er berettiget, da disse gennemførelsesretsakter dermed vil blive vedtaget inden for rammerne af en procedure, der i betydelig grad har deltagelse af medlemsstaterne gennem høring af det rådgivende organ. Undersøgelsesproceduren bør anvendes til at vedtage gennemførelsesretsakter, der fastsætter procedureregler for det rådgivende ad hoc-organ, og gennemførelsesretsakter, der fastlægger de kendetegn, der gør det muligt at identificere produkter, der er fremstillet i henhold til en EU-tvangslicens.</w:t>
      </w:r>
      <w:r w:rsidR="00E05E5E">
        <w:rPr>
          <w:b/>
          <w:szCs w:val="24"/>
          <w:lang w:eastAsia="en-US"/>
        </w:rPr>
        <w:t xml:space="preserve"> [Ændring 22]</w:t>
      </w:r>
    </w:p>
    <w:p w14:paraId="7A0B1BBE" w14:textId="77777777" w:rsidR="00EC5167" w:rsidRDefault="00EC5167">
      <w:pPr>
        <w:widowControl/>
        <w:rPr>
          <w:szCs w:val="24"/>
          <w:lang w:eastAsia="en-US"/>
        </w:rPr>
      </w:pPr>
      <w:r>
        <w:rPr>
          <w:szCs w:val="24"/>
          <w:lang w:eastAsia="en-US"/>
        </w:rPr>
        <w:br w:type="page"/>
      </w:r>
    </w:p>
    <w:p w14:paraId="5C841277" w14:textId="2EF14C5B"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(39)</w:t>
      </w:r>
      <w:r w:rsidRPr="009E74FB">
        <w:rPr>
          <w:szCs w:val="24"/>
          <w:lang w:eastAsia="en-US"/>
        </w:rPr>
        <w:tab/>
        <w:t>Kommissionen bør vedtage gennemførelsesretsakter, der finder anvendelse omgående, når det i behørigt begrundede tilfælde vedrørende udstedelse, ændring eller ophævelse af en EU-tvangslicens eller fastsættelse af vederlaget er påkrævet af særligt hastende årsager.</w:t>
      </w:r>
    </w:p>
    <w:p w14:paraId="51C54A01" w14:textId="38FDCA38" w:rsidR="009E74FB" w:rsidRPr="00E05E5E" w:rsidRDefault="009E74FB" w:rsidP="009E74FB">
      <w:pPr>
        <w:spacing w:before="120" w:after="120" w:line="360" w:lineRule="auto"/>
        <w:ind w:left="850" w:hanging="850"/>
        <w:rPr>
          <w:b/>
          <w:szCs w:val="24"/>
          <w:lang w:eastAsia="en-US"/>
        </w:rPr>
      </w:pPr>
      <w:r w:rsidRPr="009E74FB">
        <w:rPr>
          <w:szCs w:val="24"/>
          <w:lang w:eastAsia="en-US"/>
        </w:rPr>
        <w:t>(40)</w:t>
      </w:r>
      <w:r w:rsidRPr="009E74FB">
        <w:rPr>
          <w:szCs w:val="24"/>
          <w:lang w:eastAsia="en-US"/>
        </w:rPr>
        <w:tab/>
        <w:t xml:space="preserve">EU-tvangslicenser til krisestyring er </w:t>
      </w:r>
      <w:r w:rsidRPr="009E74FB">
        <w:rPr>
          <w:strike/>
          <w:szCs w:val="24"/>
          <w:lang w:eastAsia="en-US"/>
        </w:rPr>
        <w:t xml:space="preserve">et værktøj, der </w:t>
      </w:r>
      <w:proofErr w:type="spellStart"/>
      <w:r w:rsidRPr="009E74FB">
        <w:rPr>
          <w:strike/>
          <w:szCs w:val="24"/>
          <w:lang w:eastAsia="en-US"/>
        </w:rPr>
        <w:t>kun</w:t>
      </w:r>
      <w:r w:rsidRPr="009E74FB">
        <w:rPr>
          <w:b/>
          <w:i/>
          <w:szCs w:val="24"/>
          <w:lang w:eastAsia="en-US"/>
        </w:rPr>
        <w:t>en</w:t>
      </w:r>
      <w:proofErr w:type="spellEnd"/>
      <w:r w:rsidRPr="009E74FB">
        <w:rPr>
          <w:b/>
          <w:i/>
          <w:szCs w:val="24"/>
          <w:lang w:eastAsia="en-US"/>
        </w:rPr>
        <w:t xml:space="preserve"> sidste udvej, der</w:t>
      </w:r>
      <w:r w:rsidRPr="009E74FB">
        <w:rPr>
          <w:szCs w:val="24"/>
          <w:lang w:eastAsia="en-US"/>
        </w:rPr>
        <w:t xml:space="preserve"> anvendes under ekstraordinære omstændigheder. Der bør derfor kun foretages en evaluering, når Kommissionen har udstedt en EU-tvangslicens. Evalueringsrapporten bør forelægges senest den sidste dag i det tredje år efter udstedelsen af EU-tvangslicensen, for at der kan foretages en passende og velunderbygget vurdering af denne forordning.</w:t>
      </w:r>
      <w:r w:rsidR="00E05E5E">
        <w:rPr>
          <w:b/>
          <w:szCs w:val="24"/>
          <w:lang w:eastAsia="en-US"/>
        </w:rPr>
        <w:t xml:space="preserve"> [Ændring 23]</w:t>
      </w:r>
    </w:p>
    <w:p w14:paraId="49FA9F4E" w14:textId="77777777" w:rsidR="00EC5167" w:rsidRDefault="00EC5167">
      <w:pPr>
        <w:widowControl/>
        <w:rPr>
          <w:b/>
          <w:i/>
          <w:szCs w:val="24"/>
          <w:lang w:eastAsia="en-US"/>
        </w:rPr>
      </w:pPr>
      <w:r>
        <w:rPr>
          <w:b/>
          <w:i/>
          <w:szCs w:val="24"/>
          <w:lang w:eastAsia="en-US"/>
        </w:rPr>
        <w:br w:type="page"/>
      </w:r>
    </w:p>
    <w:p w14:paraId="18B4DBFC" w14:textId="2864333B" w:rsidR="009E74FB" w:rsidRPr="00E05E5E" w:rsidRDefault="009E74FB" w:rsidP="009E74FB">
      <w:pPr>
        <w:spacing w:before="120" w:after="120" w:line="360" w:lineRule="auto"/>
        <w:ind w:left="850" w:hanging="850"/>
        <w:rPr>
          <w:b/>
          <w:szCs w:val="24"/>
          <w:lang w:eastAsia="en-US"/>
        </w:rPr>
      </w:pPr>
      <w:r w:rsidRPr="009E74FB">
        <w:rPr>
          <w:b/>
          <w:i/>
          <w:szCs w:val="24"/>
          <w:lang w:eastAsia="en-US"/>
        </w:rPr>
        <w:lastRenderedPageBreak/>
        <w:t>(40a)</w:t>
      </w:r>
      <w:r w:rsidRPr="009E74FB">
        <w:rPr>
          <w:szCs w:val="24"/>
          <w:lang w:eastAsia="en-US"/>
        </w:rPr>
        <w:tab/>
      </w:r>
      <w:r w:rsidRPr="009E74FB">
        <w:rPr>
          <w:b/>
          <w:i/>
          <w:szCs w:val="24"/>
          <w:lang w:eastAsia="en-US"/>
        </w:rPr>
        <w:t>Selv om bilaget skal ajourføres ved enhver fremtidig retsakt i forbindelse med en nød- eller krisetilstand, bør Kommissionen ikke desto mindre overvåge situationen og vurdere, om listen i bilaget er blevet behørigt ajourført. Hvis det viser sig, at denne liste ikke længere er ajourført, bør Kommissionen vurdere dens konsekvenser. Under alle omstændigheder forelægger Kommissionen sin vurdering for Europa-Parlamentet og Rådet, eventuelt ledsaget af lovgivningsmæssige forslag til ændring af bilaget. Selv om Kommissionen bør foretage denne vurdering hvert andet år fra datoen for denne forordnings ikrafttræden, forventes det, at Kommissionen i betragtning af de hurtige ændringer i den nuværende europæiske og globale situation bør foretage denne vurdering uden unødig forsinkelse i tilfælde af ekstraordinære trusler mod den offentlige sikkerhed eller den nationale sikkerhed.</w:t>
      </w:r>
      <w:r w:rsidR="00E05E5E">
        <w:rPr>
          <w:b/>
          <w:szCs w:val="24"/>
          <w:lang w:eastAsia="en-US"/>
        </w:rPr>
        <w:t xml:space="preserve"> [Ændring 24]</w:t>
      </w:r>
    </w:p>
    <w:p w14:paraId="6D68214B" w14:textId="63C514FA" w:rsidR="009E74FB" w:rsidRPr="009E74FB" w:rsidRDefault="009E74FB" w:rsidP="009E74FB">
      <w:pPr>
        <w:spacing w:before="120" w:after="120" w:line="360" w:lineRule="auto"/>
        <w:ind w:left="850" w:hanging="850"/>
        <w:rPr>
          <w:szCs w:val="24"/>
          <w:lang w:eastAsia="en-US"/>
        </w:rPr>
      </w:pPr>
      <w:r w:rsidRPr="009E74FB">
        <w:rPr>
          <w:szCs w:val="24"/>
          <w:lang w:eastAsia="en-US"/>
        </w:rPr>
        <w:t>(41)</w:t>
      </w:r>
      <w:r w:rsidRPr="009E74FB">
        <w:rPr>
          <w:szCs w:val="24"/>
          <w:lang w:eastAsia="en-US"/>
        </w:rPr>
        <w:tab/>
        <w:t>Da der er behov for et vist tidsrum til at sikre, at rammen for et velfungerende system for tvangslicenser på EU-plan er på plads, bør anvendelsen af denne forordning udskydes</w:t>
      </w:r>
      <w:r w:rsidR="00E05E5E">
        <w:rPr>
          <w:szCs w:val="24"/>
          <w:lang w:eastAsia="en-US"/>
        </w:rPr>
        <w:t>.</w:t>
      </w:r>
    </w:p>
    <w:p w14:paraId="5608247E" w14:textId="77777777" w:rsidR="00EC5167" w:rsidRDefault="00EC5167">
      <w:pPr>
        <w:widowControl/>
        <w:rPr>
          <w:b/>
          <w:i/>
          <w:szCs w:val="24"/>
          <w:lang w:eastAsia="en-US"/>
        </w:rPr>
      </w:pPr>
      <w:r>
        <w:rPr>
          <w:b/>
          <w:i/>
          <w:szCs w:val="24"/>
          <w:lang w:eastAsia="en-US"/>
        </w:rPr>
        <w:br w:type="page"/>
      </w:r>
    </w:p>
    <w:p w14:paraId="4ED236C7" w14:textId="1AC293FD" w:rsidR="009E74FB" w:rsidRPr="008572DA" w:rsidRDefault="009E74FB" w:rsidP="009E74FB">
      <w:pPr>
        <w:spacing w:before="120" w:after="120" w:line="360" w:lineRule="auto"/>
        <w:ind w:left="850" w:hanging="850"/>
        <w:rPr>
          <w:b/>
          <w:szCs w:val="24"/>
          <w:lang w:eastAsia="en-US"/>
        </w:rPr>
      </w:pPr>
      <w:r w:rsidRPr="009E74FB">
        <w:rPr>
          <w:b/>
          <w:i/>
          <w:szCs w:val="24"/>
          <w:lang w:eastAsia="en-US"/>
        </w:rPr>
        <w:lastRenderedPageBreak/>
        <w:t>(41a)</w:t>
      </w:r>
      <w:r w:rsidRPr="009E74FB">
        <w:rPr>
          <w:szCs w:val="24"/>
          <w:lang w:eastAsia="en-US"/>
        </w:rPr>
        <w:tab/>
      </w:r>
      <w:r w:rsidRPr="009E74FB">
        <w:rPr>
          <w:b/>
          <w:i/>
          <w:szCs w:val="24"/>
          <w:lang w:eastAsia="en-US"/>
        </w:rPr>
        <w:t>Målet med denne forordning, nemlig at sikre adgang til kriserelevante patenterede produkter, der er nødvendige for at håndtere kriser på det indre marked, kan ikke i tilstrækkelig grad opfyldes af medlemsstaterne på grund af fragmenteringen af tvangslicenser i Unionen og det utilstrækkelige territoriale anvendelsesområde for nationale tvangslicenser, men kan på grund af den nødvendige løsnings omfang og virkninger bedre nås på EU-plan; Unionen kan derfor vedtage foranstaltninger i overensstemmelse med nærhedsprincippet, jf. artikel 5 i traktaten om Den Europæiske Union. I overensstemmelse med proportionalitetsprincippet, jf. nævnte artikel, går denne forordning ikke ud over, hvad der er nødvendigt for at nå dette mål</w:t>
      </w:r>
      <w:r w:rsidR="00E05E5E">
        <w:rPr>
          <w:b/>
          <w:i/>
          <w:szCs w:val="24"/>
          <w:lang w:eastAsia="en-US"/>
        </w:rPr>
        <w:t xml:space="preserve"> </w:t>
      </w:r>
      <w:r w:rsidR="00E05E5E" w:rsidRPr="009E74FB">
        <w:rPr>
          <w:szCs w:val="24"/>
          <w:lang w:eastAsia="en-US"/>
        </w:rPr>
        <w:t>—</w:t>
      </w:r>
      <w:r w:rsidR="008572DA">
        <w:rPr>
          <w:b/>
          <w:szCs w:val="24"/>
          <w:lang w:eastAsia="en-US"/>
        </w:rPr>
        <w:t xml:space="preserve"> [Ændring 25]</w:t>
      </w:r>
    </w:p>
    <w:p w14:paraId="718C45EF" w14:textId="77777777" w:rsidR="009E74FB" w:rsidRPr="009E74FB" w:rsidRDefault="009E74FB" w:rsidP="009E74FB">
      <w:pPr>
        <w:keepNext/>
        <w:widowControl/>
        <w:spacing w:before="120" w:after="120" w:line="360" w:lineRule="auto"/>
        <w:rPr>
          <w:szCs w:val="24"/>
          <w:lang w:eastAsia="en-US"/>
        </w:rPr>
      </w:pPr>
      <w:r w:rsidRPr="009E74FB">
        <w:rPr>
          <w:szCs w:val="24"/>
          <w:lang w:eastAsia="en-US"/>
        </w:rPr>
        <w:t>VEDTAGET DENNE FORORDNING:</w:t>
      </w:r>
    </w:p>
    <w:p w14:paraId="17B5DC94" w14:textId="77777777" w:rsidR="00EC5167" w:rsidRDefault="00EC5167">
      <w:pPr>
        <w:widowControl/>
        <w:rPr>
          <w:szCs w:val="24"/>
          <w:lang w:eastAsia="en-US"/>
        </w:rPr>
      </w:pPr>
      <w:r>
        <w:rPr>
          <w:szCs w:val="24"/>
          <w:lang w:eastAsia="en-US"/>
        </w:rPr>
        <w:br w:type="page"/>
      </w:r>
    </w:p>
    <w:p w14:paraId="2D63D344" w14:textId="116CD862"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1</w:t>
      </w:r>
      <w:r w:rsidRPr="009E74FB">
        <w:rPr>
          <w:szCs w:val="24"/>
          <w:lang w:eastAsia="en-US"/>
        </w:rPr>
        <w:br/>
        <w:t>Genstand</w:t>
      </w:r>
    </w:p>
    <w:p w14:paraId="69ACB1D7" w14:textId="30FB7BEA" w:rsidR="009E74FB" w:rsidRPr="008572DA" w:rsidRDefault="009E74FB" w:rsidP="009E74FB">
      <w:pPr>
        <w:spacing w:before="120" w:after="120" w:line="360" w:lineRule="auto"/>
        <w:rPr>
          <w:b/>
          <w:szCs w:val="24"/>
          <w:lang w:eastAsia="en-US"/>
        </w:rPr>
      </w:pPr>
      <w:r w:rsidRPr="009E74FB">
        <w:rPr>
          <w:szCs w:val="24"/>
          <w:lang w:eastAsia="en-US"/>
        </w:rPr>
        <w:t xml:space="preserve">Denne forordning har til formål at sikre, at </w:t>
      </w:r>
      <w:r w:rsidRPr="009E74FB">
        <w:rPr>
          <w:b/>
          <w:i/>
          <w:szCs w:val="24"/>
          <w:lang w:eastAsia="en-US"/>
        </w:rPr>
        <w:t xml:space="preserve">der kan gives en midlertidig og ikkeeksklusiv EU-tvangslicens for at beskytte offentlighedens interesser i forbindelse med grænseoverskridende kriser eller nødsituationer i </w:t>
      </w:r>
      <w:r w:rsidRPr="009E74FB">
        <w:rPr>
          <w:szCs w:val="24"/>
          <w:lang w:eastAsia="en-US"/>
        </w:rPr>
        <w:t>Unionen</w:t>
      </w:r>
      <w:r w:rsidRPr="009E74FB">
        <w:rPr>
          <w:strike/>
          <w:szCs w:val="24"/>
          <w:lang w:eastAsia="en-US"/>
        </w:rPr>
        <w:t xml:space="preserve"> i krisesituationer har adgang til kriserelevante produkter</w:t>
      </w:r>
      <w:r w:rsidRPr="009E74FB">
        <w:rPr>
          <w:szCs w:val="24"/>
          <w:lang w:eastAsia="en-US"/>
        </w:rPr>
        <w:t>. Forordningen fastsætter</w:t>
      </w:r>
      <w:r w:rsidRPr="009E74FB">
        <w:rPr>
          <w:strike/>
          <w:szCs w:val="24"/>
          <w:lang w:eastAsia="en-US"/>
        </w:rPr>
        <w:t xml:space="preserve"> derfor</w:t>
      </w:r>
      <w:r w:rsidRPr="009E74FB">
        <w:rPr>
          <w:szCs w:val="24"/>
          <w:lang w:eastAsia="en-US"/>
        </w:rPr>
        <w:t xml:space="preserve"> regler om proceduren og betingelserne for udstedelse af en EU-tvangslicens vedrørende intellektuelle ejendomsrettigheder, der er nødvendige for at sikre levering af kriserelevante produkter til medlemsstaterne i forbindelse med en EU-krisemekanisme eller </w:t>
      </w:r>
      <w:r w:rsidRPr="009E74FB">
        <w:rPr>
          <w:strike/>
          <w:szCs w:val="24"/>
          <w:lang w:eastAsia="en-US"/>
        </w:rPr>
        <w:t>‑</w:t>
      </w:r>
      <w:r w:rsidRPr="009E74FB">
        <w:rPr>
          <w:b/>
          <w:i/>
          <w:szCs w:val="24"/>
          <w:lang w:eastAsia="en-US"/>
        </w:rPr>
        <w:t>-</w:t>
      </w:r>
      <w:r w:rsidRPr="009E74FB">
        <w:rPr>
          <w:szCs w:val="24"/>
          <w:lang w:eastAsia="en-US"/>
        </w:rPr>
        <w:t>nødmekanisme.</w:t>
      </w:r>
      <w:r w:rsidRPr="009E74FB">
        <w:rPr>
          <w:b/>
          <w:i/>
          <w:szCs w:val="24"/>
          <w:lang w:eastAsia="en-US"/>
        </w:rPr>
        <w:t xml:space="preserve"> Med henblik herpå kan Kommissionen, hvis der ikke er indgået en forudgående frivillig aftale inden for fire uger mellem rettighedshaveren og licenstageren, udstede en EU-tvangslicens.</w:t>
      </w:r>
      <w:r w:rsidR="008572DA">
        <w:rPr>
          <w:b/>
          <w:szCs w:val="24"/>
          <w:lang w:eastAsia="en-US"/>
        </w:rPr>
        <w:t xml:space="preserve"> [Ændring 26]</w:t>
      </w:r>
    </w:p>
    <w:p w14:paraId="2BC79964" w14:textId="77777777" w:rsidR="00EC5167" w:rsidRDefault="00EC5167">
      <w:pPr>
        <w:widowControl/>
        <w:rPr>
          <w:szCs w:val="24"/>
          <w:lang w:eastAsia="en-US"/>
        </w:rPr>
      </w:pPr>
      <w:r>
        <w:rPr>
          <w:szCs w:val="24"/>
          <w:lang w:eastAsia="en-US"/>
        </w:rPr>
        <w:br w:type="page"/>
      </w:r>
    </w:p>
    <w:p w14:paraId="212F72A7" w14:textId="36DBDD5A"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2</w:t>
      </w:r>
      <w:r w:rsidRPr="009E74FB">
        <w:rPr>
          <w:szCs w:val="24"/>
          <w:lang w:eastAsia="en-US"/>
        </w:rPr>
        <w:br/>
        <w:t>Anvendelsesområde</w:t>
      </w:r>
    </w:p>
    <w:p w14:paraId="344E3993"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Ved denne forordning fastlægges der bestemmelser om udstedelse af EU-tvangslicenser for følgende intellektuelle ejendomsrettigheder, der er gældende i en eller flere medlemsstater:</w:t>
      </w:r>
    </w:p>
    <w:p w14:paraId="38038C20"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patenter, herunder offentliggjorte patentansøgninger</w:t>
      </w:r>
    </w:p>
    <w:p w14:paraId="7B238BA7"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brugsmodeller eller</w:t>
      </w:r>
    </w:p>
    <w:p w14:paraId="1DB17251"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c)</w:t>
      </w:r>
      <w:r w:rsidRPr="009E74FB">
        <w:rPr>
          <w:szCs w:val="24"/>
          <w:lang w:eastAsia="en-US"/>
        </w:rPr>
        <w:tab/>
        <w:t>supplerende beskyttelsescertifikater.</w:t>
      </w:r>
    </w:p>
    <w:p w14:paraId="3B7B4F97"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 xml:space="preserve">Denne forordning berører ikke de regler, der er fastsat i andre EU-retsakter om ophavsret og beslægtede rettigheder, herunder direktiv 2001/29/EF, direktiv 2009/24/EF og </w:t>
      </w:r>
      <w:proofErr w:type="spellStart"/>
      <w:r w:rsidRPr="009E74FB">
        <w:rPr>
          <w:szCs w:val="24"/>
          <w:lang w:eastAsia="en-US"/>
        </w:rPr>
        <w:t>sui</w:t>
      </w:r>
      <w:proofErr w:type="spellEnd"/>
      <w:r w:rsidRPr="009E74FB">
        <w:rPr>
          <w:szCs w:val="24"/>
          <w:lang w:eastAsia="en-US"/>
        </w:rPr>
        <w:t xml:space="preserve"> generis-rettighederne i direktiv 96/9/EF om retlig beskyttelse af databaser.</w:t>
      </w:r>
    </w:p>
    <w:p w14:paraId="78020967" w14:textId="77777777" w:rsidR="00EC5167" w:rsidRDefault="00EC5167">
      <w:pPr>
        <w:widowControl/>
        <w:rPr>
          <w:szCs w:val="24"/>
          <w:lang w:eastAsia="en-US"/>
        </w:rPr>
      </w:pPr>
      <w:r>
        <w:rPr>
          <w:szCs w:val="24"/>
          <w:lang w:eastAsia="en-US"/>
        </w:rPr>
        <w:br w:type="page"/>
      </w:r>
    </w:p>
    <w:p w14:paraId="04A9163F" w14:textId="2354670C"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3</w:t>
      </w:r>
      <w:r w:rsidRPr="009E74FB">
        <w:rPr>
          <w:szCs w:val="24"/>
          <w:lang w:eastAsia="en-US"/>
        </w:rPr>
        <w:br/>
        <w:t>Definitioner</w:t>
      </w:r>
    </w:p>
    <w:p w14:paraId="65C71FD0" w14:textId="77777777" w:rsidR="009E74FB" w:rsidRPr="009E74FB" w:rsidRDefault="009E74FB" w:rsidP="009E74FB">
      <w:pPr>
        <w:spacing w:before="120" w:after="120" w:line="360" w:lineRule="auto"/>
        <w:rPr>
          <w:szCs w:val="24"/>
          <w:lang w:eastAsia="en-US"/>
        </w:rPr>
      </w:pPr>
      <w:r w:rsidRPr="009E74FB">
        <w:rPr>
          <w:szCs w:val="24"/>
          <w:lang w:eastAsia="en-US"/>
        </w:rPr>
        <w:t>I denne forordning forstås ved:</w:t>
      </w:r>
    </w:p>
    <w:p w14:paraId="231C5FDB" w14:textId="1CAAFD8A" w:rsidR="009E74FB" w:rsidRPr="008572DA" w:rsidRDefault="009E74FB" w:rsidP="009E74FB">
      <w:pPr>
        <w:spacing w:before="120" w:after="120" w:line="360" w:lineRule="auto"/>
        <w:ind w:left="850" w:hanging="850"/>
        <w:rPr>
          <w:b/>
          <w:szCs w:val="24"/>
          <w:lang w:eastAsia="en-US"/>
        </w:rPr>
      </w:pPr>
      <w:r w:rsidRPr="009E74FB">
        <w:rPr>
          <w:b/>
          <w:i/>
          <w:szCs w:val="24"/>
          <w:lang w:eastAsia="en-US"/>
        </w:rPr>
        <w:t>-a)</w:t>
      </w:r>
      <w:r w:rsidRPr="009E74FB">
        <w:rPr>
          <w:szCs w:val="24"/>
          <w:lang w:eastAsia="en-US"/>
        </w:rPr>
        <w:tab/>
      </w:r>
      <w:r w:rsidRPr="009E74FB">
        <w:rPr>
          <w:b/>
          <w:i/>
          <w:szCs w:val="24"/>
          <w:lang w:eastAsia="en-US"/>
        </w:rPr>
        <w:t>"krisetilstand eller nødsituationstilstand": en krisetilstand eller en nødsituationstilstand, der er opført i bilaget til denne forordning, og som er blevet aktiveret eller erklæret i forbindelse med en af de EU-krise- eller nødmekanismer, der er opført i nævnte bilag, i overensstemmelse med en af de EU-retsakter, der er opført deri</w:t>
      </w:r>
      <w:r w:rsidR="008572DA">
        <w:rPr>
          <w:b/>
          <w:szCs w:val="24"/>
          <w:lang w:eastAsia="en-US"/>
        </w:rPr>
        <w:t xml:space="preserve"> [Ændring 27]</w:t>
      </w:r>
    </w:p>
    <w:p w14:paraId="1296209D" w14:textId="1252496D" w:rsidR="009E74FB" w:rsidRPr="008572DA" w:rsidRDefault="009E74FB" w:rsidP="009E74FB">
      <w:pPr>
        <w:spacing w:before="120" w:after="120" w:line="360" w:lineRule="auto"/>
        <w:ind w:left="850" w:hanging="850"/>
        <w:rPr>
          <w:b/>
          <w:szCs w:val="24"/>
          <w:lang w:eastAsia="en-US"/>
        </w:rPr>
      </w:pPr>
      <w:r w:rsidRPr="009E74FB">
        <w:rPr>
          <w:szCs w:val="24"/>
          <w:lang w:eastAsia="en-US"/>
        </w:rPr>
        <w:t>a)</w:t>
      </w:r>
      <w:r w:rsidRPr="009E74FB">
        <w:rPr>
          <w:szCs w:val="24"/>
          <w:lang w:eastAsia="en-US"/>
        </w:rPr>
        <w:tab/>
        <w:t>"kriserelevante produkter": produkter eller processer, der er bydende nødvendige for at reagere på en krise eller en nødsituation eller for at afhjælpe virkningerne af en krise eller en nødsituation i Unionen</w:t>
      </w:r>
      <w:r w:rsidRPr="009E74FB">
        <w:rPr>
          <w:b/>
          <w:i/>
          <w:szCs w:val="24"/>
          <w:lang w:eastAsia="en-US"/>
        </w:rPr>
        <w:t>, og for hvilke udstedelse af en tvangslicens er det eneste middel til at sikre tilstrækkelig og rettidig tilgængelighed og levering af sådanne produkter eller processer, som fastsat af Kommissionen efter vejledning fra det rådgivende organ i overensstemmelse med artikel 6.</w:t>
      </w:r>
      <w:r w:rsidR="008572DA">
        <w:rPr>
          <w:b/>
          <w:szCs w:val="24"/>
          <w:lang w:eastAsia="en-US"/>
        </w:rPr>
        <w:t xml:space="preserve"> [Ændring 28]</w:t>
      </w:r>
    </w:p>
    <w:p w14:paraId="246DE886"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b)</w:t>
      </w:r>
      <w:r w:rsidRPr="009E74FB">
        <w:rPr>
          <w:szCs w:val="24"/>
          <w:lang w:eastAsia="en-US"/>
        </w:rPr>
        <w:tab/>
        <w:t>"relevante aktiviteter": fremstilling, anvendelse, udbud til salg, salg eller import</w:t>
      </w:r>
    </w:p>
    <w:p w14:paraId="1D98B071" w14:textId="77777777" w:rsidR="00EC5167" w:rsidRDefault="00EC5167">
      <w:pPr>
        <w:widowControl/>
        <w:rPr>
          <w:szCs w:val="24"/>
          <w:lang w:eastAsia="en-US"/>
        </w:rPr>
      </w:pPr>
      <w:r>
        <w:rPr>
          <w:szCs w:val="24"/>
          <w:lang w:eastAsia="en-US"/>
        </w:rPr>
        <w:br w:type="page"/>
      </w:r>
    </w:p>
    <w:p w14:paraId="277E2D14" w14:textId="012FB0A7"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c)</w:t>
      </w:r>
      <w:r w:rsidRPr="009E74FB">
        <w:rPr>
          <w:szCs w:val="24"/>
          <w:lang w:eastAsia="en-US"/>
        </w:rPr>
        <w:tab/>
        <w:t>"rettighedshaver": en indehaver af enhver af de intellektuelle ejendomsrettigheder, der er omhandlet i artikel 2, stk. 1</w:t>
      </w:r>
    </w:p>
    <w:p w14:paraId="2E942E49"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d)</w:t>
      </w:r>
      <w:r w:rsidRPr="009E74FB">
        <w:rPr>
          <w:szCs w:val="24"/>
          <w:lang w:eastAsia="en-US"/>
        </w:rPr>
        <w:tab/>
        <w:t>"beskyttet opfindelse": enhver opfindelse, der er beskyttet af en af de intellektuelle ejendomsrettigheder, der er omhandlet i artikel 2, stk. 1</w:t>
      </w:r>
    </w:p>
    <w:p w14:paraId="05C06E14"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e)</w:t>
      </w:r>
      <w:r w:rsidRPr="009E74FB">
        <w:rPr>
          <w:szCs w:val="24"/>
          <w:lang w:eastAsia="en-US"/>
        </w:rPr>
        <w:tab/>
        <w:t>"EU-tvangslicens": en tvangslicens, som Kommissionen har udstedt for at udnytte en beskyttet opfindelse af kriserelevante produkter til relevante aktiviteter i Unionen</w:t>
      </w:r>
    </w:p>
    <w:p w14:paraId="424BBAA6"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f)</w:t>
      </w:r>
      <w:r w:rsidRPr="009E74FB">
        <w:rPr>
          <w:szCs w:val="24"/>
          <w:lang w:eastAsia="en-US"/>
        </w:rPr>
        <w:tab/>
        <w:t>"toldmyndigheder": toldmyndigheder som defineret i artikel 5, nr. 1), i Europa-Parlamentets og Rådets forordning (EU) nr. 952/2013</w:t>
      </w:r>
      <w:r w:rsidRPr="009E74FB">
        <w:rPr>
          <w:szCs w:val="24"/>
          <w:vertAlign w:val="superscript"/>
          <w:lang w:val="en-GB" w:eastAsia="en-US"/>
        </w:rPr>
        <w:footnoteReference w:id="14"/>
      </w:r>
      <w:r w:rsidRPr="009E74FB">
        <w:rPr>
          <w:szCs w:val="24"/>
          <w:lang w:eastAsia="en-US"/>
        </w:rPr>
        <w:t>.</w:t>
      </w:r>
    </w:p>
    <w:p w14:paraId="6E4453C9"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4</w:t>
      </w:r>
      <w:r w:rsidRPr="009E74FB">
        <w:rPr>
          <w:szCs w:val="24"/>
          <w:lang w:eastAsia="en-US"/>
        </w:rPr>
        <w:br/>
        <w:t>EU-tvangslicens</w:t>
      </w:r>
    </w:p>
    <w:p w14:paraId="4E4F2BEC" w14:textId="653CD635" w:rsidR="009E74FB" w:rsidRPr="008572DA" w:rsidRDefault="009E74FB" w:rsidP="009E74FB">
      <w:pPr>
        <w:spacing w:before="120" w:after="120" w:line="360" w:lineRule="auto"/>
        <w:rPr>
          <w:b/>
          <w:strike/>
          <w:szCs w:val="24"/>
          <w:lang w:eastAsia="en-US"/>
        </w:rPr>
      </w:pPr>
      <w:r w:rsidRPr="009E74FB">
        <w:rPr>
          <w:szCs w:val="24"/>
          <w:lang w:eastAsia="en-US"/>
        </w:rPr>
        <w:t>Kommissionen kan udstede en EU-tvangslicens</w:t>
      </w:r>
      <w:r w:rsidRPr="009E74FB">
        <w:rPr>
          <w:strike/>
          <w:szCs w:val="24"/>
          <w:lang w:eastAsia="en-US"/>
        </w:rPr>
        <w:t>, hvis</w:t>
      </w:r>
      <w:r w:rsidRPr="009E74FB">
        <w:rPr>
          <w:b/>
          <w:i/>
          <w:szCs w:val="24"/>
          <w:lang w:eastAsia="en-US"/>
        </w:rPr>
        <w:t xml:space="preserve"> i tilfælde af</w:t>
      </w:r>
      <w:r w:rsidRPr="009E74FB">
        <w:rPr>
          <w:szCs w:val="24"/>
          <w:lang w:eastAsia="en-US"/>
        </w:rPr>
        <w:t xml:space="preserve"> en krisetilstand eller en nødsituationstilstand, </w:t>
      </w:r>
      <w:r w:rsidRPr="009E74FB">
        <w:rPr>
          <w:b/>
          <w:i/>
          <w:szCs w:val="24"/>
          <w:lang w:eastAsia="en-US"/>
        </w:rPr>
        <w:t xml:space="preserve">hvis der ikke er indgået en frivillig aftale med henblik på at sikre forsyningen af kriserelevante produkter mellem rettighedsindehaveren og den potentielle licenstager inden for fire </w:t>
      </w:r>
      <w:proofErr w:type="spellStart"/>
      <w:r w:rsidRPr="009E74FB">
        <w:rPr>
          <w:b/>
          <w:i/>
          <w:szCs w:val="24"/>
          <w:lang w:eastAsia="en-US"/>
        </w:rPr>
        <w:t>uger</w:t>
      </w:r>
      <w:r w:rsidRPr="009E74FB">
        <w:rPr>
          <w:strike/>
          <w:szCs w:val="24"/>
          <w:lang w:eastAsia="en-US"/>
        </w:rPr>
        <w:t>der</w:t>
      </w:r>
      <w:proofErr w:type="spellEnd"/>
      <w:r w:rsidRPr="009E74FB">
        <w:rPr>
          <w:strike/>
          <w:szCs w:val="24"/>
          <w:lang w:eastAsia="en-US"/>
        </w:rPr>
        <w:t xml:space="preserve"> er opført i bilaget til denne forordning, er blevet aktiveret eller erklæret i overensstemmelse med en af de EU-retsakter, der er opført i nævnte bilag</w:t>
      </w:r>
      <w:r w:rsidRPr="009E74FB">
        <w:rPr>
          <w:szCs w:val="24"/>
          <w:lang w:eastAsia="en-US"/>
        </w:rPr>
        <w:t>.</w:t>
      </w:r>
      <w:r w:rsidR="008572DA">
        <w:rPr>
          <w:b/>
          <w:strike/>
          <w:szCs w:val="24"/>
          <w:lang w:eastAsia="en-US"/>
        </w:rPr>
        <w:t xml:space="preserve"> </w:t>
      </w:r>
      <w:r w:rsidR="008572DA" w:rsidRPr="008572DA">
        <w:rPr>
          <w:b/>
          <w:szCs w:val="24"/>
          <w:lang w:eastAsia="en-US"/>
        </w:rPr>
        <w:t>[Ændring 29]</w:t>
      </w:r>
    </w:p>
    <w:p w14:paraId="22053F3E" w14:textId="77777777" w:rsidR="00EC5167" w:rsidRDefault="00EC5167">
      <w:pPr>
        <w:widowControl/>
        <w:rPr>
          <w:szCs w:val="24"/>
          <w:lang w:eastAsia="en-US"/>
        </w:rPr>
      </w:pPr>
      <w:r>
        <w:rPr>
          <w:szCs w:val="24"/>
          <w:lang w:eastAsia="en-US"/>
        </w:rPr>
        <w:br w:type="page"/>
      </w:r>
    </w:p>
    <w:p w14:paraId="4E54D7C6" w14:textId="05B59441"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5</w:t>
      </w:r>
      <w:r w:rsidRPr="009E74FB">
        <w:rPr>
          <w:szCs w:val="24"/>
          <w:lang w:eastAsia="en-US"/>
        </w:rPr>
        <w:br/>
        <w:t>Generelle betingelser for en EU-tvangslicens</w:t>
      </w:r>
    </w:p>
    <w:p w14:paraId="27E69502" w14:textId="422A01ED" w:rsidR="009E74FB" w:rsidRPr="00C01D18" w:rsidRDefault="009E74FB" w:rsidP="009E74FB">
      <w:pPr>
        <w:spacing w:before="120" w:after="120" w:line="360" w:lineRule="auto"/>
        <w:ind w:left="850" w:hanging="850"/>
        <w:rPr>
          <w:b/>
          <w:szCs w:val="24"/>
          <w:lang w:eastAsia="en-US"/>
        </w:rPr>
      </w:pPr>
      <w:r w:rsidRPr="009E74FB">
        <w:rPr>
          <w:szCs w:val="24"/>
          <w:lang w:eastAsia="en-US"/>
        </w:rPr>
        <w:t>1.</w:t>
      </w:r>
      <w:r w:rsidRPr="009E74FB">
        <w:rPr>
          <w:szCs w:val="24"/>
          <w:lang w:eastAsia="en-US"/>
        </w:rPr>
        <w:tab/>
        <w:t>EU-tvangslicensen</w:t>
      </w:r>
      <w:r w:rsidRPr="009E74FB">
        <w:rPr>
          <w:b/>
          <w:i/>
          <w:szCs w:val="24"/>
          <w:lang w:eastAsia="en-US"/>
        </w:rPr>
        <w:t>, der kan udstedes af Kommissionen i overensstemmelse med artikel 4 og uanset forpligtelserne i henhold til artikel 10</w:t>
      </w:r>
      <w:r w:rsidRPr="009E74FB">
        <w:rPr>
          <w:szCs w:val="24"/>
          <w:lang w:eastAsia="en-US"/>
        </w:rPr>
        <w:t>:</w:t>
      </w:r>
      <w:r w:rsidR="00C01D18">
        <w:rPr>
          <w:b/>
          <w:szCs w:val="24"/>
          <w:lang w:eastAsia="en-US"/>
        </w:rPr>
        <w:t xml:space="preserve"> [Ændring 30]</w:t>
      </w:r>
    </w:p>
    <w:p w14:paraId="53EF2B8B"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må ikke være eksklusiv og må ikke kunne overdrages, undtagen hvad angår den del af den pågældende virksomhed eller goodwill, som brugen af en sådan tvangslicens kommer til gode</w:t>
      </w:r>
    </w:p>
    <w:p w14:paraId="196647B8" w14:textId="7C12FC34" w:rsidR="009E74FB" w:rsidRPr="00C01D18" w:rsidRDefault="009E74FB" w:rsidP="009E74FB">
      <w:pPr>
        <w:spacing w:before="120" w:after="120" w:line="360" w:lineRule="auto"/>
        <w:ind w:left="1416" w:hanging="566"/>
        <w:rPr>
          <w:b/>
          <w:szCs w:val="24"/>
          <w:lang w:eastAsia="en-US"/>
        </w:rPr>
      </w:pPr>
      <w:r w:rsidRPr="009E74FB">
        <w:rPr>
          <w:szCs w:val="24"/>
          <w:lang w:eastAsia="en-US"/>
        </w:rPr>
        <w:t>b)</w:t>
      </w:r>
      <w:r w:rsidRPr="009E74FB">
        <w:rPr>
          <w:szCs w:val="24"/>
          <w:lang w:eastAsia="en-US"/>
        </w:rPr>
        <w:tab/>
        <w:t xml:space="preserve">skal have </w:t>
      </w:r>
      <w:proofErr w:type="spellStart"/>
      <w:r w:rsidRPr="009E74FB">
        <w:rPr>
          <w:strike/>
          <w:szCs w:val="24"/>
          <w:lang w:eastAsia="en-US"/>
        </w:rPr>
        <w:t>et</w:t>
      </w:r>
      <w:r w:rsidRPr="009E74FB">
        <w:rPr>
          <w:b/>
          <w:i/>
          <w:szCs w:val="24"/>
          <w:lang w:eastAsia="en-US"/>
        </w:rPr>
        <w:t>en</w:t>
      </w:r>
      <w:proofErr w:type="spellEnd"/>
      <w:r w:rsidRPr="009E74FB">
        <w:rPr>
          <w:b/>
          <w:i/>
          <w:szCs w:val="24"/>
          <w:lang w:eastAsia="en-US"/>
        </w:rPr>
        <w:t xml:space="preserve"> streng begrænsning med hensyn til</w:t>
      </w:r>
      <w:r w:rsidRPr="009E74FB">
        <w:rPr>
          <w:szCs w:val="24"/>
          <w:lang w:eastAsia="en-US"/>
        </w:rPr>
        <w:t xml:space="preserve"> omfang</w:t>
      </w:r>
      <w:r w:rsidRPr="009E74FB">
        <w:rPr>
          <w:b/>
          <w:i/>
          <w:szCs w:val="24"/>
          <w:lang w:eastAsia="en-US"/>
        </w:rPr>
        <w:t>, anvendelsesområde, nødvendige mængder</w:t>
      </w:r>
      <w:r w:rsidRPr="009E74FB">
        <w:rPr>
          <w:szCs w:val="24"/>
          <w:lang w:eastAsia="en-US"/>
        </w:rPr>
        <w:t xml:space="preserve"> og en varighed, der er </w:t>
      </w:r>
      <w:r w:rsidRPr="009E74FB">
        <w:rPr>
          <w:strike/>
          <w:szCs w:val="24"/>
          <w:lang w:eastAsia="en-US"/>
        </w:rPr>
        <w:t xml:space="preserve">begrænset til </w:t>
      </w:r>
      <w:proofErr w:type="spellStart"/>
      <w:r w:rsidRPr="009E74FB">
        <w:rPr>
          <w:strike/>
          <w:szCs w:val="24"/>
          <w:lang w:eastAsia="en-US"/>
        </w:rPr>
        <w:t>det</w:t>
      </w:r>
      <w:r w:rsidRPr="009E74FB">
        <w:rPr>
          <w:b/>
          <w:i/>
          <w:szCs w:val="24"/>
          <w:lang w:eastAsia="en-US"/>
        </w:rPr>
        <w:t>i</w:t>
      </w:r>
      <w:proofErr w:type="spellEnd"/>
      <w:r w:rsidRPr="009E74FB">
        <w:rPr>
          <w:b/>
          <w:i/>
          <w:szCs w:val="24"/>
          <w:lang w:eastAsia="en-US"/>
        </w:rPr>
        <w:t xml:space="preserve"> fuld overensstemmelse med det specifikke</w:t>
      </w:r>
      <w:r w:rsidRPr="009E74FB">
        <w:rPr>
          <w:szCs w:val="24"/>
          <w:lang w:eastAsia="en-US"/>
        </w:rPr>
        <w:t xml:space="preserve"> formål, hvortil tvangslicensen er udstedt, og </w:t>
      </w:r>
      <w:proofErr w:type="spellStart"/>
      <w:r w:rsidRPr="009E74FB">
        <w:rPr>
          <w:strike/>
          <w:szCs w:val="24"/>
          <w:lang w:eastAsia="en-US"/>
        </w:rPr>
        <w:t>begrænset</w:t>
      </w:r>
      <w:r w:rsidRPr="009E74FB">
        <w:rPr>
          <w:b/>
          <w:i/>
          <w:szCs w:val="24"/>
          <w:lang w:eastAsia="en-US"/>
        </w:rPr>
        <w:t>som</w:t>
      </w:r>
      <w:proofErr w:type="spellEnd"/>
      <w:r w:rsidRPr="009E74FB">
        <w:rPr>
          <w:b/>
          <w:i/>
          <w:szCs w:val="24"/>
          <w:lang w:eastAsia="en-US"/>
        </w:rPr>
        <w:t xml:space="preserve"> er nøje knyttet</w:t>
      </w:r>
      <w:r w:rsidRPr="009E74FB">
        <w:rPr>
          <w:szCs w:val="24"/>
          <w:lang w:eastAsia="en-US"/>
        </w:rPr>
        <w:t xml:space="preserve"> til omfanget og varigheden af den krise</w:t>
      </w:r>
      <w:r w:rsidRPr="009E74FB">
        <w:rPr>
          <w:strike/>
          <w:szCs w:val="24"/>
          <w:lang w:eastAsia="en-US"/>
        </w:rPr>
        <w:t>-</w:t>
      </w:r>
      <w:r w:rsidRPr="009E74FB">
        <w:rPr>
          <w:szCs w:val="24"/>
          <w:lang w:eastAsia="en-US"/>
        </w:rPr>
        <w:t xml:space="preserve"> eller nødsituationstilstand, </w:t>
      </w:r>
      <w:r w:rsidRPr="009E74FB">
        <w:rPr>
          <w:strike/>
          <w:szCs w:val="24"/>
          <w:lang w:eastAsia="en-US"/>
        </w:rPr>
        <w:t xml:space="preserve">inden for hvilke </w:t>
      </w:r>
      <w:proofErr w:type="spellStart"/>
      <w:r w:rsidRPr="009E74FB">
        <w:rPr>
          <w:strike/>
          <w:szCs w:val="24"/>
          <w:lang w:eastAsia="en-US"/>
        </w:rPr>
        <w:t>rammer</w:t>
      </w:r>
      <w:r w:rsidRPr="009E74FB">
        <w:rPr>
          <w:b/>
          <w:i/>
          <w:szCs w:val="24"/>
          <w:lang w:eastAsia="en-US"/>
        </w:rPr>
        <w:t>som</w:t>
      </w:r>
      <w:proofErr w:type="spellEnd"/>
      <w:r w:rsidRPr="009E74FB">
        <w:rPr>
          <w:szCs w:val="24"/>
          <w:lang w:eastAsia="en-US"/>
        </w:rPr>
        <w:t xml:space="preserve"> den er udstedt</w:t>
      </w:r>
      <w:r w:rsidRPr="009E74FB">
        <w:rPr>
          <w:b/>
          <w:i/>
          <w:szCs w:val="24"/>
          <w:lang w:eastAsia="en-US"/>
        </w:rPr>
        <w:t xml:space="preserve"> under i Unionen</w:t>
      </w:r>
      <w:r w:rsidR="00C01D18">
        <w:rPr>
          <w:b/>
          <w:szCs w:val="24"/>
          <w:lang w:eastAsia="en-US"/>
        </w:rPr>
        <w:t xml:space="preserve"> [Ændring 31]</w:t>
      </w:r>
    </w:p>
    <w:p w14:paraId="03DA179E" w14:textId="729A993C" w:rsidR="009E74FB" w:rsidRPr="00C01D18" w:rsidRDefault="009E74FB" w:rsidP="009E74FB">
      <w:pPr>
        <w:spacing w:before="120" w:after="120" w:line="360" w:lineRule="auto"/>
        <w:ind w:left="1416" w:hanging="566"/>
        <w:rPr>
          <w:b/>
          <w:szCs w:val="24"/>
          <w:lang w:eastAsia="en-US"/>
        </w:rPr>
      </w:pPr>
      <w:r w:rsidRPr="009E74FB">
        <w:rPr>
          <w:szCs w:val="24"/>
          <w:lang w:eastAsia="en-US"/>
        </w:rPr>
        <w:t>c)</w:t>
      </w:r>
      <w:r w:rsidRPr="009E74FB">
        <w:rPr>
          <w:szCs w:val="24"/>
          <w:lang w:eastAsia="en-US"/>
        </w:rPr>
        <w:tab/>
        <w:t>skal være strengt begrænset til de relevante</w:t>
      </w:r>
      <w:r w:rsidRPr="009E74FB">
        <w:rPr>
          <w:b/>
          <w:i/>
          <w:szCs w:val="24"/>
          <w:lang w:eastAsia="en-US"/>
        </w:rPr>
        <w:t xml:space="preserve"> og behørigt begrundede</w:t>
      </w:r>
      <w:r w:rsidRPr="009E74FB">
        <w:rPr>
          <w:szCs w:val="24"/>
          <w:lang w:eastAsia="en-US"/>
        </w:rPr>
        <w:t xml:space="preserve"> aktiviteter i forbindelse med kriserelevante produkter i Unionen</w:t>
      </w:r>
      <w:r w:rsidR="00C01D18">
        <w:rPr>
          <w:b/>
          <w:szCs w:val="24"/>
          <w:lang w:eastAsia="en-US"/>
        </w:rPr>
        <w:t xml:space="preserve"> [Ændring 32]</w:t>
      </w:r>
    </w:p>
    <w:p w14:paraId="518B431E" w14:textId="77777777" w:rsidR="00EC5167" w:rsidRDefault="00EC5167">
      <w:pPr>
        <w:widowControl/>
        <w:rPr>
          <w:szCs w:val="24"/>
          <w:lang w:eastAsia="en-US"/>
        </w:rPr>
      </w:pPr>
      <w:r>
        <w:rPr>
          <w:szCs w:val="24"/>
          <w:lang w:eastAsia="en-US"/>
        </w:rPr>
        <w:br w:type="page"/>
      </w:r>
    </w:p>
    <w:p w14:paraId="60C8BD99" w14:textId="42C37B1A" w:rsidR="009E74FB" w:rsidRPr="00C01D18" w:rsidRDefault="009E74FB" w:rsidP="009E74FB">
      <w:pPr>
        <w:spacing w:before="120" w:after="120" w:line="360" w:lineRule="auto"/>
        <w:ind w:left="1416" w:hanging="566"/>
        <w:rPr>
          <w:b/>
          <w:szCs w:val="24"/>
          <w:lang w:eastAsia="en-US"/>
        </w:rPr>
      </w:pPr>
      <w:r w:rsidRPr="009E74FB">
        <w:rPr>
          <w:szCs w:val="24"/>
          <w:lang w:eastAsia="en-US"/>
        </w:rPr>
        <w:lastRenderedPageBreak/>
        <w:t>d)</w:t>
      </w:r>
      <w:r w:rsidRPr="009E74FB">
        <w:rPr>
          <w:szCs w:val="24"/>
          <w:lang w:eastAsia="en-US"/>
        </w:rPr>
        <w:tab/>
        <w:t>udstedes kun mod betaling af et passende vederlag til rettighedshaveren</w:t>
      </w:r>
      <w:r w:rsidRPr="009E74FB">
        <w:rPr>
          <w:b/>
          <w:i/>
          <w:szCs w:val="24"/>
          <w:lang w:eastAsia="en-US"/>
        </w:rPr>
        <w:t xml:space="preserve"> som fastsat i overensstemmelse med artikel 9</w:t>
      </w:r>
      <w:r w:rsidR="00C01D18">
        <w:rPr>
          <w:b/>
          <w:szCs w:val="24"/>
          <w:lang w:eastAsia="en-US"/>
        </w:rPr>
        <w:t xml:space="preserve"> [Ændring 33]</w:t>
      </w:r>
    </w:p>
    <w:p w14:paraId="101E6F13" w14:textId="35B40A3B" w:rsidR="009E74FB" w:rsidRPr="00C01D18" w:rsidRDefault="009E74FB" w:rsidP="009E74FB">
      <w:pPr>
        <w:spacing w:before="120" w:after="120" w:line="360" w:lineRule="auto"/>
        <w:ind w:left="1416" w:hanging="566"/>
        <w:rPr>
          <w:b/>
          <w:szCs w:val="24"/>
          <w:lang w:eastAsia="en-US"/>
        </w:rPr>
      </w:pPr>
      <w:r w:rsidRPr="009E74FB">
        <w:rPr>
          <w:szCs w:val="24"/>
          <w:lang w:eastAsia="en-US"/>
        </w:rPr>
        <w:t>e)</w:t>
      </w:r>
      <w:r w:rsidRPr="009E74FB">
        <w:rPr>
          <w:szCs w:val="24"/>
          <w:lang w:eastAsia="en-US"/>
        </w:rPr>
        <w:tab/>
        <w:t>skal være</w:t>
      </w:r>
      <w:r w:rsidRPr="009E74FB">
        <w:rPr>
          <w:b/>
          <w:i/>
          <w:szCs w:val="24"/>
          <w:lang w:eastAsia="en-US"/>
        </w:rPr>
        <w:t xml:space="preserve"> strengt</w:t>
      </w:r>
      <w:r w:rsidRPr="009E74FB">
        <w:rPr>
          <w:szCs w:val="24"/>
          <w:lang w:eastAsia="en-US"/>
        </w:rPr>
        <w:t xml:space="preserve"> begrænset til </w:t>
      </w:r>
      <w:proofErr w:type="spellStart"/>
      <w:r w:rsidRPr="009E74FB">
        <w:rPr>
          <w:strike/>
          <w:szCs w:val="24"/>
          <w:lang w:eastAsia="en-US"/>
        </w:rPr>
        <w:t>EU's</w:t>
      </w:r>
      <w:r w:rsidRPr="009E74FB">
        <w:rPr>
          <w:b/>
          <w:i/>
          <w:szCs w:val="24"/>
          <w:lang w:eastAsia="en-US"/>
        </w:rPr>
        <w:t>det</w:t>
      </w:r>
      <w:proofErr w:type="spellEnd"/>
      <w:r w:rsidRPr="009E74FB">
        <w:rPr>
          <w:b/>
          <w:i/>
          <w:szCs w:val="24"/>
          <w:lang w:eastAsia="en-US"/>
        </w:rPr>
        <w:t xml:space="preserve"> præcist definerede</w:t>
      </w:r>
      <w:r w:rsidRPr="009E74FB">
        <w:rPr>
          <w:szCs w:val="24"/>
          <w:lang w:eastAsia="en-US"/>
        </w:rPr>
        <w:t xml:space="preserve"> område</w:t>
      </w:r>
      <w:r w:rsidRPr="009E74FB">
        <w:rPr>
          <w:b/>
          <w:i/>
          <w:szCs w:val="24"/>
          <w:lang w:eastAsia="en-US"/>
        </w:rPr>
        <w:t xml:space="preserve"> i </w:t>
      </w:r>
      <w:r w:rsidR="00C01D18">
        <w:rPr>
          <w:b/>
          <w:i/>
          <w:szCs w:val="24"/>
          <w:lang w:eastAsia="en-US"/>
        </w:rPr>
        <w:t>Unionen</w:t>
      </w:r>
      <w:r w:rsidR="00C01D18">
        <w:rPr>
          <w:b/>
          <w:szCs w:val="24"/>
          <w:lang w:eastAsia="en-US"/>
        </w:rPr>
        <w:t xml:space="preserve"> [Ændring 34]</w:t>
      </w:r>
    </w:p>
    <w:p w14:paraId="7A97F33B"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f)</w:t>
      </w:r>
      <w:r w:rsidRPr="009E74FB">
        <w:rPr>
          <w:szCs w:val="24"/>
          <w:lang w:eastAsia="en-US"/>
        </w:rPr>
        <w:tab/>
        <w:t>udstedes kun til en person, der anses for at være i stand til at udnytte den beskyttede opfindelse på en sådan måde, at de relevante aktiviteter forbundet med de kriserelevante produkter kan udføres korrekt og i overensstemmelse med de forpligtelser, der er omhandlet i artikel 10.</w:t>
      </w:r>
    </w:p>
    <w:p w14:paraId="325B1BA4" w14:textId="07327FCE" w:rsidR="009E74FB" w:rsidRPr="00C01D18" w:rsidRDefault="009E74FB" w:rsidP="009E74FB">
      <w:pPr>
        <w:spacing w:before="120" w:after="120" w:line="360" w:lineRule="auto"/>
        <w:ind w:left="1416" w:hanging="566"/>
        <w:rPr>
          <w:b/>
          <w:szCs w:val="24"/>
          <w:lang w:eastAsia="en-US"/>
        </w:rPr>
      </w:pPr>
      <w:r w:rsidRPr="009E74FB">
        <w:rPr>
          <w:b/>
          <w:i/>
          <w:szCs w:val="24"/>
          <w:lang w:eastAsia="en-US"/>
        </w:rPr>
        <w:t>fa)</w:t>
      </w:r>
      <w:r w:rsidRPr="009E74FB">
        <w:rPr>
          <w:szCs w:val="24"/>
          <w:lang w:eastAsia="en-US"/>
        </w:rPr>
        <w:tab/>
      </w:r>
      <w:r w:rsidRPr="009E74FB">
        <w:rPr>
          <w:b/>
          <w:i/>
          <w:szCs w:val="24"/>
          <w:lang w:eastAsia="en-US"/>
        </w:rPr>
        <w:t>skal klart angive, at licenstageren er ansvarlig for ethvert ansvar eller garantier i forbindelse med produktion og distribution af kriserelevante produkter, der fritager rettighedshaveren for krav, der måtte opstå som følge af produktansvarsspørgsmål</w:t>
      </w:r>
      <w:r w:rsidR="00C01D18">
        <w:rPr>
          <w:b/>
          <w:szCs w:val="24"/>
          <w:lang w:eastAsia="en-US"/>
        </w:rPr>
        <w:t xml:space="preserve"> [Ændring 35]</w:t>
      </w:r>
    </w:p>
    <w:p w14:paraId="6C402A22"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En EU-tvangslicens til en opfindelse, der er beskyttet ved en offentliggjort patentansøgning, omfatter et patent, der er udstedt på grundlag af denne ansøgning, forudsat at patentets udstedelse finder sted, mens EU-tvangslicensen er gyldig.</w:t>
      </w:r>
    </w:p>
    <w:p w14:paraId="577455E9" w14:textId="77777777" w:rsidR="00EC5167" w:rsidRDefault="00EC5167">
      <w:pPr>
        <w:widowControl/>
        <w:rPr>
          <w:szCs w:val="24"/>
          <w:lang w:eastAsia="en-US"/>
        </w:rPr>
      </w:pPr>
      <w:r>
        <w:rPr>
          <w:szCs w:val="24"/>
          <w:lang w:eastAsia="en-US"/>
        </w:rPr>
        <w:br w:type="page"/>
      </w:r>
    </w:p>
    <w:p w14:paraId="749D4618" w14:textId="669AB08F"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3.</w:t>
      </w:r>
      <w:r w:rsidRPr="009E74FB">
        <w:rPr>
          <w:szCs w:val="24"/>
          <w:lang w:eastAsia="en-US"/>
        </w:rPr>
        <w:tab/>
        <w:t>En EU-tvangslicens til en opfindelse, der er beskyttet af et patent, omfatter et supplerende beskyttelsescertifikat, der er udstedt med henvisning til det pågældende patent, forudsat at overgangen fra patentbeskyttelse til beskyttelse i henhold til et supplerende beskyttelsescertifikat finder sted, mens EU-tvangslicensen er gyldig.</w:t>
      </w:r>
    </w:p>
    <w:p w14:paraId="50970EB7"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6</w:t>
      </w:r>
      <w:r w:rsidRPr="009E74FB">
        <w:rPr>
          <w:szCs w:val="24"/>
          <w:lang w:eastAsia="en-US"/>
        </w:rPr>
        <w:br/>
        <w:t>Rådgivende organ</w:t>
      </w:r>
    </w:p>
    <w:p w14:paraId="4E1C5008"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Når Kommissionen overvejer at udstede en EU-tvangslicens, skal den uden unødigt ophold høre et rådgivende organ.</w:t>
      </w:r>
    </w:p>
    <w:p w14:paraId="2F371CAC" w14:textId="47881CE4" w:rsidR="009E74FB" w:rsidRPr="00C01D18" w:rsidRDefault="009E74FB" w:rsidP="009E74FB">
      <w:pPr>
        <w:spacing w:before="120" w:after="120" w:line="360" w:lineRule="auto"/>
        <w:ind w:left="850" w:hanging="850"/>
        <w:rPr>
          <w:b/>
          <w:szCs w:val="24"/>
          <w:lang w:eastAsia="en-US"/>
        </w:rPr>
      </w:pPr>
      <w:r w:rsidRPr="009E74FB">
        <w:rPr>
          <w:szCs w:val="24"/>
          <w:lang w:eastAsia="en-US"/>
        </w:rPr>
        <w:t>2.</w:t>
      </w:r>
      <w:r w:rsidRPr="009E74FB">
        <w:rPr>
          <w:szCs w:val="24"/>
          <w:lang w:eastAsia="en-US"/>
        </w:rPr>
        <w:tab/>
        <w:t>Det rådgivende organ, der er omhandlet i stk. 1, er det rådgivende organ, der er kompetent i forbindelse med EU-krisemekanismen eller -nødmekanismen, jf. bilag I til denne forordning ("det kompetente rådgivende organ"). I forbindelse med denne forordning bistår og rådgiver det kompetente rådgivende organ</w:t>
      </w:r>
      <w:r w:rsidRPr="009E74FB">
        <w:rPr>
          <w:b/>
          <w:i/>
          <w:szCs w:val="24"/>
          <w:lang w:eastAsia="en-US"/>
        </w:rPr>
        <w:t>, som handler i offentlighedens interesse,</w:t>
      </w:r>
      <w:r w:rsidRPr="009E74FB">
        <w:rPr>
          <w:szCs w:val="24"/>
          <w:lang w:eastAsia="en-US"/>
        </w:rPr>
        <w:t xml:space="preserve"> Kommissionen med hensyn til følgende opgaver:</w:t>
      </w:r>
      <w:r w:rsidR="00C01D18">
        <w:rPr>
          <w:b/>
          <w:szCs w:val="24"/>
          <w:lang w:eastAsia="en-US"/>
        </w:rPr>
        <w:t xml:space="preserve"> [Ændring 36]</w:t>
      </w:r>
    </w:p>
    <w:p w14:paraId="7053BD2F"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indsamling af kriserelevante oplysninger, markedsoplysninger og analyse af disse data</w:t>
      </w:r>
    </w:p>
    <w:p w14:paraId="098CC487" w14:textId="77777777" w:rsidR="00EC5167" w:rsidRDefault="00EC5167">
      <w:pPr>
        <w:widowControl/>
        <w:rPr>
          <w:b/>
          <w:i/>
          <w:szCs w:val="24"/>
          <w:lang w:eastAsia="en-US"/>
        </w:rPr>
      </w:pPr>
      <w:r>
        <w:rPr>
          <w:b/>
          <w:i/>
          <w:szCs w:val="24"/>
          <w:lang w:eastAsia="en-US"/>
        </w:rPr>
        <w:br w:type="page"/>
      </w:r>
    </w:p>
    <w:p w14:paraId="578DB7F2" w14:textId="5349F2F0" w:rsidR="009E74FB" w:rsidRPr="00554845" w:rsidRDefault="009E74FB" w:rsidP="009E74FB">
      <w:pPr>
        <w:spacing w:before="120" w:after="120" w:line="360" w:lineRule="auto"/>
        <w:ind w:left="1416" w:hanging="566"/>
        <w:rPr>
          <w:b/>
          <w:szCs w:val="24"/>
          <w:lang w:eastAsia="en-US"/>
        </w:rPr>
      </w:pPr>
      <w:proofErr w:type="spellStart"/>
      <w:r w:rsidRPr="009E74FB">
        <w:rPr>
          <w:b/>
          <w:i/>
          <w:szCs w:val="24"/>
          <w:lang w:eastAsia="en-US"/>
        </w:rPr>
        <w:lastRenderedPageBreak/>
        <w:t>aa</w:t>
      </w:r>
      <w:proofErr w:type="spellEnd"/>
      <w:r w:rsidRPr="009E74FB">
        <w:rPr>
          <w:b/>
          <w:i/>
          <w:szCs w:val="24"/>
          <w:lang w:eastAsia="en-US"/>
        </w:rPr>
        <w:t>)</w:t>
      </w:r>
      <w:r w:rsidRPr="009E74FB">
        <w:rPr>
          <w:szCs w:val="24"/>
          <w:lang w:eastAsia="en-US"/>
        </w:rPr>
        <w:tab/>
      </w:r>
      <w:r w:rsidRPr="009E74FB">
        <w:rPr>
          <w:b/>
          <w:i/>
          <w:szCs w:val="24"/>
          <w:lang w:eastAsia="en-US"/>
        </w:rPr>
        <w:t>vurderingen af, om forpligtelsen til at give rettighedshaveren mulighed for at indlede forhandlinger om en frivillig aftale, der skal indgås inden for fire uger, jf. artikel 4, er blevet overholdt</w:t>
      </w:r>
      <w:r w:rsidR="00554845">
        <w:rPr>
          <w:b/>
          <w:szCs w:val="24"/>
          <w:lang w:eastAsia="en-US"/>
        </w:rPr>
        <w:t xml:space="preserve"> [Ændring 37]</w:t>
      </w:r>
    </w:p>
    <w:p w14:paraId="72D6B320"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analyse af de kriserelevante oplysninger, som medlemsstaterne eller Kommissionen indsamler, og aggregerede data, som andre kriserelevante organer på EU-plan og internationalt plan modtager</w:t>
      </w:r>
    </w:p>
    <w:p w14:paraId="31A2C843" w14:textId="3AA88354" w:rsidR="009E74FB" w:rsidRPr="00554845" w:rsidRDefault="009E74FB" w:rsidP="009E74FB">
      <w:pPr>
        <w:spacing w:before="120" w:after="120" w:line="360" w:lineRule="auto"/>
        <w:ind w:left="1416" w:hanging="566"/>
        <w:rPr>
          <w:b/>
          <w:szCs w:val="24"/>
          <w:lang w:eastAsia="en-US"/>
        </w:rPr>
      </w:pPr>
      <w:proofErr w:type="spellStart"/>
      <w:r w:rsidRPr="009E74FB">
        <w:rPr>
          <w:b/>
          <w:i/>
          <w:szCs w:val="24"/>
          <w:lang w:eastAsia="en-US"/>
        </w:rPr>
        <w:t>ba</w:t>
      </w:r>
      <w:proofErr w:type="spellEnd"/>
      <w:r w:rsidRPr="009E74FB">
        <w:rPr>
          <w:b/>
          <w:i/>
          <w:szCs w:val="24"/>
          <w:lang w:eastAsia="en-US"/>
        </w:rPr>
        <w:t>)</w:t>
      </w:r>
      <w:r w:rsidRPr="009E74FB">
        <w:rPr>
          <w:szCs w:val="24"/>
          <w:lang w:eastAsia="en-US"/>
        </w:rPr>
        <w:tab/>
      </w:r>
      <w:r w:rsidRPr="009E74FB">
        <w:rPr>
          <w:b/>
          <w:i/>
          <w:szCs w:val="24"/>
          <w:lang w:eastAsia="en-US"/>
        </w:rPr>
        <w:t>bestemmelse af kriserelevante produkter</w:t>
      </w:r>
      <w:r w:rsidR="00554845">
        <w:rPr>
          <w:b/>
          <w:szCs w:val="24"/>
          <w:lang w:eastAsia="en-US"/>
        </w:rPr>
        <w:t xml:space="preserve"> [Ændring 38]</w:t>
      </w:r>
    </w:p>
    <w:p w14:paraId="4CE99312"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c)</w:t>
      </w:r>
      <w:r w:rsidRPr="009E74FB">
        <w:rPr>
          <w:szCs w:val="24"/>
          <w:lang w:eastAsia="en-US"/>
        </w:rPr>
        <w:tab/>
        <w:t>fremme af udveksling og deling af oplysninger med andre relevante organer og andre kriserelevante organer på EU-plan og nationalt plan samt på internationalt plan, hvor det er relevant</w:t>
      </w:r>
    </w:p>
    <w:p w14:paraId="37BC067C"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d)</w:t>
      </w:r>
      <w:r w:rsidRPr="009E74FB">
        <w:rPr>
          <w:szCs w:val="24"/>
          <w:lang w:eastAsia="en-US"/>
        </w:rPr>
        <w:tab/>
        <w:t>identifikation af de rettigheder, der beskytter det kriserelevante produkt</w:t>
      </w:r>
    </w:p>
    <w:p w14:paraId="4351A0EF"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e)</w:t>
      </w:r>
      <w:r w:rsidRPr="009E74FB">
        <w:rPr>
          <w:szCs w:val="24"/>
          <w:lang w:eastAsia="en-US"/>
        </w:rPr>
        <w:tab/>
      </w:r>
      <w:proofErr w:type="spellStart"/>
      <w:r w:rsidRPr="009E74FB">
        <w:rPr>
          <w:szCs w:val="24"/>
          <w:lang w:eastAsia="en-US"/>
        </w:rPr>
        <w:t>fastslåelse</w:t>
      </w:r>
      <w:proofErr w:type="spellEnd"/>
      <w:r w:rsidRPr="009E74FB">
        <w:rPr>
          <w:szCs w:val="24"/>
          <w:lang w:eastAsia="en-US"/>
        </w:rPr>
        <w:t xml:space="preserve"> af, om der er behov for at udstede en EU-tvangslicens</w:t>
      </w:r>
    </w:p>
    <w:p w14:paraId="7F7A52F2" w14:textId="77777777" w:rsidR="00EC5167" w:rsidRDefault="00EC5167">
      <w:pPr>
        <w:widowControl/>
        <w:rPr>
          <w:szCs w:val="24"/>
          <w:lang w:eastAsia="en-US"/>
        </w:rPr>
      </w:pPr>
      <w:r>
        <w:rPr>
          <w:szCs w:val="24"/>
          <w:lang w:eastAsia="en-US"/>
        </w:rPr>
        <w:br w:type="page"/>
      </w:r>
    </w:p>
    <w:p w14:paraId="2D97BB28" w14:textId="278F8087" w:rsidR="009E74FB" w:rsidRPr="00554845" w:rsidRDefault="009E74FB" w:rsidP="009E74FB">
      <w:pPr>
        <w:spacing w:before="120" w:after="120" w:line="360" w:lineRule="auto"/>
        <w:ind w:left="1416" w:hanging="566"/>
        <w:rPr>
          <w:b/>
          <w:szCs w:val="24"/>
          <w:lang w:eastAsia="en-US"/>
        </w:rPr>
      </w:pPr>
      <w:r w:rsidRPr="009E74FB">
        <w:rPr>
          <w:szCs w:val="24"/>
          <w:lang w:eastAsia="en-US"/>
        </w:rPr>
        <w:lastRenderedPageBreak/>
        <w:t>f)</w:t>
      </w:r>
      <w:r w:rsidRPr="009E74FB">
        <w:rPr>
          <w:szCs w:val="24"/>
          <w:lang w:eastAsia="en-US"/>
        </w:rPr>
        <w:tab/>
        <w:t xml:space="preserve">identifikation og høring af repræsentanter for rettighedshaverne eller deres repræsentanter samt potentielle </w:t>
      </w:r>
      <w:proofErr w:type="spellStart"/>
      <w:r w:rsidRPr="009E74FB">
        <w:rPr>
          <w:szCs w:val="24"/>
          <w:lang w:eastAsia="en-US"/>
        </w:rPr>
        <w:t>licenstagere</w:t>
      </w:r>
      <w:proofErr w:type="spellEnd"/>
      <w:r w:rsidRPr="009E74FB">
        <w:rPr>
          <w:szCs w:val="24"/>
          <w:lang w:eastAsia="en-US"/>
        </w:rPr>
        <w:t xml:space="preserve"> og høring af andre </w:t>
      </w:r>
      <w:r w:rsidRPr="009E74FB">
        <w:rPr>
          <w:b/>
          <w:i/>
          <w:szCs w:val="24"/>
          <w:lang w:eastAsia="en-US"/>
        </w:rPr>
        <w:t xml:space="preserve">interessenter og </w:t>
      </w:r>
      <w:r w:rsidRPr="009E74FB">
        <w:rPr>
          <w:szCs w:val="24"/>
          <w:lang w:eastAsia="en-US"/>
        </w:rPr>
        <w:t>erhvervsdrivende</w:t>
      </w:r>
      <w:r w:rsidRPr="009E74FB">
        <w:rPr>
          <w:b/>
          <w:i/>
          <w:szCs w:val="24"/>
          <w:lang w:eastAsia="en-US"/>
        </w:rPr>
        <w:t>, herunder</w:t>
      </w:r>
      <w:r w:rsidRPr="009E74FB">
        <w:rPr>
          <w:strike/>
          <w:szCs w:val="24"/>
          <w:lang w:eastAsia="en-US"/>
        </w:rPr>
        <w:t xml:space="preserve"> og</w:t>
      </w:r>
      <w:r w:rsidRPr="009E74FB">
        <w:rPr>
          <w:szCs w:val="24"/>
          <w:lang w:eastAsia="en-US"/>
        </w:rPr>
        <w:t xml:space="preserve"> industrien</w:t>
      </w:r>
      <w:r w:rsidRPr="009E74FB">
        <w:rPr>
          <w:b/>
          <w:i/>
          <w:szCs w:val="24"/>
          <w:lang w:eastAsia="en-US"/>
        </w:rPr>
        <w:t>, den akademiske verden og civilsamfundet</w:t>
      </w:r>
      <w:r w:rsidR="00554845">
        <w:rPr>
          <w:b/>
          <w:szCs w:val="24"/>
          <w:lang w:eastAsia="en-US"/>
        </w:rPr>
        <w:t xml:space="preserve"> [Ændring 39]</w:t>
      </w:r>
    </w:p>
    <w:p w14:paraId="30F3A834"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g)</w:t>
      </w:r>
      <w:r w:rsidRPr="009E74FB">
        <w:rPr>
          <w:szCs w:val="24"/>
          <w:lang w:eastAsia="en-US"/>
        </w:rPr>
        <w:tab/>
        <w:t xml:space="preserve">hvis det er relevant, </w:t>
      </w:r>
      <w:proofErr w:type="spellStart"/>
      <w:r w:rsidRPr="009E74FB">
        <w:rPr>
          <w:szCs w:val="24"/>
          <w:lang w:eastAsia="en-US"/>
        </w:rPr>
        <w:t>fastslåelse</w:t>
      </w:r>
      <w:proofErr w:type="spellEnd"/>
      <w:r w:rsidRPr="009E74FB">
        <w:rPr>
          <w:szCs w:val="24"/>
          <w:lang w:eastAsia="en-US"/>
        </w:rPr>
        <w:t xml:space="preserve"> af, om de i artikel 15 omhandlede kriterier for ophævelse eller ændring af en EU-tvangslicens er opfyldt.</w:t>
      </w:r>
    </w:p>
    <w:p w14:paraId="0E888EFD"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3.</w:t>
      </w:r>
      <w:r w:rsidRPr="009E74FB">
        <w:rPr>
          <w:szCs w:val="24"/>
          <w:lang w:eastAsia="en-US"/>
        </w:rPr>
        <w:tab/>
        <w:t>Det rådgivende organ samarbejder og koordinerer, hvor det er relevant, nøje med andre relevante kriserelaterede organer og med kontorer for intellektuel ejendomsret på EU-plan og nationalt plan.</w:t>
      </w:r>
    </w:p>
    <w:p w14:paraId="27E226F3"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4.</w:t>
      </w:r>
      <w:r w:rsidRPr="009E74FB">
        <w:rPr>
          <w:szCs w:val="24"/>
          <w:lang w:eastAsia="en-US"/>
        </w:rPr>
        <w:tab/>
        <w:t>Med henblik på denne forordning:</w:t>
      </w:r>
    </w:p>
    <w:p w14:paraId="29FD041B"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skal Kommissionen sikre deltagelse af og invitere repræsentanter for andre kriserelevante organer på EU-plan som observatører til de relevante møder i det rådgivende organ for at sikre sammenhæng med de foranstaltninger, der gennemføres gennem andre EU-mekanismer. og</w:t>
      </w:r>
    </w:p>
    <w:p w14:paraId="5E0B3902" w14:textId="77777777" w:rsidR="00EC5167" w:rsidRDefault="00EC5167">
      <w:pPr>
        <w:widowControl/>
        <w:rPr>
          <w:b/>
          <w:i/>
          <w:szCs w:val="24"/>
          <w:lang w:eastAsia="en-US"/>
        </w:rPr>
      </w:pPr>
      <w:r>
        <w:rPr>
          <w:b/>
          <w:i/>
          <w:szCs w:val="24"/>
          <w:lang w:eastAsia="en-US"/>
        </w:rPr>
        <w:br w:type="page"/>
      </w:r>
    </w:p>
    <w:p w14:paraId="6A9352C0" w14:textId="3B684F84" w:rsidR="009E74FB" w:rsidRPr="00554845" w:rsidRDefault="009E74FB" w:rsidP="009E74FB">
      <w:pPr>
        <w:spacing w:before="120" w:after="120" w:line="360" w:lineRule="auto"/>
        <w:ind w:left="1416" w:hanging="566"/>
        <w:rPr>
          <w:b/>
          <w:szCs w:val="24"/>
          <w:lang w:eastAsia="en-US"/>
        </w:rPr>
      </w:pPr>
      <w:proofErr w:type="spellStart"/>
      <w:r w:rsidRPr="009E74FB">
        <w:rPr>
          <w:b/>
          <w:i/>
          <w:szCs w:val="24"/>
          <w:lang w:eastAsia="en-US"/>
        </w:rPr>
        <w:lastRenderedPageBreak/>
        <w:t>aa</w:t>
      </w:r>
      <w:proofErr w:type="spellEnd"/>
      <w:r w:rsidRPr="009E74FB">
        <w:rPr>
          <w:b/>
          <w:i/>
          <w:szCs w:val="24"/>
          <w:lang w:eastAsia="en-US"/>
        </w:rPr>
        <w:t>)</w:t>
      </w:r>
      <w:r w:rsidRPr="009E74FB">
        <w:rPr>
          <w:szCs w:val="24"/>
          <w:lang w:eastAsia="en-US"/>
        </w:rPr>
        <w:tab/>
      </w:r>
      <w:r w:rsidRPr="009E74FB">
        <w:rPr>
          <w:b/>
          <w:i/>
          <w:szCs w:val="24"/>
          <w:lang w:eastAsia="en-US"/>
        </w:rPr>
        <w:t>indbyder repræsentanter for Europa-Parlamentet som observatører til de relevante møder i de rådgivende organer, hvis det er muligt i henhold til de gældende retsakter, der er omhandlet i bilaget</w:t>
      </w:r>
      <w:r w:rsidR="00554845">
        <w:rPr>
          <w:b/>
          <w:szCs w:val="24"/>
          <w:lang w:eastAsia="en-US"/>
        </w:rPr>
        <w:t xml:space="preserve"> [Ændring 40]</w:t>
      </w:r>
    </w:p>
    <w:p w14:paraId="30DA92E0" w14:textId="1A528BCA" w:rsidR="009E74FB" w:rsidRPr="00554845" w:rsidRDefault="009E74FB" w:rsidP="009E74FB">
      <w:pPr>
        <w:spacing w:before="120" w:after="120" w:line="360" w:lineRule="auto"/>
        <w:ind w:left="1416" w:hanging="566"/>
        <w:rPr>
          <w:b/>
          <w:szCs w:val="24"/>
          <w:lang w:eastAsia="en-US"/>
        </w:rPr>
      </w:pPr>
      <w:r w:rsidRPr="009E74FB">
        <w:rPr>
          <w:szCs w:val="24"/>
          <w:lang w:eastAsia="en-US"/>
        </w:rPr>
        <w:t>b)</w:t>
      </w:r>
      <w:r w:rsidRPr="009E74FB">
        <w:rPr>
          <w:szCs w:val="24"/>
          <w:lang w:eastAsia="en-US"/>
        </w:rPr>
        <w:tab/>
        <w:t xml:space="preserve">kan Kommissionen indbyde repræsentanter </w:t>
      </w:r>
      <w:r w:rsidRPr="009E74FB">
        <w:rPr>
          <w:b/>
          <w:i/>
          <w:szCs w:val="24"/>
          <w:lang w:eastAsia="en-US"/>
        </w:rPr>
        <w:t xml:space="preserve">fra nationale myndigheder med ansvar for udstedelse af tvangslicenser i henhold til national </w:t>
      </w:r>
      <w:proofErr w:type="spellStart"/>
      <w:r w:rsidRPr="009E74FB">
        <w:rPr>
          <w:b/>
          <w:i/>
          <w:szCs w:val="24"/>
          <w:lang w:eastAsia="en-US"/>
        </w:rPr>
        <w:t>ret</w:t>
      </w:r>
      <w:r w:rsidRPr="009E74FB">
        <w:rPr>
          <w:strike/>
          <w:szCs w:val="24"/>
          <w:lang w:eastAsia="en-US"/>
        </w:rPr>
        <w:t>for</w:t>
      </w:r>
      <w:proofErr w:type="spellEnd"/>
      <w:r w:rsidRPr="009E74FB">
        <w:rPr>
          <w:strike/>
          <w:szCs w:val="24"/>
          <w:lang w:eastAsia="en-US"/>
        </w:rPr>
        <w:t xml:space="preserve"> Europa-Parlamentet</w:t>
      </w:r>
      <w:r w:rsidRPr="009E74FB">
        <w:rPr>
          <w:szCs w:val="24"/>
          <w:lang w:eastAsia="en-US"/>
        </w:rPr>
        <w:t>, repræsentanter for erhvervsdrivende</w:t>
      </w:r>
      <w:r w:rsidRPr="009E74FB">
        <w:rPr>
          <w:strike/>
          <w:szCs w:val="24"/>
          <w:lang w:eastAsia="en-US"/>
        </w:rPr>
        <w:t>, rettighedshavere</w:t>
      </w:r>
      <w:r w:rsidRPr="009E74FB">
        <w:rPr>
          <w:szCs w:val="24"/>
          <w:lang w:eastAsia="en-US"/>
        </w:rPr>
        <w:t xml:space="preserve">, potentielle </w:t>
      </w:r>
      <w:proofErr w:type="spellStart"/>
      <w:r w:rsidRPr="009E74FB">
        <w:rPr>
          <w:szCs w:val="24"/>
          <w:lang w:eastAsia="en-US"/>
        </w:rPr>
        <w:t>licenstagere</w:t>
      </w:r>
      <w:proofErr w:type="spellEnd"/>
      <w:r w:rsidRPr="009E74FB">
        <w:rPr>
          <w:szCs w:val="24"/>
          <w:lang w:eastAsia="en-US"/>
        </w:rPr>
        <w:t>, interesseorganisationer, arbejdsmarkedets parter og eksperter til at deltage i det rådgivende organs møder som observatører.</w:t>
      </w:r>
      <w:r w:rsidR="00554845">
        <w:rPr>
          <w:b/>
          <w:szCs w:val="24"/>
          <w:lang w:eastAsia="en-US"/>
        </w:rPr>
        <w:t xml:space="preserve"> [Ændring 41]</w:t>
      </w:r>
    </w:p>
    <w:p w14:paraId="4C417045" w14:textId="593890A6" w:rsidR="009E74FB" w:rsidRPr="00554845" w:rsidRDefault="009E74FB" w:rsidP="009E74FB">
      <w:pPr>
        <w:spacing w:before="120" w:after="120" w:line="360" w:lineRule="auto"/>
        <w:ind w:left="850" w:hanging="850"/>
        <w:rPr>
          <w:b/>
          <w:szCs w:val="24"/>
          <w:lang w:eastAsia="en-US"/>
        </w:rPr>
      </w:pPr>
      <w:r w:rsidRPr="009E74FB">
        <w:rPr>
          <w:szCs w:val="24"/>
          <w:lang w:eastAsia="en-US"/>
        </w:rPr>
        <w:t>5.</w:t>
      </w:r>
      <w:r w:rsidRPr="009E74FB">
        <w:rPr>
          <w:szCs w:val="24"/>
          <w:lang w:eastAsia="en-US"/>
        </w:rPr>
        <w:tab/>
        <w:t xml:space="preserve">Hvis der ikke findes noget kompetent rådgivende organ, varetages de opgaver, der er omhandlet i stk. 2, af et rådgivende ad hoc-organ, der nedsættes af Kommissionen ("det rådgivende ad hoc-organ"). Kommissionen leder det rådgivende ad hoc-organ og varetager dets sekretariat. </w:t>
      </w:r>
      <w:r w:rsidRPr="009E74FB">
        <w:rPr>
          <w:strike/>
          <w:szCs w:val="24"/>
          <w:lang w:eastAsia="en-US"/>
        </w:rPr>
        <w:t xml:space="preserve">Hver medlemsstat har ret til at være repræsenteret i </w:t>
      </w:r>
      <w:r w:rsidRPr="009E74FB">
        <w:rPr>
          <w:szCs w:val="24"/>
          <w:lang w:eastAsia="en-US"/>
        </w:rPr>
        <w:t>Det rådgivende ad hoc-organ</w:t>
      </w:r>
      <w:r w:rsidRPr="009E74FB">
        <w:rPr>
          <w:b/>
          <w:i/>
          <w:szCs w:val="24"/>
          <w:lang w:eastAsia="en-US"/>
        </w:rPr>
        <w:t xml:space="preserve"> sammensættes af repræsentanter for de institutioner og organer i hver medlemsstat, der udøver kompetencen til at udstede nationale tvangslicenser i henhold til national ret</w:t>
      </w:r>
      <w:r w:rsidRPr="009E74FB">
        <w:rPr>
          <w:szCs w:val="24"/>
          <w:lang w:eastAsia="en-US"/>
        </w:rPr>
        <w:t>.</w:t>
      </w:r>
      <w:r w:rsidR="00554845">
        <w:rPr>
          <w:b/>
          <w:szCs w:val="24"/>
          <w:lang w:eastAsia="en-US"/>
        </w:rPr>
        <w:t xml:space="preserve"> [Ændring 42]</w:t>
      </w:r>
    </w:p>
    <w:p w14:paraId="0BE1DF4A" w14:textId="77777777" w:rsidR="00EC5167" w:rsidRDefault="00EC5167">
      <w:pPr>
        <w:widowControl/>
        <w:rPr>
          <w:szCs w:val="24"/>
          <w:lang w:eastAsia="en-US"/>
        </w:rPr>
      </w:pPr>
      <w:r>
        <w:rPr>
          <w:szCs w:val="24"/>
          <w:lang w:eastAsia="en-US"/>
        </w:rPr>
        <w:br w:type="page"/>
      </w:r>
    </w:p>
    <w:p w14:paraId="057CD931" w14:textId="7D5064E2" w:rsidR="009E74FB" w:rsidRPr="00554845" w:rsidRDefault="009E74FB" w:rsidP="009E74FB">
      <w:pPr>
        <w:spacing w:before="120" w:after="120" w:line="360" w:lineRule="auto"/>
        <w:ind w:left="850" w:hanging="850"/>
        <w:rPr>
          <w:b/>
          <w:szCs w:val="24"/>
          <w:lang w:eastAsia="en-US"/>
        </w:rPr>
      </w:pPr>
      <w:r w:rsidRPr="009E74FB">
        <w:rPr>
          <w:szCs w:val="24"/>
          <w:lang w:eastAsia="en-US"/>
        </w:rPr>
        <w:lastRenderedPageBreak/>
        <w:t>6.</w:t>
      </w:r>
      <w:r w:rsidRPr="009E74FB">
        <w:rPr>
          <w:szCs w:val="24"/>
          <w:lang w:eastAsia="en-US"/>
        </w:rPr>
        <w:tab/>
        <w:t xml:space="preserve">Kommissionen vedtager en gennemførelsesretsakt, der fastsætter forretningsordenen for det rådgivende ad hoc-organ, der er omhandlet i stk. 5. Forretningsordenen skal præcisere, at det rådgivende ad hoc-organ ikke må oprettes for et tidsrum, der overstiger krisens eller nødsituationens varighed. </w:t>
      </w:r>
      <w:r w:rsidRPr="009E74FB">
        <w:rPr>
          <w:b/>
          <w:i/>
          <w:szCs w:val="24"/>
          <w:lang w:eastAsia="en-US"/>
        </w:rPr>
        <w:t xml:space="preserve">Forretningsordenen skal præcisere, at det rådgivende ad hoc-organ skal håndhæve strenge sikkerhedsforanstaltninger for at undgå potentielle interessekonflikter og for at sikre ansvarlighed og gennemsigtighed. </w:t>
      </w:r>
      <w:r w:rsidRPr="009E74FB">
        <w:rPr>
          <w:szCs w:val="24"/>
          <w:lang w:eastAsia="en-US"/>
        </w:rPr>
        <w:t>Denne gennemførelsesretsakt vedtages efter undersøgelsesproceduren i artikel 24, stk. 3.</w:t>
      </w:r>
      <w:r w:rsidR="00554845">
        <w:rPr>
          <w:b/>
          <w:szCs w:val="24"/>
          <w:lang w:eastAsia="en-US"/>
        </w:rPr>
        <w:t xml:space="preserve"> [Ændring 43]</w:t>
      </w:r>
    </w:p>
    <w:p w14:paraId="21A4E347"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7</w:t>
      </w:r>
      <w:r w:rsidRPr="009E74FB">
        <w:rPr>
          <w:szCs w:val="24"/>
          <w:lang w:eastAsia="en-US"/>
        </w:rPr>
        <w:br/>
        <w:t>Procedure for udstedelse af en EU-tvangslicens</w:t>
      </w:r>
    </w:p>
    <w:p w14:paraId="4DAFD04B"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Det kompetente rådgivende organ eller, hvor det er relevant, ad hoc-organ, der er omhandlet i artikel 6, afgiver en udtalelse til Kommissionen uden unødigt ophold. Denne udtalelse afgives i overensstemmelse med det rådgivende organs forretningsorden og skal indeholde en vurdering af behovet for en EU-tvangslicens og de betingelser, der skal gælde for en sådan licens. Der tages i udtalelsen hensyn til følgende:</w:t>
      </w:r>
    </w:p>
    <w:p w14:paraId="6CD69B3E" w14:textId="733FC111"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krisens eller nødsituationens karakter</w:t>
      </w:r>
    </w:p>
    <w:p w14:paraId="1786BCA7" w14:textId="77777777" w:rsidR="008A605F" w:rsidRDefault="008A605F">
      <w:pPr>
        <w:widowControl/>
        <w:rPr>
          <w:szCs w:val="24"/>
          <w:lang w:eastAsia="en-US"/>
        </w:rPr>
      </w:pPr>
      <w:r>
        <w:rPr>
          <w:szCs w:val="24"/>
          <w:lang w:eastAsia="en-US"/>
        </w:rPr>
        <w:br w:type="page"/>
      </w:r>
    </w:p>
    <w:p w14:paraId="000E9D1A" w14:textId="72E6B3A5" w:rsidR="009E74FB" w:rsidRPr="009E74FB" w:rsidRDefault="009E74FB" w:rsidP="009E74FB">
      <w:pPr>
        <w:spacing w:before="120" w:after="120" w:line="360" w:lineRule="auto"/>
        <w:ind w:left="1416" w:hanging="566"/>
        <w:rPr>
          <w:szCs w:val="24"/>
          <w:lang w:eastAsia="en-US"/>
        </w:rPr>
      </w:pPr>
      <w:r w:rsidRPr="009E74FB">
        <w:rPr>
          <w:szCs w:val="24"/>
          <w:lang w:eastAsia="en-US"/>
        </w:rPr>
        <w:lastRenderedPageBreak/>
        <w:t>b)</w:t>
      </w:r>
      <w:r w:rsidRPr="009E74FB">
        <w:rPr>
          <w:szCs w:val="24"/>
          <w:lang w:eastAsia="en-US"/>
        </w:rPr>
        <w:tab/>
        <w:t>krisens eller nødsituationens omfang, og hvordan den forventes at udvikle sig</w:t>
      </w:r>
    </w:p>
    <w:p w14:paraId="4BADA06C" w14:textId="550EBFF2" w:rsidR="009E74FB" w:rsidRPr="00554845" w:rsidRDefault="009E74FB" w:rsidP="009E74FB">
      <w:pPr>
        <w:spacing w:before="120" w:after="120" w:line="360" w:lineRule="auto"/>
        <w:ind w:left="1416" w:hanging="566"/>
        <w:rPr>
          <w:b/>
          <w:szCs w:val="24"/>
          <w:lang w:eastAsia="en-US"/>
        </w:rPr>
      </w:pPr>
      <w:proofErr w:type="spellStart"/>
      <w:r w:rsidRPr="009E74FB">
        <w:rPr>
          <w:b/>
          <w:i/>
          <w:szCs w:val="24"/>
          <w:lang w:eastAsia="en-US"/>
        </w:rPr>
        <w:t>ba</w:t>
      </w:r>
      <w:proofErr w:type="spellEnd"/>
      <w:r w:rsidRPr="009E74FB">
        <w:rPr>
          <w:b/>
          <w:i/>
          <w:szCs w:val="24"/>
          <w:lang w:eastAsia="en-US"/>
        </w:rPr>
        <w:t>)</w:t>
      </w:r>
      <w:r w:rsidRPr="009E74FB">
        <w:rPr>
          <w:szCs w:val="24"/>
          <w:lang w:eastAsia="en-US"/>
        </w:rPr>
        <w:tab/>
      </w:r>
      <w:r w:rsidRPr="009E74FB">
        <w:rPr>
          <w:b/>
          <w:i/>
          <w:szCs w:val="24"/>
          <w:lang w:eastAsia="en-US"/>
        </w:rPr>
        <w:t xml:space="preserve">rettighedshaverens og den potentielle </w:t>
      </w:r>
      <w:proofErr w:type="spellStart"/>
      <w:r w:rsidRPr="009E74FB">
        <w:rPr>
          <w:b/>
          <w:i/>
          <w:szCs w:val="24"/>
          <w:lang w:eastAsia="en-US"/>
        </w:rPr>
        <w:t>licenstagers</w:t>
      </w:r>
      <w:proofErr w:type="spellEnd"/>
      <w:r w:rsidRPr="009E74FB">
        <w:rPr>
          <w:b/>
          <w:i/>
          <w:szCs w:val="24"/>
          <w:lang w:eastAsia="en-US"/>
        </w:rPr>
        <w:t xml:space="preserve"> rettigheder og interesser</w:t>
      </w:r>
      <w:r w:rsidR="00554845">
        <w:rPr>
          <w:b/>
          <w:szCs w:val="24"/>
          <w:lang w:eastAsia="en-US"/>
        </w:rPr>
        <w:t xml:space="preserve"> [Ændring 44]</w:t>
      </w:r>
    </w:p>
    <w:p w14:paraId="5EF02EFE" w14:textId="1E94A892" w:rsidR="009E74FB" w:rsidRPr="00554845" w:rsidRDefault="009E74FB" w:rsidP="009E74FB">
      <w:pPr>
        <w:spacing w:before="120" w:after="120" w:line="360" w:lineRule="auto"/>
        <w:ind w:left="1416" w:hanging="566"/>
        <w:rPr>
          <w:b/>
          <w:szCs w:val="24"/>
          <w:lang w:eastAsia="en-US"/>
        </w:rPr>
      </w:pPr>
      <w:proofErr w:type="spellStart"/>
      <w:r w:rsidRPr="009E74FB">
        <w:rPr>
          <w:b/>
          <w:i/>
          <w:szCs w:val="24"/>
          <w:lang w:eastAsia="en-US"/>
        </w:rPr>
        <w:t>bb</w:t>
      </w:r>
      <w:proofErr w:type="spellEnd"/>
      <w:r w:rsidRPr="009E74FB">
        <w:rPr>
          <w:b/>
          <w:i/>
          <w:szCs w:val="24"/>
          <w:lang w:eastAsia="en-US"/>
        </w:rPr>
        <w:t>)</w:t>
      </w:r>
      <w:r w:rsidRPr="009E74FB">
        <w:rPr>
          <w:szCs w:val="24"/>
          <w:lang w:eastAsia="en-US"/>
        </w:rPr>
        <w:tab/>
      </w:r>
      <w:r w:rsidRPr="009E74FB">
        <w:rPr>
          <w:b/>
          <w:i/>
          <w:szCs w:val="24"/>
          <w:lang w:eastAsia="en-US"/>
        </w:rPr>
        <w:t>eksisterende nationale tvangslicenser, der er indberettet til Kommissionen i overensstemmelse med artikel 22, med henblik på at undgå overlapninger eller en situation med overproduktion</w:t>
      </w:r>
      <w:r w:rsidR="00554845">
        <w:rPr>
          <w:b/>
          <w:szCs w:val="24"/>
          <w:lang w:eastAsia="en-US"/>
        </w:rPr>
        <w:t xml:space="preserve"> [Ændring 45]</w:t>
      </w:r>
    </w:p>
    <w:p w14:paraId="3F47B2FF"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c)</w:t>
      </w:r>
      <w:r w:rsidRPr="009E74FB">
        <w:rPr>
          <w:szCs w:val="24"/>
          <w:lang w:eastAsia="en-US"/>
        </w:rPr>
        <w:tab/>
        <w:t>manglen på kriserelevante produkter og eksistensen af andre midler end en</w:t>
      </w:r>
      <w:r w:rsidRPr="009E74FB">
        <w:rPr>
          <w:szCs w:val="24"/>
          <w:lang w:eastAsia="en-US"/>
        </w:rPr>
        <w:tab/>
        <w:t>EU-tvangslicens, der hurtigt og i tilstrækkelig grad kan afhjælpe en sådan mangel.</w:t>
      </w:r>
    </w:p>
    <w:p w14:paraId="3CAAA99E"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Det rådgivende organs udtalelse er ikke bindende for Kommissionen. Kommissionen kan fastsætte en frist for, hvornår det rådgivende organ skal afgive sin udtalelse. Fristen skal være rimelig og afpasset efter omstændighederne, navnlig under hensyn til sagens hastende karakter.</w:t>
      </w:r>
    </w:p>
    <w:p w14:paraId="64D27CF5" w14:textId="77777777" w:rsidR="00EC5167" w:rsidRDefault="00EC5167">
      <w:pPr>
        <w:widowControl/>
        <w:rPr>
          <w:b/>
          <w:i/>
          <w:szCs w:val="24"/>
          <w:lang w:eastAsia="en-US"/>
        </w:rPr>
      </w:pPr>
      <w:r>
        <w:rPr>
          <w:b/>
          <w:i/>
          <w:szCs w:val="24"/>
          <w:lang w:eastAsia="en-US"/>
        </w:rPr>
        <w:br w:type="page"/>
      </w:r>
    </w:p>
    <w:p w14:paraId="7A39E916" w14:textId="759BFCD9" w:rsidR="009E74FB" w:rsidRPr="00554845" w:rsidRDefault="009E74FB" w:rsidP="009E74FB">
      <w:pPr>
        <w:spacing w:before="120" w:after="120" w:line="360" w:lineRule="auto"/>
        <w:ind w:left="850" w:hanging="850"/>
        <w:rPr>
          <w:b/>
          <w:szCs w:val="24"/>
          <w:lang w:eastAsia="en-US"/>
        </w:rPr>
      </w:pPr>
      <w:r w:rsidRPr="009E74FB">
        <w:rPr>
          <w:b/>
          <w:i/>
          <w:szCs w:val="24"/>
          <w:lang w:eastAsia="en-US"/>
        </w:rPr>
        <w:lastRenderedPageBreak/>
        <w:t>2a.</w:t>
      </w:r>
      <w:r w:rsidRPr="009E74FB">
        <w:rPr>
          <w:szCs w:val="24"/>
          <w:lang w:eastAsia="en-US"/>
        </w:rPr>
        <w:tab/>
      </w:r>
      <w:r w:rsidRPr="009E74FB">
        <w:rPr>
          <w:b/>
          <w:i/>
          <w:szCs w:val="24"/>
          <w:lang w:eastAsia="en-US"/>
        </w:rPr>
        <w:t>Kommissionen tager nøje hensyn til det rådgivende udvalgs udtalelse. Hvis Kommissionen ikke følger det rådgivende organs udtalelse, redegør den for begrundelsen for sin afgørelse over for det rådgivende organ, uden at dette berører Kommissionens beføjelser i henhold til denne artikels stk. 7 og 8.</w:t>
      </w:r>
      <w:r w:rsidR="00554845">
        <w:rPr>
          <w:b/>
          <w:szCs w:val="24"/>
          <w:lang w:eastAsia="en-US"/>
        </w:rPr>
        <w:t xml:space="preserve"> [Ændring 46]</w:t>
      </w:r>
    </w:p>
    <w:p w14:paraId="1AAFF744" w14:textId="4BE6DC0C" w:rsidR="009E74FB" w:rsidRPr="00554845" w:rsidRDefault="009E74FB" w:rsidP="009E74FB">
      <w:pPr>
        <w:spacing w:before="120" w:after="120" w:line="360" w:lineRule="auto"/>
        <w:ind w:left="850" w:hanging="850"/>
        <w:rPr>
          <w:b/>
          <w:szCs w:val="24"/>
          <w:lang w:eastAsia="en-US"/>
        </w:rPr>
      </w:pPr>
      <w:r w:rsidRPr="009E74FB">
        <w:rPr>
          <w:szCs w:val="24"/>
          <w:lang w:eastAsia="en-US"/>
        </w:rPr>
        <w:t>3.</w:t>
      </w:r>
      <w:r w:rsidRPr="009E74FB">
        <w:rPr>
          <w:szCs w:val="24"/>
          <w:lang w:eastAsia="en-US"/>
        </w:rPr>
        <w:tab/>
        <w:t xml:space="preserve">Inden der </w:t>
      </w:r>
      <w:r w:rsidRPr="009E74FB">
        <w:rPr>
          <w:strike/>
          <w:szCs w:val="24"/>
          <w:lang w:eastAsia="en-US"/>
        </w:rPr>
        <w:t>udstedes en EU-tvangslicens</w:t>
      </w:r>
      <w:r w:rsidRPr="009E74FB">
        <w:rPr>
          <w:b/>
          <w:i/>
          <w:szCs w:val="24"/>
          <w:lang w:eastAsia="en-US"/>
        </w:rPr>
        <w:t>afgives en udtalelse</w:t>
      </w:r>
      <w:r w:rsidRPr="009E74FB">
        <w:rPr>
          <w:szCs w:val="24"/>
          <w:lang w:eastAsia="en-US"/>
        </w:rPr>
        <w:t xml:space="preserve">, giver </w:t>
      </w:r>
      <w:proofErr w:type="spellStart"/>
      <w:r w:rsidRPr="009E74FB">
        <w:rPr>
          <w:strike/>
          <w:szCs w:val="24"/>
          <w:lang w:eastAsia="en-US"/>
        </w:rPr>
        <w:t>Kommissionen</w:t>
      </w:r>
      <w:r w:rsidRPr="009E74FB">
        <w:rPr>
          <w:b/>
          <w:i/>
          <w:szCs w:val="24"/>
          <w:lang w:eastAsia="en-US"/>
        </w:rPr>
        <w:t>det</w:t>
      </w:r>
      <w:proofErr w:type="spellEnd"/>
      <w:r w:rsidRPr="009E74FB">
        <w:rPr>
          <w:b/>
          <w:i/>
          <w:szCs w:val="24"/>
          <w:lang w:eastAsia="en-US"/>
        </w:rPr>
        <w:t xml:space="preserve"> rådgivende organ</w:t>
      </w:r>
      <w:r w:rsidRPr="009E74FB">
        <w:rPr>
          <w:szCs w:val="24"/>
          <w:lang w:eastAsia="en-US"/>
        </w:rPr>
        <w:t xml:space="preserve"> rettighedshaveren og licenstageren lejlighed til at fremsætte bemærkninger </w:t>
      </w:r>
      <w:r w:rsidRPr="009E74FB">
        <w:rPr>
          <w:b/>
          <w:i/>
          <w:szCs w:val="24"/>
          <w:lang w:eastAsia="en-US"/>
        </w:rPr>
        <w:t xml:space="preserve">inden for en rimelig tidsfrist </w:t>
      </w:r>
      <w:r w:rsidRPr="009E74FB">
        <w:rPr>
          <w:szCs w:val="24"/>
          <w:lang w:eastAsia="en-US"/>
        </w:rPr>
        <w:t>til</w:t>
      </w:r>
      <w:r w:rsidRPr="009E74FB">
        <w:rPr>
          <w:strike/>
          <w:szCs w:val="24"/>
          <w:lang w:eastAsia="en-US"/>
        </w:rPr>
        <w:t xml:space="preserve"> følgende</w:t>
      </w:r>
      <w:r w:rsidRPr="009E74FB">
        <w:rPr>
          <w:szCs w:val="24"/>
          <w:lang w:eastAsia="en-US"/>
        </w:rPr>
        <w:t>:</w:t>
      </w:r>
      <w:r w:rsidR="00554845">
        <w:rPr>
          <w:b/>
          <w:szCs w:val="24"/>
          <w:lang w:eastAsia="en-US"/>
        </w:rPr>
        <w:t xml:space="preserve"> [Ændring 47]</w:t>
      </w:r>
    </w:p>
    <w:p w14:paraId="6BADB25C" w14:textId="2778BFAB" w:rsidR="009E74FB" w:rsidRPr="00554845" w:rsidRDefault="009E74FB" w:rsidP="009E74FB">
      <w:pPr>
        <w:spacing w:before="120" w:after="120" w:line="360" w:lineRule="auto"/>
        <w:ind w:left="1416" w:hanging="566"/>
        <w:rPr>
          <w:b/>
          <w:szCs w:val="24"/>
          <w:lang w:eastAsia="en-US"/>
        </w:rPr>
      </w:pPr>
      <w:r w:rsidRPr="009E74FB">
        <w:rPr>
          <w:szCs w:val="24"/>
          <w:lang w:eastAsia="en-US"/>
        </w:rPr>
        <w:t>a)</w:t>
      </w:r>
      <w:r w:rsidRPr="009E74FB">
        <w:rPr>
          <w:szCs w:val="24"/>
          <w:lang w:eastAsia="en-US"/>
        </w:rPr>
        <w:tab/>
        <w:t>muligheden for</w:t>
      </w:r>
      <w:r w:rsidRPr="009E74FB">
        <w:rPr>
          <w:b/>
          <w:i/>
          <w:szCs w:val="24"/>
          <w:lang w:eastAsia="en-US"/>
        </w:rPr>
        <w:t xml:space="preserve"> hurtigt</w:t>
      </w:r>
      <w:r w:rsidRPr="009E74FB">
        <w:rPr>
          <w:szCs w:val="24"/>
          <w:lang w:eastAsia="en-US"/>
        </w:rPr>
        <w:t xml:space="preserve"> at indgå en frivillig licensaftale med producenter om intellektuelle ejendomsrettigheder med henblik på fremstilling, anvendelse og distribution af kriserelevante produkter</w:t>
      </w:r>
      <w:r w:rsidRPr="009E74FB">
        <w:rPr>
          <w:b/>
          <w:i/>
          <w:szCs w:val="24"/>
          <w:lang w:eastAsia="en-US"/>
        </w:rPr>
        <w:t xml:space="preserve"> og opfyldelse af de betingelser, der er omhandlet i artikel 4, stk. 1a, med henblik på at føre meningsfulde forhandlinger med henblik herpå</w:t>
      </w:r>
      <w:r w:rsidR="00554845">
        <w:rPr>
          <w:b/>
          <w:szCs w:val="24"/>
          <w:lang w:eastAsia="en-US"/>
        </w:rPr>
        <w:t xml:space="preserve"> [Ændring 48]</w:t>
      </w:r>
    </w:p>
    <w:p w14:paraId="01A05848"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behovet for at udstede en EU-tvangslicens</w:t>
      </w:r>
    </w:p>
    <w:p w14:paraId="7F676226"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c)</w:t>
      </w:r>
      <w:r w:rsidRPr="009E74FB">
        <w:rPr>
          <w:szCs w:val="24"/>
          <w:lang w:eastAsia="en-US"/>
        </w:rPr>
        <w:tab/>
        <w:t>betingelserne, under hvilke Kommissionen agter at udstede EU-tvangslicensen, herunder vederlagets størrelse.</w:t>
      </w:r>
    </w:p>
    <w:p w14:paraId="6E20D0D0" w14:textId="77777777" w:rsidR="00EC5167" w:rsidRDefault="00EC5167">
      <w:pPr>
        <w:widowControl/>
        <w:rPr>
          <w:szCs w:val="24"/>
          <w:lang w:eastAsia="en-US"/>
        </w:rPr>
      </w:pPr>
      <w:r>
        <w:rPr>
          <w:szCs w:val="24"/>
          <w:lang w:eastAsia="en-US"/>
        </w:rPr>
        <w:br w:type="page"/>
      </w:r>
    </w:p>
    <w:p w14:paraId="3C2D3B26" w14:textId="528F5FFB" w:rsidR="009E74FB" w:rsidRPr="00554845" w:rsidRDefault="009E74FB" w:rsidP="009E74FB">
      <w:pPr>
        <w:spacing w:before="120" w:after="120" w:line="360" w:lineRule="auto"/>
        <w:ind w:left="850" w:hanging="850"/>
        <w:rPr>
          <w:b/>
          <w:szCs w:val="24"/>
          <w:lang w:eastAsia="en-US"/>
        </w:rPr>
      </w:pPr>
      <w:r w:rsidRPr="009E74FB">
        <w:rPr>
          <w:szCs w:val="24"/>
          <w:lang w:eastAsia="en-US"/>
        </w:rPr>
        <w:lastRenderedPageBreak/>
        <w:t>4.</w:t>
      </w:r>
      <w:r w:rsidRPr="009E74FB">
        <w:rPr>
          <w:szCs w:val="24"/>
          <w:lang w:eastAsia="en-US"/>
        </w:rPr>
        <w:tab/>
        <w:t>Kommissionen</w:t>
      </w:r>
      <w:r w:rsidRPr="009E74FB">
        <w:rPr>
          <w:b/>
          <w:i/>
          <w:szCs w:val="24"/>
          <w:lang w:eastAsia="en-US"/>
        </w:rPr>
        <w:t xml:space="preserve"> udpeger og</w:t>
      </w:r>
      <w:r w:rsidRPr="009E74FB">
        <w:rPr>
          <w:szCs w:val="24"/>
          <w:lang w:eastAsia="en-US"/>
        </w:rPr>
        <w:t xml:space="preserve"> underretter hurtigst muligt rettighedshaveren og licenstageren om, at der kan udstedes en EU-tvangslicens. </w:t>
      </w:r>
      <w:r w:rsidRPr="009E74FB">
        <w:rPr>
          <w:strike/>
          <w:szCs w:val="24"/>
          <w:lang w:eastAsia="en-US"/>
        </w:rPr>
        <w:t xml:space="preserve">Når det er muligt at </w:t>
      </w:r>
      <w:proofErr w:type="spellStart"/>
      <w:r w:rsidRPr="009E74FB">
        <w:rPr>
          <w:strike/>
          <w:szCs w:val="24"/>
          <w:lang w:eastAsia="en-US"/>
        </w:rPr>
        <w:t>identificere</w:t>
      </w:r>
      <w:r w:rsidRPr="009E74FB">
        <w:rPr>
          <w:b/>
          <w:i/>
          <w:szCs w:val="24"/>
          <w:lang w:eastAsia="en-US"/>
        </w:rPr>
        <w:t>Kommissionen</w:t>
      </w:r>
      <w:proofErr w:type="spellEnd"/>
      <w:r w:rsidRPr="009E74FB">
        <w:rPr>
          <w:b/>
          <w:i/>
          <w:szCs w:val="24"/>
          <w:lang w:eastAsia="en-US"/>
        </w:rPr>
        <w:t xml:space="preserve"> underretter</w:t>
      </w:r>
      <w:r w:rsidRPr="009E74FB">
        <w:rPr>
          <w:szCs w:val="24"/>
          <w:lang w:eastAsia="en-US"/>
        </w:rPr>
        <w:t xml:space="preserve"> rettighedshaverne</w:t>
      </w:r>
      <w:r w:rsidRPr="009E74FB">
        <w:rPr>
          <w:strike/>
          <w:szCs w:val="24"/>
          <w:lang w:eastAsia="en-US"/>
        </w:rPr>
        <w:t>, og det ikke forårsager væsentlige forsinkelser, underretter Kommissionen dem</w:t>
      </w:r>
      <w:r w:rsidRPr="009E74FB">
        <w:rPr>
          <w:szCs w:val="24"/>
          <w:lang w:eastAsia="en-US"/>
        </w:rPr>
        <w:t xml:space="preserve"> hver især.</w:t>
      </w:r>
      <w:r w:rsidR="00554845">
        <w:rPr>
          <w:b/>
          <w:szCs w:val="24"/>
          <w:lang w:eastAsia="en-US"/>
        </w:rPr>
        <w:t xml:space="preserve"> [Ændring 49]</w:t>
      </w:r>
    </w:p>
    <w:p w14:paraId="2E430309"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5.</w:t>
      </w:r>
      <w:r w:rsidRPr="009E74FB">
        <w:rPr>
          <w:szCs w:val="24"/>
          <w:lang w:eastAsia="en-US"/>
        </w:rPr>
        <w:tab/>
        <w:t xml:space="preserve">Når Kommissionen overvejer at udstede en EU-tvangslicens, offentliggør den uden unødigt ophold en meddelelse for at informere offentligheden om, at den indleder proceduren i henhold til denne artikel. Denne meddelelse skal også indeholde oplysninger om genstanden for tvangslicensen, hvis der allerede foreligger relevante oplysninger herom, og en opfordring til at fremsætte bemærkninger i overensstemmelse med stk. 3. Meddelelsen offentliggøres i </w:t>
      </w:r>
      <w:r w:rsidRPr="00266751">
        <w:rPr>
          <w:i/>
          <w:szCs w:val="24"/>
          <w:lang w:eastAsia="en-US"/>
        </w:rPr>
        <w:t>Den Europæiske Unions Tidende</w:t>
      </w:r>
      <w:r w:rsidRPr="009E74FB">
        <w:rPr>
          <w:szCs w:val="24"/>
          <w:lang w:eastAsia="en-US"/>
        </w:rPr>
        <w:t>.</w:t>
      </w:r>
    </w:p>
    <w:p w14:paraId="5BD84F21" w14:textId="77777777" w:rsidR="009E74FB" w:rsidRPr="009E74FB" w:rsidRDefault="009E74FB" w:rsidP="009E74FB">
      <w:pPr>
        <w:spacing w:before="120" w:after="120" w:line="360" w:lineRule="auto"/>
        <w:ind w:left="850" w:hanging="850"/>
        <w:rPr>
          <w:szCs w:val="24"/>
          <w:lang w:eastAsia="en-US"/>
        </w:rPr>
      </w:pPr>
      <w:r w:rsidRPr="009E74FB">
        <w:rPr>
          <w:strike/>
          <w:szCs w:val="24"/>
          <w:lang w:eastAsia="en-US"/>
        </w:rPr>
        <w:t>6.</w:t>
      </w:r>
      <w:r w:rsidRPr="009E74FB">
        <w:rPr>
          <w:szCs w:val="24"/>
          <w:lang w:eastAsia="en-US"/>
        </w:rPr>
        <w:tab/>
      </w:r>
      <w:r w:rsidRPr="009E74FB">
        <w:rPr>
          <w:strike/>
          <w:szCs w:val="24"/>
          <w:lang w:eastAsia="en-US"/>
        </w:rPr>
        <w:t>Ved vurderingen af, om der skal meddeles en EU-tvangslicens, tager Kommissionen hensyn til følgende:</w:t>
      </w:r>
    </w:p>
    <w:p w14:paraId="14607D2F" w14:textId="77777777" w:rsidR="009E74FB" w:rsidRPr="009E74FB" w:rsidRDefault="009E74FB" w:rsidP="009E74FB">
      <w:pPr>
        <w:spacing w:before="120" w:after="120" w:line="360" w:lineRule="auto"/>
        <w:ind w:left="1416" w:hanging="566"/>
        <w:rPr>
          <w:szCs w:val="24"/>
          <w:lang w:eastAsia="en-US"/>
        </w:rPr>
      </w:pPr>
      <w:r w:rsidRPr="009E74FB">
        <w:rPr>
          <w:strike/>
          <w:szCs w:val="24"/>
          <w:lang w:eastAsia="en-US"/>
        </w:rPr>
        <w:t>a)</w:t>
      </w:r>
      <w:r w:rsidRPr="009E74FB">
        <w:rPr>
          <w:szCs w:val="24"/>
          <w:lang w:eastAsia="en-US"/>
        </w:rPr>
        <w:tab/>
      </w:r>
      <w:r w:rsidRPr="009E74FB">
        <w:rPr>
          <w:strike/>
          <w:szCs w:val="24"/>
          <w:lang w:eastAsia="en-US"/>
        </w:rPr>
        <w:t>den udtalelse, der er nævnt i stk. 2</w:t>
      </w:r>
    </w:p>
    <w:p w14:paraId="54AF1F88" w14:textId="77777777" w:rsidR="009E74FB" w:rsidRPr="009E74FB" w:rsidRDefault="009E74FB" w:rsidP="009E74FB">
      <w:pPr>
        <w:spacing w:before="120" w:after="120" w:line="360" w:lineRule="auto"/>
        <w:ind w:left="1416" w:hanging="566"/>
        <w:rPr>
          <w:szCs w:val="24"/>
          <w:lang w:eastAsia="en-US"/>
        </w:rPr>
      </w:pPr>
      <w:r w:rsidRPr="009E74FB">
        <w:rPr>
          <w:strike/>
          <w:szCs w:val="24"/>
          <w:lang w:eastAsia="en-US"/>
        </w:rPr>
        <w:t>b)</w:t>
      </w:r>
      <w:r w:rsidRPr="009E74FB">
        <w:rPr>
          <w:szCs w:val="24"/>
          <w:lang w:eastAsia="en-US"/>
        </w:rPr>
        <w:tab/>
      </w:r>
      <w:r w:rsidRPr="009E74FB">
        <w:rPr>
          <w:strike/>
          <w:szCs w:val="24"/>
          <w:lang w:eastAsia="en-US"/>
        </w:rPr>
        <w:t>rettighedshaverens og licenstagerens rettigheder og interesser</w:t>
      </w:r>
    </w:p>
    <w:p w14:paraId="5D598BBB" w14:textId="0F93EC81" w:rsidR="009E74FB" w:rsidRPr="00554845" w:rsidRDefault="009E74FB" w:rsidP="009E74FB">
      <w:pPr>
        <w:spacing w:before="120" w:after="120" w:line="360" w:lineRule="auto"/>
        <w:ind w:left="1416" w:hanging="566"/>
        <w:rPr>
          <w:b/>
          <w:szCs w:val="24"/>
          <w:lang w:eastAsia="en-US"/>
        </w:rPr>
      </w:pPr>
      <w:r w:rsidRPr="009E74FB">
        <w:rPr>
          <w:strike/>
          <w:szCs w:val="24"/>
          <w:lang w:eastAsia="en-US"/>
        </w:rPr>
        <w:t>c)</w:t>
      </w:r>
      <w:r w:rsidRPr="009E74FB">
        <w:rPr>
          <w:szCs w:val="24"/>
          <w:lang w:eastAsia="en-US"/>
        </w:rPr>
        <w:tab/>
      </w:r>
      <w:r w:rsidRPr="009E74FB">
        <w:rPr>
          <w:strike/>
          <w:szCs w:val="24"/>
          <w:lang w:eastAsia="en-US"/>
        </w:rPr>
        <w:t>eksisterende nationale tvangslicenser, der er indberettet til Kommissionen i overensstemmelse med artikel 22.</w:t>
      </w:r>
      <w:r w:rsidR="00554845">
        <w:rPr>
          <w:b/>
          <w:szCs w:val="24"/>
          <w:lang w:eastAsia="en-US"/>
        </w:rPr>
        <w:t xml:space="preserve"> [Ændring 50]</w:t>
      </w:r>
    </w:p>
    <w:p w14:paraId="69F0DFB0" w14:textId="77777777" w:rsidR="00EC5167" w:rsidRDefault="00EC5167">
      <w:pPr>
        <w:widowControl/>
        <w:rPr>
          <w:szCs w:val="24"/>
          <w:lang w:eastAsia="en-US"/>
        </w:rPr>
      </w:pPr>
      <w:r>
        <w:rPr>
          <w:szCs w:val="24"/>
          <w:lang w:eastAsia="en-US"/>
        </w:rPr>
        <w:br w:type="page"/>
      </w:r>
    </w:p>
    <w:p w14:paraId="4F527147" w14:textId="7BF7BBE9"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7.</w:t>
      </w:r>
      <w:r w:rsidRPr="009E74FB">
        <w:rPr>
          <w:szCs w:val="24"/>
          <w:lang w:eastAsia="en-US"/>
        </w:rPr>
        <w:tab/>
        <w:t>Hvis Kommissionen finder, at betingelserne for en EU-tvangslicens er opfyldt, udsteder den tvangslicensen ved hjælp af en gennemførelsesretsakt. Denne gennemførelsesretsakt vedtages efter den rådgivende procedure i artikel 24, stk. 2. I behørigt begrundede og særligt hastende tilfælde, der vedrører virkningerne af krisen, vedtager Kommissionen efter proceduren i artikel 24, stk. 4, gennemførelsesretsakter, der finder anvendelse omgående. I tilfælde, hvor proceduren i artikel 24, stk. 4, finder anvendelse, er gennemførelsesretsakten gældende i en periode på højst 12 måneder.</w:t>
      </w:r>
    </w:p>
    <w:p w14:paraId="28D0A3A9"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8.</w:t>
      </w:r>
      <w:r w:rsidRPr="009E74FB">
        <w:rPr>
          <w:szCs w:val="24"/>
          <w:lang w:eastAsia="en-US"/>
        </w:rPr>
        <w:tab/>
        <w:t>Når Kommissionen vedtager gennemførelsesretsakten, sikrer den, at fortrolige oplysninger beskyttes. Kommissionen skal, samtidig med at den respekterer oplysningernes fortrolige karakter, sikre, at alle oplysninger, der ligger til grund for dens afgørelse, videregives i et omfang, der gør det muligt at forstå de faktiske forhold og overvejelser, der har ført til gennemførelsesretsaktens vedtagelse.</w:t>
      </w:r>
    </w:p>
    <w:p w14:paraId="3422F099" w14:textId="77777777" w:rsidR="00EC5167" w:rsidRDefault="00EC5167">
      <w:pPr>
        <w:widowControl/>
        <w:rPr>
          <w:szCs w:val="24"/>
          <w:lang w:eastAsia="en-US"/>
        </w:rPr>
      </w:pPr>
      <w:r>
        <w:rPr>
          <w:szCs w:val="24"/>
          <w:lang w:eastAsia="en-US"/>
        </w:rPr>
        <w:br w:type="page"/>
      </w:r>
    </w:p>
    <w:p w14:paraId="67234F54" w14:textId="58C2617D"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8</w:t>
      </w:r>
      <w:r w:rsidRPr="009E74FB">
        <w:rPr>
          <w:szCs w:val="24"/>
          <w:lang w:eastAsia="en-US"/>
        </w:rPr>
        <w:br/>
        <w:t>Indholdet af EU-tvangslicensen</w:t>
      </w:r>
    </w:p>
    <w:p w14:paraId="50A7278D"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I EU-tvangslicensen angives følgende:</w:t>
      </w:r>
    </w:p>
    <w:p w14:paraId="37A5247D" w14:textId="478CA050" w:rsidR="009E74FB" w:rsidRPr="002A49C2" w:rsidRDefault="009E74FB" w:rsidP="009E74FB">
      <w:pPr>
        <w:spacing w:before="120" w:after="120" w:line="360" w:lineRule="auto"/>
        <w:ind w:left="1416" w:hanging="566"/>
        <w:rPr>
          <w:b/>
          <w:szCs w:val="24"/>
          <w:lang w:eastAsia="en-US"/>
        </w:rPr>
      </w:pPr>
      <w:r w:rsidRPr="009E74FB">
        <w:rPr>
          <w:szCs w:val="24"/>
          <w:lang w:eastAsia="en-US"/>
        </w:rPr>
        <w:t>a)</w:t>
      </w:r>
      <w:r w:rsidRPr="009E74FB">
        <w:rPr>
          <w:szCs w:val="24"/>
          <w:lang w:eastAsia="en-US"/>
        </w:rPr>
        <w:tab/>
        <w:t>det patent, den patentansøgning, det supplerende beskyttelsescertifikat eller den brugsmodel, for hvilket/hvilken licensen er udstedt</w:t>
      </w:r>
      <w:r w:rsidRPr="009E74FB">
        <w:rPr>
          <w:strike/>
          <w:szCs w:val="24"/>
          <w:lang w:eastAsia="en-US"/>
        </w:rPr>
        <w:t>, eller, hvis identifikationen af disse rettigheder ville forsinke udstedelsen af licensen i væsentlig grad, fællesnavnet på de produkter, der skal fremstilles i henhold til licensen</w:t>
      </w:r>
      <w:r w:rsidR="002A49C2">
        <w:rPr>
          <w:b/>
          <w:szCs w:val="24"/>
          <w:lang w:eastAsia="en-US"/>
        </w:rPr>
        <w:t xml:space="preserve"> [Ændring 51]</w:t>
      </w:r>
    </w:p>
    <w:p w14:paraId="5575A833" w14:textId="2EB194C0" w:rsidR="009E74FB" w:rsidRPr="002A49C2" w:rsidRDefault="009E74FB" w:rsidP="009E74FB">
      <w:pPr>
        <w:spacing w:before="120" w:after="120" w:line="360" w:lineRule="auto"/>
        <w:ind w:left="1416" w:hanging="566"/>
        <w:rPr>
          <w:b/>
          <w:szCs w:val="24"/>
          <w:lang w:eastAsia="en-US"/>
        </w:rPr>
      </w:pPr>
      <w:r w:rsidRPr="009E74FB">
        <w:rPr>
          <w:szCs w:val="24"/>
          <w:lang w:eastAsia="en-US"/>
        </w:rPr>
        <w:t>b)</w:t>
      </w:r>
      <w:r w:rsidRPr="009E74FB">
        <w:rPr>
          <w:szCs w:val="24"/>
          <w:lang w:eastAsia="en-US"/>
        </w:rPr>
        <w:tab/>
        <w:t>rettighedshaveren</w:t>
      </w:r>
      <w:r w:rsidRPr="009E74FB">
        <w:rPr>
          <w:strike/>
          <w:szCs w:val="24"/>
          <w:lang w:eastAsia="en-US"/>
        </w:rPr>
        <w:t>, forudsat at denne kan identificeres ved en rimelig indsats under hensyntagen til omstændighederne, herunder situationens hastende karakter</w:t>
      </w:r>
      <w:r w:rsidR="002A49C2">
        <w:rPr>
          <w:b/>
          <w:szCs w:val="24"/>
          <w:lang w:eastAsia="en-US"/>
        </w:rPr>
        <w:t xml:space="preserve"> [Ændring 52]</w:t>
      </w:r>
    </w:p>
    <w:p w14:paraId="1DC28FBC"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c)</w:t>
      </w:r>
      <w:r w:rsidRPr="009E74FB">
        <w:rPr>
          <w:szCs w:val="24"/>
          <w:lang w:eastAsia="en-US"/>
        </w:rPr>
        <w:tab/>
        <w:t>licenstageren, navnlig følgende oplysninger:</w:t>
      </w:r>
    </w:p>
    <w:p w14:paraId="4C10E5A7" w14:textId="77777777" w:rsidR="009E74FB" w:rsidRPr="009E74FB" w:rsidRDefault="009E74FB" w:rsidP="009E74FB">
      <w:pPr>
        <w:spacing w:before="120" w:after="120" w:line="360" w:lineRule="auto"/>
        <w:ind w:left="1982" w:hanging="566"/>
        <w:rPr>
          <w:szCs w:val="24"/>
          <w:lang w:eastAsia="en-US"/>
        </w:rPr>
      </w:pPr>
      <w:r w:rsidRPr="009E74FB">
        <w:rPr>
          <w:szCs w:val="24"/>
          <w:lang w:eastAsia="en-US"/>
        </w:rPr>
        <w:t>1)</w:t>
      </w:r>
      <w:r w:rsidRPr="009E74FB">
        <w:rPr>
          <w:szCs w:val="24"/>
          <w:lang w:eastAsia="en-US"/>
        </w:rPr>
        <w:tab/>
        <w:t>navn, firmanavn og registreret varemærke</w:t>
      </w:r>
    </w:p>
    <w:p w14:paraId="3F472703" w14:textId="77777777" w:rsidR="009E74FB" w:rsidRPr="009E74FB" w:rsidRDefault="009E74FB" w:rsidP="009E74FB">
      <w:pPr>
        <w:spacing w:before="120" w:after="120" w:line="360" w:lineRule="auto"/>
        <w:ind w:left="1982" w:hanging="566"/>
        <w:rPr>
          <w:szCs w:val="24"/>
          <w:lang w:eastAsia="en-US"/>
        </w:rPr>
      </w:pPr>
      <w:r w:rsidRPr="009E74FB">
        <w:rPr>
          <w:szCs w:val="24"/>
          <w:lang w:eastAsia="en-US"/>
        </w:rPr>
        <w:t>2)</w:t>
      </w:r>
      <w:r w:rsidRPr="009E74FB">
        <w:rPr>
          <w:szCs w:val="24"/>
          <w:lang w:eastAsia="en-US"/>
        </w:rPr>
        <w:tab/>
        <w:t>kontaktoplysninger</w:t>
      </w:r>
    </w:p>
    <w:p w14:paraId="27B074C9" w14:textId="77777777" w:rsidR="009E74FB" w:rsidRPr="009E74FB" w:rsidRDefault="009E74FB" w:rsidP="009E74FB">
      <w:pPr>
        <w:spacing w:before="120" w:after="120" w:line="360" w:lineRule="auto"/>
        <w:ind w:left="1982" w:hanging="566"/>
        <w:rPr>
          <w:szCs w:val="24"/>
          <w:lang w:eastAsia="en-US"/>
        </w:rPr>
      </w:pPr>
      <w:r w:rsidRPr="009E74FB">
        <w:rPr>
          <w:szCs w:val="24"/>
          <w:lang w:eastAsia="en-US"/>
        </w:rPr>
        <w:t>3)</w:t>
      </w:r>
      <w:r w:rsidRPr="009E74FB">
        <w:rPr>
          <w:szCs w:val="24"/>
          <w:lang w:eastAsia="en-US"/>
        </w:rPr>
        <w:tab/>
        <w:t>unikt identifikationsnummer i det land, hvor licenstageren er etableret</w:t>
      </w:r>
    </w:p>
    <w:p w14:paraId="0D8A66D9" w14:textId="77777777" w:rsidR="00EC5167" w:rsidRDefault="00EC5167">
      <w:pPr>
        <w:widowControl/>
        <w:rPr>
          <w:szCs w:val="24"/>
          <w:lang w:eastAsia="en-US"/>
        </w:rPr>
      </w:pPr>
      <w:r>
        <w:rPr>
          <w:szCs w:val="24"/>
          <w:lang w:eastAsia="en-US"/>
        </w:rPr>
        <w:br w:type="page"/>
      </w:r>
    </w:p>
    <w:p w14:paraId="377CFC91" w14:textId="3B74DE8C" w:rsidR="009E74FB" w:rsidRPr="009E74FB" w:rsidRDefault="009E74FB" w:rsidP="009E74FB">
      <w:pPr>
        <w:spacing w:before="120" w:after="120" w:line="360" w:lineRule="auto"/>
        <w:ind w:left="1982" w:hanging="566"/>
        <w:rPr>
          <w:szCs w:val="24"/>
          <w:lang w:eastAsia="en-US"/>
        </w:rPr>
      </w:pPr>
      <w:r w:rsidRPr="009E74FB">
        <w:rPr>
          <w:szCs w:val="24"/>
          <w:lang w:eastAsia="en-US"/>
        </w:rPr>
        <w:lastRenderedPageBreak/>
        <w:t>4)</w:t>
      </w:r>
      <w:r w:rsidRPr="009E74FB">
        <w:rPr>
          <w:szCs w:val="24"/>
          <w:lang w:eastAsia="en-US"/>
        </w:rPr>
        <w:tab/>
        <w:t>registrerings- og identifikationsnummeret for økonomiske operatører (EORI-nummer), hvis et sådant findes</w:t>
      </w:r>
    </w:p>
    <w:p w14:paraId="50F20D55"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d)</w:t>
      </w:r>
      <w:r w:rsidRPr="009E74FB">
        <w:rPr>
          <w:szCs w:val="24"/>
          <w:lang w:eastAsia="en-US"/>
        </w:rPr>
        <w:tab/>
        <w:t>hvor længe EU-tvangslicensen udstedes for</w:t>
      </w:r>
    </w:p>
    <w:p w14:paraId="70F65ABB"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e)</w:t>
      </w:r>
      <w:r w:rsidRPr="009E74FB">
        <w:rPr>
          <w:szCs w:val="24"/>
          <w:lang w:eastAsia="en-US"/>
        </w:rPr>
        <w:tab/>
        <w:t>det vederlag, der skal betales til rettighedshaveren som fastsat i overensstemmelse med artikel 9</w:t>
      </w:r>
    </w:p>
    <w:p w14:paraId="3603A481"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f)</w:t>
      </w:r>
      <w:r w:rsidRPr="009E74FB">
        <w:rPr>
          <w:szCs w:val="24"/>
          <w:lang w:eastAsia="en-US"/>
        </w:rPr>
        <w:tab/>
        <w:t>fællesnavnet på det kriserelevante produkt, der skal fremstilles i henhold til EU-tvangslicensen, og den varekode (KN-kode), som det kriserelevante produkt er klassificeret under, jf. Rådets forordning (EØF) nr. 2658/87</w:t>
      </w:r>
    </w:p>
    <w:p w14:paraId="44CACA58"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g)</w:t>
      </w:r>
      <w:r w:rsidRPr="009E74FB">
        <w:rPr>
          <w:szCs w:val="24"/>
          <w:lang w:eastAsia="en-US"/>
        </w:rPr>
        <w:tab/>
        <w:t>de oplysninger, der er omhandlet i artikel 10, stk. 1, litra c), d) og e), og som gør det muligt at identificere det kriserelevante produkt, der er fremstillet i henhold til EU-tvangslicensen, og, hvor det er relevant, ethvert andet specifikt krav i henhold til EU-lovgivningen, der gælder for det kriserelevante produkt, og som gør det muligt at identificere det</w:t>
      </w:r>
    </w:p>
    <w:p w14:paraId="7C8E8ACB" w14:textId="77777777" w:rsidR="00460121" w:rsidRDefault="00460121">
      <w:pPr>
        <w:widowControl/>
        <w:rPr>
          <w:szCs w:val="24"/>
          <w:lang w:eastAsia="en-US"/>
        </w:rPr>
      </w:pPr>
      <w:r>
        <w:rPr>
          <w:szCs w:val="24"/>
          <w:lang w:eastAsia="en-US"/>
        </w:rPr>
        <w:br w:type="page"/>
      </w:r>
    </w:p>
    <w:p w14:paraId="32C177DF" w14:textId="24C4EFFA" w:rsidR="009E74FB" w:rsidRPr="002A49C2" w:rsidRDefault="009E74FB" w:rsidP="009E74FB">
      <w:pPr>
        <w:spacing w:before="120" w:after="120" w:line="360" w:lineRule="auto"/>
        <w:ind w:left="1416" w:hanging="566"/>
        <w:rPr>
          <w:b/>
          <w:szCs w:val="24"/>
          <w:lang w:eastAsia="en-US"/>
        </w:rPr>
      </w:pPr>
      <w:r w:rsidRPr="009E74FB">
        <w:rPr>
          <w:szCs w:val="24"/>
          <w:lang w:eastAsia="en-US"/>
        </w:rPr>
        <w:lastRenderedPageBreak/>
        <w:t>h)</w:t>
      </w:r>
      <w:r w:rsidRPr="009E74FB">
        <w:rPr>
          <w:szCs w:val="24"/>
          <w:lang w:eastAsia="en-US"/>
        </w:rPr>
        <w:tab/>
        <w:t xml:space="preserve">foranstaltninger, der supplerer tvangslicensen, </w:t>
      </w:r>
      <w:r w:rsidRPr="009E74FB">
        <w:rPr>
          <w:strike/>
          <w:szCs w:val="24"/>
          <w:lang w:eastAsia="en-US"/>
        </w:rPr>
        <w:t xml:space="preserve">og som er </w:t>
      </w:r>
      <w:proofErr w:type="spellStart"/>
      <w:r w:rsidRPr="009E74FB">
        <w:rPr>
          <w:strike/>
          <w:szCs w:val="24"/>
          <w:lang w:eastAsia="en-US"/>
        </w:rPr>
        <w:t>nødvendige</w:t>
      </w:r>
      <w:r w:rsidRPr="009E74FB">
        <w:rPr>
          <w:b/>
          <w:i/>
          <w:szCs w:val="24"/>
          <w:lang w:eastAsia="en-US"/>
        </w:rPr>
        <w:t>jf</w:t>
      </w:r>
      <w:proofErr w:type="spellEnd"/>
      <w:r w:rsidRPr="009E74FB">
        <w:rPr>
          <w:b/>
          <w:i/>
          <w:szCs w:val="24"/>
          <w:lang w:eastAsia="en-US"/>
        </w:rPr>
        <w:t>. artikel 13a, herunder, hvor det er strengt nødvendigt</w:t>
      </w:r>
      <w:r w:rsidRPr="009E74FB">
        <w:rPr>
          <w:szCs w:val="24"/>
          <w:lang w:eastAsia="en-US"/>
        </w:rPr>
        <w:t xml:space="preserve"> for at nå målet med tvangslicensen</w:t>
      </w:r>
      <w:r w:rsidRPr="009E74FB">
        <w:rPr>
          <w:b/>
          <w:i/>
          <w:szCs w:val="24"/>
          <w:lang w:eastAsia="en-US"/>
        </w:rPr>
        <w:t>, rettighedshaverens forpligtelse til at videregive forretningshemmeligheder til licenstageren, når betingelserne i artikel 13a, stk</w:t>
      </w:r>
      <w:r w:rsidRPr="009E74FB">
        <w:rPr>
          <w:szCs w:val="24"/>
          <w:lang w:eastAsia="en-US"/>
        </w:rPr>
        <w:t>.</w:t>
      </w:r>
      <w:r w:rsidRPr="009E74FB">
        <w:rPr>
          <w:b/>
          <w:i/>
          <w:szCs w:val="24"/>
          <w:lang w:eastAsia="en-US"/>
        </w:rPr>
        <w:t xml:space="preserve"> 2 og 3, er opfyldt.</w:t>
      </w:r>
      <w:r w:rsidR="002A49C2">
        <w:rPr>
          <w:b/>
          <w:szCs w:val="24"/>
          <w:lang w:eastAsia="en-US"/>
        </w:rPr>
        <w:t xml:space="preserve"> [Ændring 53]</w:t>
      </w:r>
    </w:p>
    <w:p w14:paraId="4320810D"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Uanset stk. 1, litra e), kan Kommissionen fastsætte vederlaget efter licensens udstedelse ved hjælp af en gennemførelsesretsakt, hvis denne fastsættelse kræver yderligere undersøgelse og høring. Denne gennemførelsesretsakt vedtages efter de regler, der er angivet i artikel 7, stk. 6, litra a) og b), og artikel 7, stk. 7 og 8.</w:t>
      </w:r>
    </w:p>
    <w:p w14:paraId="51039DCC"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9</w:t>
      </w:r>
      <w:r w:rsidRPr="009E74FB">
        <w:rPr>
          <w:szCs w:val="24"/>
          <w:lang w:eastAsia="en-US"/>
        </w:rPr>
        <w:br/>
        <w:t>Vederlag</w:t>
      </w:r>
    </w:p>
    <w:p w14:paraId="12C97F4B"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Licenstageren betaler et passende vederlag til rettighedshaveren. Vederlagets størrelse fastsættes af Kommissionen og angives i EU-tvangslicensen.</w:t>
      </w:r>
    </w:p>
    <w:p w14:paraId="6874C2BB" w14:textId="77777777" w:rsidR="00460121" w:rsidRDefault="00460121">
      <w:pPr>
        <w:widowControl/>
        <w:rPr>
          <w:b/>
          <w:i/>
          <w:szCs w:val="24"/>
          <w:lang w:eastAsia="en-US"/>
        </w:rPr>
      </w:pPr>
      <w:r>
        <w:rPr>
          <w:b/>
          <w:i/>
          <w:szCs w:val="24"/>
          <w:lang w:eastAsia="en-US"/>
        </w:rPr>
        <w:br w:type="page"/>
      </w:r>
    </w:p>
    <w:p w14:paraId="57250E1A" w14:textId="4EE07909" w:rsidR="009E74FB" w:rsidRPr="002A49C2" w:rsidRDefault="009E74FB" w:rsidP="009E74FB">
      <w:pPr>
        <w:spacing w:before="120" w:after="120" w:line="360" w:lineRule="auto"/>
        <w:ind w:left="850" w:hanging="850"/>
        <w:rPr>
          <w:b/>
          <w:szCs w:val="24"/>
          <w:lang w:eastAsia="en-US"/>
        </w:rPr>
      </w:pPr>
      <w:r w:rsidRPr="009E74FB">
        <w:rPr>
          <w:b/>
          <w:i/>
          <w:szCs w:val="24"/>
          <w:lang w:eastAsia="en-US"/>
        </w:rPr>
        <w:lastRenderedPageBreak/>
        <w:t>1a.</w:t>
      </w:r>
      <w:r w:rsidRPr="009E74FB">
        <w:rPr>
          <w:szCs w:val="24"/>
          <w:lang w:eastAsia="en-US"/>
        </w:rPr>
        <w:tab/>
      </w:r>
      <w:r w:rsidRPr="009E74FB">
        <w:rPr>
          <w:b/>
          <w:i/>
          <w:szCs w:val="24"/>
          <w:lang w:eastAsia="en-US"/>
        </w:rPr>
        <w:t>Rettighedshaveren modtager vederlaget inden for en forud fastsat tidsramme som aftalt med Kommissionen.</w:t>
      </w:r>
      <w:r w:rsidR="002A49C2">
        <w:rPr>
          <w:b/>
          <w:szCs w:val="24"/>
          <w:lang w:eastAsia="en-US"/>
        </w:rPr>
        <w:t xml:space="preserve"> [Ændring 54]</w:t>
      </w:r>
    </w:p>
    <w:p w14:paraId="439ADB94" w14:textId="0C7010E4" w:rsidR="009E74FB" w:rsidRPr="002A49C2" w:rsidRDefault="009E74FB" w:rsidP="009E74FB">
      <w:pPr>
        <w:spacing w:before="120" w:after="120" w:line="360" w:lineRule="auto"/>
        <w:ind w:left="850" w:hanging="850"/>
        <w:rPr>
          <w:b/>
          <w:szCs w:val="24"/>
          <w:lang w:eastAsia="en-US"/>
        </w:rPr>
      </w:pPr>
      <w:r w:rsidRPr="009E74FB">
        <w:rPr>
          <w:szCs w:val="24"/>
          <w:lang w:eastAsia="en-US"/>
        </w:rPr>
        <w:t>2.</w:t>
      </w:r>
      <w:r w:rsidRPr="009E74FB">
        <w:rPr>
          <w:szCs w:val="24"/>
          <w:lang w:eastAsia="en-US"/>
        </w:rPr>
        <w:tab/>
        <w:t xml:space="preserve">Vederlaget </w:t>
      </w:r>
      <w:r w:rsidRPr="009E74FB">
        <w:rPr>
          <w:strike/>
          <w:szCs w:val="24"/>
          <w:lang w:eastAsia="en-US"/>
        </w:rPr>
        <w:t>må ikke overstige 4 %</w:t>
      </w:r>
      <w:r w:rsidRPr="009E74FB">
        <w:rPr>
          <w:b/>
          <w:i/>
          <w:szCs w:val="24"/>
          <w:lang w:eastAsia="en-US"/>
        </w:rPr>
        <w:t>fastsættes på baggrund</w:t>
      </w:r>
      <w:r w:rsidRPr="009E74FB">
        <w:rPr>
          <w:szCs w:val="24"/>
          <w:lang w:eastAsia="en-US"/>
        </w:rPr>
        <w:t xml:space="preserve"> af licenstagerens samlede bruttoindtægter som følge af de relevante aktiviteter, der udføres i henhold til EU-tvangslicensen.</w:t>
      </w:r>
      <w:r w:rsidR="002A49C2">
        <w:rPr>
          <w:b/>
          <w:szCs w:val="24"/>
          <w:lang w:eastAsia="en-US"/>
        </w:rPr>
        <w:t xml:space="preserve"> [Ændring 55]</w:t>
      </w:r>
    </w:p>
    <w:p w14:paraId="26E69854"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3.</w:t>
      </w:r>
      <w:r w:rsidRPr="009E74FB">
        <w:rPr>
          <w:szCs w:val="24"/>
          <w:lang w:eastAsia="en-US"/>
        </w:rPr>
        <w:tab/>
        <w:t>Ved fastsættelsen af vederlaget tager Kommissionen hensyn til følgende:</w:t>
      </w:r>
    </w:p>
    <w:p w14:paraId="776EA701"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den økonomiske værdi af de relevante aktiviteter, der er tilladt i henhold til EU-tvangslicensen</w:t>
      </w:r>
    </w:p>
    <w:p w14:paraId="6B09BF0E"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om rettighedshaveren har modtaget offentlig støtte til at udvikle opfindelsen</w:t>
      </w:r>
    </w:p>
    <w:p w14:paraId="6FF3794A"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c)</w:t>
      </w:r>
      <w:r w:rsidRPr="009E74FB">
        <w:rPr>
          <w:szCs w:val="24"/>
          <w:lang w:eastAsia="en-US"/>
        </w:rPr>
        <w:tab/>
        <w:t>i hvilket omfang rettighedshaveren har afskrevet udviklingsomkostningerne</w:t>
      </w:r>
    </w:p>
    <w:p w14:paraId="6A80F9CD"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d)</w:t>
      </w:r>
      <w:r w:rsidRPr="009E74FB">
        <w:rPr>
          <w:szCs w:val="24"/>
          <w:lang w:eastAsia="en-US"/>
        </w:rPr>
        <w:tab/>
        <w:t>hvis det er relevant, de humanitære omstændigheder i forbindelse med EU-tvangslicensens udstedelse.</w:t>
      </w:r>
    </w:p>
    <w:p w14:paraId="02370DBF" w14:textId="77777777" w:rsidR="00460121" w:rsidRDefault="00460121">
      <w:pPr>
        <w:widowControl/>
        <w:rPr>
          <w:b/>
          <w:i/>
          <w:szCs w:val="24"/>
          <w:lang w:eastAsia="en-US"/>
        </w:rPr>
      </w:pPr>
      <w:r>
        <w:rPr>
          <w:b/>
          <w:i/>
          <w:szCs w:val="24"/>
          <w:lang w:eastAsia="en-US"/>
        </w:rPr>
        <w:br w:type="page"/>
      </w:r>
    </w:p>
    <w:p w14:paraId="70FC194B" w14:textId="75080898" w:rsidR="009E74FB" w:rsidRPr="002A49C2" w:rsidRDefault="009E74FB" w:rsidP="009E74FB">
      <w:pPr>
        <w:spacing w:before="120" w:after="120" w:line="360" w:lineRule="auto"/>
        <w:ind w:left="1416" w:hanging="566"/>
        <w:rPr>
          <w:b/>
          <w:szCs w:val="24"/>
          <w:lang w:eastAsia="en-US"/>
        </w:rPr>
      </w:pPr>
      <w:r w:rsidRPr="009E74FB">
        <w:rPr>
          <w:b/>
          <w:i/>
          <w:szCs w:val="24"/>
          <w:lang w:eastAsia="en-US"/>
        </w:rPr>
        <w:lastRenderedPageBreak/>
        <w:t>da)</w:t>
      </w:r>
      <w:r w:rsidRPr="009E74FB">
        <w:rPr>
          <w:szCs w:val="24"/>
          <w:lang w:eastAsia="en-US"/>
        </w:rPr>
        <w:tab/>
      </w:r>
      <w:r w:rsidRPr="009E74FB">
        <w:rPr>
          <w:b/>
          <w:i/>
          <w:szCs w:val="24"/>
          <w:lang w:eastAsia="en-US"/>
        </w:rPr>
        <w:t>den mulige videregivelse af forretningshemmeligheder i henhold til artikel 13a, stk. 2 og 3, og de relevante begrænsninger af beskyttelsen af forretningshemmeligheder i henhold til direktiv (EU) 2016/943; denne offentliggørelse skal give anledning til passende kompensation til rettighedshaveren.</w:t>
      </w:r>
      <w:r w:rsidR="002A49C2">
        <w:rPr>
          <w:b/>
          <w:szCs w:val="24"/>
          <w:lang w:eastAsia="en-US"/>
        </w:rPr>
        <w:t xml:space="preserve"> [Ændring 56]</w:t>
      </w:r>
    </w:p>
    <w:p w14:paraId="12633AB3"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4.</w:t>
      </w:r>
      <w:r w:rsidRPr="009E74FB">
        <w:rPr>
          <w:szCs w:val="24"/>
          <w:lang w:eastAsia="en-US"/>
        </w:rPr>
        <w:tab/>
        <w:t>Hvis en offentliggjort patentansøgning, som der er udstedt tvangslicens for, ikke efterfølgende medfører, at der udstedes et patent, tilbagebetaler rettighedshaveren det vederlag, der er betalt i henhold til denne artikel, til licenstageren.</w:t>
      </w:r>
    </w:p>
    <w:p w14:paraId="03CFA099"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10</w:t>
      </w:r>
      <w:r w:rsidRPr="009E74FB">
        <w:rPr>
          <w:szCs w:val="24"/>
          <w:lang w:eastAsia="en-US"/>
        </w:rPr>
        <w:br/>
        <w:t>Forpligtelser, der skal opfyldes af licenstageren</w:t>
      </w:r>
    </w:p>
    <w:p w14:paraId="4F50D091"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Licenstageren må kun udnytte den beskyttede opfindelse, der er omfattet af EU-tvangslicensen, i henhold til følgende forpligtelser:</w:t>
      </w:r>
    </w:p>
    <w:p w14:paraId="6A5E3359" w14:textId="67909C82" w:rsidR="009E74FB" w:rsidRPr="002A49C2" w:rsidRDefault="009E74FB" w:rsidP="009E74FB">
      <w:pPr>
        <w:spacing w:before="120" w:after="120" w:line="360" w:lineRule="auto"/>
        <w:ind w:left="1416" w:hanging="566"/>
        <w:rPr>
          <w:b/>
          <w:szCs w:val="24"/>
          <w:lang w:eastAsia="en-US"/>
        </w:rPr>
      </w:pPr>
      <w:r w:rsidRPr="009E74FB">
        <w:rPr>
          <w:szCs w:val="24"/>
          <w:lang w:eastAsia="en-US"/>
        </w:rPr>
        <w:t>a)</w:t>
      </w:r>
      <w:r w:rsidRPr="009E74FB">
        <w:rPr>
          <w:szCs w:val="24"/>
          <w:lang w:eastAsia="en-US"/>
        </w:rPr>
        <w:tab/>
        <w:t xml:space="preserve">Antallet af kriserelevante produkter, der fremstilles </w:t>
      </w:r>
      <w:proofErr w:type="spellStart"/>
      <w:r w:rsidRPr="009E74FB">
        <w:rPr>
          <w:szCs w:val="24"/>
          <w:lang w:eastAsia="en-US"/>
        </w:rPr>
        <w:t>underEU</w:t>
      </w:r>
      <w:proofErr w:type="spellEnd"/>
      <w:r w:rsidRPr="009E74FB">
        <w:rPr>
          <w:szCs w:val="24"/>
          <w:lang w:eastAsia="en-US"/>
        </w:rPr>
        <w:t>-tvangslicensen</w:t>
      </w:r>
      <w:r w:rsidRPr="009E74FB">
        <w:rPr>
          <w:b/>
          <w:i/>
          <w:szCs w:val="24"/>
          <w:lang w:eastAsia="en-US"/>
        </w:rPr>
        <w:t>,</w:t>
      </w:r>
      <w:r w:rsidRPr="009E74FB">
        <w:rPr>
          <w:szCs w:val="24"/>
          <w:lang w:eastAsia="en-US"/>
        </w:rPr>
        <w:t xml:space="preserve"> går ikke videre</w:t>
      </w:r>
      <w:r w:rsidRPr="009E74FB">
        <w:rPr>
          <w:strike/>
          <w:szCs w:val="24"/>
          <w:lang w:eastAsia="en-US"/>
        </w:rPr>
        <w:t>,</w:t>
      </w:r>
      <w:r w:rsidRPr="009E74FB">
        <w:rPr>
          <w:szCs w:val="24"/>
          <w:lang w:eastAsia="en-US"/>
        </w:rPr>
        <w:t xml:space="preserve"> end</w:t>
      </w:r>
      <w:r w:rsidRPr="009E74FB">
        <w:rPr>
          <w:b/>
          <w:i/>
          <w:szCs w:val="24"/>
          <w:lang w:eastAsia="en-US"/>
        </w:rPr>
        <w:t xml:space="preserve"> de fastsatte mængder, og</w:t>
      </w:r>
      <w:r w:rsidRPr="009E74FB">
        <w:rPr>
          <w:szCs w:val="24"/>
          <w:lang w:eastAsia="en-US"/>
        </w:rPr>
        <w:t xml:space="preserve"> hvad der er nødvendigt for at opfylde Unionens behov.</w:t>
      </w:r>
      <w:r w:rsidR="002A49C2">
        <w:rPr>
          <w:b/>
          <w:szCs w:val="24"/>
          <w:lang w:eastAsia="en-US"/>
        </w:rPr>
        <w:t xml:space="preserve"> [Ændring 57]</w:t>
      </w:r>
    </w:p>
    <w:p w14:paraId="3253F642" w14:textId="77777777" w:rsidR="00460121" w:rsidRDefault="00460121">
      <w:pPr>
        <w:widowControl/>
        <w:rPr>
          <w:szCs w:val="24"/>
          <w:lang w:eastAsia="en-US"/>
        </w:rPr>
      </w:pPr>
      <w:r>
        <w:rPr>
          <w:szCs w:val="24"/>
          <w:lang w:eastAsia="en-US"/>
        </w:rPr>
        <w:br w:type="page"/>
      </w:r>
    </w:p>
    <w:p w14:paraId="3AE4D405" w14:textId="15171A2D" w:rsidR="009E74FB" w:rsidRPr="009E74FB" w:rsidRDefault="009E74FB" w:rsidP="009E74FB">
      <w:pPr>
        <w:spacing w:before="120" w:after="120" w:line="360" w:lineRule="auto"/>
        <w:ind w:left="1416" w:hanging="566"/>
        <w:rPr>
          <w:szCs w:val="24"/>
          <w:lang w:eastAsia="en-US"/>
        </w:rPr>
      </w:pPr>
      <w:r w:rsidRPr="009E74FB">
        <w:rPr>
          <w:szCs w:val="24"/>
          <w:lang w:eastAsia="en-US"/>
        </w:rPr>
        <w:lastRenderedPageBreak/>
        <w:t>b)</w:t>
      </w:r>
      <w:r w:rsidRPr="009E74FB">
        <w:rPr>
          <w:szCs w:val="24"/>
          <w:lang w:eastAsia="en-US"/>
        </w:rPr>
        <w:tab/>
        <w:t>De relevante aktiviteter udføres udelukkende med henblik på at levere kriserelevante produkter på EU-markedet.</w:t>
      </w:r>
    </w:p>
    <w:p w14:paraId="77A692DD"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c)</w:t>
      </w:r>
      <w:r w:rsidRPr="009E74FB">
        <w:rPr>
          <w:szCs w:val="24"/>
          <w:lang w:eastAsia="en-US"/>
        </w:rPr>
        <w:tab/>
        <w:t>De produkter, der er fremstillet i henhold til EU-tvangslicensen, er</w:t>
      </w:r>
      <w:r w:rsidRPr="009E74FB">
        <w:rPr>
          <w:szCs w:val="24"/>
          <w:lang w:eastAsia="en-US"/>
        </w:rPr>
        <w:tab/>
        <w:t>gennem særlig etikettering eller mærkning klart identificeret som værende fremstillet og markedsført i henhold til denne forordning.</w:t>
      </w:r>
    </w:p>
    <w:p w14:paraId="4C5D1A53" w14:textId="6936C27F" w:rsidR="009E74FB" w:rsidRPr="002A49C2" w:rsidRDefault="009E74FB" w:rsidP="009E74FB">
      <w:pPr>
        <w:spacing w:before="120" w:after="120" w:line="360" w:lineRule="auto"/>
        <w:ind w:left="1416" w:hanging="566"/>
        <w:rPr>
          <w:b/>
          <w:szCs w:val="24"/>
          <w:lang w:eastAsia="en-US"/>
        </w:rPr>
      </w:pPr>
      <w:proofErr w:type="spellStart"/>
      <w:r w:rsidRPr="009E74FB">
        <w:rPr>
          <w:b/>
          <w:i/>
          <w:szCs w:val="24"/>
          <w:lang w:eastAsia="en-US"/>
        </w:rPr>
        <w:t>ca</w:t>
      </w:r>
      <w:proofErr w:type="spellEnd"/>
      <w:r w:rsidRPr="009E74FB">
        <w:rPr>
          <w:b/>
          <w:i/>
          <w:szCs w:val="24"/>
          <w:lang w:eastAsia="en-US"/>
        </w:rPr>
        <w:t>)</w:t>
      </w:r>
      <w:r w:rsidRPr="009E74FB">
        <w:rPr>
          <w:szCs w:val="24"/>
          <w:lang w:eastAsia="en-US"/>
        </w:rPr>
        <w:tab/>
      </w:r>
      <w:r w:rsidRPr="009E74FB">
        <w:rPr>
          <w:b/>
          <w:i/>
          <w:szCs w:val="24"/>
          <w:lang w:eastAsia="en-US"/>
        </w:rPr>
        <w:t>en detaljeret opgørelse over de producerede produkter, der er omfattet af EU-tvangslicensen</w:t>
      </w:r>
      <w:r w:rsidR="002A49C2">
        <w:rPr>
          <w:b/>
          <w:szCs w:val="24"/>
          <w:lang w:eastAsia="en-US"/>
        </w:rPr>
        <w:t xml:space="preserve"> [Ændring 58]</w:t>
      </w:r>
    </w:p>
    <w:p w14:paraId="2AC7CDAD" w14:textId="4C79DBFB" w:rsidR="009E74FB" w:rsidRPr="002A49C2" w:rsidRDefault="009E74FB" w:rsidP="009E74FB">
      <w:pPr>
        <w:spacing w:before="120" w:after="120" w:line="360" w:lineRule="auto"/>
        <w:ind w:left="1416" w:hanging="566"/>
        <w:rPr>
          <w:b/>
          <w:szCs w:val="24"/>
          <w:lang w:eastAsia="en-US"/>
        </w:rPr>
      </w:pPr>
      <w:proofErr w:type="spellStart"/>
      <w:r w:rsidRPr="009E74FB">
        <w:rPr>
          <w:b/>
          <w:i/>
          <w:szCs w:val="24"/>
          <w:lang w:eastAsia="en-US"/>
        </w:rPr>
        <w:t>cb</w:t>
      </w:r>
      <w:proofErr w:type="spellEnd"/>
      <w:r w:rsidRPr="009E74FB">
        <w:rPr>
          <w:b/>
          <w:i/>
          <w:szCs w:val="24"/>
          <w:lang w:eastAsia="en-US"/>
        </w:rPr>
        <w:t>)</w:t>
      </w:r>
      <w:r w:rsidRPr="009E74FB">
        <w:rPr>
          <w:szCs w:val="24"/>
          <w:lang w:eastAsia="en-US"/>
        </w:rPr>
        <w:tab/>
      </w:r>
      <w:r w:rsidRPr="009E74FB">
        <w:rPr>
          <w:b/>
          <w:i/>
          <w:szCs w:val="24"/>
          <w:lang w:eastAsia="en-US"/>
        </w:rPr>
        <w:t>De oplysninger, der er indhentet i forbindelse med EU-tvangslicensen, behandles med størst mulig fortrolighed og forretningshemmeligheder stilles navnlig ikke til rådighed for tredjemand uden samtykke fra Kommissionen, som bør informere og høre rettighedshaveren i denne henseende.</w:t>
      </w:r>
      <w:r w:rsidR="002A49C2">
        <w:rPr>
          <w:b/>
          <w:szCs w:val="24"/>
          <w:lang w:eastAsia="en-US"/>
        </w:rPr>
        <w:t xml:space="preserve"> [Ændring 59]</w:t>
      </w:r>
    </w:p>
    <w:p w14:paraId="4E2A326D" w14:textId="55FC85FE" w:rsidR="009E74FB" w:rsidRPr="002A49C2" w:rsidRDefault="009E74FB" w:rsidP="009E74FB">
      <w:pPr>
        <w:spacing w:before="120" w:after="120" w:line="360" w:lineRule="auto"/>
        <w:ind w:left="1416" w:hanging="566"/>
        <w:rPr>
          <w:b/>
          <w:szCs w:val="24"/>
          <w:lang w:eastAsia="en-US"/>
        </w:rPr>
      </w:pPr>
      <w:r w:rsidRPr="009E74FB">
        <w:rPr>
          <w:b/>
          <w:i/>
          <w:szCs w:val="24"/>
          <w:lang w:eastAsia="en-US"/>
        </w:rPr>
        <w:t>cc)</w:t>
      </w:r>
      <w:r w:rsidRPr="009E74FB">
        <w:rPr>
          <w:szCs w:val="24"/>
          <w:lang w:eastAsia="en-US"/>
        </w:rPr>
        <w:tab/>
      </w:r>
      <w:r w:rsidRPr="009E74FB">
        <w:rPr>
          <w:b/>
          <w:i/>
          <w:szCs w:val="24"/>
          <w:lang w:eastAsia="en-US"/>
        </w:rPr>
        <w:t>Alle nødvendige foranstaltninger gennemføres for at bevare fortroligheden af rettighedshaverens forretningshemmeligheder som pålagt af Kommissionen i henhold til artikel 13a, stk. 3.</w:t>
      </w:r>
      <w:r w:rsidR="002A49C2">
        <w:rPr>
          <w:b/>
          <w:szCs w:val="24"/>
          <w:lang w:eastAsia="en-US"/>
        </w:rPr>
        <w:t xml:space="preserve"> [Ændring 60]</w:t>
      </w:r>
    </w:p>
    <w:p w14:paraId="5D6E6DF1" w14:textId="77777777" w:rsidR="00460121" w:rsidRDefault="00460121">
      <w:pPr>
        <w:widowControl/>
        <w:rPr>
          <w:b/>
          <w:i/>
          <w:szCs w:val="24"/>
          <w:lang w:eastAsia="en-US"/>
        </w:rPr>
      </w:pPr>
      <w:r>
        <w:rPr>
          <w:b/>
          <w:i/>
          <w:szCs w:val="24"/>
          <w:lang w:eastAsia="en-US"/>
        </w:rPr>
        <w:br w:type="page"/>
      </w:r>
    </w:p>
    <w:p w14:paraId="43DD4B80" w14:textId="2C08B6F7" w:rsidR="009E74FB" w:rsidRPr="002A49C2" w:rsidRDefault="009E74FB" w:rsidP="009E74FB">
      <w:pPr>
        <w:spacing w:before="120" w:after="120" w:line="360" w:lineRule="auto"/>
        <w:ind w:left="1416" w:hanging="566"/>
        <w:rPr>
          <w:b/>
          <w:szCs w:val="24"/>
          <w:lang w:eastAsia="en-US"/>
        </w:rPr>
      </w:pPr>
      <w:r w:rsidRPr="009E74FB">
        <w:rPr>
          <w:b/>
          <w:i/>
          <w:szCs w:val="24"/>
          <w:lang w:eastAsia="en-US"/>
        </w:rPr>
        <w:lastRenderedPageBreak/>
        <w:t>cd)</w:t>
      </w:r>
      <w:r w:rsidRPr="009E74FB">
        <w:rPr>
          <w:szCs w:val="24"/>
          <w:lang w:eastAsia="en-US"/>
        </w:rPr>
        <w:tab/>
      </w:r>
      <w:r w:rsidRPr="009E74FB">
        <w:rPr>
          <w:b/>
          <w:i/>
          <w:szCs w:val="24"/>
          <w:lang w:eastAsia="en-US"/>
        </w:rPr>
        <w:t>Forretningshemmeligheder, der er videregivet i henhold til artikel 13a, stk. 2, anvendes ikke ud over varigheden af EU-tvangslicensen eller til andre formål end dem, der betragtes som lovlige anvendelser i henhold til artikel 13a, stk. 2.</w:t>
      </w:r>
      <w:r w:rsidR="002A49C2">
        <w:rPr>
          <w:b/>
          <w:szCs w:val="24"/>
          <w:lang w:eastAsia="en-US"/>
        </w:rPr>
        <w:t xml:space="preserve"> [Ændring 61]</w:t>
      </w:r>
    </w:p>
    <w:p w14:paraId="1BA6476B"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d)</w:t>
      </w:r>
      <w:r w:rsidRPr="009E74FB">
        <w:rPr>
          <w:szCs w:val="24"/>
          <w:lang w:eastAsia="en-US"/>
        </w:rPr>
        <w:tab/>
        <w:t>De produkter, der er fremstillet i henhold til EU-tvangslicensen, kan skelnes fra produkter, der fremstilles og markedsføres af rettighedshaveren eller i henhold til en frivillig licens, som rettighedshaveren har udstedt, ved hjælp af særlig emballage, farve eller form, forudsat at det er muligt at foretage en sådan sondring, og at det ikke har nogen væsentlig indvirkning på produkternes pris.</w:t>
      </w:r>
    </w:p>
    <w:p w14:paraId="550E8626"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e)</w:t>
      </w:r>
      <w:r w:rsidRPr="009E74FB">
        <w:rPr>
          <w:szCs w:val="24"/>
          <w:lang w:eastAsia="en-US"/>
        </w:rPr>
        <w:tab/>
        <w:t>Det fremgår af emballagen til produkter, der er fremstillet i henhold til EU-tvangslicensen, og enhver dertil knyttet mærkning eller folder, at produkterne er omfattet af en EU-tvangslicens i henhold til denne forordning, og det fremgår klart, at produkterne udelukkende er til distribution i Unionen og ikke må eksporteres.</w:t>
      </w:r>
    </w:p>
    <w:p w14:paraId="293D3513"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f)</w:t>
      </w:r>
      <w:r w:rsidRPr="009E74FB">
        <w:rPr>
          <w:szCs w:val="24"/>
          <w:lang w:eastAsia="en-US"/>
        </w:rPr>
        <w:tab/>
        <w:t>Inden markedsføringen af de produkter, der er fremstillet i henhold til EU-tvangslicensen, stiller licenstageren følgende oplysninger til rådighed på et websted:</w:t>
      </w:r>
    </w:p>
    <w:p w14:paraId="766E55FB" w14:textId="77777777" w:rsidR="00460121" w:rsidRDefault="00460121">
      <w:pPr>
        <w:widowControl/>
        <w:rPr>
          <w:szCs w:val="24"/>
          <w:lang w:eastAsia="en-US"/>
        </w:rPr>
      </w:pPr>
      <w:r>
        <w:rPr>
          <w:szCs w:val="24"/>
          <w:lang w:eastAsia="en-US"/>
        </w:rPr>
        <w:br w:type="page"/>
      </w:r>
    </w:p>
    <w:p w14:paraId="2C29E881" w14:textId="707C9508" w:rsidR="009E74FB" w:rsidRPr="009E74FB" w:rsidRDefault="009E74FB" w:rsidP="009E74FB">
      <w:pPr>
        <w:spacing w:before="120" w:after="120" w:line="360" w:lineRule="auto"/>
        <w:ind w:left="1982" w:hanging="566"/>
        <w:rPr>
          <w:szCs w:val="24"/>
          <w:lang w:eastAsia="en-US"/>
        </w:rPr>
      </w:pPr>
      <w:r w:rsidRPr="009E74FB">
        <w:rPr>
          <w:szCs w:val="24"/>
          <w:lang w:eastAsia="en-US"/>
        </w:rPr>
        <w:lastRenderedPageBreak/>
        <w:t>1)</w:t>
      </w:r>
      <w:r w:rsidRPr="009E74FB">
        <w:rPr>
          <w:szCs w:val="24"/>
          <w:lang w:eastAsia="en-US"/>
        </w:rPr>
        <w:tab/>
        <w:t>den mængde produkter, der er fremstillet i henhold til EU-tvangslicensen pr. medlemsstat, hvor produkterne fremstilles</w:t>
      </w:r>
    </w:p>
    <w:p w14:paraId="5EC96518" w14:textId="77777777" w:rsidR="009E74FB" w:rsidRPr="009E74FB" w:rsidRDefault="009E74FB" w:rsidP="009E74FB">
      <w:pPr>
        <w:spacing w:before="120" w:after="120" w:line="360" w:lineRule="auto"/>
        <w:ind w:left="1982" w:hanging="566"/>
        <w:rPr>
          <w:szCs w:val="24"/>
          <w:lang w:eastAsia="en-US"/>
        </w:rPr>
      </w:pPr>
      <w:r w:rsidRPr="009E74FB">
        <w:rPr>
          <w:szCs w:val="24"/>
          <w:lang w:eastAsia="en-US"/>
        </w:rPr>
        <w:t>2)</w:t>
      </w:r>
      <w:r w:rsidRPr="009E74FB">
        <w:rPr>
          <w:szCs w:val="24"/>
          <w:lang w:eastAsia="en-US"/>
        </w:rPr>
        <w:tab/>
        <w:t>den mængde produkter, der er leveret i henhold til EU-tvangslicensen pr. medlemsstat, hvor produkterne leveres</w:t>
      </w:r>
    </w:p>
    <w:p w14:paraId="6F382774" w14:textId="77777777" w:rsidR="009E74FB" w:rsidRPr="009E74FB" w:rsidRDefault="009E74FB" w:rsidP="009E74FB">
      <w:pPr>
        <w:spacing w:before="120" w:after="120" w:line="360" w:lineRule="auto"/>
        <w:ind w:left="1982" w:hanging="566"/>
        <w:rPr>
          <w:szCs w:val="24"/>
          <w:lang w:eastAsia="en-US"/>
        </w:rPr>
      </w:pPr>
      <w:r w:rsidRPr="009E74FB">
        <w:rPr>
          <w:szCs w:val="24"/>
          <w:lang w:eastAsia="en-US"/>
        </w:rPr>
        <w:t>3)</w:t>
      </w:r>
      <w:r w:rsidRPr="009E74FB">
        <w:rPr>
          <w:szCs w:val="24"/>
          <w:lang w:eastAsia="en-US"/>
        </w:rPr>
        <w:tab/>
        <w:t>de særlige kendetegn ved de produkter, der er omfattet af EU-tvangslicensen.</w:t>
      </w:r>
    </w:p>
    <w:p w14:paraId="584E6FE5" w14:textId="77777777" w:rsidR="009E74FB" w:rsidRPr="009E74FB" w:rsidRDefault="009E74FB" w:rsidP="009E74FB">
      <w:pPr>
        <w:spacing w:before="120" w:after="120" w:line="360" w:lineRule="auto"/>
        <w:ind w:left="850"/>
        <w:rPr>
          <w:szCs w:val="24"/>
          <w:lang w:eastAsia="en-US"/>
        </w:rPr>
      </w:pPr>
      <w:r w:rsidRPr="009E74FB">
        <w:rPr>
          <w:szCs w:val="24"/>
          <w:lang w:eastAsia="en-US"/>
        </w:rPr>
        <w:t>Webstedets adresse meddeles Kommissionen. Kommissionen meddeler webstedets adresse til medlemsstaterne.</w:t>
      </w:r>
    </w:p>
    <w:p w14:paraId="54278D9D"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Hvis licenstageren ikke opfylder sine forpligtelser i henhold til stk. 1 i denne artikel, kan Kommissionen:</w:t>
      </w:r>
    </w:p>
    <w:p w14:paraId="0C70AFAF" w14:textId="351DE12D" w:rsidR="009E74FB" w:rsidRPr="002A49C2" w:rsidRDefault="009E74FB" w:rsidP="009E74FB">
      <w:pPr>
        <w:spacing w:before="120" w:after="120" w:line="360" w:lineRule="auto"/>
        <w:ind w:left="1416" w:hanging="566"/>
        <w:rPr>
          <w:b/>
          <w:szCs w:val="24"/>
          <w:lang w:eastAsia="en-US"/>
        </w:rPr>
      </w:pPr>
      <w:r w:rsidRPr="009E74FB">
        <w:rPr>
          <w:szCs w:val="24"/>
          <w:lang w:eastAsia="en-US"/>
        </w:rPr>
        <w:t>a)</w:t>
      </w:r>
      <w:r w:rsidRPr="009E74FB">
        <w:rPr>
          <w:szCs w:val="24"/>
          <w:lang w:eastAsia="en-US"/>
        </w:rPr>
        <w:tab/>
      </w:r>
      <w:r w:rsidRPr="009E74FB">
        <w:rPr>
          <w:b/>
          <w:i/>
          <w:szCs w:val="24"/>
          <w:lang w:eastAsia="en-US"/>
        </w:rPr>
        <w:t xml:space="preserve">omgående </w:t>
      </w:r>
      <w:r w:rsidRPr="009E74FB">
        <w:rPr>
          <w:szCs w:val="24"/>
          <w:lang w:eastAsia="en-US"/>
        </w:rPr>
        <w:t>ophæve EU-tvangslicensen i henhold til artikel 14, stk. 3</w:t>
      </w:r>
      <w:r w:rsidRPr="009E74FB">
        <w:rPr>
          <w:b/>
          <w:i/>
          <w:szCs w:val="24"/>
          <w:lang w:eastAsia="en-US"/>
        </w:rPr>
        <w:t>,</w:t>
      </w:r>
      <w:r w:rsidRPr="009E74FB">
        <w:rPr>
          <w:szCs w:val="24"/>
          <w:lang w:eastAsia="en-US"/>
        </w:rPr>
        <w:t xml:space="preserve"> eller</w:t>
      </w:r>
      <w:r w:rsidR="002A49C2">
        <w:rPr>
          <w:b/>
          <w:szCs w:val="24"/>
          <w:lang w:eastAsia="en-US"/>
        </w:rPr>
        <w:t xml:space="preserve"> [Ændring 62]</w:t>
      </w:r>
    </w:p>
    <w:p w14:paraId="5A107269" w14:textId="22525226" w:rsidR="009E74FB" w:rsidRPr="002A49C2" w:rsidRDefault="009E74FB" w:rsidP="009E74FB">
      <w:pPr>
        <w:spacing w:before="120" w:after="120" w:line="360" w:lineRule="auto"/>
        <w:ind w:left="1416" w:hanging="566"/>
        <w:rPr>
          <w:b/>
          <w:szCs w:val="24"/>
          <w:lang w:eastAsia="en-US"/>
        </w:rPr>
      </w:pPr>
      <w:r w:rsidRPr="009E74FB">
        <w:rPr>
          <w:szCs w:val="24"/>
          <w:lang w:eastAsia="en-US"/>
        </w:rPr>
        <w:t>b)</w:t>
      </w:r>
      <w:r w:rsidRPr="009E74FB">
        <w:rPr>
          <w:szCs w:val="24"/>
          <w:lang w:eastAsia="en-US"/>
        </w:rPr>
        <w:tab/>
        <w:t xml:space="preserve">pålægge licenstageren bøder </w:t>
      </w:r>
      <w:proofErr w:type="spellStart"/>
      <w:r w:rsidRPr="009E74FB">
        <w:rPr>
          <w:strike/>
          <w:szCs w:val="24"/>
          <w:lang w:eastAsia="en-US"/>
        </w:rPr>
        <w:t>eller</w:t>
      </w:r>
      <w:r w:rsidRPr="009E74FB">
        <w:rPr>
          <w:b/>
          <w:i/>
          <w:szCs w:val="24"/>
          <w:lang w:eastAsia="en-US"/>
        </w:rPr>
        <w:t>og</w:t>
      </w:r>
      <w:proofErr w:type="spellEnd"/>
      <w:r w:rsidRPr="009E74FB">
        <w:rPr>
          <w:szCs w:val="24"/>
          <w:lang w:eastAsia="en-US"/>
        </w:rPr>
        <w:t xml:space="preserve"> tvangsbøder i overensstemmelse med artikel 15 og 16.</w:t>
      </w:r>
      <w:r w:rsidR="002A49C2">
        <w:rPr>
          <w:b/>
          <w:szCs w:val="24"/>
          <w:lang w:eastAsia="en-US"/>
        </w:rPr>
        <w:t xml:space="preserve"> [Ændring 63]</w:t>
      </w:r>
    </w:p>
    <w:p w14:paraId="58519A33" w14:textId="77777777" w:rsidR="00460121" w:rsidRDefault="00460121">
      <w:pPr>
        <w:widowControl/>
        <w:rPr>
          <w:szCs w:val="24"/>
          <w:lang w:eastAsia="en-US"/>
        </w:rPr>
      </w:pPr>
      <w:r>
        <w:rPr>
          <w:szCs w:val="24"/>
          <w:lang w:eastAsia="en-US"/>
        </w:rPr>
        <w:br w:type="page"/>
      </w:r>
    </w:p>
    <w:p w14:paraId="44021BEF" w14:textId="1DE4F919" w:rsidR="009E74FB" w:rsidRPr="002A49C2" w:rsidRDefault="009E74FB" w:rsidP="009E74FB">
      <w:pPr>
        <w:spacing w:before="120" w:after="120" w:line="360" w:lineRule="auto"/>
        <w:ind w:left="850" w:hanging="850"/>
        <w:rPr>
          <w:b/>
          <w:szCs w:val="24"/>
          <w:lang w:eastAsia="en-US"/>
        </w:rPr>
      </w:pPr>
      <w:r w:rsidRPr="009E74FB">
        <w:rPr>
          <w:szCs w:val="24"/>
          <w:lang w:eastAsia="en-US"/>
        </w:rPr>
        <w:lastRenderedPageBreak/>
        <w:t>3.</w:t>
      </w:r>
      <w:r w:rsidRPr="009E74FB">
        <w:rPr>
          <w:szCs w:val="24"/>
          <w:lang w:eastAsia="en-US"/>
        </w:rPr>
        <w:tab/>
        <w:t>Det Europæiske Kontor for Bekæmpelse af Svig (OLAF) kan i samarbejde med de relevante nationale myndigheder i medlemsstaterne efter anmodning fra rettighedshaveren eller på eget initiativ</w:t>
      </w:r>
      <w:r w:rsidRPr="009E74FB">
        <w:rPr>
          <w:b/>
          <w:i/>
          <w:szCs w:val="24"/>
          <w:lang w:eastAsia="en-US"/>
        </w:rPr>
        <w:t xml:space="preserve"> og på grundlag af tilstrækkelige beviser for misbrug</w:t>
      </w:r>
      <w:r w:rsidRPr="009E74FB">
        <w:rPr>
          <w:szCs w:val="24"/>
          <w:lang w:eastAsia="en-US"/>
        </w:rPr>
        <w:t xml:space="preserve"> anmode om adgang til bogføring og optegnelser, som licenstageren opbevarer, for at kontrollere, om indholdet af og betingelserne for EU-tvangslicensen og i almindelighed bestemmelserne i denne forordning er overholdt.</w:t>
      </w:r>
      <w:r w:rsidR="002A49C2">
        <w:rPr>
          <w:b/>
          <w:szCs w:val="24"/>
          <w:lang w:eastAsia="en-US"/>
        </w:rPr>
        <w:t xml:space="preserve"> [Ændring 64]</w:t>
      </w:r>
    </w:p>
    <w:p w14:paraId="1FF667FC"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4.</w:t>
      </w:r>
      <w:r w:rsidRPr="009E74FB">
        <w:rPr>
          <w:szCs w:val="24"/>
          <w:lang w:eastAsia="en-US"/>
        </w:rPr>
        <w:tab/>
        <w:t>Kommissionen tillægges beføjelser til at vedtage gennemførelsesretsakter, der fastsætter regler for den særlige etikettering eller mærkning, der er omhandlet i stk. 1, litra c), og for den emballage, farve og form, der er omhandlet i litra d), samt regler for anvendelsen heraf og, hvis det er relevant, placeringen på produktet. Disse gennemførelsesretsakter vedtages efter undersøgelsesproceduren i artikel 24, stk. 2.</w:t>
      </w:r>
    </w:p>
    <w:p w14:paraId="4AFFDEF3"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11</w:t>
      </w:r>
      <w:r w:rsidRPr="009E74FB">
        <w:rPr>
          <w:szCs w:val="24"/>
          <w:lang w:eastAsia="en-US"/>
        </w:rPr>
        <w:br/>
        <w:t>Eksportforbud</w:t>
      </w:r>
    </w:p>
    <w:p w14:paraId="5518F727" w14:textId="77777777" w:rsidR="009E74FB" w:rsidRPr="009E74FB" w:rsidRDefault="009E74FB" w:rsidP="009E74FB">
      <w:pPr>
        <w:spacing w:before="120" w:after="120" w:line="360" w:lineRule="auto"/>
        <w:rPr>
          <w:szCs w:val="24"/>
          <w:lang w:eastAsia="en-US"/>
        </w:rPr>
      </w:pPr>
      <w:r w:rsidRPr="009E74FB">
        <w:rPr>
          <w:szCs w:val="24"/>
          <w:lang w:eastAsia="en-US"/>
        </w:rPr>
        <w:t>Det er forbudt at eksportere produkter, der er fremstillet i henhold til EU-tvangslicensen.</w:t>
      </w:r>
    </w:p>
    <w:p w14:paraId="79B9C6AC" w14:textId="77777777" w:rsidR="00460121" w:rsidRDefault="00460121">
      <w:pPr>
        <w:widowControl/>
        <w:rPr>
          <w:szCs w:val="24"/>
          <w:lang w:eastAsia="en-US"/>
        </w:rPr>
      </w:pPr>
      <w:r>
        <w:rPr>
          <w:szCs w:val="24"/>
          <w:lang w:eastAsia="en-US"/>
        </w:rPr>
        <w:br w:type="page"/>
      </w:r>
    </w:p>
    <w:p w14:paraId="39CE7C11" w14:textId="4D957517"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12</w:t>
      </w:r>
      <w:r w:rsidRPr="009E74FB">
        <w:rPr>
          <w:szCs w:val="24"/>
          <w:lang w:eastAsia="en-US"/>
        </w:rPr>
        <w:br/>
        <w:t>Toldkontrol</w:t>
      </w:r>
    </w:p>
    <w:p w14:paraId="417A7D67"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Anvendelsen af denne artikel berører ikke andre EU-retsakter om eksport af produkter, navnlig artikel 46, 47 og 267 i forordning (EU) nr. 952/2013</w:t>
      </w:r>
      <w:r w:rsidRPr="009E74FB">
        <w:rPr>
          <w:szCs w:val="24"/>
          <w:vertAlign w:val="superscript"/>
          <w:lang w:val="en-GB" w:eastAsia="en-US"/>
        </w:rPr>
        <w:footnoteReference w:id="15"/>
      </w:r>
      <w:r w:rsidRPr="009E74FB">
        <w:rPr>
          <w:szCs w:val="24"/>
          <w:lang w:eastAsia="en-US"/>
        </w:rPr>
        <w:t>.</w:t>
      </w:r>
    </w:p>
    <w:p w14:paraId="1329C178"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Toldmyndighederne forlader sig på EU-tvangslicensen og ændringer heraf for at identificere produkter, der kan være omfattet af forbuddet i artikel 11. Der indføres i den forbindelse risikooplysninger for hver enkelt EU-tvangslicens og enhver ændring heraf i det relevante toldrisikoforvaltningssystem. Toldmyndighederne tager sådanne risikooplysninger i betragtning, når de foretager kontrol af produkter, der er henført under toldproceduren "eksport" i overensstemmelse med artikel 46 og 47 i forordning (EU) nr. 952/2013.</w:t>
      </w:r>
    </w:p>
    <w:p w14:paraId="2D9496B8" w14:textId="77777777" w:rsidR="00460121" w:rsidRDefault="00460121">
      <w:pPr>
        <w:widowControl/>
        <w:rPr>
          <w:szCs w:val="24"/>
          <w:lang w:eastAsia="en-US"/>
        </w:rPr>
      </w:pPr>
      <w:r>
        <w:rPr>
          <w:szCs w:val="24"/>
          <w:lang w:eastAsia="en-US"/>
        </w:rPr>
        <w:br w:type="page"/>
      </w:r>
    </w:p>
    <w:p w14:paraId="43EFE565" w14:textId="6707B416"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3.</w:t>
      </w:r>
      <w:r w:rsidRPr="009E74FB">
        <w:rPr>
          <w:szCs w:val="24"/>
          <w:lang w:eastAsia="en-US"/>
        </w:rPr>
        <w:tab/>
        <w:t>Når toldmyndighederne identificerer et produkt, der kan være omfattet af forbuddet i artikel 11, suspenderer de eksporten. Toldmyndighederne underretter straks Kommissionen om suspensionen og giver den alle relevante oplysninger, der er nødvendige for, at den kan fastslå, om produktet er fremstillet i henhold til en EU-tvangslicens. Kommissionen kan høre den relevante rettighedshaver for at vurdere, om de suspenderede produkter svarer til EU-tvangslicensen.</w:t>
      </w:r>
    </w:p>
    <w:p w14:paraId="6540347F"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4.</w:t>
      </w:r>
      <w:r w:rsidRPr="009E74FB">
        <w:rPr>
          <w:szCs w:val="24"/>
          <w:lang w:eastAsia="en-US"/>
        </w:rPr>
        <w:tab/>
        <w:t>Hvis eksporten af et produkt er blevet suspenderet i henhold til stk. 3, frigives produktet til eksport, forudsat at alle de øvrige krav og formaliteter er opfyldt i henhold til EU-retten eller national lovgivning vedrørende en sådan eksport, og en af følgende betingelser er opfyldt:</w:t>
      </w:r>
    </w:p>
    <w:p w14:paraId="6B2AE00C"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Kommissionen har ikke anmodet toldmyndighederne om at opretholde suspensionen inden for 10 arbejdsdage efter, at den er blevet underrettet herom.</w:t>
      </w:r>
    </w:p>
    <w:p w14:paraId="66E22C7C"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Kommissionen har meddelt toldmyndighederne, at produktet ikke er fremstillet i henhold til en EU-tvangslicens.</w:t>
      </w:r>
    </w:p>
    <w:p w14:paraId="5F712B4E" w14:textId="77777777" w:rsidR="00460121" w:rsidRDefault="00460121">
      <w:pPr>
        <w:widowControl/>
        <w:rPr>
          <w:szCs w:val="24"/>
          <w:lang w:eastAsia="en-US"/>
        </w:rPr>
      </w:pPr>
      <w:r>
        <w:rPr>
          <w:szCs w:val="24"/>
          <w:lang w:eastAsia="en-US"/>
        </w:rPr>
        <w:br w:type="page"/>
      </w:r>
    </w:p>
    <w:p w14:paraId="0DD18244" w14:textId="3866EBCF"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5.</w:t>
      </w:r>
      <w:r w:rsidRPr="009E74FB">
        <w:rPr>
          <w:szCs w:val="24"/>
          <w:lang w:eastAsia="en-US"/>
        </w:rPr>
        <w:tab/>
        <w:t>Hvis Kommissionen konkluderer, at et produkt, der er fremstillet i henhold til en EU-tvangslicens, ikke overholder forbuddet i artikel 11, giver toldmyndighederne ikke tilladelse til at frigive det til eksport. Kommissionen underretter den berørte rettighedshaver om en sådan manglende overholdelse.</w:t>
      </w:r>
    </w:p>
    <w:p w14:paraId="397F2FCA"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6.</w:t>
      </w:r>
      <w:r w:rsidRPr="009E74FB">
        <w:rPr>
          <w:szCs w:val="24"/>
          <w:lang w:eastAsia="en-US"/>
        </w:rPr>
        <w:tab/>
        <w:t>Hvis der ikke er givet tilladelse til at frigive et produkt til eksport:</w:t>
      </w:r>
    </w:p>
    <w:p w14:paraId="5F591DFD"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kan Kommissionen, hvis det er hensigtsmæssigt i lyset af krisen eller nødsituationen, kræve, at toldmyndighederne forpligter eksportøren til at træffe bestemte foranstaltninger for egen regning, herunder levere produktet til nærmere angivne medlemsstater, om nødvendigt efter at have bragt dem i overensstemmelse med EU-retten.</w:t>
      </w:r>
    </w:p>
    <w:p w14:paraId="78E0694B"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kan toldmyndighederne i alle andre tilfælde træffe alle nødvendige foranstaltninger for at sikre, at det pågældende produkt afhændes i overensstemmelse med national lovgivning i overensstemmelse med EU-retten. Artikel 197 og 198 i forordning (EU) nr. 952/2013 finder tilsvarende anvendelse.</w:t>
      </w:r>
    </w:p>
    <w:p w14:paraId="2B3E3C10" w14:textId="77777777" w:rsidR="00460121" w:rsidRDefault="00460121">
      <w:pPr>
        <w:widowControl/>
        <w:rPr>
          <w:szCs w:val="24"/>
          <w:lang w:eastAsia="en-US"/>
        </w:rPr>
      </w:pPr>
      <w:r>
        <w:rPr>
          <w:szCs w:val="24"/>
          <w:lang w:eastAsia="en-US"/>
        </w:rPr>
        <w:br w:type="page"/>
      </w:r>
    </w:p>
    <w:p w14:paraId="54346226" w14:textId="139737A4"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13</w:t>
      </w:r>
      <w:r w:rsidRPr="009E74FB">
        <w:rPr>
          <w:szCs w:val="24"/>
          <w:lang w:eastAsia="en-US"/>
        </w:rPr>
        <w:br/>
        <w:t>Forholdet mellem rettighedshaveren og licenstageren</w:t>
      </w:r>
    </w:p>
    <w:p w14:paraId="78A6280A"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Rettighedshaveren og den licenstager, der har fået tildelt en EU-tvangslicens, skal handle og samarbejde med hinanden i god tro ved udøvelsen af rettigheder og forpligtelser i henhold til denne forordning.</w:t>
      </w:r>
    </w:p>
    <w:p w14:paraId="195AF87A" w14:textId="1B806487" w:rsidR="009E74FB" w:rsidRPr="00AB1A9D" w:rsidRDefault="009E74FB" w:rsidP="009E74FB">
      <w:pPr>
        <w:spacing w:before="120" w:after="120" w:line="360" w:lineRule="auto"/>
        <w:ind w:left="850" w:hanging="850"/>
        <w:rPr>
          <w:b/>
          <w:szCs w:val="24"/>
          <w:lang w:eastAsia="en-US"/>
        </w:rPr>
      </w:pPr>
      <w:r w:rsidRPr="009E74FB">
        <w:rPr>
          <w:szCs w:val="24"/>
          <w:lang w:eastAsia="en-US"/>
        </w:rPr>
        <w:t>2.</w:t>
      </w:r>
      <w:r w:rsidRPr="009E74FB">
        <w:rPr>
          <w:szCs w:val="24"/>
          <w:lang w:eastAsia="en-US"/>
        </w:rPr>
        <w:tab/>
        <w:t xml:space="preserve">Rettighedshaveren og licenstageren gør deres bedste for at opfylde formålet med EU-tvangslicensen under hensyntagen til hinandens </w:t>
      </w:r>
      <w:r w:rsidRPr="009E74FB">
        <w:rPr>
          <w:b/>
          <w:i/>
          <w:szCs w:val="24"/>
          <w:lang w:eastAsia="en-US"/>
        </w:rPr>
        <w:t xml:space="preserve">og offentlighedens </w:t>
      </w:r>
      <w:r w:rsidRPr="009E74FB">
        <w:rPr>
          <w:szCs w:val="24"/>
          <w:lang w:eastAsia="en-US"/>
        </w:rPr>
        <w:t>interesser i overensstemmelse med forpligtelsen til at handle i god tro.</w:t>
      </w:r>
      <w:r w:rsidR="00AB1A9D">
        <w:rPr>
          <w:b/>
          <w:szCs w:val="24"/>
          <w:lang w:eastAsia="en-US"/>
        </w:rPr>
        <w:t xml:space="preserve"> [Ændring 65]</w:t>
      </w:r>
    </w:p>
    <w:p w14:paraId="51FB2913" w14:textId="77777777" w:rsidR="009E74FB" w:rsidRPr="009E74FB" w:rsidRDefault="009E74FB" w:rsidP="009E74FB">
      <w:pPr>
        <w:spacing w:before="120" w:after="120" w:line="360" w:lineRule="auto"/>
        <w:jc w:val="center"/>
        <w:rPr>
          <w:szCs w:val="24"/>
          <w:lang w:eastAsia="en-US"/>
        </w:rPr>
      </w:pPr>
      <w:r w:rsidRPr="009E74FB">
        <w:rPr>
          <w:b/>
          <w:i/>
          <w:szCs w:val="24"/>
          <w:lang w:eastAsia="en-US"/>
        </w:rPr>
        <w:t>Artikel 13a</w:t>
      </w:r>
      <w:r w:rsidRPr="009E74FB">
        <w:rPr>
          <w:szCs w:val="24"/>
          <w:lang w:eastAsia="en-US"/>
        </w:rPr>
        <w:br/>
      </w:r>
      <w:r w:rsidRPr="009E74FB">
        <w:rPr>
          <w:b/>
          <w:i/>
          <w:szCs w:val="24"/>
          <w:lang w:eastAsia="en-US"/>
        </w:rPr>
        <w:t>Yderligere foranstaltninger, der supplerer EU-tvangslicensen</w:t>
      </w:r>
    </w:p>
    <w:p w14:paraId="2B63A60E" w14:textId="77777777" w:rsidR="009E74FB" w:rsidRPr="009E74FB" w:rsidRDefault="009E74FB" w:rsidP="009E74FB">
      <w:pPr>
        <w:spacing w:before="120" w:after="120" w:line="360" w:lineRule="auto"/>
        <w:ind w:left="850" w:hanging="850"/>
        <w:rPr>
          <w:szCs w:val="24"/>
          <w:lang w:eastAsia="en-US"/>
        </w:rPr>
      </w:pPr>
      <w:r w:rsidRPr="009E74FB">
        <w:rPr>
          <w:b/>
          <w:i/>
          <w:szCs w:val="24"/>
          <w:lang w:eastAsia="en-US"/>
        </w:rPr>
        <w:t>1.</w:t>
      </w:r>
      <w:r w:rsidRPr="009E74FB">
        <w:rPr>
          <w:szCs w:val="24"/>
          <w:lang w:eastAsia="en-US"/>
        </w:rPr>
        <w:tab/>
      </w:r>
      <w:r w:rsidRPr="009E74FB">
        <w:rPr>
          <w:b/>
          <w:i/>
          <w:szCs w:val="24"/>
          <w:lang w:eastAsia="en-US"/>
        </w:rPr>
        <w:t>Om nødvendigt træffer Kommissionen efter begrundet anmodning fra rettighedshaveren eller licenstageren eller på eget initiativ afgørelse om yderligere foranstaltninger, der supplerer EU-tvangslicensen, for at sørge for, at den opfylder sit mål, samt for at fremme og sikre et godt samarbejde mellem rettighedshaveren og licenstageren.</w:t>
      </w:r>
    </w:p>
    <w:p w14:paraId="58EBA89D" w14:textId="77777777" w:rsidR="00460121" w:rsidRDefault="00460121">
      <w:pPr>
        <w:widowControl/>
        <w:rPr>
          <w:b/>
          <w:i/>
          <w:szCs w:val="24"/>
          <w:lang w:eastAsia="en-US"/>
        </w:rPr>
      </w:pPr>
      <w:r>
        <w:rPr>
          <w:b/>
          <w:i/>
          <w:szCs w:val="24"/>
          <w:lang w:eastAsia="en-US"/>
        </w:rPr>
        <w:br w:type="page"/>
      </w:r>
    </w:p>
    <w:p w14:paraId="28E62CFF" w14:textId="0D92EF1B" w:rsidR="009E74FB" w:rsidRPr="009E74FB" w:rsidRDefault="009E74FB" w:rsidP="009E74FB">
      <w:pPr>
        <w:spacing w:before="120" w:after="120" w:line="360" w:lineRule="auto"/>
        <w:ind w:left="850" w:hanging="850"/>
        <w:rPr>
          <w:szCs w:val="24"/>
          <w:lang w:eastAsia="en-US"/>
        </w:rPr>
      </w:pPr>
      <w:r w:rsidRPr="009E74FB">
        <w:rPr>
          <w:b/>
          <w:i/>
          <w:szCs w:val="24"/>
          <w:lang w:eastAsia="en-US"/>
        </w:rPr>
        <w:lastRenderedPageBreak/>
        <w:t>2.</w:t>
      </w:r>
      <w:r w:rsidRPr="009E74FB">
        <w:rPr>
          <w:szCs w:val="24"/>
          <w:lang w:eastAsia="en-US"/>
        </w:rPr>
        <w:tab/>
      </w:r>
      <w:r w:rsidRPr="009E74FB">
        <w:rPr>
          <w:b/>
          <w:i/>
          <w:szCs w:val="24"/>
          <w:lang w:eastAsia="en-US"/>
        </w:rPr>
        <w:t>Hvis det er strengt nødvendigt, anmoder Kommissionen rettighedshaveren om videregivelse af forretningshemmeligheder til licenstageren i nødvendigt omfang for at give ham den nødvendige knowhow til nøje at opfylde det mål, som EU-tvangslicensen er udstedt til i henhold til denne forordning. Licenstagerens lovlige brug af forretningshemmeligheder skal være strengt begrænset til fremstillingen af de kriserelevante produkter med henblik på at opfylde det mål, som EU-tvangslicensen er udstedt til.</w:t>
      </w:r>
    </w:p>
    <w:p w14:paraId="2158F82C" w14:textId="77777777" w:rsidR="009E74FB" w:rsidRPr="009E74FB" w:rsidRDefault="009E74FB" w:rsidP="009E74FB">
      <w:pPr>
        <w:spacing w:before="120" w:after="120" w:line="360" w:lineRule="auto"/>
        <w:ind w:left="850" w:hanging="850"/>
        <w:rPr>
          <w:szCs w:val="24"/>
          <w:lang w:eastAsia="en-US"/>
        </w:rPr>
      </w:pPr>
      <w:r w:rsidRPr="009E74FB">
        <w:rPr>
          <w:b/>
          <w:i/>
          <w:szCs w:val="24"/>
          <w:lang w:eastAsia="en-US"/>
        </w:rPr>
        <w:t>3.</w:t>
      </w:r>
      <w:r w:rsidRPr="009E74FB">
        <w:rPr>
          <w:szCs w:val="24"/>
          <w:lang w:eastAsia="en-US"/>
        </w:rPr>
        <w:tab/>
      </w:r>
      <w:r w:rsidRPr="009E74FB">
        <w:rPr>
          <w:b/>
          <w:i/>
          <w:szCs w:val="24"/>
          <w:lang w:eastAsia="en-US"/>
        </w:rPr>
        <w:t xml:space="preserve">Hvis rettighedshaveren anmodes om at videregive sine forretningshemmeligheder i overensstemmelse med stk. 3, pålægger Kommissionen forud for videregivelsen af forretningshemmeligheder licenstageren at træffe alle passende tekniske og organisatoriske foranstaltninger, som rettighedshaveren med rimelighed anser for nødvendige for at bevare fortroligheden af forretningshemmeligheder, navnlig i forhold til tredjeparter, herunder, hvor det er relevant, anvendelse af standardkontraktvilkår, fortrolighedsaftaler, strenge adgangsprotokoller, tekniske standarder eller anvendelse af adfærdskodekser. Hvis licenstageren ikke gennemfører de foranstaltninger, som Kommissionen kræver, kan Kommissionen tilbageholde eller alt efter omstændighederne suspendere videregivelsen af forretningshemmeligheder, indtil situationen er rettet af licenstageren. </w:t>
      </w:r>
    </w:p>
    <w:p w14:paraId="0138909D" w14:textId="77777777" w:rsidR="00460121" w:rsidRDefault="00460121">
      <w:pPr>
        <w:widowControl/>
        <w:rPr>
          <w:b/>
          <w:i/>
          <w:szCs w:val="24"/>
          <w:lang w:eastAsia="en-US"/>
        </w:rPr>
      </w:pPr>
      <w:r>
        <w:rPr>
          <w:b/>
          <w:i/>
          <w:szCs w:val="24"/>
          <w:lang w:eastAsia="en-US"/>
        </w:rPr>
        <w:br w:type="page"/>
      </w:r>
    </w:p>
    <w:p w14:paraId="6D357909" w14:textId="63B065A7" w:rsidR="009E74FB" w:rsidRPr="009E74FB" w:rsidRDefault="009E74FB" w:rsidP="009E74FB">
      <w:pPr>
        <w:spacing w:before="120" w:after="120" w:line="360" w:lineRule="auto"/>
        <w:ind w:left="850" w:hanging="850"/>
        <w:rPr>
          <w:szCs w:val="24"/>
          <w:lang w:eastAsia="en-US"/>
        </w:rPr>
      </w:pPr>
      <w:r w:rsidRPr="009E74FB">
        <w:rPr>
          <w:b/>
          <w:i/>
          <w:szCs w:val="24"/>
          <w:lang w:eastAsia="en-US"/>
        </w:rPr>
        <w:lastRenderedPageBreak/>
        <w:t>4.</w:t>
      </w:r>
      <w:r w:rsidRPr="009E74FB">
        <w:rPr>
          <w:szCs w:val="24"/>
          <w:lang w:eastAsia="en-US"/>
        </w:rPr>
        <w:tab/>
      </w:r>
      <w:r w:rsidRPr="009E74FB">
        <w:rPr>
          <w:b/>
          <w:i/>
          <w:szCs w:val="24"/>
          <w:lang w:eastAsia="en-US"/>
        </w:rPr>
        <w:t>Der ydes passende vederlag til rettighedshaverne som kompensation for videregivelse af deres forretningshemmeligheder i overensstemmelse med direktiv (EU) 2016/943.</w:t>
      </w:r>
    </w:p>
    <w:p w14:paraId="3771524B" w14:textId="77777777" w:rsidR="009E74FB" w:rsidRPr="009E74FB" w:rsidRDefault="009E74FB" w:rsidP="009E74FB">
      <w:pPr>
        <w:spacing w:before="120" w:after="120" w:line="360" w:lineRule="auto"/>
        <w:ind w:left="850" w:hanging="850"/>
        <w:rPr>
          <w:szCs w:val="24"/>
          <w:lang w:eastAsia="en-US"/>
        </w:rPr>
      </w:pPr>
      <w:r w:rsidRPr="009E74FB">
        <w:rPr>
          <w:b/>
          <w:i/>
          <w:szCs w:val="24"/>
          <w:lang w:eastAsia="en-US"/>
        </w:rPr>
        <w:t>5.</w:t>
      </w:r>
      <w:r w:rsidRPr="009E74FB">
        <w:rPr>
          <w:szCs w:val="24"/>
          <w:lang w:eastAsia="en-US"/>
        </w:rPr>
        <w:tab/>
      </w:r>
      <w:r w:rsidRPr="009E74FB">
        <w:rPr>
          <w:b/>
          <w:i/>
          <w:szCs w:val="24"/>
          <w:lang w:eastAsia="en-US"/>
        </w:rPr>
        <w:t>Hvis Kommissionen overvejer at vedtage yderligere foranstaltninger som omhandlet i stk. 1 eller 2, hører Kommissionen det rådgivende organ, der er omhandlet i artikel 6.</w:t>
      </w:r>
    </w:p>
    <w:p w14:paraId="116EE330" w14:textId="17B3C94E" w:rsidR="009E74FB" w:rsidRPr="00AB1A9D" w:rsidRDefault="009E74FB" w:rsidP="009E74FB">
      <w:pPr>
        <w:spacing w:before="120" w:after="120" w:line="360" w:lineRule="auto"/>
        <w:ind w:left="850" w:hanging="850"/>
        <w:rPr>
          <w:b/>
          <w:szCs w:val="24"/>
          <w:lang w:eastAsia="en-US"/>
        </w:rPr>
      </w:pPr>
      <w:r w:rsidRPr="009E74FB">
        <w:rPr>
          <w:b/>
          <w:i/>
          <w:szCs w:val="24"/>
          <w:lang w:eastAsia="en-US"/>
        </w:rPr>
        <w:t>6.</w:t>
      </w:r>
      <w:r w:rsidRPr="009E74FB">
        <w:rPr>
          <w:szCs w:val="24"/>
          <w:lang w:eastAsia="en-US"/>
        </w:rPr>
        <w:tab/>
      </w:r>
      <w:r w:rsidRPr="009E74FB">
        <w:rPr>
          <w:b/>
          <w:i/>
          <w:szCs w:val="24"/>
          <w:lang w:eastAsia="en-US"/>
        </w:rPr>
        <w:t>Den gennemførelsesretsakt, der henvises til i stk. 1 og 2, vedtages efter de regler, der er angivet i artikel 7, stk. 6, litra a) og b), og artikel 7, stk. 7 og 8.</w:t>
      </w:r>
      <w:r w:rsidR="00AB1A9D">
        <w:rPr>
          <w:b/>
          <w:szCs w:val="24"/>
          <w:lang w:eastAsia="en-US"/>
        </w:rPr>
        <w:t xml:space="preserve"> [Ændring 66]</w:t>
      </w:r>
    </w:p>
    <w:p w14:paraId="660E570A"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14</w:t>
      </w:r>
      <w:r w:rsidRPr="009E74FB">
        <w:rPr>
          <w:szCs w:val="24"/>
          <w:lang w:eastAsia="en-US"/>
        </w:rPr>
        <w:br/>
        <w:t>Revurdering og ophævelse af EU-tvangslicensen</w:t>
      </w:r>
    </w:p>
    <w:p w14:paraId="4F2E1A16"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Kommissionen tager EU-tvangslicensen op til revurdering efter begrundet anmodning fra rettighedshaveren eller licenstageren eller på eget initiativ og ændrer om nødvendigt de specifikationer, der er omhandlet i artikel 8, ved hjælp af en gennemførelsesretsakt. EU-tvangslicensen ændres om nødvendigt for at angive den fuldstændige liste over rettigheder og rettighedshavere, der er omfattet af tvangslicensen.</w:t>
      </w:r>
    </w:p>
    <w:p w14:paraId="7D5CCF41" w14:textId="77777777" w:rsidR="00460121" w:rsidRDefault="00460121">
      <w:pPr>
        <w:widowControl/>
        <w:rPr>
          <w:strike/>
          <w:szCs w:val="24"/>
          <w:lang w:eastAsia="en-US"/>
        </w:rPr>
      </w:pPr>
      <w:r>
        <w:rPr>
          <w:strike/>
          <w:szCs w:val="24"/>
          <w:lang w:eastAsia="en-US"/>
        </w:rPr>
        <w:br w:type="page"/>
      </w:r>
    </w:p>
    <w:p w14:paraId="36AB96B5" w14:textId="38C8B5EE" w:rsidR="009E74FB" w:rsidRPr="00AB1A9D" w:rsidRDefault="009E74FB" w:rsidP="009E74FB">
      <w:pPr>
        <w:spacing w:before="120" w:after="120" w:line="360" w:lineRule="auto"/>
        <w:ind w:left="850" w:hanging="850"/>
        <w:rPr>
          <w:b/>
          <w:szCs w:val="24"/>
          <w:lang w:eastAsia="en-US"/>
        </w:rPr>
      </w:pPr>
      <w:r w:rsidRPr="009E74FB">
        <w:rPr>
          <w:strike/>
          <w:szCs w:val="24"/>
          <w:lang w:eastAsia="en-US"/>
        </w:rPr>
        <w:lastRenderedPageBreak/>
        <w:t>2.</w:t>
      </w:r>
      <w:r w:rsidRPr="009E74FB">
        <w:rPr>
          <w:szCs w:val="24"/>
          <w:lang w:eastAsia="en-US"/>
        </w:rPr>
        <w:tab/>
      </w:r>
      <w:r w:rsidRPr="009E74FB">
        <w:rPr>
          <w:strike/>
          <w:szCs w:val="24"/>
          <w:lang w:eastAsia="en-US"/>
        </w:rPr>
        <w:t>Om nødvendigt træffer Kommissionen efter begrundet anmodning fra rettighedshaveren eller licenstageren eller på eget initiativ afgørelse om yderligere foranstaltninger, der supplerer EU-tvangslicensen, for at sørge for, at den opfylder sit mål, samt for at fremme og sikre et godt samarbejde mellem rettighedshaveren og licenstageren.</w:t>
      </w:r>
      <w:r w:rsidR="00AB1A9D">
        <w:rPr>
          <w:b/>
          <w:szCs w:val="24"/>
          <w:lang w:eastAsia="en-US"/>
        </w:rPr>
        <w:t xml:space="preserve"> [Ændring 67]</w:t>
      </w:r>
    </w:p>
    <w:p w14:paraId="6FC179FD"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3.</w:t>
      </w:r>
      <w:r w:rsidRPr="009E74FB">
        <w:rPr>
          <w:szCs w:val="24"/>
          <w:lang w:eastAsia="en-US"/>
        </w:rPr>
        <w:tab/>
        <w:t>En EU-tvangslicens kan ophæves af Kommissionen ved hjælp af en gennemførelsesretsakt, hvis de omstændigheder, der førte til, at licensen blev udstedt, ikke længere er til stede og sandsynligvis ikke vil gentage sig, eller hvis licenstageren ikke opfylder de forpligtelser, der er fastsat i denne forordning.</w:t>
      </w:r>
    </w:p>
    <w:p w14:paraId="6C71CFC0" w14:textId="387AAF5F" w:rsidR="009E74FB" w:rsidRPr="00AB1A9D" w:rsidRDefault="009E74FB" w:rsidP="009E74FB">
      <w:pPr>
        <w:spacing w:before="120" w:after="120" w:line="360" w:lineRule="auto"/>
        <w:ind w:left="850" w:hanging="850"/>
        <w:rPr>
          <w:b/>
          <w:szCs w:val="24"/>
          <w:lang w:eastAsia="en-US"/>
        </w:rPr>
      </w:pPr>
      <w:r w:rsidRPr="009E74FB">
        <w:rPr>
          <w:szCs w:val="24"/>
          <w:lang w:eastAsia="en-US"/>
        </w:rPr>
        <w:t>4.</w:t>
      </w:r>
      <w:r w:rsidRPr="009E74FB">
        <w:rPr>
          <w:szCs w:val="24"/>
          <w:lang w:eastAsia="en-US"/>
        </w:rPr>
        <w:tab/>
        <w:t>Når Kommissionen overvejer</w:t>
      </w:r>
      <w:r w:rsidRPr="009E74FB">
        <w:rPr>
          <w:strike/>
          <w:szCs w:val="24"/>
          <w:lang w:eastAsia="en-US"/>
        </w:rPr>
        <w:t xml:space="preserve"> at vedtage yderligere foranstaltninger som omhandlet i stk. 2 eller</w:t>
      </w:r>
      <w:r w:rsidRPr="009E74FB">
        <w:rPr>
          <w:szCs w:val="24"/>
          <w:lang w:eastAsia="en-US"/>
        </w:rPr>
        <w:t xml:space="preserve"> at ændre eller ophæve en EU-tvangslicens, </w:t>
      </w:r>
      <w:proofErr w:type="spellStart"/>
      <w:r w:rsidRPr="009E74FB">
        <w:rPr>
          <w:strike/>
          <w:szCs w:val="24"/>
          <w:lang w:eastAsia="en-US"/>
        </w:rPr>
        <w:t>kan</w:t>
      </w:r>
      <w:r w:rsidRPr="009E74FB">
        <w:rPr>
          <w:b/>
          <w:i/>
          <w:szCs w:val="24"/>
          <w:lang w:eastAsia="en-US"/>
        </w:rPr>
        <w:t>hører</w:t>
      </w:r>
      <w:proofErr w:type="spellEnd"/>
      <w:r w:rsidRPr="009E74FB">
        <w:rPr>
          <w:szCs w:val="24"/>
          <w:lang w:eastAsia="en-US"/>
        </w:rPr>
        <w:t xml:space="preserve"> Kommissionen</w:t>
      </w:r>
      <w:r w:rsidRPr="009E74FB">
        <w:rPr>
          <w:strike/>
          <w:szCs w:val="24"/>
          <w:lang w:eastAsia="en-US"/>
        </w:rPr>
        <w:t xml:space="preserve"> høre</w:t>
      </w:r>
      <w:r w:rsidRPr="009E74FB">
        <w:rPr>
          <w:szCs w:val="24"/>
          <w:lang w:eastAsia="en-US"/>
        </w:rPr>
        <w:t xml:space="preserve"> det rådgivende organ, der er omhandlet i artikel 6</w:t>
      </w:r>
      <w:r w:rsidRPr="009E74FB">
        <w:rPr>
          <w:b/>
          <w:i/>
          <w:szCs w:val="24"/>
          <w:lang w:eastAsia="en-US"/>
        </w:rPr>
        <w:t xml:space="preserve">, samt rettighedshaverne og </w:t>
      </w:r>
      <w:proofErr w:type="spellStart"/>
      <w:r w:rsidRPr="009E74FB">
        <w:rPr>
          <w:b/>
          <w:i/>
          <w:szCs w:val="24"/>
          <w:lang w:eastAsia="en-US"/>
        </w:rPr>
        <w:t>licenstagerne</w:t>
      </w:r>
      <w:proofErr w:type="spellEnd"/>
      <w:r w:rsidRPr="009E74FB">
        <w:rPr>
          <w:szCs w:val="24"/>
          <w:lang w:eastAsia="en-US"/>
        </w:rPr>
        <w:t>.</w:t>
      </w:r>
      <w:r w:rsidR="00AB1A9D">
        <w:rPr>
          <w:b/>
          <w:szCs w:val="24"/>
          <w:lang w:eastAsia="en-US"/>
        </w:rPr>
        <w:t xml:space="preserve"> [Ændring 68]</w:t>
      </w:r>
    </w:p>
    <w:p w14:paraId="653BE7DE" w14:textId="1493A40A" w:rsidR="009E74FB" w:rsidRPr="00AB1A9D" w:rsidRDefault="009E74FB" w:rsidP="009E74FB">
      <w:pPr>
        <w:spacing w:before="120" w:after="120" w:line="360" w:lineRule="auto"/>
        <w:ind w:left="850" w:hanging="850"/>
        <w:rPr>
          <w:b/>
          <w:szCs w:val="24"/>
          <w:lang w:eastAsia="en-US"/>
        </w:rPr>
      </w:pPr>
      <w:r w:rsidRPr="009E74FB">
        <w:rPr>
          <w:b/>
          <w:i/>
          <w:szCs w:val="24"/>
          <w:lang w:eastAsia="en-US"/>
        </w:rPr>
        <w:t>4a.</w:t>
      </w:r>
      <w:r w:rsidRPr="009E74FB">
        <w:rPr>
          <w:szCs w:val="24"/>
          <w:lang w:eastAsia="en-US"/>
        </w:rPr>
        <w:tab/>
      </w:r>
      <w:r w:rsidRPr="009E74FB">
        <w:rPr>
          <w:b/>
          <w:i/>
          <w:szCs w:val="24"/>
          <w:lang w:eastAsia="en-US"/>
        </w:rPr>
        <w:t>Når Kommissionen overvejer at ophæve EU-tvangslicensen, sikrer den, at der er indført en tilstrækkelig overgangsperiode.</w:t>
      </w:r>
      <w:r w:rsidR="00AB1A9D">
        <w:rPr>
          <w:b/>
          <w:szCs w:val="24"/>
          <w:lang w:eastAsia="en-US"/>
        </w:rPr>
        <w:t xml:space="preserve"> [Ændring 69]</w:t>
      </w:r>
    </w:p>
    <w:p w14:paraId="3581DB6F" w14:textId="77777777" w:rsidR="00460121" w:rsidRDefault="00460121">
      <w:pPr>
        <w:widowControl/>
        <w:rPr>
          <w:szCs w:val="24"/>
          <w:lang w:eastAsia="en-US"/>
        </w:rPr>
      </w:pPr>
      <w:r>
        <w:rPr>
          <w:szCs w:val="24"/>
          <w:lang w:eastAsia="en-US"/>
        </w:rPr>
        <w:br w:type="page"/>
      </w:r>
    </w:p>
    <w:p w14:paraId="463B17E0" w14:textId="6C87EC51"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5.</w:t>
      </w:r>
      <w:r w:rsidRPr="009E74FB">
        <w:rPr>
          <w:szCs w:val="24"/>
          <w:lang w:eastAsia="en-US"/>
        </w:rPr>
        <w:tab/>
        <w:t>Når Kommissionen ophæver en EU-tvangslicens, kan den kræve, at licenstageren inden for en rimelig frist sørger for, at varer, som denne er i besiddelse af eller opbevarer eller som vedkommende har råderet eller kontrol over, omdirigeres eller på anden vis afhændes på en måde, som Kommissionen fastsætter i samråd med rettighedshaveren og for licenstagerens regning.</w:t>
      </w:r>
    </w:p>
    <w:p w14:paraId="640FB940" w14:textId="7B4F0D31" w:rsidR="009E74FB" w:rsidRPr="00AB1A9D" w:rsidRDefault="009E74FB" w:rsidP="009E74FB">
      <w:pPr>
        <w:spacing w:before="120" w:after="120" w:line="360" w:lineRule="auto"/>
        <w:ind w:left="850" w:hanging="850"/>
        <w:rPr>
          <w:b/>
          <w:szCs w:val="24"/>
          <w:lang w:eastAsia="en-US"/>
        </w:rPr>
      </w:pPr>
      <w:r w:rsidRPr="009E74FB">
        <w:rPr>
          <w:szCs w:val="24"/>
          <w:lang w:eastAsia="en-US"/>
        </w:rPr>
        <w:t>6.</w:t>
      </w:r>
      <w:r w:rsidRPr="009E74FB">
        <w:rPr>
          <w:szCs w:val="24"/>
          <w:lang w:eastAsia="en-US"/>
        </w:rPr>
        <w:tab/>
        <w:t>Den gennemførelsesretsakt, der henvises til i stk. 1</w:t>
      </w:r>
      <w:r w:rsidRPr="009E74FB">
        <w:rPr>
          <w:strike/>
          <w:szCs w:val="24"/>
          <w:lang w:eastAsia="en-US"/>
        </w:rPr>
        <w:t>, 2</w:t>
      </w:r>
      <w:r w:rsidRPr="009E74FB">
        <w:rPr>
          <w:szCs w:val="24"/>
          <w:lang w:eastAsia="en-US"/>
        </w:rPr>
        <w:t xml:space="preserve"> og 3, vedtages efter de regler, der er angivet i artikel 7, stk. 6, litra a) og b), og artikel 7, stk. 7 og 8.</w:t>
      </w:r>
      <w:r w:rsidR="00AB1A9D">
        <w:rPr>
          <w:b/>
          <w:szCs w:val="24"/>
          <w:lang w:eastAsia="en-US"/>
        </w:rPr>
        <w:t xml:space="preserve"> [Ændring 70]</w:t>
      </w:r>
    </w:p>
    <w:p w14:paraId="4A42B406"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15</w:t>
      </w:r>
      <w:r w:rsidRPr="009E74FB">
        <w:rPr>
          <w:szCs w:val="24"/>
          <w:lang w:eastAsia="en-US"/>
        </w:rPr>
        <w:br/>
        <w:t>Bøder</w:t>
      </w:r>
    </w:p>
    <w:p w14:paraId="7C0139F8"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Kommissionen kan ved afgørelse pålægge licenstageren eller rettighedshaveren bøder på op til 6 % af vedkommendes respektive samlede omsætning i det foregående regnskabsår, hvis det på baggrund af en forsætlig eller uagtsom handling konstateres, at:</w:t>
      </w:r>
    </w:p>
    <w:p w14:paraId="5619DF98"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licenstageren ikke opfylder sine forpligtelser i henhold til artikel 9, stk. 1, eller artikel 10, stk. 1</w:t>
      </w:r>
    </w:p>
    <w:p w14:paraId="19A1B548" w14:textId="77777777" w:rsidR="00460121" w:rsidRDefault="00460121">
      <w:pPr>
        <w:widowControl/>
        <w:rPr>
          <w:szCs w:val="24"/>
          <w:lang w:eastAsia="en-US"/>
        </w:rPr>
      </w:pPr>
      <w:r>
        <w:rPr>
          <w:szCs w:val="24"/>
          <w:lang w:eastAsia="en-US"/>
        </w:rPr>
        <w:br w:type="page"/>
      </w:r>
    </w:p>
    <w:p w14:paraId="39A3B7D7" w14:textId="51CBFC7A" w:rsidR="009E74FB" w:rsidRPr="009E74FB" w:rsidRDefault="009E74FB" w:rsidP="009E74FB">
      <w:pPr>
        <w:spacing w:before="120" w:after="120" w:line="360" w:lineRule="auto"/>
        <w:ind w:left="1416" w:hanging="566"/>
        <w:rPr>
          <w:szCs w:val="24"/>
          <w:lang w:eastAsia="en-US"/>
        </w:rPr>
      </w:pPr>
      <w:r w:rsidRPr="009E74FB">
        <w:rPr>
          <w:szCs w:val="24"/>
          <w:lang w:eastAsia="en-US"/>
        </w:rPr>
        <w:lastRenderedPageBreak/>
        <w:t>b)</w:t>
      </w:r>
      <w:r w:rsidRPr="009E74FB">
        <w:rPr>
          <w:szCs w:val="24"/>
          <w:lang w:eastAsia="en-US"/>
        </w:rPr>
        <w:tab/>
        <w:t>rettighedshaveren eller licenstageren ikke overholder princippet om god tro og samarbejde som omhandlet i artikel 13 eller</w:t>
      </w:r>
    </w:p>
    <w:p w14:paraId="58D082FA" w14:textId="1839BF32" w:rsidR="009E74FB" w:rsidRPr="00AB1A9D" w:rsidRDefault="009E74FB" w:rsidP="009E74FB">
      <w:pPr>
        <w:spacing w:before="120" w:after="120" w:line="360" w:lineRule="auto"/>
        <w:ind w:left="1416" w:hanging="566"/>
        <w:rPr>
          <w:b/>
          <w:szCs w:val="24"/>
          <w:lang w:eastAsia="en-US"/>
        </w:rPr>
      </w:pPr>
      <w:r w:rsidRPr="009E74FB">
        <w:rPr>
          <w:szCs w:val="24"/>
          <w:lang w:eastAsia="en-US"/>
        </w:rPr>
        <w:t>c)</w:t>
      </w:r>
      <w:r w:rsidRPr="009E74FB">
        <w:rPr>
          <w:szCs w:val="24"/>
          <w:lang w:eastAsia="en-US"/>
        </w:rPr>
        <w:tab/>
        <w:t xml:space="preserve">rettighedshaveren eller licenstageren undlader at opfylde en forpligtelse, der udspringer af de yderligere foranstaltninger, der supplerer EU-tvangslicensen, jf. artikel 8, stk. 1, litra h), og artikel </w:t>
      </w:r>
      <w:r w:rsidRPr="009E74FB">
        <w:rPr>
          <w:strike/>
          <w:szCs w:val="24"/>
          <w:lang w:eastAsia="en-US"/>
        </w:rPr>
        <w:t>14, stk.</w:t>
      </w:r>
      <w:r w:rsidRPr="009E74FB">
        <w:rPr>
          <w:b/>
          <w:i/>
          <w:szCs w:val="24"/>
          <w:lang w:eastAsia="en-US"/>
        </w:rPr>
        <w:t>13a, stk. 1 og</w:t>
      </w:r>
      <w:r w:rsidRPr="009E74FB">
        <w:rPr>
          <w:szCs w:val="24"/>
          <w:lang w:eastAsia="en-US"/>
        </w:rPr>
        <w:t xml:space="preserve"> 2, som fastsat i den relevante gennemførelsesretsakt.</w:t>
      </w:r>
      <w:r w:rsidR="00AB1A9D">
        <w:rPr>
          <w:b/>
          <w:szCs w:val="24"/>
          <w:lang w:eastAsia="en-US"/>
        </w:rPr>
        <w:t xml:space="preserve"> [Ændring 71]</w:t>
      </w:r>
    </w:p>
    <w:p w14:paraId="523DA2C9" w14:textId="6AB63F0A" w:rsidR="009E74FB" w:rsidRPr="00AB1A9D" w:rsidRDefault="009E74FB" w:rsidP="009E74FB">
      <w:pPr>
        <w:spacing w:before="120" w:after="120" w:line="360" w:lineRule="auto"/>
        <w:ind w:left="1416" w:hanging="566"/>
        <w:rPr>
          <w:b/>
          <w:szCs w:val="24"/>
          <w:lang w:eastAsia="en-US"/>
        </w:rPr>
      </w:pPr>
      <w:proofErr w:type="spellStart"/>
      <w:r w:rsidRPr="009E74FB">
        <w:rPr>
          <w:b/>
          <w:i/>
          <w:szCs w:val="24"/>
          <w:lang w:eastAsia="en-US"/>
        </w:rPr>
        <w:t>ca</w:t>
      </w:r>
      <w:proofErr w:type="spellEnd"/>
      <w:r w:rsidRPr="009E74FB">
        <w:rPr>
          <w:b/>
          <w:i/>
          <w:szCs w:val="24"/>
          <w:lang w:eastAsia="en-US"/>
        </w:rPr>
        <w:t>)</w:t>
      </w:r>
      <w:r w:rsidRPr="009E74FB">
        <w:rPr>
          <w:szCs w:val="24"/>
          <w:lang w:eastAsia="en-US"/>
        </w:rPr>
        <w:tab/>
      </w:r>
      <w:r w:rsidRPr="009E74FB">
        <w:rPr>
          <w:b/>
          <w:i/>
          <w:szCs w:val="24"/>
          <w:lang w:eastAsia="en-US"/>
        </w:rPr>
        <w:t>licenstageren ikke overholder forbuddet, jf. artikel 11.</w:t>
      </w:r>
      <w:r w:rsidR="00AB1A9D">
        <w:rPr>
          <w:b/>
          <w:szCs w:val="24"/>
          <w:lang w:eastAsia="en-US"/>
        </w:rPr>
        <w:t xml:space="preserve"> [Ændring 72]</w:t>
      </w:r>
    </w:p>
    <w:p w14:paraId="219ADD6D"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Ved fastsættelsen af bødens størrelse skal der tages hensyn til overtrædelsens grovhed, gentagelsestilfælde og overtrædelsens varighed.</w:t>
      </w:r>
    </w:p>
    <w:p w14:paraId="4D2D615C"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16</w:t>
      </w:r>
      <w:r w:rsidRPr="009E74FB">
        <w:rPr>
          <w:szCs w:val="24"/>
          <w:lang w:eastAsia="en-US"/>
        </w:rPr>
        <w:br/>
        <w:t>Tvangsbøder</w:t>
      </w:r>
    </w:p>
    <w:p w14:paraId="60FCDA31"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Kommissionen kan ved afgørelse pålægge licenstageren eller rettighedshaveren daglige tvangsbøder på op til 5 % af vedkommendes respektive gennemsnitlige daglige omsætning i det foregående regnskabsår fra det i afgørelsen fastsatte tidspunkt for at tvinge:</w:t>
      </w:r>
    </w:p>
    <w:p w14:paraId="7D12DBAD" w14:textId="77777777" w:rsidR="00460121" w:rsidRDefault="00460121">
      <w:pPr>
        <w:widowControl/>
        <w:rPr>
          <w:szCs w:val="24"/>
          <w:lang w:eastAsia="en-US"/>
        </w:rPr>
      </w:pPr>
      <w:r>
        <w:rPr>
          <w:szCs w:val="24"/>
          <w:lang w:eastAsia="en-US"/>
        </w:rPr>
        <w:br w:type="page"/>
      </w:r>
    </w:p>
    <w:p w14:paraId="5F4B667C" w14:textId="6BB44047" w:rsidR="009E74FB" w:rsidRPr="009E74FB" w:rsidRDefault="009E74FB" w:rsidP="009E74FB">
      <w:pPr>
        <w:spacing w:before="120" w:after="120" w:line="360" w:lineRule="auto"/>
        <w:ind w:left="1416" w:hanging="566"/>
        <w:rPr>
          <w:szCs w:val="24"/>
          <w:lang w:eastAsia="en-US"/>
        </w:rPr>
      </w:pPr>
      <w:r w:rsidRPr="009E74FB">
        <w:rPr>
          <w:szCs w:val="24"/>
          <w:lang w:eastAsia="en-US"/>
        </w:rPr>
        <w:lastRenderedPageBreak/>
        <w:t>a)</w:t>
      </w:r>
      <w:r w:rsidRPr="009E74FB">
        <w:rPr>
          <w:szCs w:val="24"/>
          <w:lang w:eastAsia="en-US"/>
        </w:rPr>
        <w:tab/>
        <w:t>licenstageren til at bringe en overtrædelse af sine forpligtelser i henhold til artikel 10, stk. 1, til ophør</w:t>
      </w:r>
    </w:p>
    <w:p w14:paraId="6AA79755"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licenstageren og rettighedshaveren til at bringe overtrædelsen af artikel 13 til ophør eller</w:t>
      </w:r>
    </w:p>
    <w:p w14:paraId="3A65947C" w14:textId="6B857226" w:rsidR="009E74FB" w:rsidRPr="00AB1A9D" w:rsidRDefault="009E74FB" w:rsidP="009E74FB">
      <w:pPr>
        <w:spacing w:before="120" w:after="120" w:line="360" w:lineRule="auto"/>
        <w:ind w:left="1416" w:hanging="566"/>
        <w:rPr>
          <w:b/>
          <w:szCs w:val="24"/>
          <w:lang w:eastAsia="en-US"/>
        </w:rPr>
      </w:pPr>
      <w:r w:rsidRPr="009E74FB">
        <w:rPr>
          <w:szCs w:val="24"/>
          <w:lang w:eastAsia="en-US"/>
        </w:rPr>
        <w:t>c)</w:t>
      </w:r>
      <w:r w:rsidRPr="009E74FB">
        <w:rPr>
          <w:szCs w:val="24"/>
          <w:lang w:eastAsia="en-US"/>
        </w:rPr>
        <w:tab/>
        <w:t xml:space="preserve">rettighedshaveren eller licenstageren til at opfylde en forpligtelse, der udspringer af de yderligere foranstaltninger, der supplerer EU-tvangslicensen, jf. artikel 8, stk. 1, litra h), og artikel </w:t>
      </w:r>
      <w:r w:rsidRPr="009E74FB">
        <w:rPr>
          <w:strike/>
          <w:szCs w:val="24"/>
          <w:lang w:eastAsia="en-US"/>
        </w:rPr>
        <w:t>14, stk.</w:t>
      </w:r>
      <w:r w:rsidRPr="009E74FB">
        <w:rPr>
          <w:b/>
          <w:i/>
          <w:szCs w:val="24"/>
          <w:lang w:eastAsia="en-US"/>
        </w:rPr>
        <w:t>13a, stk. 1 og</w:t>
      </w:r>
      <w:r w:rsidRPr="009E74FB">
        <w:rPr>
          <w:szCs w:val="24"/>
          <w:lang w:eastAsia="en-US"/>
        </w:rPr>
        <w:t xml:space="preserve"> 2, som fastsat i den relevante gennemførelsesretsakt.</w:t>
      </w:r>
      <w:r w:rsidR="00AB1A9D">
        <w:rPr>
          <w:b/>
          <w:szCs w:val="24"/>
          <w:lang w:eastAsia="en-US"/>
        </w:rPr>
        <w:t xml:space="preserve"> [Ændring 73]</w:t>
      </w:r>
    </w:p>
    <w:p w14:paraId="65FE3582" w14:textId="443632E7" w:rsidR="009E74FB" w:rsidRPr="00AB1A9D" w:rsidRDefault="009E74FB" w:rsidP="009E74FB">
      <w:pPr>
        <w:spacing w:before="120" w:after="120" w:line="360" w:lineRule="auto"/>
        <w:ind w:left="1416" w:hanging="566"/>
        <w:rPr>
          <w:b/>
          <w:szCs w:val="24"/>
          <w:lang w:eastAsia="en-US"/>
        </w:rPr>
      </w:pPr>
      <w:proofErr w:type="spellStart"/>
      <w:r w:rsidRPr="009E74FB">
        <w:rPr>
          <w:b/>
          <w:i/>
          <w:szCs w:val="24"/>
          <w:lang w:eastAsia="en-US"/>
        </w:rPr>
        <w:t>ca</w:t>
      </w:r>
      <w:proofErr w:type="spellEnd"/>
      <w:r w:rsidRPr="009E74FB">
        <w:rPr>
          <w:b/>
          <w:i/>
          <w:szCs w:val="24"/>
          <w:lang w:eastAsia="en-US"/>
        </w:rPr>
        <w:t>)</w:t>
      </w:r>
      <w:r w:rsidRPr="009E74FB">
        <w:rPr>
          <w:szCs w:val="24"/>
          <w:lang w:eastAsia="en-US"/>
        </w:rPr>
        <w:tab/>
      </w:r>
      <w:r w:rsidRPr="009E74FB">
        <w:rPr>
          <w:b/>
          <w:i/>
          <w:szCs w:val="24"/>
          <w:lang w:eastAsia="en-US"/>
        </w:rPr>
        <w:t>licenstageren til at bringe en overtrædelse af forbuddet til ophør, jf. artikel 11.</w:t>
      </w:r>
      <w:r w:rsidR="00AB1A9D">
        <w:rPr>
          <w:b/>
          <w:szCs w:val="24"/>
          <w:lang w:eastAsia="en-US"/>
        </w:rPr>
        <w:t xml:space="preserve"> [Ændring 74]</w:t>
      </w:r>
    </w:p>
    <w:p w14:paraId="64579B9C"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Hvis licenstageren eller rettighedshaveren har opfyldt den forpligtelse, som tvangsbøden har til formål at håndhæve, kan Kommissionen fastsætte den endelige tvangsbøde til et mindre beløb end det, den oprindelige afgørelse ville indebære.</w:t>
      </w:r>
    </w:p>
    <w:p w14:paraId="41B5E94D" w14:textId="77777777" w:rsidR="00460121" w:rsidRDefault="00460121">
      <w:pPr>
        <w:widowControl/>
        <w:rPr>
          <w:szCs w:val="24"/>
          <w:lang w:eastAsia="en-US"/>
        </w:rPr>
      </w:pPr>
      <w:r>
        <w:rPr>
          <w:szCs w:val="24"/>
          <w:lang w:eastAsia="en-US"/>
        </w:rPr>
        <w:br w:type="page"/>
      </w:r>
    </w:p>
    <w:p w14:paraId="0FF99248" w14:textId="57826DAA"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17</w:t>
      </w:r>
      <w:r w:rsidRPr="009E74FB">
        <w:rPr>
          <w:szCs w:val="24"/>
          <w:lang w:eastAsia="en-US"/>
        </w:rPr>
        <w:br/>
        <w:t>Forældelsesfrist for pålæg af bøder og tvangsbøder</w:t>
      </w:r>
    </w:p>
    <w:p w14:paraId="746D8921"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De beføjelser, som Kommissionen har i henhold til artikel 15 og 16, forældes efter fem år.</w:t>
      </w:r>
    </w:p>
    <w:p w14:paraId="2932A0F0"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Forældelsesfristen regnes fra den dag, hvor overtrædelsen er begået. Ved vedvarende eller gentagne overtrædelser regnes fristen dog først fra den dag, hvor overtrædelsen er ophørt.</w:t>
      </w:r>
    </w:p>
    <w:p w14:paraId="1654EB09"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3.</w:t>
      </w:r>
      <w:r w:rsidRPr="009E74FB">
        <w:rPr>
          <w:szCs w:val="24"/>
          <w:lang w:eastAsia="en-US"/>
        </w:rPr>
        <w:tab/>
        <w:t xml:space="preserve">Ved ethvert skridt, som Kommissionen eller en kompetent myndighed i medlemsstaterne tager til at undersøge eller forfølge overtrædelsen, afbrydes forældelsesfristen for </w:t>
      </w:r>
      <w:proofErr w:type="spellStart"/>
      <w:r w:rsidRPr="009E74FB">
        <w:rPr>
          <w:szCs w:val="24"/>
          <w:lang w:eastAsia="en-US"/>
        </w:rPr>
        <w:t>pålæggelse</w:t>
      </w:r>
      <w:proofErr w:type="spellEnd"/>
      <w:r w:rsidRPr="009E74FB">
        <w:rPr>
          <w:szCs w:val="24"/>
          <w:lang w:eastAsia="en-US"/>
        </w:rPr>
        <w:t xml:space="preserve"> af bøder eller tvangsbøder.</w:t>
      </w:r>
    </w:p>
    <w:p w14:paraId="4C6512D0" w14:textId="77777777" w:rsidR="00460121" w:rsidRDefault="00460121">
      <w:pPr>
        <w:widowControl/>
        <w:rPr>
          <w:szCs w:val="24"/>
          <w:lang w:eastAsia="en-US"/>
        </w:rPr>
      </w:pPr>
      <w:r>
        <w:rPr>
          <w:szCs w:val="24"/>
          <w:lang w:eastAsia="en-US"/>
        </w:rPr>
        <w:br w:type="page"/>
      </w:r>
    </w:p>
    <w:p w14:paraId="52C9758F" w14:textId="7AC400F1"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4.</w:t>
      </w:r>
      <w:r w:rsidRPr="009E74FB">
        <w:rPr>
          <w:szCs w:val="24"/>
          <w:lang w:eastAsia="en-US"/>
        </w:rPr>
        <w:tab/>
        <w:t xml:space="preserve">Efter hver afbrydelse begynder forældelsesfristen forfra. Forældelsesfristen for </w:t>
      </w:r>
      <w:proofErr w:type="spellStart"/>
      <w:r w:rsidRPr="009E74FB">
        <w:rPr>
          <w:szCs w:val="24"/>
          <w:lang w:eastAsia="en-US"/>
        </w:rPr>
        <w:t>pålæggelse</w:t>
      </w:r>
      <w:proofErr w:type="spellEnd"/>
      <w:r w:rsidRPr="009E74FB">
        <w:rPr>
          <w:szCs w:val="24"/>
          <w:lang w:eastAsia="en-US"/>
        </w:rPr>
        <w:t xml:space="preserve"> af bøder eller tvangsbøder udløber dog senest den dag, hvor der er forløbet en periode svarende til den dobbelte forældelsesfrist, uden at Kommissionen har pålagt en bøde eller tvangsbøde. Denne periode forlænges med den tid, hvor forældelsesfristen er blevet suspenderet i henhold til stk. 5.</w:t>
      </w:r>
    </w:p>
    <w:p w14:paraId="15AFDF1F"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5.</w:t>
      </w:r>
      <w:r w:rsidRPr="009E74FB">
        <w:rPr>
          <w:szCs w:val="24"/>
          <w:lang w:eastAsia="en-US"/>
        </w:rPr>
        <w:tab/>
        <w:t xml:space="preserve">Forældelsesfristen for </w:t>
      </w:r>
      <w:proofErr w:type="spellStart"/>
      <w:r w:rsidRPr="009E74FB">
        <w:rPr>
          <w:szCs w:val="24"/>
          <w:lang w:eastAsia="en-US"/>
        </w:rPr>
        <w:t>pålæggelse</w:t>
      </w:r>
      <w:proofErr w:type="spellEnd"/>
      <w:r w:rsidRPr="009E74FB">
        <w:rPr>
          <w:szCs w:val="24"/>
          <w:lang w:eastAsia="en-US"/>
        </w:rPr>
        <w:t xml:space="preserve"> af bøder eller tvangsbøder suspenderes, så længe Kommissionens afgørelse er genstand for en verserende sag ved Den Europæiske Unions Domstol.</w:t>
      </w:r>
    </w:p>
    <w:p w14:paraId="170F5885"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18</w:t>
      </w:r>
      <w:r w:rsidRPr="009E74FB">
        <w:rPr>
          <w:szCs w:val="24"/>
          <w:lang w:eastAsia="en-US"/>
        </w:rPr>
        <w:br/>
        <w:t>Forældelsesfrister for tvangsfuldbyrdelse af bøder og tvangsbøder</w:t>
      </w:r>
    </w:p>
    <w:p w14:paraId="42C398E5"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Kommissionens beføjelse til at tvangsfuldbyrde afgørelser, der er vedtaget i henhold til artikel 15 og 16, forældes efter fem år.</w:t>
      </w:r>
    </w:p>
    <w:p w14:paraId="64CD53F8"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Forældelsesfristen regnes fra den dag, hvor afgørelsen er endelig.</w:t>
      </w:r>
    </w:p>
    <w:p w14:paraId="0C09E23F" w14:textId="77777777" w:rsidR="00460121" w:rsidRDefault="00460121">
      <w:pPr>
        <w:widowControl/>
        <w:rPr>
          <w:szCs w:val="24"/>
          <w:lang w:eastAsia="en-US"/>
        </w:rPr>
      </w:pPr>
      <w:r>
        <w:rPr>
          <w:szCs w:val="24"/>
          <w:lang w:eastAsia="en-US"/>
        </w:rPr>
        <w:br w:type="page"/>
      </w:r>
    </w:p>
    <w:p w14:paraId="341B3593" w14:textId="5C8F99BD"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3.</w:t>
      </w:r>
      <w:r w:rsidRPr="009E74FB">
        <w:rPr>
          <w:szCs w:val="24"/>
          <w:lang w:eastAsia="en-US"/>
        </w:rPr>
        <w:tab/>
        <w:t>Forældelsesfristen for tvangsfuldbyrdelse afbrydes:</w:t>
      </w:r>
    </w:p>
    <w:p w14:paraId="12E31223"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ved meddelelse af en afgørelse om ændring af bødens eller tvangsbødens oprindelige størrelse eller om afvisning af en anmodning om en sådan ændring</w:t>
      </w:r>
    </w:p>
    <w:p w14:paraId="2C3B7200"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ved ethvert skridt, der tages af Kommissionen eller af en medlemsstat på Kommissionens anmodning med henblik på tvangsinddrivelse af bøden eller tvangsbøden.</w:t>
      </w:r>
    </w:p>
    <w:p w14:paraId="7F91470F"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4.</w:t>
      </w:r>
      <w:r w:rsidRPr="009E74FB">
        <w:rPr>
          <w:szCs w:val="24"/>
          <w:lang w:eastAsia="en-US"/>
        </w:rPr>
        <w:tab/>
        <w:t>Efter hver afbrydelse begynder forældelsesfristen forfra.</w:t>
      </w:r>
    </w:p>
    <w:p w14:paraId="035FFB38"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5.</w:t>
      </w:r>
      <w:r w:rsidRPr="009E74FB">
        <w:rPr>
          <w:szCs w:val="24"/>
          <w:lang w:eastAsia="en-US"/>
        </w:rPr>
        <w:tab/>
        <w:t>Forældelsesfristen for håndhævelse af sanktioner suspenderes, så længe:</w:t>
      </w:r>
    </w:p>
    <w:p w14:paraId="1435550F"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a)</w:t>
      </w:r>
      <w:r w:rsidRPr="009E74FB">
        <w:rPr>
          <w:szCs w:val="24"/>
          <w:lang w:eastAsia="en-US"/>
        </w:rPr>
        <w:tab/>
        <w:t>der er givet en betalingsfrist</w:t>
      </w:r>
    </w:p>
    <w:p w14:paraId="5D0CDF63"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b)</w:t>
      </w:r>
      <w:r w:rsidRPr="009E74FB">
        <w:rPr>
          <w:szCs w:val="24"/>
          <w:lang w:eastAsia="en-US"/>
        </w:rPr>
        <w:tab/>
        <w:t>tvangsinddrivelsen er suspenderet i henhold til en afgørelse truffet af Den Europæiske Unions Domstol eller af en national domstol.</w:t>
      </w:r>
    </w:p>
    <w:p w14:paraId="1A0BBC99" w14:textId="77777777" w:rsidR="00460121" w:rsidRDefault="00460121">
      <w:pPr>
        <w:widowControl/>
        <w:rPr>
          <w:szCs w:val="24"/>
          <w:lang w:eastAsia="en-US"/>
        </w:rPr>
      </w:pPr>
      <w:r>
        <w:rPr>
          <w:szCs w:val="24"/>
          <w:lang w:eastAsia="en-US"/>
        </w:rPr>
        <w:br w:type="page"/>
      </w:r>
    </w:p>
    <w:p w14:paraId="51E2C8FB" w14:textId="723944A7"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19</w:t>
      </w:r>
      <w:r w:rsidRPr="009E74FB">
        <w:rPr>
          <w:szCs w:val="24"/>
          <w:lang w:eastAsia="en-US"/>
        </w:rPr>
        <w:br/>
        <w:t>Retten til at blive hørt og aktindsigt</w:t>
      </w:r>
    </w:p>
    <w:p w14:paraId="0445343B" w14:textId="1537B53E" w:rsidR="009E74FB" w:rsidRPr="00AB1A9D" w:rsidRDefault="009E74FB" w:rsidP="009E74FB">
      <w:pPr>
        <w:spacing w:before="120" w:after="120" w:line="360" w:lineRule="auto"/>
        <w:ind w:left="850" w:hanging="850"/>
        <w:rPr>
          <w:b/>
          <w:szCs w:val="24"/>
          <w:lang w:eastAsia="en-US"/>
        </w:rPr>
      </w:pPr>
      <w:r w:rsidRPr="009E74FB">
        <w:rPr>
          <w:szCs w:val="24"/>
          <w:lang w:eastAsia="en-US"/>
        </w:rPr>
        <w:t>1.</w:t>
      </w:r>
      <w:r w:rsidRPr="009E74FB">
        <w:rPr>
          <w:szCs w:val="24"/>
          <w:lang w:eastAsia="en-US"/>
        </w:rPr>
        <w:tab/>
        <w:t xml:space="preserve">Inden Kommissionen vedtager en afgørelse i henhold til artikel 15 eller 16, giver den licenstageren eller rettighedshaveren mulighed for at blive hørt om </w:t>
      </w:r>
      <w:r w:rsidRPr="009E74FB">
        <w:rPr>
          <w:b/>
          <w:i/>
          <w:szCs w:val="24"/>
          <w:lang w:eastAsia="en-US"/>
        </w:rPr>
        <w:t xml:space="preserve">og fuldt ud inddraget i proceduren for </w:t>
      </w:r>
      <w:r w:rsidRPr="009E74FB">
        <w:rPr>
          <w:szCs w:val="24"/>
          <w:lang w:eastAsia="en-US"/>
        </w:rPr>
        <w:t>den påståede overtrædelse, som skal udløse en bøde eller tvangsbøder.</w:t>
      </w:r>
      <w:r w:rsidR="00AB1A9D">
        <w:rPr>
          <w:b/>
          <w:szCs w:val="24"/>
          <w:lang w:eastAsia="en-US"/>
        </w:rPr>
        <w:t xml:space="preserve"> [Ændring 75]</w:t>
      </w:r>
    </w:p>
    <w:p w14:paraId="6DF17640"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Licenstageren eller rettighedshaveren kan fremsætte sine bemærkninger til den påståede overtrædelse inden for en rimelig frist, som Kommissionen fastsætter, og som ikke må være kortere end 14 dage.</w:t>
      </w:r>
    </w:p>
    <w:p w14:paraId="635265A4" w14:textId="2FFABDDD" w:rsidR="009E74FB" w:rsidRPr="00AB1A9D" w:rsidRDefault="009E74FB" w:rsidP="009E74FB">
      <w:pPr>
        <w:spacing w:before="120" w:after="120" w:line="360" w:lineRule="auto"/>
        <w:ind w:left="850" w:hanging="850"/>
        <w:rPr>
          <w:b/>
          <w:szCs w:val="24"/>
          <w:lang w:eastAsia="en-US"/>
        </w:rPr>
      </w:pPr>
      <w:r w:rsidRPr="009E74FB">
        <w:rPr>
          <w:b/>
          <w:i/>
          <w:szCs w:val="24"/>
          <w:lang w:eastAsia="en-US"/>
        </w:rPr>
        <w:t>2a.</w:t>
      </w:r>
      <w:r w:rsidRPr="009E74FB">
        <w:rPr>
          <w:szCs w:val="24"/>
          <w:lang w:eastAsia="en-US"/>
        </w:rPr>
        <w:tab/>
      </w:r>
      <w:r w:rsidRPr="009E74FB">
        <w:rPr>
          <w:b/>
          <w:i/>
          <w:szCs w:val="24"/>
          <w:lang w:eastAsia="en-US"/>
        </w:rPr>
        <w:t>Kommissionen besvarer licenstagerens eller rettighedshaverens bemærkninger og giver i tilfælde af afslag af bemærkningerne en begrundelse inden for en rimelig frist, som ikke må overstige syv dage.</w:t>
      </w:r>
      <w:r w:rsidR="00AB1A9D">
        <w:rPr>
          <w:b/>
          <w:szCs w:val="24"/>
          <w:lang w:eastAsia="en-US"/>
        </w:rPr>
        <w:t xml:space="preserve"> [Ændring 76]</w:t>
      </w:r>
    </w:p>
    <w:p w14:paraId="6B123019"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3.</w:t>
      </w:r>
      <w:r w:rsidRPr="009E74FB">
        <w:rPr>
          <w:szCs w:val="24"/>
          <w:lang w:eastAsia="en-US"/>
        </w:rPr>
        <w:tab/>
        <w:t>Kommissionen lægger kun de klagepunkter til grund for sine afgørelser, som de berørte parter har haft lejlighed til at udtale sig om.</w:t>
      </w:r>
    </w:p>
    <w:p w14:paraId="21BB2C31" w14:textId="77777777" w:rsidR="00460121" w:rsidRDefault="00460121">
      <w:pPr>
        <w:widowControl/>
        <w:rPr>
          <w:szCs w:val="24"/>
          <w:lang w:eastAsia="en-US"/>
        </w:rPr>
      </w:pPr>
      <w:r>
        <w:rPr>
          <w:szCs w:val="24"/>
          <w:lang w:eastAsia="en-US"/>
        </w:rPr>
        <w:br w:type="page"/>
      </w:r>
    </w:p>
    <w:p w14:paraId="33CC2206" w14:textId="5C686FC9" w:rsidR="009E74FB" w:rsidRPr="00AB1A9D" w:rsidRDefault="009E74FB" w:rsidP="009E74FB">
      <w:pPr>
        <w:spacing w:before="120" w:after="120" w:line="360" w:lineRule="auto"/>
        <w:ind w:left="850" w:hanging="850"/>
        <w:rPr>
          <w:b/>
          <w:szCs w:val="24"/>
          <w:lang w:eastAsia="en-US"/>
        </w:rPr>
      </w:pPr>
      <w:r w:rsidRPr="009E74FB">
        <w:rPr>
          <w:szCs w:val="24"/>
          <w:lang w:eastAsia="en-US"/>
        </w:rPr>
        <w:lastRenderedPageBreak/>
        <w:t>4.</w:t>
      </w:r>
      <w:r w:rsidRPr="009E74FB">
        <w:rPr>
          <w:szCs w:val="24"/>
          <w:lang w:eastAsia="en-US"/>
        </w:rPr>
        <w:tab/>
        <w:t>De berørte parters ret til forsvar skal sikres fuldt ud i procedureforløbet. De har ret til aktindsigt i Kommissionens sagsakter på grundlag af vilkårene for en forhandlet videregivelse med forbehold af licenstagerens eller rettighedshaverens eller en anden berørt persons legitime interesse i, at deres forretningsmæssigt følsomme oplysninger og forretningshemmeligheder beskyttes</w:t>
      </w:r>
      <w:r w:rsidRPr="009E74FB">
        <w:rPr>
          <w:b/>
          <w:i/>
          <w:szCs w:val="24"/>
          <w:lang w:eastAsia="en-US"/>
        </w:rPr>
        <w:t xml:space="preserve"> i fuld overensstemmelse med gældende lovgivning om beskyttelse af data og forretningshemmeligheder</w:t>
      </w:r>
      <w:r w:rsidRPr="009E74FB">
        <w:rPr>
          <w:szCs w:val="24"/>
          <w:lang w:eastAsia="en-US"/>
        </w:rPr>
        <w:t>. Kommissionen har beføjelse til at vedtage afgørelser om sådanne vilkår for videregivelse i tilfælde af uenighed mellem parterne. Aktindsigten i Kommissionens sagsakter omfatter ikke fortrolige oplysninger og interne dokumenter fra Kommissionen, andre kompetente myndigheder eller andre offentlige myndigheder i medlemsstaterne. Retten til aktindsigt omfatter navnlig ikke korrespondance mellem Kommissionen og disse myndigheder. Dette stykke er ikke til hinder for, at Kommissionen videregiver eller anvender oplysninger, som er nødvendige for at bevise en overtrædelse.</w:t>
      </w:r>
      <w:r w:rsidR="00AB1A9D">
        <w:rPr>
          <w:b/>
          <w:szCs w:val="24"/>
          <w:lang w:eastAsia="en-US"/>
        </w:rPr>
        <w:t xml:space="preserve"> [Ændring 77]</w:t>
      </w:r>
    </w:p>
    <w:p w14:paraId="39420C3C"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5.</w:t>
      </w:r>
      <w:r w:rsidRPr="009E74FB">
        <w:rPr>
          <w:szCs w:val="24"/>
          <w:lang w:eastAsia="en-US"/>
        </w:rPr>
        <w:tab/>
        <w:t>Hvis Kommissionen finder det nødvendigt, kan den også indhente udtalelser fra andre fysiske eller juridiske personer. Når fysiske eller juridiske personer, der godtgør, at de har tilstrækkelig interesse i sagen, anmoder om at måtte udtale sig, skal deres anmodning efterkommes.</w:t>
      </w:r>
    </w:p>
    <w:p w14:paraId="6E8391A5" w14:textId="77777777" w:rsidR="00460121" w:rsidRDefault="00460121">
      <w:pPr>
        <w:widowControl/>
        <w:rPr>
          <w:szCs w:val="24"/>
          <w:lang w:eastAsia="en-US"/>
        </w:rPr>
      </w:pPr>
      <w:r>
        <w:rPr>
          <w:szCs w:val="24"/>
          <w:lang w:eastAsia="en-US"/>
        </w:rPr>
        <w:br w:type="page"/>
      </w:r>
    </w:p>
    <w:p w14:paraId="35DC1B49" w14:textId="249B2267" w:rsidR="009E74FB" w:rsidRPr="009E74FB" w:rsidRDefault="009E74FB" w:rsidP="009E74FB">
      <w:pPr>
        <w:spacing w:before="120" w:after="120" w:line="360" w:lineRule="auto"/>
        <w:jc w:val="center"/>
        <w:rPr>
          <w:szCs w:val="24"/>
          <w:lang w:eastAsia="en-US"/>
        </w:rPr>
      </w:pPr>
      <w:r w:rsidRPr="009E74FB">
        <w:rPr>
          <w:szCs w:val="24"/>
          <w:lang w:eastAsia="en-US"/>
        </w:rPr>
        <w:lastRenderedPageBreak/>
        <w:t>Artikel 20</w:t>
      </w:r>
      <w:r w:rsidRPr="009E74FB">
        <w:rPr>
          <w:szCs w:val="24"/>
          <w:lang w:eastAsia="en-US"/>
        </w:rPr>
        <w:br/>
        <w:t>Offentliggørelse af afgørelser</w:t>
      </w:r>
    </w:p>
    <w:p w14:paraId="580F8FEB"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Kommissionen offentliggør de afgørelser, den vedtager i henhold til artikel 15 og 16. Ved offentliggørelsen angives parternes navne og afgørelsens hovedindhold, herunder eventuelle pålagte bøder eller sanktioner.</w:t>
      </w:r>
    </w:p>
    <w:p w14:paraId="68110063"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2.</w:t>
      </w:r>
      <w:r w:rsidRPr="009E74FB">
        <w:rPr>
          <w:szCs w:val="24"/>
          <w:lang w:eastAsia="en-US"/>
        </w:rPr>
        <w:tab/>
        <w:t>Der skal ved offentliggørelsen tages hensyn til licenstagerens, rettighedshaverens eller eventuelle tredjeparters rettigheder og legitime interesse i at beskytte deres fortrolige oplysninger.</w:t>
      </w:r>
    </w:p>
    <w:p w14:paraId="6F48C3E2"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21</w:t>
      </w:r>
      <w:r w:rsidRPr="009E74FB">
        <w:rPr>
          <w:szCs w:val="24"/>
          <w:lang w:eastAsia="en-US"/>
        </w:rPr>
        <w:br/>
        <w:t>Prøvelse ved Den Europæiske Unions Domstol</w:t>
      </w:r>
    </w:p>
    <w:p w14:paraId="558FA0D9" w14:textId="1445C548" w:rsidR="009E74FB" w:rsidRPr="00AB1A9D" w:rsidRDefault="009E74FB" w:rsidP="009E74FB">
      <w:pPr>
        <w:spacing w:before="120" w:after="120" w:line="360" w:lineRule="auto"/>
        <w:rPr>
          <w:b/>
          <w:szCs w:val="24"/>
          <w:lang w:eastAsia="en-US"/>
        </w:rPr>
      </w:pPr>
      <w:r w:rsidRPr="009E74FB">
        <w:rPr>
          <w:szCs w:val="24"/>
          <w:lang w:eastAsia="en-US"/>
        </w:rPr>
        <w:t>I henhold til artikel 261</w:t>
      </w:r>
      <w:r w:rsidRPr="009E74FB">
        <w:rPr>
          <w:b/>
          <w:i/>
          <w:szCs w:val="24"/>
          <w:lang w:eastAsia="en-US"/>
        </w:rPr>
        <w:t xml:space="preserve"> og 263</w:t>
      </w:r>
      <w:r w:rsidRPr="009E74FB">
        <w:rPr>
          <w:szCs w:val="24"/>
          <w:lang w:eastAsia="en-US"/>
        </w:rPr>
        <w:t xml:space="preserve"> i TEUF har Den Europæiske Unions Domstol fuld prøvelsesret vedrørende afgørelser, hvorved Kommissionen</w:t>
      </w:r>
      <w:r w:rsidRPr="009E74FB">
        <w:rPr>
          <w:strike/>
          <w:szCs w:val="24"/>
          <w:lang w:eastAsia="en-US"/>
        </w:rPr>
        <w:t xml:space="preserve"> har pålagt bøder eller tvangsbøder. Den kan ophæve, nedsætte eller forhøje den pålagte bøde eller tvangsbøde.</w:t>
      </w:r>
      <w:r w:rsidRPr="009E74FB">
        <w:rPr>
          <w:b/>
          <w:i/>
          <w:szCs w:val="24"/>
          <w:lang w:eastAsia="en-US"/>
        </w:rPr>
        <w:t>:</w:t>
      </w:r>
      <w:r w:rsidR="00AB1A9D">
        <w:rPr>
          <w:b/>
          <w:szCs w:val="24"/>
          <w:lang w:eastAsia="en-US"/>
        </w:rPr>
        <w:t xml:space="preserve"> [Ændring 78]</w:t>
      </w:r>
    </w:p>
    <w:p w14:paraId="28524177" w14:textId="77777777" w:rsidR="00460121" w:rsidRDefault="00460121">
      <w:pPr>
        <w:widowControl/>
        <w:rPr>
          <w:b/>
          <w:i/>
          <w:szCs w:val="24"/>
          <w:lang w:eastAsia="en-US"/>
        </w:rPr>
      </w:pPr>
      <w:r>
        <w:rPr>
          <w:b/>
          <w:i/>
          <w:szCs w:val="24"/>
          <w:lang w:eastAsia="en-US"/>
        </w:rPr>
        <w:br w:type="page"/>
      </w:r>
    </w:p>
    <w:p w14:paraId="021A8678" w14:textId="005236BD" w:rsidR="009E74FB" w:rsidRPr="00AB1A9D" w:rsidRDefault="008A441A" w:rsidP="008A441A">
      <w:pPr>
        <w:spacing w:before="120" w:after="120" w:line="360" w:lineRule="auto"/>
        <w:ind w:left="850" w:hanging="850"/>
        <w:rPr>
          <w:b/>
          <w:szCs w:val="24"/>
          <w:lang w:eastAsia="en-US"/>
        </w:rPr>
      </w:pPr>
      <w:r>
        <w:rPr>
          <w:b/>
          <w:i/>
          <w:szCs w:val="24"/>
          <w:lang w:eastAsia="en-US"/>
        </w:rPr>
        <w:lastRenderedPageBreak/>
        <w:t>1</w:t>
      </w:r>
      <w:r w:rsidR="009E74FB" w:rsidRPr="009E74FB">
        <w:rPr>
          <w:b/>
          <w:i/>
          <w:szCs w:val="24"/>
          <w:lang w:eastAsia="en-US"/>
        </w:rPr>
        <w:t>)</w:t>
      </w:r>
      <w:r w:rsidR="009E74FB" w:rsidRPr="009E74FB">
        <w:rPr>
          <w:szCs w:val="24"/>
          <w:lang w:eastAsia="en-US"/>
        </w:rPr>
        <w:tab/>
      </w:r>
      <w:r w:rsidR="009E74FB" w:rsidRPr="009E74FB">
        <w:rPr>
          <w:b/>
          <w:i/>
          <w:szCs w:val="24"/>
          <w:lang w:eastAsia="en-US"/>
        </w:rPr>
        <w:t>har udstedt en tvangslicens. Den kan annullere eller ændre sine vilkår og betingelser.</w:t>
      </w:r>
      <w:r w:rsidR="00AB1A9D">
        <w:rPr>
          <w:b/>
          <w:szCs w:val="24"/>
          <w:lang w:eastAsia="en-US"/>
        </w:rPr>
        <w:t xml:space="preserve"> [Ændring 79]</w:t>
      </w:r>
    </w:p>
    <w:p w14:paraId="4EA550B5" w14:textId="271D8754" w:rsidR="009E74FB" w:rsidRPr="00AB1A9D" w:rsidRDefault="008A441A" w:rsidP="009E74FB">
      <w:pPr>
        <w:spacing w:before="120" w:after="120" w:line="360" w:lineRule="auto"/>
        <w:ind w:left="850" w:hanging="850"/>
        <w:rPr>
          <w:b/>
          <w:szCs w:val="24"/>
          <w:lang w:eastAsia="en-US"/>
        </w:rPr>
      </w:pPr>
      <w:r>
        <w:rPr>
          <w:b/>
          <w:i/>
          <w:szCs w:val="24"/>
          <w:lang w:eastAsia="en-US"/>
        </w:rPr>
        <w:t>2</w:t>
      </w:r>
      <w:bookmarkStart w:id="8" w:name="_GoBack"/>
      <w:bookmarkEnd w:id="8"/>
      <w:r w:rsidR="009E74FB" w:rsidRPr="009E74FB">
        <w:rPr>
          <w:b/>
          <w:i/>
          <w:szCs w:val="24"/>
          <w:lang w:eastAsia="en-US"/>
        </w:rPr>
        <w:t>)</w:t>
      </w:r>
      <w:r w:rsidR="009E74FB" w:rsidRPr="009E74FB">
        <w:rPr>
          <w:szCs w:val="24"/>
          <w:lang w:eastAsia="en-US"/>
        </w:rPr>
        <w:tab/>
      </w:r>
      <w:r w:rsidR="009E74FB" w:rsidRPr="009E74FB">
        <w:rPr>
          <w:b/>
          <w:i/>
          <w:szCs w:val="24"/>
          <w:lang w:eastAsia="en-US"/>
        </w:rPr>
        <w:t>har pålagt bøder eller tvangsbøder. Den kan ophæve, nedsætte eller forhøje den pålagte bøde eller tvangsbøde.</w:t>
      </w:r>
      <w:r w:rsidR="00AB1A9D">
        <w:rPr>
          <w:b/>
          <w:szCs w:val="24"/>
          <w:lang w:eastAsia="en-US"/>
        </w:rPr>
        <w:t xml:space="preserve"> [Ændring 80]</w:t>
      </w:r>
    </w:p>
    <w:p w14:paraId="3716028E"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22</w:t>
      </w:r>
      <w:r w:rsidRPr="009E74FB">
        <w:rPr>
          <w:szCs w:val="24"/>
          <w:lang w:eastAsia="en-US"/>
        </w:rPr>
        <w:br/>
        <w:t xml:space="preserve">Rapportering om nationale tvangslicenser </w:t>
      </w:r>
    </w:p>
    <w:p w14:paraId="626CC10C" w14:textId="0300E530" w:rsidR="009E74FB" w:rsidRPr="00AB1A9D" w:rsidRDefault="009E74FB" w:rsidP="009E74FB">
      <w:pPr>
        <w:spacing w:before="120" w:after="120" w:line="360" w:lineRule="auto"/>
        <w:rPr>
          <w:b/>
          <w:szCs w:val="24"/>
          <w:lang w:eastAsia="en-US"/>
        </w:rPr>
      </w:pPr>
      <w:r w:rsidRPr="009E74FB">
        <w:rPr>
          <w:szCs w:val="24"/>
          <w:lang w:eastAsia="en-US"/>
        </w:rPr>
        <w:t>Når der er udstedt en national tvangslicens</w:t>
      </w:r>
      <w:r w:rsidRPr="009E74FB">
        <w:rPr>
          <w:b/>
          <w:i/>
          <w:szCs w:val="24"/>
          <w:lang w:eastAsia="en-US"/>
        </w:rPr>
        <w:t xml:space="preserve"> af hensyn til offentligheden eller</w:t>
      </w:r>
      <w:r w:rsidRPr="009E74FB">
        <w:rPr>
          <w:szCs w:val="24"/>
          <w:lang w:eastAsia="en-US"/>
        </w:rPr>
        <w:t xml:space="preserve"> for at imødegå en national krise eller nødsituation, underretter medlemsstaten Kommissionen om licensens udstedelse og om de særlige betingelser, som er knyttet til den. De udleverede oplysninger skal omfatte følgende:</w:t>
      </w:r>
      <w:r w:rsidR="00AB1A9D">
        <w:rPr>
          <w:b/>
          <w:szCs w:val="24"/>
          <w:lang w:eastAsia="en-US"/>
        </w:rPr>
        <w:t xml:space="preserve"> [Ændring 81]</w:t>
      </w:r>
    </w:p>
    <w:p w14:paraId="0136E3CC"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a)</w:t>
      </w:r>
      <w:r w:rsidRPr="009E74FB">
        <w:rPr>
          <w:szCs w:val="24"/>
          <w:lang w:eastAsia="en-US"/>
        </w:rPr>
        <w:tab/>
        <w:t>formålet med den nationale tvangslicens og dens retsgrundlag i national ret</w:t>
      </w:r>
    </w:p>
    <w:p w14:paraId="31CDB4F2"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b)</w:t>
      </w:r>
      <w:r w:rsidRPr="009E74FB">
        <w:rPr>
          <w:szCs w:val="24"/>
          <w:lang w:eastAsia="en-US"/>
        </w:rPr>
        <w:tab/>
        <w:t>licenstagerens navn og adresse</w:t>
      </w:r>
    </w:p>
    <w:p w14:paraId="3BA3655B"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c)</w:t>
      </w:r>
      <w:r w:rsidRPr="009E74FB">
        <w:rPr>
          <w:szCs w:val="24"/>
          <w:lang w:eastAsia="en-US"/>
        </w:rPr>
        <w:tab/>
        <w:t>de pågældende produkter og så vidt muligt de pågældende intellektuelle ejendomsrettigheder og rettighedshavere</w:t>
      </w:r>
    </w:p>
    <w:p w14:paraId="625CDBC1" w14:textId="77777777" w:rsidR="00460121" w:rsidRDefault="00460121">
      <w:pPr>
        <w:widowControl/>
        <w:rPr>
          <w:szCs w:val="24"/>
          <w:lang w:eastAsia="en-US"/>
        </w:rPr>
      </w:pPr>
      <w:r>
        <w:rPr>
          <w:szCs w:val="24"/>
          <w:lang w:eastAsia="en-US"/>
        </w:rPr>
        <w:br w:type="page"/>
      </w:r>
    </w:p>
    <w:p w14:paraId="0674374E" w14:textId="76A63C1B"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d)</w:t>
      </w:r>
      <w:r w:rsidRPr="009E74FB">
        <w:rPr>
          <w:szCs w:val="24"/>
          <w:lang w:eastAsia="en-US"/>
        </w:rPr>
        <w:tab/>
        <w:t>det vederlag, der skal betales til rettighedshaveren</w:t>
      </w:r>
    </w:p>
    <w:p w14:paraId="337A6209"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e)</w:t>
      </w:r>
      <w:r w:rsidRPr="009E74FB">
        <w:rPr>
          <w:szCs w:val="24"/>
          <w:lang w:eastAsia="en-US"/>
        </w:rPr>
        <w:tab/>
        <w:t>den mængde produkter, der skal leveres i henhold til licensen</w:t>
      </w:r>
    </w:p>
    <w:p w14:paraId="790FBDAC"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f)</w:t>
      </w:r>
      <w:r w:rsidRPr="009E74FB">
        <w:rPr>
          <w:szCs w:val="24"/>
          <w:lang w:eastAsia="en-US"/>
        </w:rPr>
        <w:tab/>
        <w:t>licensens varighed.</w:t>
      </w:r>
    </w:p>
    <w:p w14:paraId="6BEC577C"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23</w:t>
      </w:r>
      <w:r w:rsidRPr="009E74FB">
        <w:rPr>
          <w:szCs w:val="24"/>
          <w:lang w:eastAsia="en-US"/>
        </w:rPr>
        <w:br/>
        <w:t xml:space="preserve">Ændring af forordning (EF) nr. 816/2006 </w:t>
      </w:r>
    </w:p>
    <w:p w14:paraId="64E50E61" w14:textId="77777777" w:rsidR="009E74FB" w:rsidRPr="009E74FB" w:rsidRDefault="009E74FB" w:rsidP="009E74FB">
      <w:pPr>
        <w:spacing w:before="120" w:after="120" w:line="360" w:lineRule="auto"/>
        <w:rPr>
          <w:szCs w:val="24"/>
          <w:lang w:eastAsia="en-US"/>
        </w:rPr>
      </w:pPr>
      <w:r w:rsidRPr="009E74FB">
        <w:rPr>
          <w:szCs w:val="24"/>
          <w:lang w:eastAsia="en-US"/>
        </w:rPr>
        <w:t>Forordning (EF) nr. 816/2006 ændres således:</w:t>
      </w:r>
    </w:p>
    <w:p w14:paraId="42659374" w14:textId="77777777" w:rsidR="009E74FB" w:rsidRPr="009E74FB" w:rsidRDefault="009E74FB" w:rsidP="009E74FB">
      <w:pPr>
        <w:spacing w:before="120" w:after="120" w:line="360" w:lineRule="auto"/>
        <w:ind w:left="850" w:hanging="850"/>
        <w:rPr>
          <w:szCs w:val="24"/>
          <w:lang w:eastAsia="en-US"/>
        </w:rPr>
      </w:pPr>
      <w:r w:rsidRPr="009E74FB">
        <w:rPr>
          <w:b/>
          <w:i/>
          <w:szCs w:val="24"/>
          <w:lang w:eastAsia="en-US"/>
        </w:rPr>
        <w:t>-a)</w:t>
      </w:r>
      <w:r w:rsidRPr="009E74FB">
        <w:rPr>
          <w:szCs w:val="24"/>
          <w:lang w:eastAsia="en-US"/>
        </w:rPr>
        <w:tab/>
      </w:r>
      <w:r w:rsidRPr="009E74FB">
        <w:rPr>
          <w:b/>
          <w:i/>
          <w:szCs w:val="24"/>
          <w:lang w:eastAsia="en-US"/>
        </w:rPr>
        <w:t>Artikel 6, stk. 2, affattes således:</w:t>
      </w:r>
    </w:p>
    <w:p w14:paraId="4DD6986A" w14:textId="56F9518C" w:rsidR="009E74FB" w:rsidRPr="00AB1A9D" w:rsidRDefault="009E74FB" w:rsidP="00050DF3">
      <w:pPr>
        <w:spacing w:before="120" w:after="120" w:line="360" w:lineRule="auto"/>
        <w:ind w:left="1418" w:hanging="567"/>
        <w:rPr>
          <w:b/>
          <w:szCs w:val="24"/>
          <w:lang w:eastAsia="en-US"/>
        </w:rPr>
      </w:pPr>
      <w:r w:rsidRPr="009E74FB">
        <w:rPr>
          <w:b/>
          <w:i/>
          <w:szCs w:val="24"/>
          <w:lang w:eastAsia="en-US"/>
        </w:rPr>
        <w:t>"2</w:t>
      </w:r>
      <w:r w:rsidR="00050DF3">
        <w:rPr>
          <w:b/>
          <w:i/>
          <w:szCs w:val="24"/>
          <w:lang w:eastAsia="en-US"/>
        </w:rPr>
        <w:t>)</w:t>
      </w:r>
      <w:r w:rsidRPr="009E74FB">
        <w:rPr>
          <w:b/>
          <w:i/>
          <w:szCs w:val="24"/>
          <w:lang w:eastAsia="en-US"/>
        </w:rPr>
        <w:tab/>
        <w:t>Indgiver den, der ansøger om tvangslicens, flere ansøgninger til myndighederne vedrørende det samme produkt, skal vedkommende anføre dette i hver ansøgning sammen med nærmere oplysninger om mængderne og de pågældende importerende lande."</w:t>
      </w:r>
      <w:r w:rsidR="00AB1A9D">
        <w:rPr>
          <w:b/>
          <w:szCs w:val="24"/>
          <w:lang w:eastAsia="en-US"/>
        </w:rPr>
        <w:t xml:space="preserve"> [Ændring 82]</w:t>
      </w:r>
    </w:p>
    <w:p w14:paraId="3CA1FB17" w14:textId="35BA5914" w:rsidR="009E74FB" w:rsidRPr="009E74FB" w:rsidRDefault="009E74FB" w:rsidP="009E74FB">
      <w:pPr>
        <w:spacing w:before="120" w:after="120" w:line="360" w:lineRule="auto"/>
        <w:ind w:left="850" w:hanging="850"/>
        <w:rPr>
          <w:szCs w:val="24"/>
          <w:lang w:eastAsia="en-US"/>
        </w:rPr>
      </w:pPr>
      <w:r w:rsidRPr="009E74FB">
        <w:rPr>
          <w:b/>
          <w:i/>
          <w:szCs w:val="24"/>
          <w:lang w:eastAsia="en-US"/>
        </w:rPr>
        <w:t>-</w:t>
      </w:r>
      <w:proofErr w:type="spellStart"/>
      <w:r w:rsidR="00050DF3">
        <w:rPr>
          <w:b/>
          <w:i/>
          <w:szCs w:val="24"/>
          <w:lang w:eastAsia="en-US"/>
        </w:rPr>
        <w:t>aa</w:t>
      </w:r>
      <w:proofErr w:type="spellEnd"/>
      <w:r w:rsidRPr="009E74FB">
        <w:rPr>
          <w:b/>
          <w:i/>
          <w:szCs w:val="24"/>
          <w:lang w:eastAsia="en-US"/>
        </w:rPr>
        <w:t>)</w:t>
      </w:r>
      <w:r w:rsidRPr="009E74FB">
        <w:rPr>
          <w:szCs w:val="24"/>
          <w:lang w:eastAsia="en-US"/>
        </w:rPr>
        <w:tab/>
      </w:r>
      <w:r w:rsidRPr="009E74FB">
        <w:rPr>
          <w:b/>
          <w:i/>
          <w:szCs w:val="24"/>
          <w:lang w:eastAsia="en-US"/>
        </w:rPr>
        <w:t>Artikel 6, stk. 3, litra c), affattes således:</w:t>
      </w:r>
    </w:p>
    <w:p w14:paraId="2D2A805E" w14:textId="41001A36" w:rsidR="009E74FB" w:rsidRPr="00AB1A9D" w:rsidRDefault="009E74FB" w:rsidP="00050DF3">
      <w:pPr>
        <w:spacing w:before="120" w:after="120" w:line="360" w:lineRule="auto"/>
        <w:ind w:left="1418" w:hanging="567"/>
        <w:rPr>
          <w:b/>
          <w:szCs w:val="24"/>
          <w:lang w:eastAsia="en-US"/>
        </w:rPr>
      </w:pPr>
      <w:r w:rsidRPr="009E74FB">
        <w:rPr>
          <w:b/>
          <w:i/>
          <w:szCs w:val="24"/>
          <w:lang w:eastAsia="en-US"/>
        </w:rPr>
        <w:t>"c)</w:t>
      </w:r>
      <w:r w:rsidRPr="009E74FB">
        <w:rPr>
          <w:b/>
          <w:i/>
          <w:szCs w:val="24"/>
          <w:lang w:eastAsia="en-US"/>
        </w:rPr>
        <w:tab/>
        <w:t>den forventede mængde farmaceutiske produkter, som ansøgeren ønsker at producere under tvangslicensen"</w:t>
      </w:r>
      <w:r w:rsidR="00AB1A9D">
        <w:rPr>
          <w:b/>
          <w:szCs w:val="24"/>
          <w:lang w:eastAsia="en-US"/>
        </w:rPr>
        <w:t xml:space="preserve"> [Ændring 83]</w:t>
      </w:r>
    </w:p>
    <w:p w14:paraId="5F34ECA2" w14:textId="77777777" w:rsidR="00460121" w:rsidRDefault="00460121">
      <w:pPr>
        <w:widowControl/>
        <w:rPr>
          <w:b/>
          <w:i/>
          <w:szCs w:val="24"/>
          <w:lang w:eastAsia="en-US"/>
        </w:rPr>
      </w:pPr>
      <w:r>
        <w:rPr>
          <w:b/>
          <w:i/>
          <w:szCs w:val="24"/>
          <w:lang w:eastAsia="en-US"/>
        </w:rPr>
        <w:br w:type="page"/>
      </w:r>
    </w:p>
    <w:p w14:paraId="528B55E9" w14:textId="48F81959" w:rsidR="009E74FB" w:rsidRPr="009E74FB" w:rsidRDefault="009E74FB" w:rsidP="009E74FB">
      <w:pPr>
        <w:spacing w:before="120" w:after="120" w:line="360" w:lineRule="auto"/>
        <w:ind w:left="850" w:hanging="850"/>
        <w:rPr>
          <w:szCs w:val="24"/>
          <w:lang w:eastAsia="en-US"/>
        </w:rPr>
      </w:pPr>
      <w:r w:rsidRPr="009E74FB">
        <w:rPr>
          <w:b/>
          <w:i/>
          <w:szCs w:val="24"/>
          <w:lang w:eastAsia="en-US"/>
        </w:rPr>
        <w:lastRenderedPageBreak/>
        <w:t>-</w:t>
      </w:r>
      <w:r w:rsidR="004D604A">
        <w:rPr>
          <w:b/>
          <w:i/>
          <w:szCs w:val="24"/>
          <w:lang w:eastAsia="en-US"/>
        </w:rPr>
        <w:t>ab</w:t>
      </w:r>
      <w:r w:rsidRPr="009E74FB">
        <w:rPr>
          <w:b/>
          <w:i/>
          <w:szCs w:val="24"/>
          <w:lang w:eastAsia="en-US"/>
        </w:rPr>
        <w:t>)</w:t>
      </w:r>
      <w:r w:rsidRPr="009E74FB">
        <w:rPr>
          <w:szCs w:val="24"/>
          <w:lang w:eastAsia="en-US"/>
        </w:rPr>
        <w:tab/>
      </w:r>
      <w:r w:rsidRPr="009E74FB">
        <w:rPr>
          <w:b/>
          <w:i/>
          <w:szCs w:val="24"/>
          <w:lang w:eastAsia="en-US"/>
        </w:rPr>
        <w:t>Artikel 6, stk. 3, litra e), affattes således:</w:t>
      </w:r>
    </w:p>
    <w:p w14:paraId="466BBB96" w14:textId="1487D053" w:rsidR="009E74FB" w:rsidRPr="00AB1A9D" w:rsidRDefault="009E74FB" w:rsidP="00050DF3">
      <w:pPr>
        <w:spacing w:before="120" w:after="120" w:line="360" w:lineRule="auto"/>
        <w:ind w:left="1418" w:hanging="567"/>
        <w:rPr>
          <w:b/>
          <w:szCs w:val="24"/>
          <w:lang w:eastAsia="en-US"/>
        </w:rPr>
      </w:pPr>
      <w:r w:rsidRPr="009E74FB">
        <w:rPr>
          <w:b/>
          <w:i/>
          <w:szCs w:val="24"/>
          <w:lang w:eastAsia="en-US"/>
        </w:rPr>
        <w:t>"e)</w:t>
      </w:r>
      <w:r w:rsidRPr="009E74FB">
        <w:rPr>
          <w:b/>
          <w:i/>
          <w:szCs w:val="24"/>
          <w:lang w:eastAsia="en-US"/>
        </w:rPr>
        <w:tab/>
        <w:t>dokumentation for, at der er gjort bestræbelser på forudgående forhandlinger med rettighedshaveren, jf. artikel 9, hvis dette er relevant"</w:t>
      </w:r>
      <w:r w:rsidR="00AB1A9D">
        <w:rPr>
          <w:b/>
          <w:szCs w:val="24"/>
          <w:lang w:eastAsia="en-US"/>
        </w:rPr>
        <w:t xml:space="preserve"> [Ændring 84]</w:t>
      </w:r>
    </w:p>
    <w:p w14:paraId="2E085192" w14:textId="70F1574D" w:rsidR="009E74FB" w:rsidRPr="009E74FB" w:rsidRDefault="009E74FB" w:rsidP="009E74FB">
      <w:pPr>
        <w:spacing w:before="120" w:after="120" w:line="360" w:lineRule="auto"/>
        <w:ind w:left="850" w:hanging="850"/>
        <w:rPr>
          <w:szCs w:val="24"/>
          <w:lang w:eastAsia="en-US"/>
        </w:rPr>
      </w:pPr>
      <w:r w:rsidRPr="009E74FB">
        <w:rPr>
          <w:b/>
          <w:i/>
          <w:szCs w:val="24"/>
          <w:lang w:eastAsia="en-US"/>
        </w:rPr>
        <w:t>-</w:t>
      </w:r>
      <w:r w:rsidR="004D604A">
        <w:rPr>
          <w:b/>
          <w:i/>
          <w:szCs w:val="24"/>
          <w:lang w:eastAsia="en-US"/>
        </w:rPr>
        <w:t>ac</w:t>
      </w:r>
      <w:r w:rsidRPr="009E74FB">
        <w:rPr>
          <w:b/>
          <w:i/>
          <w:szCs w:val="24"/>
          <w:lang w:eastAsia="en-US"/>
        </w:rPr>
        <w:t>)</w:t>
      </w:r>
      <w:r w:rsidRPr="009E74FB">
        <w:rPr>
          <w:szCs w:val="24"/>
          <w:lang w:eastAsia="en-US"/>
        </w:rPr>
        <w:tab/>
      </w:r>
      <w:r w:rsidRPr="009E74FB">
        <w:rPr>
          <w:b/>
          <w:i/>
          <w:szCs w:val="24"/>
          <w:lang w:eastAsia="en-US"/>
        </w:rPr>
        <w:t>Artikel 6, stk. 3, litra f), affattes således:</w:t>
      </w:r>
    </w:p>
    <w:p w14:paraId="102E0CFB" w14:textId="0D9D8825" w:rsidR="009E74FB" w:rsidRPr="009E74FB" w:rsidRDefault="009E74FB" w:rsidP="00050DF3">
      <w:pPr>
        <w:spacing w:before="120" w:after="120" w:line="360" w:lineRule="auto"/>
        <w:ind w:left="1418" w:hanging="567"/>
        <w:rPr>
          <w:szCs w:val="24"/>
          <w:lang w:eastAsia="en-US"/>
        </w:rPr>
      </w:pPr>
      <w:r w:rsidRPr="009E74FB">
        <w:rPr>
          <w:b/>
          <w:i/>
          <w:szCs w:val="24"/>
          <w:lang w:eastAsia="en-US"/>
        </w:rPr>
        <w:t>"f)</w:t>
      </w:r>
      <w:r w:rsidRPr="009E74FB">
        <w:rPr>
          <w:b/>
          <w:i/>
          <w:szCs w:val="24"/>
          <w:lang w:eastAsia="en-US"/>
        </w:rPr>
        <w:tab/>
        <w:t>dokumentation for en specifik anmodning fra</w:t>
      </w:r>
    </w:p>
    <w:p w14:paraId="51B4C2D6" w14:textId="078CA3E7" w:rsidR="009E74FB" w:rsidRPr="009E74FB" w:rsidRDefault="009E74FB" w:rsidP="004D604A">
      <w:pPr>
        <w:spacing w:before="120" w:after="120" w:line="360" w:lineRule="auto"/>
        <w:ind w:left="1985" w:hanging="565"/>
        <w:rPr>
          <w:szCs w:val="24"/>
          <w:lang w:eastAsia="en-US"/>
        </w:rPr>
      </w:pPr>
      <w:r w:rsidRPr="009E74FB">
        <w:rPr>
          <w:b/>
          <w:i/>
          <w:szCs w:val="24"/>
          <w:lang w:eastAsia="en-US"/>
        </w:rPr>
        <w:t>i)</w:t>
      </w:r>
      <w:r w:rsidRPr="009E74FB">
        <w:rPr>
          <w:b/>
          <w:i/>
          <w:szCs w:val="24"/>
          <w:lang w:eastAsia="en-US"/>
        </w:rPr>
        <w:tab/>
        <w:t>bemyndigede repræsentanter for det eller de importerende lande, eller</w:t>
      </w:r>
    </w:p>
    <w:p w14:paraId="1EA37ACA" w14:textId="6047A939" w:rsidR="009E74FB" w:rsidRPr="009E74FB" w:rsidRDefault="009E74FB" w:rsidP="004D604A">
      <w:pPr>
        <w:spacing w:before="120" w:after="120" w:line="360" w:lineRule="auto"/>
        <w:ind w:left="1985" w:hanging="565"/>
        <w:rPr>
          <w:szCs w:val="24"/>
          <w:lang w:eastAsia="en-US"/>
        </w:rPr>
      </w:pPr>
      <w:r w:rsidRPr="009E74FB">
        <w:rPr>
          <w:b/>
          <w:i/>
          <w:szCs w:val="24"/>
          <w:lang w:eastAsia="en-US"/>
        </w:rPr>
        <w:t>ii)</w:t>
      </w:r>
      <w:r w:rsidRPr="009E74FB">
        <w:rPr>
          <w:b/>
          <w:i/>
          <w:szCs w:val="24"/>
          <w:lang w:eastAsia="en-US"/>
        </w:rPr>
        <w:tab/>
        <w:t>en ikke-statslig organisation, der har formel bemyndigelse fra et eller flere importerende lande, eller</w:t>
      </w:r>
    </w:p>
    <w:p w14:paraId="00AA5235" w14:textId="3848D4B1" w:rsidR="009E74FB" w:rsidRPr="00AB1A9D" w:rsidRDefault="009E74FB" w:rsidP="004D604A">
      <w:pPr>
        <w:spacing w:before="120" w:after="120" w:line="360" w:lineRule="auto"/>
        <w:ind w:left="1985" w:hanging="565"/>
        <w:rPr>
          <w:b/>
          <w:szCs w:val="24"/>
          <w:lang w:eastAsia="en-US"/>
        </w:rPr>
      </w:pPr>
      <w:r w:rsidRPr="009E74FB">
        <w:rPr>
          <w:b/>
          <w:i/>
          <w:szCs w:val="24"/>
          <w:lang w:eastAsia="en-US"/>
        </w:rPr>
        <w:t>iii)</w:t>
      </w:r>
      <w:r w:rsidRPr="009E74FB">
        <w:rPr>
          <w:b/>
          <w:i/>
          <w:szCs w:val="24"/>
          <w:lang w:eastAsia="en-US"/>
        </w:rPr>
        <w:tab/>
        <w:t>FN-organer eller andre internationale sundhedsorganisationer, der har formel bemyndigelse fra et eller flere importerende lande, med angivelse af den forventede mængde af produktet."</w:t>
      </w:r>
      <w:r w:rsidR="00AB1A9D">
        <w:rPr>
          <w:b/>
          <w:szCs w:val="24"/>
          <w:lang w:eastAsia="en-US"/>
        </w:rPr>
        <w:t xml:space="preserve"> [Ændring 85]</w:t>
      </w:r>
    </w:p>
    <w:p w14:paraId="21205EEC" w14:textId="75AF1B5B" w:rsidR="009E74FB" w:rsidRPr="009E74FB" w:rsidRDefault="009E74FB" w:rsidP="009E74FB">
      <w:pPr>
        <w:spacing w:before="120" w:after="120" w:line="360" w:lineRule="auto"/>
        <w:ind w:left="850" w:hanging="850"/>
        <w:rPr>
          <w:szCs w:val="24"/>
          <w:lang w:eastAsia="en-US"/>
        </w:rPr>
      </w:pPr>
      <w:r w:rsidRPr="009E74FB">
        <w:rPr>
          <w:b/>
          <w:i/>
          <w:szCs w:val="24"/>
          <w:lang w:eastAsia="en-US"/>
        </w:rPr>
        <w:t>-</w:t>
      </w:r>
      <w:r w:rsidR="004D604A">
        <w:rPr>
          <w:b/>
          <w:i/>
          <w:szCs w:val="24"/>
          <w:lang w:eastAsia="en-US"/>
        </w:rPr>
        <w:t>ad</w:t>
      </w:r>
      <w:r w:rsidRPr="009E74FB">
        <w:rPr>
          <w:b/>
          <w:i/>
          <w:szCs w:val="24"/>
          <w:lang w:eastAsia="en-US"/>
        </w:rPr>
        <w:t>)</w:t>
      </w:r>
      <w:r w:rsidRPr="009E74FB">
        <w:rPr>
          <w:szCs w:val="24"/>
          <w:lang w:eastAsia="en-US"/>
        </w:rPr>
        <w:tab/>
      </w:r>
      <w:r w:rsidRPr="009E74FB">
        <w:rPr>
          <w:b/>
          <w:i/>
          <w:szCs w:val="24"/>
          <w:lang w:eastAsia="en-US"/>
        </w:rPr>
        <w:t>Artikel 7 affattes således:</w:t>
      </w:r>
    </w:p>
    <w:p w14:paraId="61A03ECC" w14:textId="77777777" w:rsidR="00460121" w:rsidRDefault="00460121">
      <w:pPr>
        <w:widowControl/>
        <w:rPr>
          <w:b/>
          <w:i/>
          <w:szCs w:val="24"/>
          <w:lang w:eastAsia="en-US"/>
        </w:rPr>
      </w:pPr>
      <w:r>
        <w:rPr>
          <w:b/>
          <w:i/>
          <w:szCs w:val="24"/>
          <w:lang w:eastAsia="en-US"/>
        </w:rPr>
        <w:br w:type="page"/>
      </w:r>
    </w:p>
    <w:p w14:paraId="3B0D07E2" w14:textId="3A55C69B" w:rsidR="00F60512" w:rsidRDefault="00F60512" w:rsidP="009E74FB">
      <w:pPr>
        <w:spacing w:before="120" w:after="120" w:line="360" w:lineRule="auto"/>
        <w:ind w:left="850" w:hanging="850"/>
        <w:rPr>
          <w:b/>
          <w:i/>
          <w:szCs w:val="24"/>
          <w:lang w:eastAsia="en-US"/>
        </w:rPr>
      </w:pPr>
      <w:r>
        <w:rPr>
          <w:szCs w:val="24"/>
          <w:lang w:eastAsia="en-US"/>
        </w:rPr>
        <w:lastRenderedPageBreak/>
        <w:t>”</w:t>
      </w:r>
      <w:r w:rsidRPr="009E74FB">
        <w:rPr>
          <w:b/>
          <w:i/>
          <w:szCs w:val="24"/>
          <w:lang w:eastAsia="en-US"/>
        </w:rPr>
        <w:t>Artikel 7</w:t>
      </w:r>
    </w:p>
    <w:p w14:paraId="71E648E4" w14:textId="5A9FAF18" w:rsidR="009E74FB" w:rsidRPr="009E74FB" w:rsidRDefault="009E74FB" w:rsidP="00FA123A">
      <w:pPr>
        <w:spacing w:before="120" w:after="120" w:line="360" w:lineRule="auto"/>
        <w:ind w:left="850" w:firstLine="1"/>
        <w:rPr>
          <w:szCs w:val="24"/>
          <w:lang w:eastAsia="en-US"/>
        </w:rPr>
      </w:pPr>
      <w:r w:rsidRPr="009E74FB">
        <w:rPr>
          <w:b/>
          <w:i/>
          <w:szCs w:val="24"/>
          <w:lang w:eastAsia="en-US"/>
        </w:rPr>
        <w:t>Rettighedshavers rettigheder</w:t>
      </w:r>
    </w:p>
    <w:p w14:paraId="2A875145" w14:textId="3A161A2A" w:rsidR="009E74FB" w:rsidRPr="00AB1A9D" w:rsidRDefault="009E74FB" w:rsidP="00FA123A">
      <w:pPr>
        <w:spacing w:before="120" w:after="120" w:line="360" w:lineRule="auto"/>
        <w:ind w:left="851" w:hanging="1"/>
        <w:rPr>
          <w:b/>
          <w:szCs w:val="24"/>
          <w:lang w:eastAsia="en-US"/>
        </w:rPr>
      </w:pPr>
      <w:r w:rsidRPr="009E74FB">
        <w:rPr>
          <w:b/>
          <w:i/>
          <w:szCs w:val="24"/>
          <w:lang w:eastAsia="en-US"/>
        </w:rPr>
        <w:t>Den kompetente myndighed giver øjeblikkelig rettighedshaver meddelelse om ansøgningen om tvangslicens. Før der meddeles tvangslicens, kan den kompetente myndighed give rettighedshaver lejlighed til at kommentere ansøgningen og til at give den kompetente myndighed eventuelle relevante oplysninger vedrørende ansøgningen."</w:t>
      </w:r>
      <w:r w:rsidR="00AB1A9D">
        <w:rPr>
          <w:b/>
          <w:szCs w:val="24"/>
          <w:lang w:eastAsia="en-US"/>
        </w:rPr>
        <w:t xml:space="preserve"> [Ændring 86]</w:t>
      </w:r>
    </w:p>
    <w:p w14:paraId="24459EA8" w14:textId="07B0F2CB" w:rsidR="009E74FB" w:rsidRPr="009E74FB" w:rsidRDefault="009E74FB" w:rsidP="009E74FB">
      <w:pPr>
        <w:spacing w:before="120" w:after="120" w:line="360" w:lineRule="auto"/>
        <w:ind w:left="850" w:hanging="850"/>
        <w:rPr>
          <w:szCs w:val="24"/>
          <w:lang w:eastAsia="en-US"/>
        </w:rPr>
      </w:pPr>
      <w:r w:rsidRPr="009E74FB">
        <w:rPr>
          <w:b/>
          <w:i/>
          <w:szCs w:val="24"/>
          <w:lang w:eastAsia="en-US"/>
        </w:rPr>
        <w:t>-</w:t>
      </w:r>
      <w:r w:rsidR="00F60512">
        <w:rPr>
          <w:b/>
          <w:i/>
          <w:szCs w:val="24"/>
          <w:lang w:eastAsia="en-US"/>
        </w:rPr>
        <w:t>ae</w:t>
      </w:r>
      <w:r w:rsidRPr="009E74FB">
        <w:rPr>
          <w:b/>
          <w:i/>
          <w:szCs w:val="24"/>
          <w:lang w:eastAsia="en-US"/>
        </w:rPr>
        <w:t>)</w:t>
      </w:r>
      <w:r w:rsidRPr="009E74FB">
        <w:rPr>
          <w:szCs w:val="24"/>
          <w:lang w:eastAsia="en-US"/>
        </w:rPr>
        <w:tab/>
      </w:r>
      <w:r w:rsidRPr="009E74FB">
        <w:rPr>
          <w:b/>
          <w:i/>
          <w:szCs w:val="24"/>
          <w:lang w:eastAsia="en-US"/>
        </w:rPr>
        <w:t>Artikel 9, stk. 1, affattes således:</w:t>
      </w:r>
    </w:p>
    <w:p w14:paraId="1DE45DAA" w14:textId="2B7F0DA3" w:rsidR="009E74FB" w:rsidRPr="00AB1A9D" w:rsidRDefault="009E74FB" w:rsidP="00050DF3">
      <w:pPr>
        <w:spacing w:before="120" w:after="120" w:line="360" w:lineRule="auto"/>
        <w:ind w:left="1418" w:hanging="567"/>
        <w:rPr>
          <w:b/>
          <w:szCs w:val="24"/>
          <w:lang w:eastAsia="en-US"/>
        </w:rPr>
      </w:pPr>
      <w:r w:rsidRPr="009E74FB">
        <w:rPr>
          <w:b/>
          <w:i/>
          <w:szCs w:val="24"/>
          <w:lang w:eastAsia="en-US"/>
        </w:rPr>
        <w:t xml:space="preserve">"1. </w:t>
      </w:r>
      <w:r w:rsidRPr="009E74FB">
        <w:rPr>
          <w:b/>
          <w:i/>
          <w:szCs w:val="24"/>
          <w:lang w:eastAsia="en-US"/>
        </w:rPr>
        <w:tab/>
        <w:t>Ansøgeren skal over for den kompetente myndighed fremlægge dokumentation for, at han har bestræbt sig på at indhente tilladelse fra rettighedshaveren, og at disse bestræbelser ikke har ført til et positivt resultat inden for en periode på 30 dage fra datoen for indgivelse af ansøgningen."</w:t>
      </w:r>
      <w:r w:rsidR="00AB1A9D">
        <w:rPr>
          <w:b/>
          <w:szCs w:val="24"/>
          <w:lang w:eastAsia="en-US"/>
        </w:rPr>
        <w:t xml:space="preserve"> [Ændring 87]</w:t>
      </w:r>
    </w:p>
    <w:p w14:paraId="5CE9F2EF" w14:textId="2A5EF7FD" w:rsidR="009E74FB" w:rsidRPr="009E74FB" w:rsidRDefault="009E74FB" w:rsidP="009E74FB">
      <w:pPr>
        <w:spacing w:before="120" w:after="120" w:line="360" w:lineRule="auto"/>
        <w:ind w:left="850" w:hanging="850"/>
        <w:rPr>
          <w:szCs w:val="24"/>
          <w:lang w:eastAsia="en-US"/>
        </w:rPr>
      </w:pPr>
      <w:r w:rsidRPr="009E74FB">
        <w:rPr>
          <w:b/>
          <w:i/>
          <w:szCs w:val="24"/>
          <w:lang w:eastAsia="en-US"/>
        </w:rPr>
        <w:t>-</w:t>
      </w:r>
      <w:r w:rsidR="00F60512">
        <w:rPr>
          <w:b/>
          <w:i/>
          <w:szCs w:val="24"/>
          <w:lang w:eastAsia="en-US"/>
        </w:rPr>
        <w:t>af</w:t>
      </w:r>
      <w:r w:rsidRPr="009E74FB">
        <w:rPr>
          <w:b/>
          <w:i/>
          <w:szCs w:val="24"/>
          <w:lang w:eastAsia="en-US"/>
        </w:rPr>
        <w:t>)</w:t>
      </w:r>
      <w:r w:rsidRPr="009E74FB">
        <w:rPr>
          <w:szCs w:val="24"/>
          <w:lang w:eastAsia="en-US"/>
        </w:rPr>
        <w:tab/>
      </w:r>
      <w:r w:rsidRPr="009E74FB">
        <w:rPr>
          <w:b/>
          <w:i/>
          <w:szCs w:val="24"/>
          <w:lang w:eastAsia="en-US"/>
        </w:rPr>
        <w:t>Artikel 10, stk. 1, affattes således:</w:t>
      </w:r>
    </w:p>
    <w:p w14:paraId="1619B329" w14:textId="3FE94081" w:rsidR="009E74FB" w:rsidRPr="00AB1A9D" w:rsidRDefault="009E74FB" w:rsidP="00050DF3">
      <w:pPr>
        <w:spacing w:before="120" w:after="120" w:line="360" w:lineRule="auto"/>
        <w:ind w:left="1418" w:hanging="567"/>
        <w:rPr>
          <w:b/>
          <w:szCs w:val="24"/>
          <w:lang w:eastAsia="en-US"/>
        </w:rPr>
      </w:pPr>
      <w:r w:rsidRPr="009E74FB">
        <w:rPr>
          <w:b/>
          <w:i/>
          <w:szCs w:val="24"/>
          <w:lang w:eastAsia="en-US"/>
        </w:rPr>
        <w:t>"1.</w:t>
      </w:r>
      <w:r w:rsidRPr="009E74FB">
        <w:rPr>
          <w:b/>
          <w:i/>
          <w:szCs w:val="24"/>
          <w:lang w:eastAsia="en-US"/>
        </w:rPr>
        <w:tab/>
        <w:t>Den meddelte licens kan ikke overdrages, undtagen sammen med den del af virksomheden eller organisationen, der anvender licensen, og licensen er ikke eksklusiv. Den skal indeholde de i stk. 2-9 anførte særlige betingelser, som licenstageren skal opfylde."</w:t>
      </w:r>
      <w:r w:rsidR="00AB1A9D">
        <w:rPr>
          <w:b/>
          <w:szCs w:val="24"/>
          <w:lang w:eastAsia="en-US"/>
        </w:rPr>
        <w:t xml:space="preserve"> [Ændring 88]</w:t>
      </w:r>
    </w:p>
    <w:p w14:paraId="26695B2B" w14:textId="77777777" w:rsidR="00460121" w:rsidRDefault="00460121">
      <w:pPr>
        <w:widowControl/>
        <w:rPr>
          <w:b/>
          <w:i/>
          <w:szCs w:val="24"/>
          <w:lang w:eastAsia="en-US"/>
        </w:rPr>
      </w:pPr>
      <w:r>
        <w:rPr>
          <w:b/>
          <w:i/>
          <w:szCs w:val="24"/>
          <w:lang w:eastAsia="en-US"/>
        </w:rPr>
        <w:br w:type="page"/>
      </w:r>
    </w:p>
    <w:p w14:paraId="72FAFACB" w14:textId="151E7F2C" w:rsidR="009E74FB" w:rsidRPr="009E74FB" w:rsidRDefault="009E74FB" w:rsidP="009E74FB">
      <w:pPr>
        <w:spacing w:before="120" w:after="120" w:line="360" w:lineRule="auto"/>
        <w:ind w:left="850" w:hanging="850"/>
        <w:rPr>
          <w:szCs w:val="24"/>
          <w:lang w:eastAsia="en-US"/>
        </w:rPr>
      </w:pPr>
      <w:r w:rsidRPr="009E74FB">
        <w:rPr>
          <w:b/>
          <w:i/>
          <w:szCs w:val="24"/>
          <w:lang w:eastAsia="en-US"/>
        </w:rPr>
        <w:lastRenderedPageBreak/>
        <w:t>-</w:t>
      </w:r>
      <w:r w:rsidR="00684E9D">
        <w:rPr>
          <w:b/>
          <w:i/>
          <w:szCs w:val="24"/>
          <w:lang w:eastAsia="en-US"/>
        </w:rPr>
        <w:t>ag</w:t>
      </w:r>
      <w:r w:rsidRPr="009E74FB">
        <w:rPr>
          <w:b/>
          <w:i/>
          <w:szCs w:val="24"/>
          <w:lang w:eastAsia="en-US"/>
        </w:rPr>
        <w:t>)</w:t>
      </w:r>
      <w:r w:rsidRPr="009E74FB">
        <w:rPr>
          <w:b/>
          <w:i/>
          <w:szCs w:val="24"/>
          <w:lang w:eastAsia="en-US"/>
        </w:rPr>
        <w:tab/>
        <w:t>Artikel 10, stk. 2, affattes således:</w:t>
      </w:r>
    </w:p>
    <w:p w14:paraId="217421DA" w14:textId="36BBC29B" w:rsidR="009E74FB" w:rsidRPr="002B5295" w:rsidRDefault="009E74FB" w:rsidP="00684E9D">
      <w:pPr>
        <w:spacing w:before="120" w:after="120" w:line="360" w:lineRule="auto"/>
        <w:ind w:left="1418" w:hanging="567"/>
        <w:rPr>
          <w:b/>
          <w:szCs w:val="24"/>
          <w:lang w:eastAsia="en-US"/>
        </w:rPr>
      </w:pPr>
      <w:r w:rsidRPr="009E74FB">
        <w:rPr>
          <w:b/>
          <w:i/>
          <w:szCs w:val="24"/>
          <w:lang w:eastAsia="en-US"/>
        </w:rPr>
        <w:t xml:space="preserve">"2. </w:t>
      </w:r>
      <w:r w:rsidRPr="009E74FB">
        <w:rPr>
          <w:b/>
          <w:i/>
          <w:szCs w:val="24"/>
          <w:lang w:eastAsia="en-US"/>
        </w:rPr>
        <w:tab/>
        <w:t>Den forventede mængde produkt(er), der fremstilles under licensen, må ikke være større, end hvad der er nødvendigt for at opfylde behovet i det eller de importerende lande, der er anført i ansøgningen, under hensyn til mængden af produkt(er), der fremstilles under andre tvangslicenser, der er meddelt andre steder."</w:t>
      </w:r>
      <w:r w:rsidR="002B5295">
        <w:rPr>
          <w:b/>
          <w:szCs w:val="24"/>
          <w:lang w:eastAsia="en-US"/>
        </w:rPr>
        <w:t xml:space="preserve"> [Ændring 89]</w:t>
      </w:r>
    </w:p>
    <w:p w14:paraId="7F437571" w14:textId="185C7F20" w:rsidR="009E74FB" w:rsidRPr="009E74FB" w:rsidRDefault="009E74FB" w:rsidP="009E74FB">
      <w:pPr>
        <w:spacing w:before="120" w:after="120" w:line="360" w:lineRule="auto"/>
        <w:ind w:left="850" w:hanging="850"/>
        <w:rPr>
          <w:szCs w:val="24"/>
          <w:lang w:eastAsia="en-US"/>
        </w:rPr>
      </w:pPr>
      <w:r w:rsidRPr="009E74FB">
        <w:rPr>
          <w:b/>
          <w:i/>
          <w:szCs w:val="24"/>
          <w:lang w:eastAsia="en-US"/>
        </w:rPr>
        <w:t>-</w:t>
      </w:r>
      <w:r w:rsidR="00684E9D">
        <w:rPr>
          <w:b/>
          <w:i/>
          <w:szCs w:val="24"/>
          <w:lang w:eastAsia="en-US"/>
        </w:rPr>
        <w:t>ah</w:t>
      </w:r>
      <w:r w:rsidRPr="009E74FB">
        <w:rPr>
          <w:b/>
          <w:i/>
          <w:szCs w:val="24"/>
          <w:lang w:eastAsia="en-US"/>
        </w:rPr>
        <w:t>)</w:t>
      </w:r>
      <w:r w:rsidRPr="009E74FB">
        <w:rPr>
          <w:b/>
          <w:i/>
          <w:szCs w:val="24"/>
          <w:lang w:eastAsia="en-US"/>
        </w:rPr>
        <w:tab/>
        <w:t>Artikel 10, stk. 8, affattes således:</w:t>
      </w:r>
    </w:p>
    <w:p w14:paraId="59FD7AAB" w14:textId="43FA7CD8" w:rsidR="009E74FB" w:rsidRPr="002B5295" w:rsidRDefault="009E74FB" w:rsidP="00684E9D">
      <w:pPr>
        <w:spacing w:before="120" w:after="120" w:line="360" w:lineRule="auto"/>
        <w:ind w:left="1418" w:hanging="567"/>
        <w:rPr>
          <w:b/>
          <w:szCs w:val="24"/>
          <w:lang w:eastAsia="en-US"/>
        </w:rPr>
      </w:pPr>
      <w:r w:rsidRPr="009E74FB">
        <w:rPr>
          <w:b/>
          <w:i/>
          <w:szCs w:val="24"/>
          <w:lang w:eastAsia="en-US"/>
        </w:rPr>
        <w:t xml:space="preserve">"8. </w:t>
      </w:r>
      <w:r w:rsidRPr="009E74FB">
        <w:rPr>
          <w:b/>
          <w:i/>
          <w:szCs w:val="24"/>
          <w:lang w:eastAsia="en-US"/>
        </w:rPr>
        <w:tab/>
        <w:t>Den kompetente myndighed kan på eget initiativ, hvis den nationale lovgivning tillader den kompetente myndighed at handle på eget initiativ, anmode licenstageren om dokumentation for eksport af produktet i form af en eksporterklæring, der er bekræftet af de pågældende toldmyndigheder, og dokumentation for import fra et af de organer, der er omhandlet i artikel 6, stk. 3, litra f)."</w:t>
      </w:r>
      <w:r w:rsidR="002B5295">
        <w:rPr>
          <w:b/>
          <w:szCs w:val="24"/>
          <w:lang w:eastAsia="en-US"/>
        </w:rPr>
        <w:t xml:space="preserve"> [Ændring 90]</w:t>
      </w:r>
    </w:p>
    <w:p w14:paraId="23F0B521" w14:textId="77777777" w:rsidR="00460121" w:rsidRDefault="00460121">
      <w:pPr>
        <w:widowControl/>
        <w:rPr>
          <w:szCs w:val="24"/>
          <w:lang w:eastAsia="en-US"/>
        </w:rPr>
      </w:pPr>
      <w:r>
        <w:rPr>
          <w:szCs w:val="24"/>
          <w:lang w:eastAsia="en-US"/>
        </w:rPr>
        <w:br w:type="page"/>
      </w:r>
    </w:p>
    <w:p w14:paraId="6C57CD75" w14:textId="32DB58F6"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a)</w:t>
      </w:r>
      <w:r w:rsidRPr="009E74FB">
        <w:rPr>
          <w:szCs w:val="24"/>
          <w:lang w:eastAsia="en-US"/>
        </w:rPr>
        <w:tab/>
        <w:t>Følgende indsættes som artikel 18a:</w:t>
      </w:r>
    </w:p>
    <w:p w14:paraId="7F71EB73" w14:textId="77777777" w:rsidR="009E74FB" w:rsidRPr="009E74FB" w:rsidRDefault="009E74FB" w:rsidP="009E74FB">
      <w:pPr>
        <w:spacing w:before="120" w:after="120" w:line="360" w:lineRule="auto"/>
        <w:ind w:left="850"/>
        <w:rPr>
          <w:szCs w:val="24"/>
          <w:lang w:eastAsia="en-US"/>
        </w:rPr>
      </w:pPr>
      <w:r w:rsidRPr="009E74FB">
        <w:rPr>
          <w:szCs w:val="24"/>
          <w:lang w:eastAsia="en-US"/>
        </w:rPr>
        <w:t>"Artikel 18a</w:t>
      </w:r>
    </w:p>
    <w:p w14:paraId="506294FC" w14:textId="77777777" w:rsidR="009E74FB" w:rsidRPr="009E74FB" w:rsidRDefault="009E74FB" w:rsidP="009E74FB">
      <w:pPr>
        <w:spacing w:before="120" w:after="120" w:line="360" w:lineRule="auto"/>
        <w:ind w:left="850"/>
        <w:rPr>
          <w:szCs w:val="24"/>
          <w:lang w:eastAsia="en-US"/>
        </w:rPr>
      </w:pPr>
      <w:r w:rsidRPr="009E74FB">
        <w:rPr>
          <w:szCs w:val="24"/>
          <w:lang w:eastAsia="en-US"/>
        </w:rPr>
        <w:t>EU-tvangslicens</w:t>
      </w:r>
    </w:p>
    <w:p w14:paraId="70FA6B46" w14:textId="70F8D945" w:rsidR="009E74FB" w:rsidRPr="002B5295" w:rsidRDefault="009E74FB" w:rsidP="009E74FB">
      <w:pPr>
        <w:spacing w:before="120" w:after="120" w:line="360" w:lineRule="auto"/>
        <w:ind w:left="1416" w:hanging="566"/>
        <w:rPr>
          <w:b/>
          <w:szCs w:val="24"/>
          <w:lang w:eastAsia="en-US"/>
        </w:rPr>
      </w:pPr>
      <w:r w:rsidRPr="009E74FB">
        <w:rPr>
          <w:szCs w:val="24"/>
          <w:lang w:eastAsia="en-US"/>
        </w:rPr>
        <w:t>1.</w:t>
      </w:r>
      <w:r w:rsidRPr="009E74FB">
        <w:rPr>
          <w:szCs w:val="24"/>
          <w:lang w:eastAsia="en-US"/>
        </w:rPr>
        <w:tab/>
        <w:t>Kommissionen kan</w:t>
      </w:r>
      <w:r w:rsidRPr="009E74FB">
        <w:rPr>
          <w:b/>
          <w:i/>
          <w:szCs w:val="24"/>
          <w:lang w:eastAsia="en-US"/>
        </w:rPr>
        <w:t xml:space="preserve"> også</w:t>
      </w:r>
      <w:r w:rsidRPr="009E74FB">
        <w:rPr>
          <w:szCs w:val="24"/>
          <w:lang w:eastAsia="en-US"/>
        </w:rPr>
        <w:t xml:space="preserve"> udstede en tvangslicens</w:t>
      </w:r>
      <w:r w:rsidRPr="009E74FB">
        <w:rPr>
          <w:strike/>
          <w:szCs w:val="24"/>
          <w:lang w:eastAsia="en-US"/>
        </w:rPr>
        <w:t>, hvis fremstillings- og salgsaktiviteterne</w:t>
      </w:r>
      <w:r w:rsidRPr="009E74FB">
        <w:rPr>
          <w:b/>
          <w:i/>
          <w:szCs w:val="24"/>
          <w:lang w:eastAsia="en-US"/>
        </w:rPr>
        <w:t xml:space="preserve"> for patenter vedrørende fremstilling af farmaceutiske produkter</w:t>
      </w:r>
      <w:r w:rsidRPr="009E74FB">
        <w:rPr>
          <w:szCs w:val="24"/>
          <w:lang w:eastAsia="en-US"/>
        </w:rPr>
        <w:t xml:space="preserve"> med henblik på eksport </w:t>
      </w:r>
      <w:r w:rsidRPr="009E74FB">
        <w:rPr>
          <w:strike/>
          <w:szCs w:val="24"/>
          <w:lang w:eastAsia="en-US"/>
        </w:rPr>
        <w:t xml:space="preserve">er spredt over forskellige medlemsstater og derfor vil kræve tvangslicenser for det samme produkt i mere end én </w:t>
      </w:r>
      <w:proofErr w:type="spellStart"/>
      <w:r w:rsidRPr="009E74FB">
        <w:rPr>
          <w:strike/>
          <w:szCs w:val="24"/>
          <w:lang w:eastAsia="en-US"/>
        </w:rPr>
        <w:t>medlemsstat</w:t>
      </w:r>
      <w:r w:rsidRPr="009E74FB">
        <w:rPr>
          <w:b/>
          <w:i/>
          <w:szCs w:val="24"/>
          <w:lang w:eastAsia="en-US"/>
        </w:rPr>
        <w:t>til</w:t>
      </w:r>
      <w:proofErr w:type="spellEnd"/>
      <w:r w:rsidRPr="009E74FB">
        <w:rPr>
          <w:b/>
          <w:i/>
          <w:szCs w:val="24"/>
          <w:lang w:eastAsia="en-US"/>
        </w:rPr>
        <w:t xml:space="preserve"> lande med folkesundhedsproblemer</w:t>
      </w:r>
      <w:r w:rsidRPr="009E74FB">
        <w:rPr>
          <w:szCs w:val="24"/>
          <w:lang w:eastAsia="en-US"/>
        </w:rPr>
        <w:t>.</w:t>
      </w:r>
      <w:r w:rsidR="002B5295">
        <w:rPr>
          <w:b/>
          <w:szCs w:val="24"/>
          <w:lang w:eastAsia="en-US"/>
        </w:rPr>
        <w:t xml:space="preserve"> [Ændring 91]</w:t>
      </w:r>
    </w:p>
    <w:p w14:paraId="51F25391"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2.</w:t>
      </w:r>
      <w:r w:rsidRPr="009E74FB">
        <w:rPr>
          <w:szCs w:val="24"/>
          <w:lang w:eastAsia="en-US"/>
        </w:rPr>
        <w:tab/>
        <w:t xml:space="preserve">Alle kan indgive en ansøgning om tvangslicens i henhold til stk. 1. </w:t>
      </w:r>
      <w:r w:rsidRPr="009E74FB">
        <w:rPr>
          <w:strike/>
          <w:szCs w:val="24"/>
          <w:lang w:eastAsia="en-US"/>
        </w:rPr>
        <w:t xml:space="preserve">Ansøgningen skal opfylde kravene i artikel 6, stk. 3, og angive, hvilke medlemsstater der skal omfattes af </w:t>
      </w:r>
      <w:proofErr w:type="spellStart"/>
      <w:proofErr w:type="gramStart"/>
      <w:r w:rsidRPr="009E74FB">
        <w:rPr>
          <w:strike/>
          <w:szCs w:val="24"/>
          <w:lang w:eastAsia="en-US"/>
        </w:rPr>
        <w:t>tvangslicensen.</w:t>
      </w:r>
      <w:r w:rsidRPr="009E74FB">
        <w:rPr>
          <w:b/>
          <w:i/>
          <w:szCs w:val="24"/>
          <w:lang w:eastAsia="en-US"/>
        </w:rPr>
        <w:t>En</w:t>
      </w:r>
      <w:proofErr w:type="spellEnd"/>
      <w:proofErr w:type="gramEnd"/>
      <w:r w:rsidRPr="009E74FB">
        <w:rPr>
          <w:b/>
          <w:i/>
          <w:szCs w:val="24"/>
          <w:lang w:eastAsia="en-US"/>
        </w:rPr>
        <w:t xml:space="preserve"> ansøgning skal indeholde:</w:t>
      </w:r>
    </w:p>
    <w:p w14:paraId="587CB452"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a)</w:t>
      </w:r>
      <w:r w:rsidRPr="009E74FB">
        <w:rPr>
          <w:szCs w:val="24"/>
          <w:lang w:eastAsia="en-US"/>
        </w:rPr>
        <w:tab/>
      </w:r>
      <w:r w:rsidRPr="009E74FB">
        <w:rPr>
          <w:b/>
          <w:i/>
          <w:szCs w:val="24"/>
          <w:lang w:eastAsia="en-US"/>
        </w:rPr>
        <w:t xml:space="preserve">ansøgerens navn og kontaktoplysninger samt navn og kontaktoplysninger på en eventuel befuldmægtiget repræsentant, som ansøgeren har udpeget til at handle på sine vegne over for den kompetente myndighed </w:t>
      </w:r>
    </w:p>
    <w:p w14:paraId="086DEBDA" w14:textId="77777777" w:rsidR="00460121" w:rsidRDefault="00460121">
      <w:pPr>
        <w:widowControl/>
        <w:rPr>
          <w:b/>
          <w:i/>
          <w:szCs w:val="24"/>
          <w:lang w:eastAsia="en-US"/>
        </w:rPr>
      </w:pPr>
      <w:r>
        <w:rPr>
          <w:b/>
          <w:i/>
          <w:szCs w:val="24"/>
          <w:lang w:eastAsia="en-US"/>
        </w:rPr>
        <w:br w:type="page"/>
      </w:r>
    </w:p>
    <w:p w14:paraId="431E950A" w14:textId="64616BB5" w:rsidR="009E74FB" w:rsidRPr="009E74FB" w:rsidRDefault="009E74FB" w:rsidP="009E74FB">
      <w:pPr>
        <w:spacing w:before="120" w:after="120" w:line="360" w:lineRule="auto"/>
        <w:ind w:left="1982" w:hanging="566"/>
        <w:rPr>
          <w:szCs w:val="24"/>
          <w:lang w:eastAsia="en-US"/>
        </w:rPr>
      </w:pPr>
      <w:r w:rsidRPr="009E74FB">
        <w:rPr>
          <w:b/>
          <w:i/>
          <w:szCs w:val="24"/>
          <w:lang w:eastAsia="en-US"/>
        </w:rPr>
        <w:lastRenderedPageBreak/>
        <w:t>b)</w:t>
      </w:r>
      <w:r w:rsidRPr="009E74FB">
        <w:rPr>
          <w:szCs w:val="24"/>
          <w:lang w:eastAsia="en-US"/>
        </w:rPr>
        <w:tab/>
      </w:r>
      <w:r w:rsidRPr="009E74FB">
        <w:rPr>
          <w:b/>
          <w:i/>
          <w:szCs w:val="24"/>
          <w:lang w:eastAsia="en-US"/>
        </w:rPr>
        <w:t>fællesnavnet på det eller de farmaceutiske produkter, som ansøgeren har til hensigt at fremstille og sælge med henblik på eksport under tvangslicensen</w:t>
      </w:r>
    </w:p>
    <w:p w14:paraId="07488604"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c)</w:t>
      </w:r>
      <w:r w:rsidRPr="009E74FB">
        <w:rPr>
          <w:szCs w:val="24"/>
          <w:lang w:eastAsia="en-US"/>
        </w:rPr>
        <w:tab/>
      </w:r>
      <w:r w:rsidRPr="009E74FB">
        <w:rPr>
          <w:b/>
          <w:i/>
          <w:szCs w:val="24"/>
          <w:lang w:eastAsia="en-US"/>
        </w:rPr>
        <w:t>den forventede mængde farmaceutiske produkter, som ansøgeren ønsker at producere under tvangslicensen</w:t>
      </w:r>
    </w:p>
    <w:p w14:paraId="0449F1B7"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d)</w:t>
      </w:r>
      <w:r w:rsidRPr="009E74FB">
        <w:rPr>
          <w:szCs w:val="24"/>
          <w:lang w:eastAsia="en-US"/>
        </w:rPr>
        <w:tab/>
      </w:r>
      <w:r w:rsidRPr="009E74FB">
        <w:rPr>
          <w:b/>
          <w:i/>
          <w:szCs w:val="24"/>
          <w:lang w:eastAsia="en-US"/>
        </w:rPr>
        <w:t>det eller de importerende lande</w:t>
      </w:r>
    </w:p>
    <w:p w14:paraId="23CABE0B"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e)</w:t>
      </w:r>
      <w:r w:rsidRPr="009E74FB">
        <w:rPr>
          <w:szCs w:val="24"/>
          <w:lang w:eastAsia="en-US"/>
        </w:rPr>
        <w:tab/>
      </w:r>
      <w:r w:rsidRPr="009E74FB">
        <w:rPr>
          <w:b/>
          <w:i/>
          <w:szCs w:val="24"/>
          <w:lang w:eastAsia="en-US"/>
        </w:rPr>
        <w:t>dokumentation for, at der er gjort bestræbelser på forudgående forhandlinger med rettighedshaveren, jf. artikel 9, hvis dette er relevant</w:t>
      </w:r>
    </w:p>
    <w:p w14:paraId="33E96731"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f)</w:t>
      </w:r>
      <w:r w:rsidRPr="009E74FB">
        <w:rPr>
          <w:szCs w:val="24"/>
          <w:lang w:eastAsia="en-US"/>
        </w:rPr>
        <w:tab/>
      </w:r>
      <w:r w:rsidRPr="009E74FB">
        <w:rPr>
          <w:b/>
          <w:i/>
          <w:szCs w:val="24"/>
          <w:lang w:eastAsia="en-US"/>
        </w:rPr>
        <w:t>dokumentation for en specifik anmodning fra</w:t>
      </w:r>
    </w:p>
    <w:p w14:paraId="1C288950" w14:textId="77777777" w:rsidR="009E74FB" w:rsidRPr="009E74FB" w:rsidRDefault="009E74FB" w:rsidP="009E74FB">
      <w:pPr>
        <w:spacing w:before="120" w:after="120" w:line="360" w:lineRule="auto"/>
        <w:ind w:left="2548" w:hanging="566"/>
        <w:rPr>
          <w:szCs w:val="24"/>
          <w:lang w:eastAsia="en-US"/>
        </w:rPr>
      </w:pPr>
      <w:r w:rsidRPr="009E74FB">
        <w:rPr>
          <w:b/>
          <w:i/>
          <w:szCs w:val="24"/>
          <w:lang w:eastAsia="en-US"/>
        </w:rPr>
        <w:t>i)</w:t>
      </w:r>
      <w:r w:rsidRPr="009E74FB">
        <w:rPr>
          <w:szCs w:val="24"/>
          <w:lang w:eastAsia="en-US"/>
        </w:rPr>
        <w:tab/>
      </w:r>
      <w:r w:rsidRPr="009E74FB">
        <w:rPr>
          <w:b/>
          <w:i/>
          <w:szCs w:val="24"/>
          <w:lang w:eastAsia="en-US"/>
        </w:rPr>
        <w:t>bemyndigede repræsentanter for det eller de importerende lande, eller</w:t>
      </w:r>
    </w:p>
    <w:p w14:paraId="5A28729D" w14:textId="77777777" w:rsidR="009E74FB" w:rsidRPr="009E74FB" w:rsidRDefault="009E74FB" w:rsidP="009E74FB">
      <w:pPr>
        <w:spacing w:before="120" w:after="120" w:line="360" w:lineRule="auto"/>
        <w:ind w:left="2548" w:hanging="566"/>
        <w:rPr>
          <w:szCs w:val="24"/>
          <w:lang w:eastAsia="en-US"/>
        </w:rPr>
      </w:pPr>
      <w:r w:rsidRPr="009E74FB">
        <w:rPr>
          <w:b/>
          <w:i/>
          <w:szCs w:val="24"/>
          <w:lang w:eastAsia="en-US"/>
        </w:rPr>
        <w:t>ii)</w:t>
      </w:r>
      <w:r w:rsidRPr="009E74FB">
        <w:rPr>
          <w:szCs w:val="24"/>
          <w:lang w:eastAsia="en-US"/>
        </w:rPr>
        <w:tab/>
      </w:r>
      <w:r w:rsidRPr="009E74FB">
        <w:rPr>
          <w:b/>
          <w:i/>
          <w:szCs w:val="24"/>
          <w:lang w:eastAsia="en-US"/>
        </w:rPr>
        <w:t>en ikke-statslig organisation, der har formel bemyndigelse fra et eller flere importerende lande, eller</w:t>
      </w:r>
    </w:p>
    <w:p w14:paraId="5314221E" w14:textId="77777777" w:rsidR="00460121" w:rsidRDefault="00460121">
      <w:pPr>
        <w:widowControl/>
        <w:rPr>
          <w:b/>
          <w:i/>
          <w:szCs w:val="24"/>
          <w:lang w:eastAsia="en-US"/>
        </w:rPr>
      </w:pPr>
      <w:r>
        <w:rPr>
          <w:b/>
          <w:i/>
          <w:szCs w:val="24"/>
          <w:lang w:eastAsia="en-US"/>
        </w:rPr>
        <w:br w:type="page"/>
      </w:r>
    </w:p>
    <w:p w14:paraId="5CC1E5D9" w14:textId="4D29F511" w:rsidR="009E74FB" w:rsidRPr="002B5295" w:rsidRDefault="009E74FB" w:rsidP="009E74FB">
      <w:pPr>
        <w:spacing w:before="120" w:after="120" w:line="360" w:lineRule="auto"/>
        <w:ind w:left="2548" w:hanging="566"/>
        <w:rPr>
          <w:b/>
          <w:szCs w:val="24"/>
          <w:lang w:eastAsia="en-US"/>
        </w:rPr>
      </w:pPr>
      <w:r w:rsidRPr="009E74FB">
        <w:rPr>
          <w:b/>
          <w:i/>
          <w:szCs w:val="24"/>
          <w:lang w:eastAsia="en-US"/>
        </w:rPr>
        <w:lastRenderedPageBreak/>
        <w:t>iii)</w:t>
      </w:r>
      <w:r w:rsidRPr="009E74FB">
        <w:rPr>
          <w:szCs w:val="24"/>
          <w:lang w:eastAsia="en-US"/>
        </w:rPr>
        <w:tab/>
      </w:r>
      <w:r w:rsidRPr="009E74FB">
        <w:rPr>
          <w:b/>
          <w:i/>
          <w:szCs w:val="24"/>
          <w:lang w:eastAsia="en-US"/>
        </w:rPr>
        <w:t>FN-organer eller andre internationale sundhedsorganisationer, der har formel bemyndigelse fra et eller flere importerende lande.</w:t>
      </w:r>
      <w:r w:rsidR="002B5295">
        <w:rPr>
          <w:b/>
          <w:szCs w:val="24"/>
          <w:lang w:eastAsia="en-US"/>
        </w:rPr>
        <w:t xml:space="preserve"> [Ændring 92]</w:t>
      </w:r>
    </w:p>
    <w:p w14:paraId="159B967E"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3.</w:t>
      </w:r>
      <w:r w:rsidRPr="009E74FB">
        <w:rPr>
          <w:szCs w:val="24"/>
          <w:lang w:eastAsia="en-US"/>
        </w:rPr>
        <w:tab/>
        <w:t xml:space="preserve">En tvangslicens, der er udstedt i henhold til stk. 1, </w:t>
      </w:r>
      <w:r w:rsidRPr="009E74FB">
        <w:rPr>
          <w:strike/>
          <w:szCs w:val="24"/>
          <w:lang w:eastAsia="en-US"/>
        </w:rPr>
        <w:t xml:space="preserve">er underlagt betingelserne i artikel 10, og det skal </w:t>
      </w:r>
      <w:proofErr w:type="spellStart"/>
      <w:r w:rsidRPr="009E74FB">
        <w:rPr>
          <w:strike/>
          <w:szCs w:val="24"/>
          <w:lang w:eastAsia="en-US"/>
        </w:rPr>
        <w:t>præciseres</w:t>
      </w:r>
      <w:r w:rsidRPr="009E74FB">
        <w:rPr>
          <w:b/>
          <w:i/>
          <w:szCs w:val="24"/>
          <w:lang w:eastAsia="en-US"/>
        </w:rPr>
        <w:t>skal</w:t>
      </w:r>
      <w:proofErr w:type="spellEnd"/>
      <w:r w:rsidRPr="009E74FB">
        <w:rPr>
          <w:b/>
          <w:i/>
          <w:szCs w:val="24"/>
          <w:lang w:eastAsia="en-US"/>
        </w:rPr>
        <w:t xml:space="preserve"> præcisere</w:t>
      </w:r>
      <w:r w:rsidRPr="009E74FB">
        <w:rPr>
          <w:szCs w:val="24"/>
          <w:lang w:eastAsia="en-US"/>
        </w:rPr>
        <w:t>, at den finder anvendelse på hele Unionens område</w:t>
      </w:r>
      <w:r w:rsidRPr="009E74FB">
        <w:rPr>
          <w:strike/>
          <w:szCs w:val="24"/>
          <w:lang w:eastAsia="en-US"/>
        </w:rPr>
        <w:t>.</w:t>
      </w:r>
      <w:r w:rsidRPr="009E74FB">
        <w:rPr>
          <w:b/>
          <w:i/>
          <w:szCs w:val="24"/>
          <w:lang w:eastAsia="en-US"/>
        </w:rPr>
        <w:t>, og være underlagt følgende betingelser:</w:t>
      </w:r>
    </w:p>
    <w:p w14:paraId="0CE91F64"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a)</w:t>
      </w:r>
      <w:r w:rsidRPr="009E74FB">
        <w:rPr>
          <w:szCs w:val="24"/>
          <w:lang w:eastAsia="en-US"/>
        </w:rPr>
        <w:tab/>
      </w:r>
      <w:r w:rsidRPr="009E74FB">
        <w:rPr>
          <w:b/>
          <w:i/>
          <w:szCs w:val="24"/>
          <w:lang w:eastAsia="en-US"/>
        </w:rPr>
        <w:t>Den meddelte licens kan ikke overdrages, undtagen sammen med den del af virksomheden eller organisationen, der anvender licensen, og licensen er ikke eksklusiv. Den skal indeholde de særlige betingelser, der er fastsat i dette stykke.</w:t>
      </w:r>
    </w:p>
    <w:p w14:paraId="6665FAF8"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b)</w:t>
      </w:r>
      <w:r w:rsidRPr="009E74FB">
        <w:rPr>
          <w:szCs w:val="24"/>
          <w:lang w:eastAsia="en-US"/>
        </w:rPr>
        <w:tab/>
      </w:r>
      <w:r w:rsidRPr="009E74FB">
        <w:rPr>
          <w:b/>
          <w:i/>
          <w:szCs w:val="24"/>
          <w:lang w:eastAsia="en-US"/>
        </w:rPr>
        <w:t>Den forventede mængde produkt(er), der fremstilles under licensen, må ikke være større, end hvad der er nødvendigt for at opfylde behovet i det eller de importerende lande, der er anført i ansøgningen, under hensyn til mængden af produkt(er), der fremstilles under andre tvangslicenser, der er meddelt andre steder.</w:t>
      </w:r>
    </w:p>
    <w:p w14:paraId="7AA5405D" w14:textId="77777777" w:rsidR="00460121" w:rsidRDefault="00460121">
      <w:pPr>
        <w:widowControl/>
        <w:rPr>
          <w:b/>
          <w:i/>
          <w:szCs w:val="24"/>
          <w:lang w:eastAsia="en-US"/>
        </w:rPr>
      </w:pPr>
      <w:r>
        <w:rPr>
          <w:b/>
          <w:i/>
          <w:szCs w:val="24"/>
          <w:lang w:eastAsia="en-US"/>
        </w:rPr>
        <w:br w:type="page"/>
      </w:r>
    </w:p>
    <w:p w14:paraId="7159EC69" w14:textId="466DBAD4" w:rsidR="009E74FB" w:rsidRPr="009E74FB" w:rsidRDefault="009E74FB" w:rsidP="009E74FB">
      <w:pPr>
        <w:spacing w:before="120" w:after="120" w:line="360" w:lineRule="auto"/>
        <w:ind w:left="1982" w:hanging="566"/>
        <w:rPr>
          <w:szCs w:val="24"/>
          <w:lang w:eastAsia="en-US"/>
        </w:rPr>
      </w:pPr>
      <w:r w:rsidRPr="009E74FB">
        <w:rPr>
          <w:b/>
          <w:i/>
          <w:szCs w:val="24"/>
          <w:lang w:eastAsia="en-US"/>
        </w:rPr>
        <w:lastRenderedPageBreak/>
        <w:t>c)</w:t>
      </w:r>
      <w:r w:rsidRPr="009E74FB">
        <w:rPr>
          <w:szCs w:val="24"/>
          <w:lang w:eastAsia="en-US"/>
        </w:rPr>
        <w:tab/>
      </w:r>
      <w:r w:rsidRPr="009E74FB">
        <w:rPr>
          <w:b/>
          <w:i/>
          <w:szCs w:val="24"/>
          <w:lang w:eastAsia="en-US"/>
        </w:rPr>
        <w:t>Licensens løbetid skal anføres.</w:t>
      </w:r>
    </w:p>
    <w:p w14:paraId="21CF5CB3"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d)</w:t>
      </w:r>
      <w:r w:rsidRPr="009E74FB">
        <w:rPr>
          <w:szCs w:val="24"/>
          <w:lang w:eastAsia="en-US"/>
        </w:rPr>
        <w:tab/>
      </w:r>
      <w:r w:rsidRPr="009E74FB">
        <w:rPr>
          <w:b/>
          <w:i/>
          <w:szCs w:val="24"/>
          <w:lang w:eastAsia="en-US"/>
        </w:rPr>
        <w:t>Licensen skal være klart begrænset til de handlinger, der måtte være nødvendige med henblik på fremstilling af det pågældende produkt til eksport til og distribution i det eller de lande, der er anført i ansøgningen. Produkter, der er fremstillet eller importeret under tvangslicensen, må ikke udbydes til salg eller markedsføres i noget andet land end det, der er anført i ansøgningen, med undtagelse af de tilfælde, hvor et importerende land benytter sig af de muligheder, der eksisterer i henhold til afgørelsens punkt 6, nr. i), til at eksportere til andre parter i en regional handelsaftale, som har det samme sundhedsproblem.</w:t>
      </w:r>
    </w:p>
    <w:p w14:paraId="7BEE3743" w14:textId="77777777" w:rsidR="00460121" w:rsidRDefault="00460121">
      <w:pPr>
        <w:widowControl/>
        <w:rPr>
          <w:b/>
          <w:i/>
          <w:szCs w:val="24"/>
          <w:lang w:eastAsia="en-US"/>
        </w:rPr>
      </w:pPr>
      <w:r>
        <w:rPr>
          <w:b/>
          <w:i/>
          <w:szCs w:val="24"/>
          <w:lang w:eastAsia="en-US"/>
        </w:rPr>
        <w:br w:type="page"/>
      </w:r>
    </w:p>
    <w:p w14:paraId="2B240FE0" w14:textId="30A31876" w:rsidR="009E74FB" w:rsidRPr="009E74FB" w:rsidRDefault="009E74FB" w:rsidP="009E74FB">
      <w:pPr>
        <w:spacing w:before="120" w:after="120" w:line="360" w:lineRule="auto"/>
        <w:ind w:left="1982" w:hanging="566"/>
        <w:rPr>
          <w:szCs w:val="24"/>
          <w:lang w:eastAsia="en-US"/>
        </w:rPr>
      </w:pPr>
      <w:r w:rsidRPr="009E74FB">
        <w:rPr>
          <w:b/>
          <w:i/>
          <w:szCs w:val="24"/>
          <w:lang w:eastAsia="en-US"/>
        </w:rPr>
        <w:lastRenderedPageBreak/>
        <w:t>e)</w:t>
      </w:r>
      <w:r w:rsidRPr="009E74FB">
        <w:rPr>
          <w:szCs w:val="24"/>
          <w:lang w:eastAsia="en-US"/>
        </w:rPr>
        <w:tab/>
      </w:r>
      <w:r w:rsidRPr="009E74FB">
        <w:rPr>
          <w:b/>
          <w:i/>
          <w:szCs w:val="24"/>
          <w:lang w:eastAsia="en-US"/>
        </w:rPr>
        <w:t>Det skal af en særlig mærkning tydeligt fremgå, at produkter, der fremstilles under licensen, er fremstillet i henhold til denne forordning. Produkterne skal gennem særlig emballage eller en særlig farve eller form, så vidt det er muligt og kan ske uden særlig indflydelse på prisen, kunne skelnes fra produkter, der er fremstillet af rettighedshaveren. Det skal af emballagen og al tilknyttet dokumentation fremgå, at produktet er omfattet af en tvangslicens i henhold til denne forordning, og navnet på den kompetente myndighed og et eventuelt referencenummer skal angives. Det skal desuden tydeligt fremgå, at produktet udelukkende er beregnet til eksport til og distribution i det eller de pågældende importerende lande. Nærmere oplysninger om produktets karakteristika stilles til rådighed for toldmyndighederne i medlemsstaterne.</w:t>
      </w:r>
    </w:p>
    <w:p w14:paraId="2181DDD7"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f)</w:t>
      </w:r>
      <w:r w:rsidRPr="009E74FB">
        <w:rPr>
          <w:szCs w:val="24"/>
          <w:lang w:eastAsia="en-US"/>
        </w:rPr>
        <w:tab/>
      </w:r>
      <w:r w:rsidRPr="009E74FB">
        <w:rPr>
          <w:b/>
          <w:i/>
          <w:szCs w:val="24"/>
          <w:lang w:eastAsia="en-US"/>
        </w:rPr>
        <w:t>Før afsendelse til det eller de importerende lande, der er anført i ansøgningen, skal licenstageren offentliggøre følgende oplysninger på et websted:</w:t>
      </w:r>
    </w:p>
    <w:p w14:paraId="130DDDC4" w14:textId="77777777" w:rsidR="00460121" w:rsidRDefault="00460121">
      <w:pPr>
        <w:widowControl/>
        <w:rPr>
          <w:b/>
          <w:i/>
          <w:szCs w:val="24"/>
          <w:lang w:eastAsia="en-US"/>
        </w:rPr>
      </w:pPr>
      <w:r>
        <w:rPr>
          <w:b/>
          <w:i/>
          <w:szCs w:val="24"/>
          <w:lang w:eastAsia="en-US"/>
        </w:rPr>
        <w:br w:type="page"/>
      </w:r>
    </w:p>
    <w:p w14:paraId="0E28564D" w14:textId="7CCB01B8" w:rsidR="009E74FB" w:rsidRPr="009E74FB" w:rsidRDefault="009E74FB" w:rsidP="009E74FB">
      <w:pPr>
        <w:spacing w:before="120" w:after="120" w:line="360" w:lineRule="auto"/>
        <w:ind w:left="2548" w:hanging="566"/>
        <w:rPr>
          <w:szCs w:val="24"/>
          <w:lang w:eastAsia="en-US"/>
        </w:rPr>
      </w:pPr>
      <w:r w:rsidRPr="009E74FB">
        <w:rPr>
          <w:b/>
          <w:i/>
          <w:szCs w:val="24"/>
          <w:lang w:eastAsia="en-US"/>
        </w:rPr>
        <w:lastRenderedPageBreak/>
        <w:t>i)</w:t>
      </w:r>
      <w:r w:rsidRPr="009E74FB">
        <w:rPr>
          <w:szCs w:val="24"/>
          <w:lang w:eastAsia="en-US"/>
        </w:rPr>
        <w:tab/>
      </w:r>
      <w:r w:rsidRPr="009E74FB">
        <w:rPr>
          <w:b/>
          <w:i/>
          <w:szCs w:val="24"/>
          <w:lang w:eastAsia="en-US"/>
        </w:rPr>
        <w:t>de mængder, der leveres under licensen, og de importerende lande, som de leveres til</w:t>
      </w:r>
    </w:p>
    <w:p w14:paraId="3C838F9B" w14:textId="77777777" w:rsidR="009E74FB" w:rsidRPr="009E74FB" w:rsidRDefault="009E74FB" w:rsidP="009E74FB">
      <w:pPr>
        <w:spacing w:before="120" w:after="120" w:line="360" w:lineRule="auto"/>
        <w:ind w:left="2548" w:hanging="566"/>
        <w:rPr>
          <w:szCs w:val="24"/>
          <w:lang w:eastAsia="en-US"/>
        </w:rPr>
      </w:pPr>
      <w:r w:rsidRPr="009E74FB">
        <w:rPr>
          <w:b/>
          <w:i/>
          <w:szCs w:val="24"/>
          <w:lang w:eastAsia="en-US"/>
        </w:rPr>
        <w:t>ii)</w:t>
      </w:r>
      <w:r w:rsidRPr="009E74FB">
        <w:rPr>
          <w:szCs w:val="24"/>
          <w:lang w:eastAsia="en-US"/>
        </w:rPr>
        <w:tab/>
      </w:r>
      <w:r w:rsidRPr="009E74FB">
        <w:rPr>
          <w:b/>
          <w:i/>
          <w:szCs w:val="24"/>
          <w:lang w:eastAsia="en-US"/>
        </w:rPr>
        <w:t>de særlige kendetegn ved det eller de pågældende produkter. Adressen på webstedet skal meddeles den kompetente myndighed.</w:t>
      </w:r>
    </w:p>
    <w:p w14:paraId="1E28F9AA"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g)</w:t>
      </w:r>
      <w:r w:rsidRPr="009E74FB">
        <w:rPr>
          <w:szCs w:val="24"/>
          <w:lang w:eastAsia="en-US"/>
        </w:rPr>
        <w:tab/>
      </w:r>
      <w:r w:rsidRPr="009E74FB">
        <w:rPr>
          <w:b/>
          <w:i/>
          <w:szCs w:val="24"/>
          <w:lang w:eastAsia="en-US"/>
        </w:rPr>
        <w:t>Hvis det eller de produkter, der er omfattet af tvangslicensen, er patenteret i de importerende lande, der er anført i ansøgningen, må produktet/produkterne kun eksporteres, hvis disse lande har meddelt en tvangslicens med henblik på import, salg eller distribution af produkterne.</w:t>
      </w:r>
    </w:p>
    <w:p w14:paraId="24FEA5C2" w14:textId="77777777" w:rsidR="009E74FB" w:rsidRPr="009E74FB" w:rsidRDefault="009E74FB" w:rsidP="009E74FB">
      <w:pPr>
        <w:spacing w:before="120" w:after="120" w:line="360" w:lineRule="auto"/>
        <w:ind w:left="1982" w:hanging="566"/>
        <w:rPr>
          <w:szCs w:val="24"/>
          <w:lang w:eastAsia="en-US"/>
        </w:rPr>
      </w:pPr>
      <w:r w:rsidRPr="009E74FB">
        <w:rPr>
          <w:b/>
          <w:i/>
          <w:szCs w:val="24"/>
          <w:lang w:eastAsia="en-US"/>
        </w:rPr>
        <w:t>h)</w:t>
      </w:r>
      <w:r w:rsidRPr="009E74FB">
        <w:rPr>
          <w:szCs w:val="24"/>
          <w:lang w:eastAsia="en-US"/>
        </w:rPr>
        <w:tab/>
      </w:r>
      <w:r w:rsidRPr="009E74FB">
        <w:rPr>
          <w:b/>
          <w:i/>
          <w:szCs w:val="24"/>
          <w:lang w:eastAsia="en-US"/>
        </w:rPr>
        <w:t>Den kompetente myndighed kan på eget initiativ, hvis den nationale lovgivning tillader den kompetente myndighed at handle på eget initiativ, anmode licenstageren om dokumentation for eksport af produktet i form af en eksporterklæring, der er bekræftet af de pågældende toldmyndigheder, og dokumentation for import fra et af de organer, der er omhandlet i artikel 18a, stk. 2, litra e).</w:t>
      </w:r>
    </w:p>
    <w:p w14:paraId="4FD8D4D8" w14:textId="77777777" w:rsidR="00460121" w:rsidRDefault="00460121">
      <w:pPr>
        <w:widowControl/>
        <w:rPr>
          <w:b/>
          <w:i/>
          <w:szCs w:val="24"/>
          <w:lang w:eastAsia="en-US"/>
        </w:rPr>
      </w:pPr>
      <w:r>
        <w:rPr>
          <w:b/>
          <w:i/>
          <w:szCs w:val="24"/>
          <w:lang w:eastAsia="en-US"/>
        </w:rPr>
        <w:br w:type="page"/>
      </w:r>
    </w:p>
    <w:p w14:paraId="5829C364" w14:textId="16016DAA" w:rsidR="009E74FB" w:rsidRPr="009E74FB" w:rsidRDefault="009E74FB" w:rsidP="009E74FB">
      <w:pPr>
        <w:spacing w:before="120" w:after="120" w:line="360" w:lineRule="auto"/>
        <w:ind w:left="1982" w:hanging="566"/>
        <w:rPr>
          <w:szCs w:val="24"/>
          <w:lang w:eastAsia="en-US"/>
        </w:rPr>
      </w:pPr>
      <w:r w:rsidRPr="009E74FB">
        <w:rPr>
          <w:b/>
          <w:i/>
          <w:szCs w:val="24"/>
          <w:lang w:eastAsia="en-US"/>
        </w:rPr>
        <w:lastRenderedPageBreak/>
        <w:t>i)</w:t>
      </w:r>
      <w:r w:rsidRPr="009E74FB">
        <w:rPr>
          <w:szCs w:val="24"/>
          <w:lang w:eastAsia="en-US"/>
        </w:rPr>
        <w:tab/>
      </w:r>
      <w:r w:rsidRPr="009E74FB">
        <w:rPr>
          <w:b/>
          <w:i/>
          <w:szCs w:val="24"/>
          <w:lang w:eastAsia="en-US"/>
        </w:rPr>
        <w:t>Licenstageren er ansvarlig for betaling af en rimelig godtgørelse til rettighedshaveren som fastsat af den kompetente myndighed som følger:</w:t>
      </w:r>
    </w:p>
    <w:p w14:paraId="5539AAD8" w14:textId="77777777" w:rsidR="009E74FB" w:rsidRPr="009E74FB" w:rsidRDefault="009E74FB" w:rsidP="009E74FB">
      <w:pPr>
        <w:spacing w:before="120" w:after="120" w:line="360" w:lineRule="auto"/>
        <w:ind w:left="2548" w:hanging="566"/>
        <w:rPr>
          <w:szCs w:val="24"/>
          <w:lang w:eastAsia="en-US"/>
        </w:rPr>
      </w:pPr>
      <w:r w:rsidRPr="009E74FB">
        <w:rPr>
          <w:b/>
          <w:i/>
          <w:szCs w:val="24"/>
          <w:lang w:eastAsia="en-US"/>
        </w:rPr>
        <w:t>i)</w:t>
      </w:r>
      <w:r w:rsidRPr="009E74FB">
        <w:rPr>
          <w:szCs w:val="24"/>
          <w:lang w:eastAsia="en-US"/>
        </w:rPr>
        <w:tab/>
      </w:r>
      <w:r w:rsidRPr="009E74FB">
        <w:rPr>
          <w:b/>
          <w:i/>
          <w:szCs w:val="24"/>
          <w:lang w:eastAsia="en-US"/>
        </w:rPr>
        <w:t>I tilfælde af en national katastrofesituation eller andre ekstraordinære omstændigheder eller i tilfælde af ikke-kommerciel anvendelse, udgør godtgørelsen maksimalt 4 % af den samlede pris, der skal betales af det importerende land eller på dets vegne.</w:t>
      </w:r>
    </w:p>
    <w:p w14:paraId="205C004E" w14:textId="77777777" w:rsidR="009E74FB" w:rsidRPr="009E74FB" w:rsidRDefault="009E74FB" w:rsidP="009E74FB">
      <w:pPr>
        <w:spacing w:before="120" w:after="120" w:line="360" w:lineRule="auto"/>
        <w:ind w:left="2548" w:hanging="566"/>
        <w:rPr>
          <w:szCs w:val="24"/>
          <w:lang w:eastAsia="en-US"/>
        </w:rPr>
      </w:pPr>
      <w:r w:rsidRPr="009E74FB">
        <w:rPr>
          <w:b/>
          <w:i/>
          <w:szCs w:val="24"/>
          <w:lang w:eastAsia="en-US"/>
        </w:rPr>
        <w:t>ii)</w:t>
      </w:r>
      <w:r w:rsidRPr="009E74FB">
        <w:rPr>
          <w:szCs w:val="24"/>
          <w:lang w:eastAsia="en-US"/>
        </w:rPr>
        <w:tab/>
      </w:r>
      <w:r w:rsidRPr="009E74FB">
        <w:rPr>
          <w:b/>
          <w:i/>
          <w:szCs w:val="24"/>
          <w:lang w:eastAsia="en-US"/>
        </w:rPr>
        <w:t>I alle andre tilfælde fastsættes godtgørelsen under hensyn til den økonomiske værdi af den anvendelse, der under licensen er blevet godkendt for det eller de pågældende importerende lande såvel som humanitære eller ikke-kommercielle forhold i forbindelse med udstedelse af licensen.</w:t>
      </w:r>
    </w:p>
    <w:p w14:paraId="04847007" w14:textId="6B73CA2B" w:rsidR="009E74FB" w:rsidRPr="002B5295" w:rsidRDefault="009E74FB" w:rsidP="009E74FB">
      <w:pPr>
        <w:spacing w:before="120" w:after="120" w:line="360" w:lineRule="auto"/>
        <w:ind w:left="1982" w:hanging="566"/>
        <w:rPr>
          <w:b/>
          <w:szCs w:val="24"/>
          <w:lang w:eastAsia="en-US"/>
        </w:rPr>
      </w:pPr>
      <w:r w:rsidRPr="009E74FB">
        <w:rPr>
          <w:b/>
          <w:i/>
          <w:szCs w:val="24"/>
          <w:lang w:eastAsia="en-US"/>
        </w:rPr>
        <w:t>j)</w:t>
      </w:r>
      <w:r w:rsidRPr="009E74FB">
        <w:rPr>
          <w:szCs w:val="24"/>
          <w:lang w:eastAsia="en-US"/>
        </w:rPr>
        <w:tab/>
      </w:r>
      <w:r w:rsidRPr="009E74FB">
        <w:rPr>
          <w:b/>
          <w:i/>
          <w:szCs w:val="24"/>
          <w:lang w:eastAsia="en-US"/>
        </w:rPr>
        <w:t>Licensbetingelserne berøres ikke af fordelingsmetoden i det importerende land. Fordelingen kan eksempelvis foretages af et af de organer, som er omhandlet i artikel 18a, stk. 2, litra f), og på kommercielle eller ikke-kommercielle betingelser, eventuelt omkostningsfrit.</w:t>
      </w:r>
      <w:r w:rsidR="002B5295">
        <w:rPr>
          <w:b/>
          <w:szCs w:val="24"/>
          <w:lang w:eastAsia="en-US"/>
        </w:rPr>
        <w:t xml:space="preserve"> [Ændring 93]</w:t>
      </w:r>
    </w:p>
    <w:p w14:paraId="23C926AA" w14:textId="77777777" w:rsidR="00460121" w:rsidRDefault="00460121">
      <w:pPr>
        <w:widowControl/>
        <w:rPr>
          <w:szCs w:val="24"/>
          <w:lang w:eastAsia="en-US"/>
        </w:rPr>
      </w:pPr>
      <w:r>
        <w:rPr>
          <w:szCs w:val="24"/>
          <w:lang w:eastAsia="en-US"/>
        </w:rPr>
        <w:br w:type="page"/>
      </w:r>
    </w:p>
    <w:p w14:paraId="67CA7F27" w14:textId="4C6A4440" w:rsidR="009E74FB" w:rsidRPr="009E74FB" w:rsidRDefault="009E74FB" w:rsidP="009E74FB">
      <w:pPr>
        <w:spacing w:before="120" w:after="120" w:line="360" w:lineRule="auto"/>
        <w:ind w:left="1416" w:hanging="566"/>
        <w:rPr>
          <w:szCs w:val="24"/>
          <w:lang w:eastAsia="en-US"/>
        </w:rPr>
      </w:pPr>
      <w:r w:rsidRPr="009E74FB">
        <w:rPr>
          <w:szCs w:val="24"/>
          <w:lang w:eastAsia="en-US"/>
        </w:rPr>
        <w:lastRenderedPageBreak/>
        <w:t>4.</w:t>
      </w:r>
      <w:r w:rsidRPr="009E74FB">
        <w:rPr>
          <w:szCs w:val="24"/>
          <w:lang w:eastAsia="en-US"/>
        </w:rPr>
        <w:tab/>
        <w:t>Hvis det drejer sig om en ansøgning som omhandlet i stk. 2 i denne artikel, er Kommissionen den kompetente myndighed, der er omhandlet i artikel 1-11, 16 og 17.</w:t>
      </w:r>
    </w:p>
    <w:p w14:paraId="5E7CE75D"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5.</w:t>
      </w:r>
      <w:r w:rsidRPr="009E74FB">
        <w:rPr>
          <w:szCs w:val="24"/>
          <w:lang w:eastAsia="en-US"/>
        </w:rPr>
        <w:tab/>
        <w:t>Kommissionen tillægges beføjelser til at vedtage gennemførelsesretsakter for at:</w:t>
      </w:r>
    </w:p>
    <w:p w14:paraId="78C4BFB6" w14:textId="77777777" w:rsidR="009E74FB" w:rsidRPr="009E74FB" w:rsidRDefault="009E74FB" w:rsidP="009E74FB">
      <w:pPr>
        <w:spacing w:before="120" w:after="120" w:line="360" w:lineRule="auto"/>
        <w:ind w:left="1982" w:hanging="566"/>
        <w:rPr>
          <w:szCs w:val="24"/>
          <w:lang w:eastAsia="en-US"/>
        </w:rPr>
      </w:pPr>
      <w:r w:rsidRPr="009E74FB">
        <w:rPr>
          <w:szCs w:val="24"/>
          <w:lang w:eastAsia="en-US"/>
        </w:rPr>
        <w:t>a)</w:t>
      </w:r>
      <w:r w:rsidRPr="009E74FB">
        <w:rPr>
          <w:szCs w:val="24"/>
          <w:lang w:eastAsia="en-US"/>
        </w:rPr>
        <w:tab/>
        <w:t>udstede en tvangslicens</w:t>
      </w:r>
    </w:p>
    <w:p w14:paraId="2EFB9CA8" w14:textId="77777777" w:rsidR="009E74FB" w:rsidRPr="009E74FB" w:rsidRDefault="009E74FB" w:rsidP="009E74FB">
      <w:pPr>
        <w:spacing w:before="120" w:after="120" w:line="360" w:lineRule="auto"/>
        <w:ind w:left="1982" w:hanging="566"/>
        <w:rPr>
          <w:szCs w:val="24"/>
          <w:lang w:eastAsia="en-US"/>
        </w:rPr>
      </w:pPr>
      <w:r w:rsidRPr="009E74FB">
        <w:rPr>
          <w:szCs w:val="24"/>
          <w:lang w:eastAsia="en-US"/>
        </w:rPr>
        <w:t>b)</w:t>
      </w:r>
      <w:r w:rsidRPr="009E74FB">
        <w:rPr>
          <w:szCs w:val="24"/>
          <w:lang w:eastAsia="en-US"/>
        </w:rPr>
        <w:tab/>
        <w:t>afvise en ansøgning om tvangslicens</w:t>
      </w:r>
    </w:p>
    <w:p w14:paraId="05B5B679" w14:textId="77777777" w:rsidR="009E74FB" w:rsidRPr="009E74FB" w:rsidRDefault="009E74FB" w:rsidP="009E74FB">
      <w:pPr>
        <w:spacing w:before="120" w:after="120" w:line="360" w:lineRule="auto"/>
        <w:ind w:left="1982" w:hanging="566"/>
        <w:rPr>
          <w:szCs w:val="24"/>
          <w:lang w:eastAsia="en-US"/>
        </w:rPr>
      </w:pPr>
      <w:r w:rsidRPr="009E74FB">
        <w:rPr>
          <w:szCs w:val="24"/>
          <w:lang w:eastAsia="en-US"/>
        </w:rPr>
        <w:t>c)</w:t>
      </w:r>
      <w:r w:rsidRPr="009E74FB">
        <w:rPr>
          <w:szCs w:val="24"/>
          <w:lang w:eastAsia="en-US"/>
        </w:rPr>
        <w:tab/>
        <w:t>ændre eller ophæve en tvangslicens.</w:t>
      </w:r>
    </w:p>
    <w:p w14:paraId="2725E07A" w14:textId="4BFDC921" w:rsidR="009E74FB" w:rsidRPr="002B5295" w:rsidRDefault="009E74FB" w:rsidP="009E74FB">
      <w:pPr>
        <w:spacing w:before="120" w:after="120" w:line="360" w:lineRule="auto"/>
        <w:ind w:left="850"/>
        <w:rPr>
          <w:b/>
          <w:szCs w:val="24"/>
          <w:lang w:eastAsia="en-US"/>
        </w:rPr>
      </w:pPr>
      <w:r w:rsidRPr="009E74FB">
        <w:rPr>
          <w:szCs w:val="24"/>
          <w:lang w:eastAsia="en-US"/>
        </w:rPr>
        <w:t xml:space="preserve">Disse gennemførelsesretsakter vedtages efter rådgivningsproceduren, jf. artikel 18b, stk. 2. I behørigt begrundede og særligt hastende tilfælde, der vedrører </w:t>
      </w:r>
      <w:r w:rsidRPr="009E74FB">
        <w:rPr>
          <w:strike/>
          <w:szCs w:val="24"/>
          <w:lang w:eastAsia="en-US"/>
        </w:rPr>
        <w:t xml:space="preserve">virkningerne af </w:t>
      </w:r>
      <w:proofErr w:type="spellStart"/>
      <w:r w:rsidRPr="009E74FB">
        <w:rPr>
          <w:strike/>
          <w:szCs w:val="24"/>
          <w:lang w:eastAsia="en-US"/>
        </w:rPr>
        <w:t>folkesundhedsproblemerne</w:t>
      </w:r>
      <w:r w:rsidRPr="009E74FB">
        <w:rPr>
          <w:b/>
          <w:i/>
          <w:szCs w:val="24"/>
          <w:lang w:eastAsia="en-US"/>
        </w:rPr>
        <w:t>folkesundhedsproblemer</w:t>
      </w:r>
      <w:proofErr w:type="spellEnd"/>
      <w:r w:rsidRPr="009E74FB">
        <w:rPr>
          <w:szCs w:val="24"/>
          <w:lang w:eastAsia="en-US"/>
        </w:rPr>
        <w:t>, vedtager Kommissionen efter proceduren i artikel 18b, stk. 3, gennemførelsesretsakter, der omgående finder anvendelse."</w:t>
      </w:r>
      <w:r w:rsidR="002B5295">
        <w:rPr>
          <w:b/>
          <w:szCs w:val="24"/>
          <w:lang w:eastAsia="en-US"/>
        </w:rPr>
        <w:t xml:space="preserve"> [Ændring 94]</w:t>
      </w:r>
    </w:p>
    <w:p w14:paraId="1A1456A4" w14:textId="77777777" w:rsidR="00460121" w:rsidRDefault="00460121">
      <w:pPr>
        <w:widowControl/>
        <w:rPr>
          <w:szCs w:val="24"/>
          <w:lang w:eastAsia="en-US"/>
        </w:rPr>
      </w:pPr>
      <w:r>
        <w:rPr>
          <w:szCs w:val="24"/>
          <w:lang w:eastAsia="en-US"/>
        </w:rPr>
        <w:br w:type="page"/>
      </w:r>
    </w:p>
    <w:p w14:paraId="73217BB6" w14:textId="76DD124F"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b)</w:t>
      </w:r>
      <w:r w:rsidRPr="009E74FB">
        <w:rPr>
          <w:szCs w:val="24"/>
          <w:lang w:eastAsia="en-US"/>
        </w:rPr>
        <w:tab/>
        <w:t>Følgende artikel 18b indsættes:</w:t>
      </w:r>
    </w:p>
    <w:p w14:paraId="6693FBB0" w14:textId="0C199694" w:rsidR="009E74FB" w:rsidRPr="009E74FB" w:rsidRDefault="009E74FB" w:rsidP="009E74FB">
      <w:pPr>
        <w:spacing w:before="120" w:after="120" w:line="360" w:lineRule="auto"/>
        <w:ind w:left="850"/>
        <w:rPr>
          <w:szCs w:val="24"/>
          <w:lang w:eastAsia="en-US"/>
        </w:rPr>
      </w:pPr>
      <w:r w:rsidRPr="009E74FB">
        <w:rPr>
          <w:szCs w:val="24"/>
          <w:lang w:eastAsia="en-US"/>
        </w:rPr>
        <w:t>"Artikel 18b Udvalgsprocedure</w:t>
      </w:r>
    </w:p>
    <w:p w14:paraId="562B7178"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1.</w:t>
      </w:r>
      <w:r w:rsidRPr="009E74FB">
        <w:rPr>
          <w:szCs w:val="24"/>
          <w:lang w:eastAsia="en-US"/>
        </w:rPr>
        <w:tab/>
        <w:t>Kommissionen bistås af et udvalg ("Tvangslicensudvalget"). Dette udvalg er et udvalg som omhandlet i forordning (EU) nr. 182/2011.</w:t>
      </w:r>
    </w:p>
    <w:p w14:paraId="5BACDCF6"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2.</w:t>
      </w:r>
      <w:r w:rsidRPr="009E74FB">
        <w:rPr>
          <w:szCs w:val="24"/>
          <w:lang w:eastAsia="en-US"/>
        </w:rPr>
        <w:tab/>
        <w:t>Når der henvises til dette stykke, finder artikel 4 i forordning (EU) nr. 182/2011 anvendelse.</w:t>
      </w:r>
    </w:p>
    <w:p w14:paraId="11A5B771" w14:textId="77777777" w:rsidR="009E74FB" w:rsidRPr="009E74FB" w:rsidRDefault="009E74FB" w:rsidP="009E74FB">
      <w:pPr>
        <w:spacing w:before="120" w:after="120" w:line="360" w:lineRule="auto"/>
        <w:ind w:left="1416" w:hanging="566"/>
        <w:rPr>
          <w:szCs w:val="24"/>
          <w:lang w:eastAsia="en-US"/>
        </w:rPr>
      </w:pPr>
      <w:r w:rsidRPr="009E74FB">
        <w:rPr>
          <w:szCs w:val="24"/>
          <w:lang w:eastAsia="en-US"/>
        </w:rPr>
        <w:t>3.</w:t>
      </w:r>
      <w:r w:rsidRPr="009E74FB">
        <w:rPr>
          <w:szCs w:val="24"/>
          <w:lang w:eastAsia="en-US"/>
        </w:rPr>
        <w:tab/>
        <w:t>Når der henvises til dette stykke, finder artikel 8 i forordning (EU) nr. 182/2011 sammenholdt med dennes artikel 4 anvendelse."</w:t>
      </w:r>
    </w:p>
    <w:p w14:paraId="1D7B1703" w14:textId="77777777" w:rsidR="009E74FB" w:rsidRPr="00DB35B0" w:rsidRDefault="009E74FB" w:rsidP="009E74FB">
      <w:pPr>
        <w:spacing w:before="120" w:after="120" w:line="360" w:lineRule="auto"/>
        <w:jc w:val="center"/>
        <w:rPr>
          <w:szCs w:val="24"/>
          <w:lang w:eastAsia="en-US"/>
        </w:rPr>
      </w:pPr>
      <w:r w:rsidRPr="00DB35B0">
        <w:rPr>
          <w:szCs w:val="24"/>
          <w:lang w:eastAsia="en-US"/>
        </w:rPr>
        <w:t>Artikel 24</w:t>
      </w:r>
      <w:r w:rsidRPr="00DB35B0">
        <w:rPr>
          <w:szCs w:val="24"/>
          <w:lang w:eastAsia="en-US"/>
        </w:rPr>
        <w:br/>
        <w:t>Udvalgsprocedure</w:t>
      </w:r>
    </w:p>
    <w:p w14:paraId="162E80F8"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1.</w:t>
      </w:r>
      <w:r w:rsidRPr="009E74FB">
        <w:rPr>
          <w:szCs w:val="24"/>
          <w:lang w:eastAsia="en-US"/>
        </w:rPr>
        <w:tab/>
        <w:t>Kommissionen bistås af et udvalg. Dette udvalg er et udvalg som omhandlet i forordning (EU) nr. 182/2011.</w:t>
      </w:r>
    </w:p>
    <w:p w14:paraId="270F41F8" w14:textId="77777777" w:rsidR="00460121" w:rsidRDefault="00460121">
      <w:pPr>
        <w:widowControl/>
        <w:rPr>
          <w:szCs w:val="24"/>
          <w:lang w:eastAsia="en-US"/>
        </w:rPr>
      </w:pPr>
      <w:r>
        <w:rPr>
          <w:szCs w:val="24"/>
          <w:lang w:eastAsia="en-US"/>
        </w:rPr>
        <w:br w:type="page"/>
      </w:r>
    </w:p>
    <w:p w14:paraId="11166A63" w14:textId="194C8176" w:rsidR="009E74FB" w:rsidRPr="009E74FB" w:rsidRDefault="009E74FB" w:rsidP="009E74FB">
      <w:pPr>
        <w:spacing w:before="120" w:after="120" w:line="360" w:lineRule="auto"/>
        <w:ind w:left="850" w:hanging="850"/>
        <w:rPr>
          <w:szCs w:val="24"/>
          <w:lang w:eastAsia="en-US"/>
        </w:rPr>
      </w:pPr>
      <w:r w:rsidRPr="009E74FB">
        <w:rPr>
          <w:szCs w:val="24"/>
          <w:lang w:eastAsia="en-US"/>
        </w:rPr>
        <w:lastRenderedPageBreak/>
        <w:t>2.</w:t>
      </w:r>
      <w:r w:rsidRPr="009E74FB">
        <w:rPr>
          <w:szCs w:val="24"/>
          <w:lang w:eastAsia="en-US"/>
        </w:rPr>
        <w:tab/>
        <w:t>Når der henvises til dette stykke, finder artikel 4 i forordning (EU) nr. 182/2011 anvendelse.</w:t>
      </w:r>
    </w:p>
    <w:p w14:paraId="23FC0599"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3.</w:t>
      </w:r>
      <w:r w:rsidRPr="009E74FB">
        <w:rPr>
          <w:szCs w:val="24"/>
          <w:lang w:eastAsia="en-US"/>
        </w:rPr>
        <w:tab/>
        <w:t>Når der henvises til dette stykke, finder artikel 5 i forordning (EU) nr. 182/2011 anvendelse.</w:t>
      </w:r>
    </w:p>
    <w:p w14:paraId="166F89D0" w14:textId="77777777" w:rsidR="009E74FB" w:rsidRPr="009E74FB" w:rsidRDefault="009E74FB" w:rsidP="009E74FB">
      <w:pPr>
        <w:spacing w:before="120" w:after="120" w:line="360" w:lineRule="auto"/>
        <w:ind w:left="850" w:hanging="850"/>
        <w:rPr>
          <w:szCs w:val="24"/>
          <w:lang w:eastAsia="en-US"/>
        </w:rPr>
      </w:pPr>
      <w:r w:rsidRPr="009E74FB">
        <w:rPr>
          <w:szCs w:val="24"/>
          <w:lang w:eastAsia="en-US"/>
        </w:rPr>
        <w:t>4.</w:t>
      </w:r>
      <w:r w:rsidRPr="009E74FB">
        <w:rPr>
          <w:szCs w:val="24"/>
          <w:lang w:eastAsia="en-US"/>
        </w:rPr>
        <w:tab/>
        <w:t>Når der henvises til dette stykke, finder artikel 8 i forordning (EU) nr. 182/2011 sammenholdt med dennes artikel 4 anvendelse.</w:t>
      </w:r>
    </w:p>
    <w:p w14:paraId="5006B220" w14:textId="77777777" w:rsidR="009E74FB" w:rsidRPr="009E74FB" w:rsidRDefault="009E74FB" w:rsidP="009E74FB">
      <w:pPr>
        <w:spacing w:before="120" w:after="120" w:line="360" w:lineRule="auto"/>
        <w:jc w:val="center"/>
        <w:rPr>
          <w:szCs w:val="24"/>
          <w:lang w:eastAsia="en-US"/>
        </w:rPr>
      </w:pPr>
      <w:r w:rsidRPr="009E74FB">
        <w:rPr>
          <w:szCs w:val="24"/>
          <w:lang w:eastAsia="en-US"/>
        </w:rPr>
        <w:t>Artikel 25</w:t>
      </w:r>
      <w:r w:rsidRPr="009E74FB">
        <w:rPr>
          <w:szCs w:val="24"/>
          <w:lang w:eastAsia="en-US"/>
        </w:rPr>
        <w:br/>
        <w:t xml:space="preserve">Evaluering </w:t>
      </w:r>
    </w:p>
    <w:p w14:paraId="2BEC4CFE" w14:textId="77777777" w:rsidR="009E74FB" w:rsidRPr="009E74FB" w:rsidRDefault="009E74FB" w:rsidP="009E74FB">
      <w:pPr>
        <w:spacing w:before="120" w:after="120" w:line="360" w:lineRule="auto"/>
        <w:rPr>
          <w:szCs w:val="24"/>
          <w:lang w:eastAsia="en-US"/>
        </w:rPr>
      </w:pPr>
      <w:r w:rsidRPr="009E74FB">
        <w:rPr>
          <w:szCs w:val="24"/>
          <w:lang w:eastAsia="en-US"/>
        </w:rPr>
        <w:t>Kommissionen forelægger senest den sidste dag i det tredje år efter udstedelsen af en EU-tvangslicens i overensstemmelse med artikel 7 en evalueringsrapport for Rådet, Europa-Parlamentet og Det Europæiske Økonomiske og Sociale Udvalg om anvendelsen af denne forordning.</w:t>
      </w:r>
    </w:p>
    <w:p w14:paraId="50D9BB24" w14:textId="77777777" w:rsidR="00460121" w:rsidRDefault="00460121">
      <w:pPr>
        <w:widowControl/>
        <w:rPr>
          <w:b/>
          <w:i/>
          <w:szCs w:val="24"/>
          <w:lang w:eastAsia="en-US"/>
        </w:rPr>
      </w:pPr>
      <w:r>
        <w:rPr>
          <w:b/>
          <w:i/>
          <w:szCs w:val="24"/>
          <w:lang w:eastAsia="en-US"/>
        </w:rPr>
        <w:br w:type="page"/>
      </w:r>
    </w:p>
    <w:p w14:paraId="23527E2C" w14:textId="1311C9A4" w:rsidR="009E74FB" w:rsidRPr="002B5295" w:rsidRDefault="009E74FB" w:rsidP="009E74FB">
      <w:pPr>
        <w:spacing w:before="120" w:after="120" w:line="360" w:lineRule="auto"/>
        <w:rPr>
          <w:b/>
          <w:szCs w:val="24"/>
          <w:lang w:eastAsia="en-US"/>
        </w:rPr>
      </w:pPr>
      <w:r w:rsidRPr="009E74FB">
        <w:rPr>
          <w:b/>
          <w:i/>
          <w:szCs w:val="24"/>
          <w:lang w:eastAsia="en-US"/>
        </w:rPr>
        <w:lastRenderedPageBreak/>
        <w:t>Senest den … [to år efter datoen for denne forordnings ikrafttræden] og derefter hvert andet år vurderer Kommissionen, om listen i bilaget er ajourført i lyset af vedtagelsen af fremtidige lovgivningsmæssige retsakter i forbindelse med en nød- eller krisetilstand. Hvis listen i bilaget ikke længere er ajourført, vurderer Kommissionen dens konsekvenser. Kommissionen forelægger sin vurdering for Europa-Parlamentet og Rådet, eventuelt ledsaget af lovgivningsmæssige forslag til ændring af bilaget.</w:t>
      </w:r>
      <w:r w:rsidR="002B5295">
        <w:rPr>
          <w:b/>
          <w:szCs w:val="24"/>
          <w:lang w:eastAsia="en-US"/>
        </w:rPr>
        <w:t xml:space="preserve"> [Ændring 95]</w:t>
      </w:r>
    </w:p>
    <w:p w14:paraId="2EBF25EB" w14:textId="45D31A2E" w:rsidR="009E74FB" w:rsidRPr="002B5295" w:rsidRDefault="009E74FB" w:rsidP="009E74FB">
      <w:pPr>
        <w:spacing w:before="120" w:after="120" w:line="360" w:lineRule="auto"/>
        <w:rPr>
          <w:b/>
          <w:szCs w:val="24"/>
          <w:lang w:eastAsia="en-US"/>
        </w:rPr>
      </w:pPr>
      <w:r w:rsidRPr="009E74FB">
        <w:rPr>
          <w:b/>
          <w:i/>
          <w:szCs w:val="24"/>
          <w:lang w:eastAsia="en-US"/>
        </w:rPr>
        <w:t>I tilfælde af ekstraordinære trusler mod den offentlige sikkerhed eller den nationale sikkerhed foretager Kommissionen vurderingen i henhold til stk. 1a uden unødig forsinkelse.</w:t>
      </w:r>
      <w:r w:rsidR="002B5295">
        <w:rPr>
          <w:b/>
          <w:szCs w:val="24"/>
          <w:lang w:eastAsia="en-US"/>
        </w:rPr>
        <w:t xml:space="preserve"> [Ændring 96]</w:t>
      </w:r>
    </w:p>
    <w:p w14:paraId="6540DF74" w14:textId="77777777" w:rsidR="00460121" w:rsidRDefault="00460121">
      <w:pPr>
        <w:widowControl/>
        <w:rPr>
          <w:szCs w:val="24"/>
          <w:lang w:eastAsia="en-US"/>
        </w:rPr>
      </w:pPr>
      <w:r>
        <w:rPr>
          <w:szCs w:val="24"/>
          <w:lang w:eastAsia="en-US"/>
        </w:rPr>
        <w:br w:type="page"/>
      </w:r>
    </w:p>
    <w:p w14:paraId="761E6A3B" w14:textId="1BB99E69" w:rsidR="009E74FB" w:rsidRPr="002B5295" w:rsidRDefault="009E74FB" w:rsidP="009E74FB">
      <w:pPr>
        <w:spacing w:before="120" w:after="120" w:line="360" w:lineRule="auto"/>
        <w:jc w:val="center"/>
        <w:rPr>
          <w:b/>
          <w:szCs w:val="24"/>
          <w:lang w:eastAsia="en-US"/>
        </w:rPr>
      </w:pPr>
      <w:r w:rsidRPr="009E74FB">
        <w:rPr>
          <w:szCs w:val="24"/>
          <w:lang w:eastAsia="en-US"/>
        </w:rPr>
        <w:lastRenderedPageBreak/>
        <w:t>Artikel 26</w:t>
      </w:r>
      <w:r w:rsidRPr="009E74FB">
        <w:rPr>
          <w:szCs w:val="24"/>
          <w:lang w:eastAsia="en-US"/>
        </w:rPr>
        <w:br/>
        <w:t>Ikrafttræden</w:t>
      </w:r>
      <w:r w:rsidRPr="009E74FB">
        <w:rPr>
          <w:b/>
          <w:i/>
          <w:szCs w:val="24"/>
          <w:lang w:eastAsia="en-US"/>
        </w:rPr>
        <w:t xml:space="preserve"> og anvendelse</w:t>
      </w:r>
      <w:r w:rsidR="002B5295">
        <w:rPr>
          <w:b/>
          <w:szCs w:val="24"/>
          <w:lang w:eastAsia="en-US"/>
        </w:rPr>
        <w:t xml:space="preserve"> [Ændring 97]</w:t>
      </w:r>
    </w:p>
    <w:p w14:paraId="07DE4CAD" w14:textId="77777777" w:rsidR="009E74FB" w:rsidRPr="009E74FB" w:rsidRDefault="009E74FB" w:rsidP="009E74FB">
      <w:pPr>
        <w:spacing w:before="120" w:after="120" w:line="360" w:lineRule="auto"/>
        <w:rPr>
          <w:szCs w:val="24"/>
          <w:lang w:eastAsia="en-US"/>
        </w:rPr>
      </w:pPr>
      <w:r w:rsidRPr="009E74FB">
        <w:rPr>
          <w:szCs w:val="24"/>
          <w:lang w:eastAsia="en-US"/>
        </w:rPr>
        <w:t xml:space="preserve">Denne forordning træder i kraft dagen efter offentliggørelsen i </w:t>
      </w:r>
      <w:r w:rsidRPr="002B5295">
        <w:rPr>
          <w:i/>
          <w:szCs w:val="24"/>
          <w:lang w:eastAsia="en-US"/>
        </w:rPr>
        <w:t>Den Europæiske Unions Tidende</w:t>
      </w:r>
      <w:r w:rsidRPr="009E74FB">
        <w:rPr>
          <w:szCs w:val="24"/>
          <w:lang w:eastAsia="en-US"/>
        </w:rPr>
        <w:t>.</w:t>
      </w:r>
    </w:p>
    <w:p w14:paraId="76304A68" w14:textId="77777777" w:rsidR="009E74FB" w:rsidRPr="009E74FB" w:rsidRDefault="009E74FB" w:rsidP="009E74FB">
      <w:pPr>
        <w:spacing w:before="120" w:after="120" w:line="360" w:lineRule="auto"/>
        <w:rPr>
          <w:szCs w:val="24"/>
          <w:lang w:eastAsia="en-US"/>
        </w:rPr>
      </w:pPr>
      <w:r w:rsidRPr="009E74FB">
        <w:rPr>
          <w:szCs w:val="24"/>
          <w:lang w:eastAsia="en-US"/>
        </w:rPr>
        <w:t>Denne forordning er bindende i alle enkeltheder og gælder umiddelbart i hver medlemsstat.</w:t>
      </w:r>
    </w:p>
    <w:p w14:paraId="35A37583" w14:textId="57CBEA53" w:rsidR="009E74FB" w:rsidRPr="002B5295" w:rsidRDefault="009E74FB" w:rsidP="009E74FB">
      <w:pPr>
        <w:spacing w:before="120" w:after="120" w:line="360" w:lineRule="auto"/>
        <w:rPr>
          <w:b/>
          <w:szCs w:val="24"/>
          <w:lang w:eastAsia="en-US"/>
        </w:rPr>
      </w:pPr>
      <w:r w:rsidRPr="009E74FB">
        <w:rPr>
          <w:b/>
          <w:i/>
          <w:szCs w:val="24"/>
          <w:lang w:eastAsia="en-US"/>
        </w:rPr>
        <w:t>Den finder anvendelse fra ... [den første dag i den måned, der følger efter en periode på 12 måneder efter ikrafttrædelsesdatoen].</w:t>
      </w:r>
      <w:r w:rsidR="002B5295">
        <w:rPr>
          <w:b/>
          <w:szCs w:val="24"/>
          <w:lang w:eastAsia="en-US"/>
        </w:rPr>
        <w:t xml:space="preserve"> [Ændring 98]</w:t>
      </w:r>
    </w:p>
    <w:p w14:paraId="5ADFF4A3" w14:textId="2F85BCC7" w:rsidR="009E74FB" w:rsidRPr="009E74FB" w:rsidRDefault="009E74FB" w:rsidP="009E74FB">
      <w:pPr>
        <w:keepNext/>
        <w:widowControl/>
        <w:spacing w:before="120" w:line="360" w:lineRule="auto"/>
        <w:rPr>
          <w:szCs w:val="24"/>
          <w:lang w:eastAsia="en-US"/>
        </w:rPr>
      </w:pPr>
      <w:r w:rsidRPr="009E74FB">
        <w:rPr>
          <w:szCs w:val="24"/>
          <w:lang w:eastAsia="en-US"/>
        </w:rPr>
        <w:t xml:space="preserve">Udfærdiget i </w:t>
      </w:r>
      <w:r w:rsidRPr="009E74FB">
        <w:rPr>
          <w:b/>
          <w:i/>
          <w:szCs w:val="24"/>
          <w:lang w:eastAsia="en-US"/>
        </w:rPr>
        <w:t>...</w:t>
      </w:r>
      <w:r w:rsidRPr="009E74FB">
        <w:rPr>
          <w:szCs w:val="24"/>
          <w:lang w:eastAsia="en-US"/>
        </w:rPr>
        <w:t>, den […].</w:t>
      </w:r>
    </w:p>
    <w:p w14:paraId="5CB8E715" w14:textId="77777777" w:rsidR="009E74FB" w:rsidRPr="009E74FB" w:rsidRDefault="009E74FB" w:rsidP="009E74FB">
      <w:pPr>
        <w:keepNext/>
        <w:widowControl/>
        <w:tabs>
          <w:tab w:val="left" w:pos="4252"/>
        </w:tabs>
        <w:spacing w:before="720" w:after="100" w:line="360" w:lineRule="auto"/>
        <w:jc w:val="both"/>
        <w:rPr>
          <w:i/>
          <w:szCs w:val="24"/>
          <w:lang w:eastAsia="en-US"/>
        </w:rPr>
      </w:pPr>
      <w:r w:rsidRPr="009E74FB">
        <w:rPr>
          <w:i/>
          <w:szCs w:val="24"/>
          <w:lang w:eastAsia="en-US"/>
        </w:rPr>
        <w:t>På Europa-Parlamentets vegne</w:t>
      </w:r>
      <w:r w:rsidRPr="009E74FB">
        <w:rPr>
          <w:i/>
          <w:szCs w:val="24"/>
          <w:lang w:eastAsia="en-US"/>
        </w:rPr>
        <w:tab/>
        <w:t>På Rådets vegne</w:t>
      </w:r>
    </w:p>
    <w:p w14:paraId="3C85F09D" w14:textId="77777777" w:rsidR="009E74FB" w:rsidRPr="009E74FB" w:rsidRDefault="009E74FB" w:rsidP="009E74FB">
      <w:pPr>
        <w:widowControl/>
        <w:tabs>
          <w:tab w:val="left" w:pos="4252"/>
        </w:tabs>
        <w:spacing w:line="360" w:lineRule="auto"/>
        <w:rPr>
          <w:i/>
          <w:szCs w:val="24"/>
          <w:lang w:eastAsia="en-US"/>
        </w:rPr>
      </w:pPr>
      <w:r w:rsidRPr="009E74FB">
        <w:rPr>
          <w:i/>
          <w:szCs w:val="24"/>
          <w:lang w:eastAsia="en-US"/>
        </w:rPr>
        <w:t>Formand</w:t>
      </w:r>
      <w:r w:rsidRPr="009E74FB">
        <w:rPr>
          <w:i/>
          <w:szCs w:val="24"/>
          <w:lang w:eastAsia="en-US"/>
        </w:rPr>
        <w:tab/>
      </w:r>
      <w:proofErr w:type="spellStart"/>
      <w:r w:rsidRPr="009E74FB">
        <w:rPr>
          <w:i/>
          <w:szCs w:val="24"/>
          <w:lang w:eastAsia="en-US"/>
        </w:rPr>
        <w:t>Formand</w:t>
      </w:r>
      <w:proofErr w:type="spellEnd"/>
    </w:p>
    <w:p w14:paraId="796C84A8" w14:textId="77777777" w:rsidR="009E74FB" w:rsidRPr="009E74FB" w:rsidRDefault="009E74FB" w:rsidP="009E74FB">
      <w:pPr>
        <w:spacing w:before="120" w:after="120" w:line="360" w:lineRule="auto"/>
        <w:rPr>
          <w:szCs w:val="24"/>
          <w:lang w:eastAsia="en-US"/>
        </w:rPr>
        <w:sectPr w:rsidR="009E74FB" w:rsidRPr="009E74FB">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532A2820" w14:textId="77777777" w:rsidR="009E74FB" w:rsidRPr="009E74FB" w:rsidRDefault="009E74FB" w:rsidP="009E74FB">
      <w:pPr>
        <w:spacing w:before="120" w:after="120" w:line="360" w:lineRule="auto"/>
        <w:rPr>
          <w:szCs w:val="24"/>
          <w:lang w:eastAsia="en-US"/>
        </w:rPr>
      </w:pPr>
    </w:p>
    <w:p w14:paraId="135240A6" w14:textId="33520E12" w:rsidR="009E74FB" w:rsidRPr="009E74FB" w:rsidRDefault="00F60512" w:rsidP="009E74FB">
      <w:pPr>
        <w:spacing w:before="120" w:after="120" w:line="360" w:lineRule="auto"/>
        <w:jc w:val="center"/>
        <w:rPr>
          <w:lang w:eastAsia="en-US"/>
        </w:rPr>
      </w:pPr>
      <w:r>
        <w:rPr>
          <w:lang w:eastAsia="en-US"/>
        </w:rPr>
        <w:t>BILAG</w:t>
      </w:r>
      <w:r>
        <w:rPr>
          <w:lang w:eastAsia="en-US"/>
        </w:rPr>
        <w:br/>
      </w:r>
      <w:r w:rsidR="009E74FB" w:rsidRPr="009E74FB">
        <w:rPr>
          <w:lang w:eastAsia="en-US"/>
        </w:rPr>
        <w:t>Krise- eller nødsituationer som omhandlet i artikel 4 og kompetente rådgivende organer som omhandlet i artikel 6, stk. 2, er anført nedenfor: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34"/>
        <w:gridCol w:w="2806"/>
        <w:gridCol w:w="3120"/>
      </w:tblGrid>
      <w:tr w:rsidR="009E74FB" w:rsidRPr="009E74FB" w14:paraId="29EDAC51" w14:textId="77777777" w:rsidTr="00915FE1">
        <w:trPr>
          <w:tblHeader/>
        </w:trPr>
        <w:tc>
          <w:tcPr>
            <w:tcW w:w="0" w:type="auto"/>
          </w:tcPr>
          <w:p w14:paraId="5586DECB" w14:textId="77777777" w:rsidR="009E74FB" w:rsidRPr="009E74FB" w:rsidRDefault="009E74FB" w:rsidP="009E74FB">
            <w:pPr>
              <w:spacing w:before="120" w:after="120" w:line="360" w:lineRule="auto"/>
              <w:rPr>
                <w:szCs w:val="24"/>
                <w:lang w:val="en-GB" w:eastAsia="en-US"/>
              </w:rPr>
            </w:pPr>
            <w:proofErr w:type="spellStart"/>
            <w:r w:rsidRPr="009E74FB">
              <w:rPr>
                <w:szCs w:val="24"/>
                <w:lang w:val="en-GB" w:eastAsia="en-US"/>
              </w:rPr>
              <w:t>Unionens</w:t>
            </w:r>
            <w:proofErr w:type="spellEnd"/>
            <w:r w:rsidRPr="009E74FB">
              <w:rPr>
                <w:szCs w:val="24"/>
                <w:lang w:val="en-GB" w:eastAsia="en-US"/>
              </w:rPr>
              <w:t xml:space="preserve"> </w:t>
            </w:r>
            <w:proofErr w:type="spellStart"/>
            <w:r w:rsidRPr="009E74FB">
              <w:rPr>
                <w:szCs w:val="24"/>
                <w:lang w:val="en-GB" w:eastAsia="en-US"/>
              </w:rPr>
              <w:t>krise</w:t>
            </w:r>
            <w:proofErr w:type="spellEnd"/>
            <w:r w:rsidRPr="009E74FB">
              <w:rPr>
                <w:szCs w:val="24"/>
                <w:lang w:val="en-GB" w:eastAsia="en-US"/>
              </w:rPr>
              <w:t xml:space="preserve">- </w:t>
            </w:r>
            <w:proofErr w:type="spellStart"/>
            <w:r w:rsidRPr="009E74FB">
              <w:rPr>
                <w:szCs w:val="24"/>
                <w:lang w:val="en-GB" w:eastAsia="en-US"/>
              </w:rPr>
              <w:t>eller</w:t>
            </w:r>
            <w:proofErr w:type="spellEnd"/>
            <w:r w:rsidRPr="009E74FB">
              <w:rPr>
                <w:szCs w:val="24"/>
                <w:lang w:val="en-GB" w:eastAsia="en-US"/>
              </w:rPr>
              <w:t xml:space="preserve"> </w:t>
            </w:r>
            <w:proofErr w:type="spellStart"/>
            <w:r w:rsidRPr="009E74FB">
              <w:rPr>
                <w:szCs w:val="24"/>
                <w:lang w:val="en-GB" w:eastAsia="en-US"/>
              </w:rPr>
              <w:t>nødmekanisme</w:t>
            </w:r>
            <w:proofErr w:type="spellEnd"/>
          </w:p>
        </w:tc>
        <w:tc>
          <w:tcPr>
            <w:tcW w:w="0" w:type="auto"/>
          </w:tcPr>
          <w:p w14:paraId="321DFE52" w14:textId="77777777" w:rsidR="009E74FB" w:rsidRPr="009E74FB" w:rsidRDefault="009E74FB" w:rsidP="009E74FB">
            <w:pPr>
              <w:spacing w:before="120" w:after="120" w:line="360" w:lineRule="auto"/>
              <w:rPr>
                <w:szCs w:val="24"/>
                <w:lang w:val="en-GB" w:eastAsia="en-US"/>
              </w:rPr>
            </w:pPr>
            <w:proofErr w:type="spellStart"/>
            <w:r w:rsidRPr="009E74FB">
              <w:rPr>
                <w:szCs w:val="24"/>
                <w:lang w:val="en-GB" w:eastAsia="en-US"/>
              </w:rPr>
              <w:t>Krisetilstand</w:t>
            </w:r>
            <w:proofErr w:type="spellEnd"/>
            <w:r w:rsidRPr="009E74FB">
              <w:rPr>
                <w:szCs w:val="24"/>
                <w:lang w:val="en-GB" w:eastAsia="en-US"/>
              </w:rPr>
              <w:t xml:space="preserve"> </w:t>
            </w:r>
            <w:proofErr w:type="spellStart"/>
            <w:r w:rsidRPr="009E74FB">
              <w:rPr>
                <w:szCs w:val="24"/>
                <w:lang w:val="en-GB" w:eastAsia="en-US"/>
              </w:rPr>
              <w:t>eller</w:t>
            </w:r>
            <w:proofErr w:type="spellEnd"/>
            <w:r w:rsidRPr="009E74FB">
              <w:rPr>
                <w:szCs w:val="24"/>
                <w:lang w:val="en-GB" w:eastAsia="en-US"/>
              </w:rPr>
              <w:t xml:space="preserve"> </w:t>
            </w:r>
            <w:proofErr w:type="spellStart"/>
            <w:r w:rsidRPr="009E74FB">
              <w:rPr>
                <w:szCs w:val="24"/>
                <w:lang w:val="en-GB" w:eastAsia="en-US"/>
              </w:rPr>
              <w:t>nødsituationstilstand</w:t>
            </w:r>
            <w:proofErr w:type="spellEnd"/>
          </w:p>
        </w:tc>
        <w:tc>
          <w:tcPr>
            <w:tcW w:w="0" w:type="auto"/>
          </w:tcPr>
          <w:p w14:paraId="43B24AD5" w14:textId="77777777" w:rsidR="009E74FB" w:rsidRPr="009E74FB" w:rsidRDefault="009E74FB" w:rsidP="009E74FB">
            <w:pPr>
              <w:spacing w:before="120" w:after="120" w:line="360" w:lineRule="auto"/>
              <w:rPr>
                <w:szCs w:val="24"/>
                <w:lang w:val="en-GB" w:eastAsia="en-US"/>
              </w:rPr>
            </w:pPr>
            <w:proofErr w:type="spellStart"/>
            <w:r w:rsidRPr="009E74FB">
              <w:rPr>
                <w:szCs w:val="24"/>
                <w:lang w:val="en-GB" w:eastAsia="en-US"/>
              </w:rPr>
              <w:t>Kompetent</w:t>
            </w:r>
            <w:proofErr w:type="spellEnd"/>
            <w:r w:rsidRPr="009E74FB">
              <w:rPr>
                <w:szCs w:val="24"/>
                <w:lang w:val="en-GB" w:eastAsia="en-US"/>
              </w:rPr>
              <w:t xml:space="preserve"> </w:t>
            </w:r>
            <w:proofErr w:type="spellStart"/>
            <w:r w:rsidRPr="009E74FB">
              <w:rPr>
                <w:szCs w:val="24"/>
                <w:lang w:val="en-GB" w:eastAsia="en-US"/>
              </w:rPr>
              <w:t>rådgivende</w:t>
            </w:r>
            <w:proofErr w:type="spellEnd"/>
            <w:r w:rsidRPr="009E74FB">
              <w:rPr>
                <w:szCs w:val="24"/>
                <w:lang w:val="en-GB" w:eastAsia="en-US"/>
              </w:rPr>
              <w:t xml:space="preserve"> organ</w:t>
            </w:r>
          </w:p>
        </w:tc>
      </w:tr>
      <w:tr w:rsidR="009E74FB" w:rsidRPr="009E74FB" w14:paraId="7F5A9081" w14:textId="77777777" w:rsidTr="00915FE1">
        <w:tc>
          <w:tcPr>
            <w:tcW w:w="0" w:type="auto"/>
          </w:tcPr>
          <w:p w14:paraId="1DF85839" w14:textId="38A7E314" w:rsidR="009E74FB" w:rsidRPr="009E74FB" w:rsidRDefault="009E74FB" w:rsidP="004A2881">
            <w:pPr>
              <w:spacing w:before="120" w:after="120" w:line="360" w:lineRule="auto"/>
              <w:rPr>
                <w:szCs w:val="24"/>
                <w:lang w:eastAsia="en-US"/>
              </w:rPr>
            </w:pPr>
            <w:r w:rsidRPr="009E74FB">
              <w:rPr>
                <w:szCs w:val="24"/>
                <w:lang w:eastAsia="en-US"/>
              </w:rPr>
              <w:t>1. Europa-Parlamentets og Rådets forordning XXX/XX om oprettelse af et nødinstrument for det indre marked og om ophævelse af Rådets forordning (EF) nr. 2679/98 [COM(2022)</w:t>
            </w:r>
            <w:r w:rsidR="004A2881">
              <w:rPr>
                <w:szCs w:val="24"/>
                <w:lang w:eastAsia="en-US"/>
              </w:rPr>
              <w:t>0</w:t>
            </w:r>
            <w:r w:rsidRPr="009E74FB">
              <w:rPr>
                <w:szCs w:val="24"/>
                <w:lang w:eastAsia="en-US"/>
              </w:rPr>
              <w:t>459]</w:t>
            </w:r>
          </w:p>
        </w:tc>
        <w:tc>
          <w:tcPr>
            <w:tcW w:w="0" w:type="auto"/>
          </w:tcPr>
          <w:p w14:paraId="5B5D5068" w14:textId="1BBF465E" w:rsidR="009E74FB" w:rsidRPr="009E74FB" w:rsidRDefault="009E74FB" w:rsidP="004A2881">
            <w:pPr>
              <w:spacing w:before="120" w:after="120" w:line="360" w:lineRule="auto"/>
              <w:rPr>
                <w:szCs w:val="24"/>
                <w:lang w:eastAsia="en-US"/>
              </w:rPr>
            </w:pPr>
            <w:r w:rsidRPr="009E74FB">
              <w:rPr>
                <w:szCs w:val="24"/>
                <w:lang w:eastAsia="en-US"/>
              </w:rPr>
              <w:t>Nødsituationstilstand for det indre marked aktiveret ved en gennemførelsesretsakt fra Rådet [artikel 14 i forordning XXX/XX] [COM(2022)</w:t>
            </w:r>
            <w:r w:rsidR="004A2881">
              <w:rPr>
                <w:szCs w:val="24"/>
                <w:lang w:eastAsia="en-US"/>
              </w:rPr>
              <w:t>0</w:t>
            </w:r>
            <w:r w:rsidRPr="009E74FB">
              <w:rPr>
                <w:szCs w:val="24"/>
                <w:lang w:eastAsia="en-US"/>
              </w:rPr>
              <w:t>459]</w:t>
            </w:r>
          </w:p>
        </w:tc>
        <w:tc>
          <w:tcPr>
            <w:tcW w:w="0" w:type="auto"/>
          </w:tcPr>
          <w:p w14:paraId="25E28D7C" w14:textId="13FB3E4C" w:rsidR="009E74FB" w:rsidRPr="009E74FB" w:rsidRDefault="009E74FB" w:rsidP="004A2881">
            <w:pPr>
              <w:spacing w:before="120" w:after="120" w:line="360" w:lineRule="auto"/>
              <w:rPr>
                <w:szCs w:val="24"/>
                <w:lang w:val="en-GB" w:eastAsia="en-US"/>
              </w:rPr>
            </w:pPr>
            <w:r w:rsidRPr="009E74FB">
              <w:rPr>
                <w:szCs w:val="24"/>
                <w:lang w:val="en-GB" w:eastAsia="en-US"/>
              </w:rPr>
              <w:t xml:space="preserve">Den </w:t>
            </w:r>
            <w:proofErr w:type="spellStart"/>
            <w:r w:rsidRPr="009E74FB">
              <w:rPr>
                <w:szCs w:val="24"/>
                <w:lang w:val="en-GB" w:eastAsia="en-US"/>
              </w:rPr>
              <w:t>rådgivende</w:t>
            </w:r>
            <w:proofErr w:type="spellEnd"/>
            <w:r w:rsidRPr="009E74FB">
              <w:rPr>
                <w:szCs w:val="24"/>
                <w:lang w:val="en-GB" w:eastAsia="en-US"/>
              </w:rPr>
              <w:t xml:space="preserve"> </w:t>
            </w:r>
            <w:proofErr w:type="spellStart"/>
            <w:r w:rsidRPr="009E74FB">
              <w:rPr>
                <w:szCs w:val="24"/>
                <w:lang w:val="en-GB" w:eastAsia="en-US"/>
              </w:rPr>
              <w:t>gruppe</w:t>
            </w:r>
            <w:proofErr w:type="spellEnd"/>
            <w:r w:rsidRPr="009E74FB">
              <w:rPr>
                <w:szCs w:val="24"/>
                <w:lang w:val="en-GB" w:eastAsia="en-US"/>
              </w:rPr>
              <w:t xml:space="preserve"> [</w:t>
            </w:r>
            <w:proofErr w:type="spellStart"/>
            <w:r w:rsidRPr="009E74FB">
              <w:rPr>
                <w:szCs w:val="24"/>
                <w:lang w:val="en-GB" w:eastAsia="en-US"/>
              </w:rPr>
              <w:t>artikel</w:t>
            </w:r>
            <w:proofErr w:type="spellEnd"/>
            <w:r w:rsidRPr="009E74FB">
              <w:rPr>
                <w:szCs w:val="24"/>
                <w:lang w:val="en-GB" w:eastAsia="en-US"/>
              </w:rPr>
              <w:t xml:space="preserve"> 4 </w:t>
            </w:r>
            <w:proofErr w:type="spellStart"/>
            <w:r w:rsidRPr="009E74FB">
              <w:rPr>
                <w:szCs w:val="24"/>
                <w:lang w:val="en-GB" w:eastAsia="en-US"/>
              </w:rPr>
              <w:t>i</w:t>
            </w:r>
            <w:proofErr w:type="spellEnd"/>
            <w:r w:rsidRPr="009E74FB">
              <w:rPr>
                <w:szCs w:val="24"/>
                <w:lang w:val="en-GB" w:eastAsia="en-US"/>
              </w:rPr>
              <w:t xml:space="preserve"> </w:t>
            </w:r>
            <w:proofErr w:type="spellStart"/>
            <w:r w:rsidRPr="009E74FB">
              <w:rPr>
                <w:szCs w:val="24"/>
                <w:lang w:val="en-GB" w:eastAsia="en-US"/>
              </w:rPr>
              <w:t>forordning</w:t>
            </w:r>
            <w:proofErr w:type="spellEnd"/>
            <w:r w:rsidRPr="009E74FB">
              <w:rPr>
                <w:szCs w:val="24"/>
                <w:lang w:val="en-GB" w:eastAsia="en-US"/>
              </w:rPr>
              <w:t xml:space="preserve"> XXX/XX] [COM(2022)</w:t>
            </w:r>
            <w:r w:rsidR="004A2881">
              <w:rPr>
                <w:szCs w:val="24"/>
                <w:lang w:val="en-GB" w:eastAsia="en-US"/>
              </w:rPr>
              <w:t>0</w:t>
            </w:r>
            <w:r w:rsidRPr="009E74FB">
              <w:rPr>
                <w:szCs w:val="24"/>
                <w:lang w:val="en-GB" w:eastAsia="en-US"/>
              </w:rPr>
              <w:t>459]</w:t>
            </w:r>
          </w:p>
        </w:tc>
      </w:tr>
      <w:tr w:rsidR="009E74FB" w:rsidRPr="009E74FB" w14:paraId="114A0CAE" w14:textId="77777777" w:rsidTr="00915FE1">
        <w:tc>
          <w:tcPr>
            <w:tcW w:w="0" w:type="auto"/>
          </w:tcPr>
          <w:p w14:paraId="5066A97C" w14:textId="77777777" w:rsidR="009E74FB" w:rsidRPr="009E74FB" w:rsidRDefault="009E74FB" w:rsidP="009E74FB">
            <w:pPr>
              <w:spacing w:before="120" w:after="120" w:line="360" w:lineRule="auto"/>
              <w:rPr>
                <w:szCs w:val="24"/>
                <w:lang w:eastAsia="en-US"/>
              </w:rPr>
            </w:pPr>
            <w:r w:rsidRPr="009E74FB">
              <w:rPr>
                <w:szCs w:val="24"/>
                <w:lang w:eastAsia="en-US"/>
              </w:rPr>
              <w:t>2. Europa-Parlamentets og Rådets forordning (EU) 2022/2371 af 23. november 2022 om alvorlige grænseoverskridende sundhedstrusler og om ophævelse af afgørelse nr. 1082/2013/EU</w:t>
            </w:r>
          </w:p>
        </w:tc>
        <w:tc>
          <w:tcPr>
            <w:tcW w:w="0" w:type="auto"/>
          </w:tcPr>
          <w:p w14:paraId="0D80E75F" w14:textId="77777777" w:rsidR="009E74FB" w:rsidRPr="009E74FB" w:rsidRDefault="009E74FB" w:rsidP="009E74FB">
            <w:pPr>
              <w:spacing w:before="120" w:after="120" w:line="360" w:lineRule="auto"/>
              <w:rPr>
                <w:szCs w:val="24"/>
                <w:lang w:eastAsia="en-US"/>
              </w:rPr>
            </w:pPr>
            <w:r w:rsidRPr="009E74FB">
              <w:rPr>
                <w:szCs w:val="24"/>
                <w:lang w:eastAsia="en-US"/>
              </w:rPr>
              <w:t>Folkesundhedsmæssig krisesituation på EU-plan, der er formelt anerkendt ved en gennemførelsesretsakt fra Kommissionen [artikel 23 i forordning (EU) 2022/2371]</w:t>
            </w:r>
          </w:p>
        </w:tc>
        <w:tc>
          <w:tcPr>
            <w:tcW w:w="0" w:type="auto"/>
          </w:tcPr>
          <w:p w14:paraId="2538DB84" w14:textId="77777777" w:rsidR="009E74FB" w:rsidRPr="009E74FB" w:rsidRDefault="009E74FB" w:rsidP="009E74FB">
            <w:pPr>
              <w:spacing w:before="120" w:after="120" w:line="360" w:lineRule="auto"/>
              <w:rPr>
                <w:szCs w:val="24"/>
                <w:lang w:eastAsia="en-US"/>
              </w:rPr>
            </w:pPr>
            <w:r w:rsidRPr="009E74FB">
              <w:rPr>
                <w:szCs w:val="24"/>
                <w:lang w:eastAsia="en-US"/>
              </w:rPr>
              <w:t>Udvalget for Sundhedssikkerhed [artikel 4 i forordning (EU) 2022/2371].</w:t>
            </w:r>
          </w:p>
        </w:tc>
      </w:tr>
      <w:tr w:rsidR="009E74FB" w:rsidRPr="009E74FB" w14:paraId="239251B9" w14:textId="77777777" w:rsidTr="00915FE1">
        <w:tc>
          <w:tcPr>
            <w:tcW w:w="0" w:type="auto"/>
          </w:tcPr>
          <w:p w14:paraId="60D52BC0" w14:textId="77777777" w:rsidR="009E74FB" w:rsidRPr="009E74FB" w:rsidRDefault="009E74FB" w:rsidP="009E74FB">
            <w:pPr>
              <w:spacing w:before="120" w:after="120" w:line="360" w:lineRule="auto"/>
              <w:rPr>
                <w:szCs w:val="24"/>
                <w:lang w:eastAsia="en-US"/>
              </w:rPr>
            </w:pPr>
            <w:r w:rsidRPr="009E74FB">
              <w:rPr>
                <w:szCs w:val="24"/>
                <w:lang w:eastAsia="en-US"/>
              </w:rPr>
              <w:t xml:space="preserve">3. Rådets forordning (EU) 2022/2372 af 24. oktober 2022 om en ramme for foranstaltninger til sikring af forsyninger af </w:t>
            </w:r>
            <w:r w:rsidRPr="009E74FB">
              <w:rPr>
                <w:szCs w:val="24"/>
                <w:lang w:eastAsia="en-US"/>
              </w:rPr>
              <w:lastRenderedPageBreak/>
              <w:t>kriserelevante medicinske modforanstaltninger i tilfælde af en folkesundhedsmæssig krisesituation på EU-plan</w:t>
            </w:r>
          </w:p>
        </w:tc>
        <w:tc>
          <w:tcPr>
            <w:tcW w:w="0" w:type="auto"/>
          </w:tcPr>
          <w:p w14:paraId="6CFC5BF5" w14:textId="77777777" w:rsidR="009E74FB" w:rsidRPr="009E74FB" w:rsidRDefault="009E74FB" w:rsidP="009E74FB">
            <w:pPr>
              <w:spacing w:before="120" w:after="120" w:line="360" w:lineRule="auto"/>
              <w:rPr>
                <w:szCs w:val="24"/>
                <w:lang w:eastAsia="en-US"/>
              </w:rPr>
            </w:pPr>
            <w:r w:rsidRPr="009E74FB">
              <w:rPr>
                <w:szCs w:val="24"/>
                <w:lang w:eastAsia="en-US"/>
              </w:rPr>
              <w:lastRenderedPageBreak/>
              <w:t>Beredskabsramme, der aktiveres gennem vedtagelse af Rådets forordning [artikel 3 i forordning (EU) 2022/2372]</w:t>
            </w:r>
          </w:p>
        </w:tc>
        <w:tc>
          <w:tcPr>
            <w:tcW w:w="0" w:type="auto"/>
          </w:tcPr>
          <w:p w14:paraId="2860C5D5" w14:textId="77777777" w:rsidR="009E74FB" w:rsidRPr="009E74FB" w:rsidRDefault="009E74FB" w:rsidP="009E74FB">
            <w:pPr>
              <w:spacing w:before="120" w:after="120" w:line="360" w:lineRule="auto"/>
              <w:rPr>
                <w:szCs w:val="24"/>
                <w:lang w:eastAsia="en-US"/>
              </w:rPr>
            </w:pPr>
            <w:r w:rsidRPr="009E74FB">
              <w:rPr>
                <w:szCs w:val="24"/>
                <w:lang w:eastAsia="en-US"/>
              </w:rPr>
              <w:t>Sundhedskriseudvalget [artikel 5 i forordning (EU) 2022/2372]</w:t>
            </w:r>
          </w:p>
        </w:tc>
      </w:tr>
      <w:tr w:rsidR="009E74FB" w:rsidRPr="009E74FB" w14:paraId="20CAC047" w14:textId="77777777" w:rsidTr="00915FE1">
        <w:tc>
          <w:tcPr>
            <w:tcW w:w="0" w:type="auto"/>
          </w:tcPr>
          <w:p w14:paraId="3F55FBC7" w14:textId="28919B4A" w:rsidR="009E74FB" w:rsidRPr="009E74FB" w:rsidRDefault="009E74FB" w:rsidP="004A2881">
            <w:pPr>
              <w:spacing w:before="120" w:after="120" w:line="360" w:lineRule="auto"/>
              <w:rPr>
                <w:szCs w:val="24"/>
                <w:lang w:eastAsia="en-US"/>
              </w:rPr>
            </w:pPr>
            <w:r w:rsidRPr="009E74FB">
              <w:rPr>
                <w:szCs w:val="24"/>
                <w:lang w:eastAsia="en-US"/>
              </w:rPr>
              <w:t>4. Forordning XXX/XX om en ramme for foranstaltninger til styrkelse af Europas økosystem for halvledere [COM(2022)</w:t>
            </w:r>
            <w:r w:rsidR="004A2881">
              <w:rPr>
                <w:szCs w:val="24"/>
                <w:lang w:eastAsia="en-US"/>
              </w:rPr>
              <w:t>00</w:t>
            </w:r>
            <w:r w:rsidRPr="009E74FB">
              <w:rPr>
                <w:szCs w:val="24"/>
                <w:lang w:eastAsia="en-US"/>
              </w:rPr>
              <w:t>46]</w:t>
            </w:r>
          </w:p>
        </w:tc>
        <w:tc>
          <w:tcPr>
            <w:tcW w:w="0" w:type="auto"/>
          </w:tcPr>
          <w:p w14:paraId="60A8C567" w14:textId="74FF29C4" w:rsidR="009E74FB" w:rsidRPr="009E74FB" w:rsidRDefault="009E74FB" w:rsidP="004A2881">
            <w:pPr>
              <w:spacing w:before="120" w:after="120" w:line="360" w:lineRule="auto"/>
              <w:rPr>
                <w:szCs w:val="24"/>
                <w:lang w:eastAsia="en-US"/>
              </w:rPr>
            </w:pPr>
            <w:r w:rsidRPr="009E74FB">
              <w:rPr>
                <w:szCs w:val="24"/>
                <w:lang w:eastAsia="en-US"/>
              </w:rPr>
              <w:t>Krisefase aktiveret ved en gennemførelsesretsakt fra Kommissionen [artikel 18 i forordning XXX/XXX] [COM(2022)</w:t>
            </w:r>
            <w:r w:rsidR="004A2881">
              <w:rPr>
                <w:szCs w:val="24"/>
                <w:lang w:eastAsia="en-US"/>
              </w:rPr>
              <w:t>00</w:t>
            </w:r>
            <w:r w:rsidRPr="009E74FB">
              <w:rPr>
                <w:szCs w:val="24"/>
                <w:lang w:eastAsia="en-US"/>
              </w:rPr>
              <w:t>46]</w:t>
            </w:r>
          </w:p>
        </w:tc>
        <w:tc>
          <w:tcPr>
            <w:tcW w:w="0" w:type="auto"/>
          </w:tcPr>
          <w:p w14:paraId="45A9DE87" w14:textId="7BF233C5" w:rsidR="009E74FB" w:rsidRPr="009E74FB" w:rsidRDefault="009E74FB" w:rsidP="004A2881">
            <w:pPr>
              <w:spacing w:before="120" w:after="120" w:line="360" w:lineRule="auto"/>
              <w:rPr>
                <w:szCs w:val="24"/>
                <w:lang w:eastAsia="en-US"/>
              </w:rPr>
            </w:pPr>
            <w:r w:rsidRPr="009E74FB">
              <w:rPr>
                <w:szCs w:val="24"/>
                <w:lang w:eastAsia="en-US"/>
              </w:rPr>
              <w:t>Det Europæiske Halvlederråd [artikel 23 i forordning XXX/XXX] [COM(2022)</w:t>
            </w:r>
            <w:r w:rsidR="004A2881">
              <w:rPr>
                <w:szCs w:val="24"/>
                <w:lang w:eastAsia="en-US"/>
              </w:rPr>
              <w:t>00</w:t>
            </w:r>
            <w:r w:rsidRPr="009E74FB">
              <w:rPr>
                <w:szCs w:val="24"/>
                <w:lang w:eastAsia="en-US"/>
              </w:rPr>
              <w:t>46]</w:t>
            </w:r>
          </w:p>
        </w:tc>
      </w:tr>
      <w:tr w:rsidR="009E74FB" w:rsidRPr="0048528D" w14:paraId="518461C6" w14:textId="77777777" w:rsidTr="00915FE1">
        <w:tc>
          <w:tcPr>
            <w:tcW w:w="0" w:type="auto"/>
          </w:tcPr>
          <w:p w14:paraId="1D3F3877" w14:textId="77777777" w:rsidR="009E74FB" w:rsidRPr="009E74FB" w:rsidRDefault="009E74FB" w:rsidP="009E74FB">
            <w:pPr>
              <w:spacing w:before="120" w:after="120" w:line="360" w:lineRule="auto"/>
              <w:rPr>
                <w:szCs w:val="24"/>
                <w:lang w:eastAsia="en-US"/>
              </w:rPr>
            </w:pPr>
            <w:r w:rsidRPr="009E74FB">
              <w:rPr>
                <w:szCs w:val="24"/>
                <w:lang w:eastAsia="en-US"/>
              </w:rPr>
              <w:t>5. Europa-Parlamentets og Rådets forordning (EU) 2017/1938 af 25. oktober 2017 om foranstaltninger til opretholdelse af gasforsyningssikkerheden og ophævelse af forordning (EU) nr. 994/2010.</w:t>
            </w:r>
          </w:p>
        </w:tc>
        <w:tc>
          <w:tcPr>
            <w:tcW w:w="0" w:type="auto"/>
          </w:tcPr>
          <w:p w14:paraId="1D65EA73" w14:textId="77777777" w:rsidR="009E74FB" w:rsidRPr="009E74FB" w:rsidRDefault="009E74FB" w:rsidP="009E74FB">
            <w:pPr>
              <w:spacing w:before="120" w:after="120" w:line="360" w:lineRule="auto"/>
              <w:rPr>
                <w:szCs w:val="24"/>
                <w:lang w:eastAsia="en-US"/>
              </w:rPr>
            </w:pPr>
            <w:r w:rsidRPr="009E74FB">
              <w:rPr>
                <w:szCs w:val="24"/>
                <w:lang w:eastAsia="en-US"/>
              </w:rPr>
              <w:t>Nødsituation på EU-niveau erklæret af Kommissionen [artikel 12 i forordning (EU) 2017/1938]</w:t>
            </w:r>
          </w:p>
        </w:tc>
        <w:tc>
          <w:tcPr>
            <w:tcW w:w="0" w:type="auto"/>
          </w:tcPr>
          <w:p w14:paraId="69E0009C" w14:textId="77777777" w:rsidR="009E74FB" w:rsidRPr="009E74FB" w:rsidRDefault="009E74FB" w:rsidP="009E74FB">
            <w:pPr>
              <w:spacing w:before="120" w:after="120" w:line="360" w:lineRule="auto"/>
              <w:rPr>
                <w:szCs w:val="24"/>
                <w:lang w:val="sv-SE" w:eastAsia="en-US"/>
              </w:rPr>
            </w:pPr>
            <w:r w:rsidRPr="009E74FB">
              <w:rPr>
                <w:szCs w:val="24"/>
                <w:lang w:val="sv-SE" w:eastAsia="en-US"/>
              </w:rPr>
              <w:t xml:space="preserve">Gaskoordinationsgruppen [artikel 4 i </w:t>
            </w:r>
            <w:proofErr w:type="spellStart"/>
            <w:r w:rsidRPr="009E74FB">
              <w:rPr>
                <w:szCs w:val="24"/>
                <w:lang w:val="sv-SE" w:eastAsia="en-US"/>
              </w:rPr>
              <w:t>forordning</w:t>
            </w:r>
            <w:proofErr w:type="spellEnd"/>
            <w:r w:rsidRPr="009E74FB">
              <w:rPr>
                <w:szCs w:val="24"/>
                <w:lang w:val="sv-SE" w:eastAsia="en-US"/>
              </w:rPr>
              <w:t xml:space="preserve"> (EU) 2017/1938].</w:t>
            </w:r>
          </w:p>
        </w:tc>
      </w:tr>
    </w:tbl>
    <w:p w14:paraId="27017B90" w14:textId="0399310B" w:rsidR="00F84690" w:rsidRPr="009E74FB" w:rsidRDefault="00F84690" w:rsidP="009E74FB">
      <w:pPr>
        <w:rPr>
          <w:lang w:val="sv-SE"/>
        </w:rPr>
      </w:pPr>
    </w:p>
    <w:sectPr w:rsidR="00F84690" w:rsidRPr="009E74FB" w:rsidSect="0022563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91D3D" w14:textId="77777777" w:rsidR="00915FE1" w:rsidRPr="0022563B" w:rsidRDefault="00915FE1">
      <w:r w:rsidRPr="0022563B">
        <w:separator/>
      </w:r>
    </w:p>
  </w:endnote>
  <w:endnote w:type="continuationSeparator" w:id="0">
    <w:p w14:paraId="138BF267" w14:textId="77777777" w:rsidR="00915FE1" w:rsidRPr="0022563B" w:rsidRDefault="00915FE1">
      <w:r w:rsidRPr="002256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4DF1D" w14:textId="77777777" w:rsidR="00915FE1" w:rsidRDefault="00915FE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5EEB6" w14:textId="358B8417" w:rsidR="00915FE1" w:rsidRPr="009E74FB" w:rsidRDefault="00915FE1" w:rsidP="009E74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42506" w14:textId="77777777" w:rsidR="00915FE1" w:rsidRDefault="00915FE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ACB4C" w14:textId="77777777" w:rsidR="00915FE1" w:rsidRPr="0022563B" w:rsidRDefault="00915FE1">
      <w:r w:rsidRPr="0022563B">
        <w:separator/>
      </w:r>
    </w:p>
  </w:footnote>
  <w:footnote w:type="continuationSeparator" w:id="0">
    <w:p w14:paraId="1FAAAE08" w14:textId="77777777" w:rsidR="00915FE1" w:rsidRPr="0022563B" w:rsidRDefault="00915FE1">
      <w:r w:rsidRPr="0022563B">
        <w:continuationSeparator/>
      </w:r>
    </w:p>
  </w:footnote>
  <w:footnote w:id="1">
    <w:p w14:paraId="5FB138B9" w14:textId="6131B75B" w:rsidR="00915FE1" w:rsidRPr="00E6416A" w:rsidRDefault="00915FE1" w:rsidP="0022563B">
      <w:pPr>
        <w:pStyle w:val="FootnoteText"/>
        <w:ind w:left="567" w:hanging="567"/>
        <w:rPr>
          <w:sz w:val="24"/>
          <w:lang w:val="fi-FI"/>
        </w:rPr>
      </w:pPr>
      <w:r w:rsidRPr="0022563B">
        <w:rPr>
          <w:rStyle w:val="FootnoteReference"/>
          <w:sz w:val="24"/>
          <w:lang w:val="da-DK"/>
        </w:rPr>
        <w:footnoteRef/>
      </w:r>
      <w:r w:rsidRPr="00E6416A">
        <w:rPr>
          <w:sz w:val="24"/>
          <w:lang w:val="fi-FI"/>
        </w:rPr>
        <w:t xml:space="preserve"> </w:t>
      </w:r>
      <w:r w:rsidRPr="00E6416A">
        <w:rPr>
          <w:sz w:val="24"/>
          <w:lang w:val="fi-FI"/>
        </w:rPr>
        <w:tab/>
        <w:t>EUT C, C/2023/865, 8.12.2023, ELI: http://data.europa.eu/eli/C/2023/865/oj.</w:t>
      </w:r>
    </w:p>
  </w:footnote>
  <w:footnote w:id="2">
    <w:p w14:paraId="64B6F36F" w14:textId="77777777" w:rsidR="00915FE1" w:rsidRPr="009E74FB" w:rsidRDefault="00915FE1" w:rsidP="009E74FB">
      <w:pPr>
        <w:pStyle w:val="FootnoteTextForceStyle"/>
        <w:rPr>
          <w:lang w:val="da-DK"/>
        </w:rPr>
      </w:pPr>
      <w:r>
        <w:rPr>
          <w:vertAlign w:val="superscript"/>
        </w:rPr>
        <w:footnoteRef/>
      </w:r>
      <w:r w:rsidRPr="009E74FB">
        <w:rPr>
          <w:lang w:val="da-DK"/>
        </w:rPr>
        <w:tab/>
        <w:t xml:space="preserve">EUT C </w:t>
      </w:r>
      <w:proofErr w:type="gramStart"/>
      <w:r w:rsidRPr="009E74FB">
        <w:rPr>
          <w:lang w:val="da-DK"/>
        </w:rPr>
        <w:t>af ,</w:t>
      </w:r>
      <w:proofErr w:type="gramEnd"/>
      <w:r w:rsidRPr="009E74FB">
        <w:rPr>
          <w:lang w:val="da-DK"/>
        </w:rPr>
        <w:t xml:space="preserve"> s. .</w:t>
      </w:r>
    </w:p>
  </w:footnote>
  <w:footnote w:id="3">
    <w:p w14:paraId="59A5E268" w14:textId="77777777" w:rsidR="00915FE1" w:rsidRPr="009E74FB" w:rsidRDefault="00915FE1" w:rsidP="009E74FB">
      <w:pPr>
        <w:pStyle w:val="FootnoteTextForceStyle"/>
        <w:rPr>
          <w:lang w:val="da-DK"/>
        </w:rPr>
      </w:pPr>
      <w:r>
        <w:rPr>
          <w:vertAlign w:val="superscript"/>
        </w:rPr>
        <w:footnoteRef/>
      </w:r>
      <w:r w:rsidRPr="009E74FB">
        <w:rPr>
          <w:lang w:val="da-DK"/>
        </w:rPr>
        <w:tab/>
        <w:t xml:space="preserve">EUT C </w:t>
      </w:r>
      <w:proofErr w:type="gramStart"/>
      <w:r w:rsidRPr="009E74FB">
        <w:rPr>
          <w:lang w:val="da-DK"/>
        </w:rPr>
        <w:t>af ,</w:t>
      </w:r>
      <w:proofErr w:type="gramEnd"/>
      <w:r w:rsidRPr="009E74FB">
        <w:rPr>
          <w:lang w:val="da-DK"/>
        </w:rPr>
        <w:t xml:space="preserve"> s. .</w:t>
      </w:r>
    </w:p>
  </w:footnote>
  <w:footnote w:id="4">
    <w:p w14:paraId="4BEB9E00" w14:textId="77777777" w:rsidR="00915FE1" w:rsidRPr="009E74FB" w:rsidRDefault="00915FE1" w:rsidP="009E74FB">
      <w:pPr>
        <w:pStyle w:val="FootnoteTextForceStyle"/>
        <w:rPr>
          <w:lang w:val="da-DK"/>
        </w:rPr>
      </w:pPr>
      <w:r>
        <w:rPr>
          <w:vertAlign w:val="superscript"/>
        </w:rPr>
        <w:footnoteRef/>
      </w:r>
      <w:r w:rsidRPr="009E74FB">
        <w:rPr>
          <w:lang w:val="da-DK"/>
        </w:rPr>
        <w:tab/>
        <w:t>EFT L 336 af 23.12.1994, s. 214.</w:t>
      </w:r>
    </w:p>
  </w:footnote>
  <w:footnote w:id="5">
    <w:p w14:paraId="29194742"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 og Rådets direktiv 96/9/EF af 11. marts 1996 om retlig beskyttelse af databaser (EFT L 77 af 27.3.1996, s. 20).</w:t>
      </w:r>
    </w:p>
  </w:footnote>
  <w:footnote w:id="6">
    <w:p w14:paraId="49CF7FF9"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direktiv 2009/24/EF af 23. april 2009 om retlig beskyttelse af edb-programmer (EUT L 111 af 5.5.2009, s. 16).</w:t>
      </w:r>
    </w:p>
  </w:footnote>
  <w:footnote w:id="7">
    <w:p w14:paraId="386D5ADC"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direktiv 2001/29/EF af 22. maj 2001 om harmonisering af visse aspekter af ophavsret og beslægtede rettigheder i informationssamfundet (EFT L 167 af 22.6.2001, s. 10).</w:t>
      </w:r>
    </w:p>
  </w:footnote>
  <w:footnote w:id="8">
    <w:p w14:paraId="564376DF"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direktiv 2004/48/EF af 29. april 2004 om håndhævelsen af intellektuelle ejendomsrettigheder (EUT L 157 af 30.4.2004, s. 45).</w:t>
      </w:r>
    </w:p>
  </w:footnote>
  <w:footnote w:id="9">
    <w:p w14:paraId="753437C1"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direktiv (EU) 2019/790 af 17. april 2019 om ophavsret og beslægtede rettigheder på det digitale indre marked og om ændring af direktiv 96/9/EF og 2001/29/EF (EUT L 130 af 17.5.2019, s. 92).</w:t>
      </w:r>
    </w:p>
  </w:footnote>
  <w:footnote w:id="10">
    <w:p w14:paraId="6F4BD2C8"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direktiv 2004/48/EF af 29. april 2004 om håndhævelsen af intellektuelle ejendomsrettigheder (EUT L 157 af 30.4.2004, s. 45).</w:t>
      </w:r>
    </w:p>
  </w:footnote>
  <w:footnote w:id="11">
    <w:p w14:paraId="4AE2439C" w14:textId="77777777" w:rsidR="00915FE1" w:rsidRPr="009E74FB" w:rsidRDefault="00915FE1" w:rsidP="009E74FB">
      <w:pPr>
        <w:pStyle w:val="FootnoteTextForceStyle"/>
        <w:rPr>
          <w:lang w:val="da-DK"/>
        </w:rPr>
      </w:pPr>
      <w:r>
        <w:rPr>
          <w:vertAlign w:val="superscript"/>
        </w:rPr>
        <w:footnoteRef/>
      </w:r>
      <w:r w:rsidRPr="009E74FB">
        <w:rPr>
          <w:lang w:val="da-DK"/>
        </w:rPr>
        <w:tab/>
        <w:t>Kommissionens gennemførelsesforordning (EU) 2015/2447 af 24. november 2015 om gennemførelsesbestemmelser til visse bestemmelser i Europa-Parlamentets og Rådets forordning (EU) nr. 952/2013 om EU-toldkodeksen (EUT L 343 af 29.12.2015, s. 558).</w:t>
      </w:r>
    </w:p>
  </w:footnote>
  <w:footnote w:id="12">
    <w:p w14:paraId="65488260"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forordning (EF) nr. 816/2006 af 17. maj 2006 om tvangslicens til udnyttelse af patenter vedrørende fremstilling af farmaceutiske produkter med henblik på eksport til lande med (EUT L 157 af 9.6.2006, s. 1).</w:t>
      </w:r>
    </w:p>
  </w:footnote>
  <w:footnote w:id="13">
    <w:p w14:paraId="29BE7A63"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14">
    <w:p w14:paraId="0B69F5D2"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forordning (EU) nr. 952/2013 af 9. oktober 2013 om EU-toldkodeksen (EUT L 269 af 10.10.2013, s. 1).</w:t>
      </w:r>
    </w:p>
  </w:footnote>
  <w:footnote w:id="15">
    <w:p w14:paraId="7B082232" w14:textId="77777777" w:rsidR="00915FE1" w:rsidRPr="009E74FB" w:rsidRDefault="00915FE1" w:rsidP="009E74FB">
      <w:pPr>
        <w:pStyle w:val="FootnoteTextForceStyle"/>
        <w:rPr>
          <w:lang w:val="da-DK"/>
        </w:rPr>
      </w:pPr>
      <w:r>
        <w:rPr>
          <w:vertAlign w:val="superscript"/>
        </w:rPr>
        <w:footnoteRef/>
      </w:r>
      <w:r w:rsidRPr="009E74FB">
        <w:rPr>
          <w:lang w:val="da-DK"/>
        </w:rPr>
        <w:tab/>
        <w:t>Europa-Parlamentets og Rådets forordning (EU) nr. 952/2013 af 9. oktober 2013 om EU-toldkodeksen.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BA1EB372">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A79CBC20">
      <w:start w:val="1"/>
      <w:numFmt w:val="lowerLetter"/>
      <w:lvlText w:val="%2."/>
      <w:lvlJc w:val="left"/>
      <w:pPr>
        <w:ind w:left="1440" w:hanging="360"/>
      </w:pPr>
    </w:lvl>
    <w:lvl w:ilvl="2" w:tplc="A95C9D34">
      <w:start w:val="1"/>
      <w:numFmt w:val="lowerRoman"/>
      <w:lvlText w:val="%3."/>
      <w:lvlJc w:val="right"/>
      <w:pPr>
        <w:ind w:left="2160" w:hanging="180"/>
      </w:pPr>
    </w:lvl>
    <w:lvl w:ilvl="3" w:tplc="449460A8">
      <w:start w:val="1"/>
      <w:numFmt w:val="decimal"/>
      <w:lvlText w:val="%4."/>
      <w:lvlJc w:val="left"/>
      <w:pPr>
        <w:ind w:left="2880" w:hanging="360"/>
      </w:pPr>
    </w:lvl>
    <w:lvl w:ilvl="4" w:tplc="98660B44">
      <w:start w:val="1"/>
      <w:numFmt w:val="lowerLetter"/>
      <w:lvlText w:val="%5."/>
      <w:lvlJc w:val="left"/>
      <w:pPr>
        <w:ind w:left="3600" w:hanging="360"/>
      </w:pPr>
    </w:lvl>
    <w:lvl w:ilvl="5" w:tplc="7F569A28">
      <w:start w:val="1"/>
      <w:numFmt w:val="lowerRoman"/>
      <w:lvlText w:val="%6."/>
      <w:lvlJc w:val="right"/>
      <w:pPr>
        <w:ind w:left="4320" w:hanging="180"/>
      </w:pPr>
    </w:lvl>
    <w:lvl w:ilvl="6" w:tplc="65E8CCF4">
      <w:start w:val="1"/>
      <w:numFmt w:val="decimal"/>
      <w:lvlText w:val="%7."/>
      <w:lvlJc w:val="left"/>
      <w:pPr>
        <w:ind w:left="5040" w:hanging="360"/>
      </w:pPr>
    </w:lvl>
    <w:lvl w:ilvl="7" w:tplc="610ED2B8">
      <w:start w:val="1"/>
      <w:numFmt w:val="lowerLetter"/>
      <w:lvlText w:val="%8."/>
      <w:lvlJc w:val="left"/>
      <w:pPr>
        <w:ind w:left="5760" w:hanging="360"/>
      </w:pPr>
    </w:lvl>
    <w:lvl w:ilvl="8" w:tplc="86B2EE9A">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99E08DFE">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B6BCF42A">
      <w:numFmt w:val="bullet"/>
      <w:lvlText w:val="•"/>
      <w:lvlJc w:val="left"/>
      <w:pPr>
        <w:ind w:left="1794" w:hanging="850"/>
      </w:pPr>
      <w:rPr>
        <w:lang w:val="en-US" w:eastAsia="en-US" w:bidi="ar-SA"/>
      </w:rPr>
    </w:lvl>
    <w:lvl w:ilvl="2" w:tplc="AA22631A">
      <w:numFmt w:val="bullet"/>
      <w:lvlText w:val="•"/>
      <w:lvlJc w:val="left"/>
      <w:pPr>
        <w:ind w:left="2629" w:hanging="850"/>
      </w:pPr>
      <w:rPr>
        <w:lang w:val="en-US" w:eastAsia="en-US" w:bidi="ar-SA"/>
      </w:rPr>
    </w:lvl>
    <w:lvl w:ilvl="3" w:tplc="793442A2">
      <w:numFmt w:val="bullet"/>
      <w:lvlText w:val="•"/>
      <w:lvlJc w:val="left"/>
      <w:pPr>
        <w:ind w:left="3463" w:hanging="850"/>
      </w:pPr>
      <w:rPr>
        <w:lang w:val="en-US" w:eastAsia="en-US" w:bidi="ar-SA"/>
      </w:rPr>
    </w:lvl>
    <w:lvl w:ilvl="4" w:tplc="BEB26DDA">
      <w:numFmt w:val="bullet"/>
      <w:lvlText w:val="•"/>
      <w:lvlJc w:val="left"/>
      <w:pPr>
        <w:ind w:left="4298" w:hanging="850"/>
      </w:pPr>
      <w:rPr>
        <w:lang w:val="en-US" w:eastAsia="en-US" w:bidi="ar-SA"/>
      </w:rPr>
    </w:lvl>
    <w:lvl w:ilvl="5" w:tplc="D4BCEC80">
      <w:numFmt w:val="bullet"/>
      <w:lvlText w:val="•"/>
      <w:lvlJc w:val="left"/>
      <w:pPr>
        <w:ind w:left="5133" w:hanging="850"/>
      </w:pPr>
      <w:rPr>
        <w:lang w:val="en-US" w:eastAsia="en-US" w:bidi="ar-SA"/>
      </w:rPr>
    </w:lvl>
    <w:lvl w:ilvl="6" w:tplc="9B4A06E0">
      <w:numFmt w:val="bullet"/>
      <w:lvlText w:val="•"/>
      <w:lvlJc w:val="left"/>
      <w:pPr>
        <w:ind w:left="5967" w:hanging="850"/>
      </w:pPr>
      <w:rPr>
        <w:lang w:val="en-US" w:eastAsia="en-US" w:bidi="ar-SA"/>
      </w:rPr>
    </w:lvl>
    <w:lvl w:ilvl="7" w:tplc="F9862F50">
      <w:numFmt w:val="bullet"/>
      <w:lvlText w:val="•"/>
      <w:lvlJc w:val="left"/>
      <w:pPr>
        <w:ind w:left="6802" w:hanging="850"/>
      </w:pPr>
      <w:rPr>
        <w:lang w:val="en-US" w:eastAsia="en-US" w:bidi="ar-SA"/>
      </w:rPr>
    </w:lvl>
    <w:lvl w:ilvl="8" w:tplc="790C3D38">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activeWritingStyle w:appName="MSWord" w:lang="en-GB" w:vendorID="64" w:dllVersion="131078" w:nlCheck="1" w:checkStyle="1"/>
  <w:activeWritingStyle w:appName="MSWord" w:lang="fi-FI"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DA"/>
    <w:docVar w:name="dvnumam" w:val="126"/>
    <w:docVar w:name="dvpe" w:val="753.706"/>
    <w:docVar w:name="dvrapporteur" w:val="Ordfører: "/>
    <w:docVar w:name="dvstar" w:val="***I"/>
    <w:docVar w:name="dvtitre" w:val="Europa-Parlamentets lovgivningsmæssige beslutning af xx. marts 2024 om forslag til Europa-Parlamentets og Rådets forordning om udstedelse af tvangslicens med henblik på krisestyring og om ændring af forordning (EF) nr. 816/2006(COM(2023)0224 – C9-0151/2023 – 2023/0129(COD))"/>
  </w:docVars>
  <w:rsids>
    <w:rsidRoot w:val="002D035F"/>
    <w:rsid w:val="000013BC"/>
    <w:rsid w:val="00002272"/>
    <w:rsid w:val="000166FB"/>
    <w:rsid w:val="00050DF3"/>
    <w:rsid w:val="00064002"/>
    <w:rsid w:val="000677B9"/>
    <w:rsid w:val="000831BA"/>
    <w:rsid w:val="00085B42"/>
    <w:rsid w:val="000A42CC"/>
    <w:rsid w:val="000E7DD9"/>
    <w:rsid w:val="0010095E"/>
    <w:rsid w:val="00101AA6"/>
    <w:rsid w:val="00125B37"/>
    <w:rsid w:val="00187494"/>
    <w:rsid w:val="001F32AE"/>
    <w:rsid w:val="0022563B"/>
    <w:rsid w:val="00266751"/>
    <w:rsid w:val="002767FF"/>
    <w:rsid w:val="002A49C2"/>
    <w:rsid w:val="002B18FE"/>
    <w:rsid w:val="002B2C96"/>
    <w:rsid w:val="002B5295"/>
    <w:rsid w:val="002B5493"/>
    <w:rsid w:val="002D035F"/>
    <w:rsid w:val="00310E73"/>
    <w:rsid w:val="003167F1"/>
    <w:rsid w:val="00343214"/>
    <w:rsid w:val="00361C00"/>
    <w:rsid w:val="00395FA1"/>
    <w:rsid w:val="003E15D4"/>
    <w:rsid w:val="00411CCE"/>
    <w:rsid w:val="0041666E"/>
    <w:rsid w:val="00421060"/>
    <w:rsid w:val="00460121"/>
    <w:rsid w:val="00471C19"/>
    <w:rsid w:val="004806A3"/>
    <w:rsid w:val="0048528D"/>
    <w:rsid w:val="004867E3"/>
    <w:rsid w:val="00494A28"/>
    <w:rsid w:val="004A2881"/>
    <w:rsid w:val="004C0004"/>
    <w:rsid w:val="004C5D52"/>
    <w:rsid w:val="004D3373"/>
    <w:rsid w:val="004D604A"/>
    <w:rsid w:val="0050519A"/>
    <w:rsid w:val="005072A1"/>
    <w:rsid w:val="00514517"/>
    <w:rsid w:val="00545827"/>
    <w:rsid w:val="00554845"/>
    <w:rsid w:val="00560270"/>
    <w:rsid w:val="005C2568"/>
    <w:rsid w:val="005E5DF3"/>
    <w:rsid w:val="006037C0"/>
    <w:rsid w:val="00622046"/>
    <w:rsid w:val="006631B6"/>
    <w:rsid w:val="00680577"/>
    <w:rsid w:val="00684E9D"/>
    <w:rsid w:val="006C70AF"/>
    <w:rsid w:val="006F74FA"/>
    <w:rsid w:val="00731ADD"/>
    <w:rsid w:val="00734777"/>
    <w:rsid w:val="00747932"/>
    <w:rsid w:val="00751A4A"/>
    <w:rsid w:val="00756632"/>
    <w:rsid w:val="00762C74"/>
    <w:rsid w:val="00786EC0"/>
    <w:rsid w:val="007D1690"/>
    <w:rsid w:val="007E22AD"/>
    <w:rsid w:val="00817416"/>
    <w:rsid w:val="00842779"/>
    <w:rsid w:val="008572DA"/>
    <w:rsid w:val="00865F67"/>
    <w:rsid w:val="00881A7B"/>
    <w:rsid w:val="008840E5"/>
    <w:rsid w:val="00887B3E"/>
    <w:rsid w:val="008923B1"/>
    <w:rsid w:val="008A441A"/>
    <w:rsid w:val="008A605F"/>
    <w:rsid w:val="008C2AC6"/>
    <w:rsid w:val="008E7550"/>
    <w:rsid w:val="00915FE1"/>
    <w:rsid w:val="00930C23"/>
    <w:rsid w:val="0093193B"/>
    <w:rsid w:val="009509D8"/>
    <w:rsid w:val="00950B64"/>
    <w:rsid w:val="00952306"/>
    <w:rsid w:val="00960C49"/>
    <w:rsid w:val="00981893"/>
    <w:rsid w:val="009E74FB"/>
    <w:rsid w:val="00A1687D"/>
    <w:rsid w:val="00A43E52"/>
    <w:rsid w:val="00A4678D"/>
    <w:rsid w:val="00A778C7"/>
    <w:rsid w:val="00AB1A9D"/>
    <w:rsid w:val="00AB441E"/>
    <w:rsid w:val="00AB6293"/>
    <w:rsid w:val="00AE0928"/>
    <w:rsid w:val="00AF3B82"/>
    <w:rsid w:val="00B12E95"/>
    <w:rsid w:val="00B22876"/>
    <w:rsid w:val="00B558F0"/>
    <w:rsid w:val="00BD48FE"/>
    <w:rsid w:val="00BD7BD8"/>
    <w:rsid w:val="00BE6ADC"/>
    <w:rsid w:val="00C01D18"/>
    <w:rsid w:val="00C05BFE"/>
    <w:rsid w:val="00C23CD4"/>
    <w:rsid w:val="00C61C0C"/>
    <w:rsid w:val="00C702FB"/>
    <w:rsid w:val="00C941CB"/>
    <w:rsid w:val="00CC2357"/>
    <w:rsid w:val="00CE52C8"/>
    <w:rsid w:val="00CF071A"/>
    <w:rsid w:val="00D058B8"/>
    <w:rsid w:val="00D22D01"/>
    <w:rsid w:val="00D56C11"/>
    <w:rsid w:val="00D834A0"/>
    <w:rsid w:val="00D872DF"/>
    <w:rsid w:val="00D91E21"/>
    <w:rsid w:val="00DA29D1"/>
    <w:rsid w:val="00DA7FCD"/>
    <w:rsid w:val="00DB35B0"/>
    <w:rsid w:val="00DF6185"/>
    <w:rsid w:val="00E05E5E"/>
    <w:rsid w:val="00E365E1"/>
    <w:rsid w:val="00E50ED3"/>
    <w:rsid w:val="00E6416A"/>
    <w:rsid w:val="00E820A4"/>
    <w:rsid w:val="00E97C8C"/>
    <w:rsid w:val="00EB006A"/>
    <w:rsid w:val="00EB4772"/>
    <w:rsid w:val="00EC5167"/>
    <w:rsid w:val="00ED169E"/>
    <w:rsid w:val="00ED4235"/>
    <w:rsid w:val="00F04346"/>
    <w:rsid w:val="00F075DC"/>
    <w:rsid w:val="00F149E9"/>
    <w:rsid w:val="00F5134D"/>
    <w:rsid w:val="00F60512"/>
    <w:rsid w:val="00F74202"/>
    <w:rsid w:val="00F84690"/>
    <w:rsid w:val="00F87713"/>
    <w:rsid w:val="00FA123A"/>
    <w:rsid w:val="00FB4360"/>
    <w:rsid w:val="00FD0C70"/>
    <w:rsid w:val="00FF165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A6CDF"/>
  <w15:chartTrackingRefBased/>
  <w15:docId w15:val="{65ABFAF1-86F2-46EF-A306-DFAAE7978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84690"/>
    <w:rPr>
      <w:b/>
      <w:kern w:val="28"/>
      <w:sz w:val="28"/>
      <w:lang w:val="fr-FR" w:eastAsia="fr-FR"/>
    </w:rPr>
  </w:style>
  <w:style w:type="character" w:customStyle="1" w:styleId="Heading2Char">
    <w:name w:val="Heading 2 Char"/>
    <w:basedOn w:val="DefaultParagraphFont"/>
    <w:link w:val="Heading2"/>
    <w:semiHidden/>
    <w:rsid w:val="00F84690"/>
    <w:rPr>
      <w:sz w:val="24"/>
      <w:lang w:val="fr-FR" w:eastAsia="fr-FR"/>
    </w:rPr>
  </w:style>
  <w:style w:type="character" w:customStyle="1" w:styleId="Heading3Char">
    <w:name w:val="Heading 3 Char"/>
    <w:basedOn w:val="DefaultParagraphFont"/>
    <w:link w:val="Heading3"/>
    <w:semiHidden/>
    <w:rsid w:val="00F84690"/>
    <w:rPr>
      <w:rFonts w:ascii="Arial" w:hAnsi="Arial"/>
      <w:sz w:val="24"/>
      <w:lang w:val="fr-FR" w:eastAsia="fr-FR"/>
    </w:rPr>
  </w:style>
  <w:style w:type="character" w:customStyle="1" w:styleId="Heading4Char">
    <w:name w:val="Heading 4 Char"/>
    <w:basedOn w:val="DefaultParagraphFont"/>
    <w:link w:val="Heading4"/>
    <w:semiHidden/>
    <w:rsid w:val="00F84690"/>
    <w:rPr>
      <w:sz w:val="24"/>
      <w:lang w:val="en-US" w:eastAsia="fr-FR"/>
    </w:rPr>
  </w:style>
  <w:style w:type="character" w:customStyle="1" w:styleId="Heading5Char">
    <w:name w:val="Heading 5 Char"/>
    <w:basedOn w:val="DefaultParagraphFont"/>
    <w:link w:val="Heading5"/>
    <w:semiHidden/>
    <w:rsid w:val="00F84690"/>
    <w:rPr>
      <w:sz w:val="24"/>
      <w:lang w:val="en-US" w:eastAsia="fr-FR"/>
    </w:rPr>
  </w:style>
  <w:style w:type="character" w:customStyle="1" w:styleId="Heading6Char">
    <w:name w:val="Heading 6 Char"/>
    <w:basedOn w:val="DefaultParagraphFont"/>
    <w:link w:val="Heading6"/>
    <w:semiHidden/>
    <w:rsid w:val="00F84690"/>
    <w:rPr>
      <w:i/>
      <w:sz w:val="22"/>
      <w:lang w:val="da-DK"/>
    </w:rPr>
  </w:style>
  <w:style w:type="character" w:customStyle="1" w:styleId="Heading7Char">
    <w:name w:val="Heading 7 Char"/>
    <w:basedOn w:val="DefaultParagraphFont"/>
    <w:link w:val="Heading7"/>
    <w:semiHidden/>
    <w:rsid w:val="00F84690"/>
    <w:rPr>
      <w:rFonts w:ascii="Arial" w:hAnsi="Arial"/>
      <w:sz w:val="24"/>
      <w:lang w:val="da-DK"/>
    </w:rPr>
  </w:style>
  <w:style w:type="character" w:customStyle="1" w:styleId="Heading8Char">
    <w:name w:val="Heading 8 Char"/>
    <w:basedOn w:val="DefaultParagraphFont"/>
    <w:link w:val="Heading8"/>
    <w:semiHidden/>
    <w:rsid w:val="00F84690"/>
    <w:rPr>
      <w:rFonts w:ascii="Arial" w:hAnsi="Arial"/>
      <w:i/>
      <w:sz w:val="24"/>
      <w:lang w:val="da-DK"/>
    </w:rPr>
  </w:style>
  <w:style w:type="character" w:customStyle="1" w:styleId="Heading9Char">
    <w:name w:val="Heading 9 Char"/>
    <w:basedOn w:val="DefaultParagraphFont"/>
    <w:link w:val="Heading9"/>
    <w:semiHidden/>
    <w:rsid w:val="00F84690"/>
    <w:rPr>
      <w:rFonts w:ascii="Arial" w:hAnsi="Arial"/>
      <w:b/>
      <w:i/>
      <w:sz w:val="18"/>
      <w:lang w:val="da-DK"/>
    </w:rPr>
  </w:style>
  <w:style w:type="paragraph" w:styleId="TOCHeading">
    <w:name w:val="TOC Heading"/>
    <w:basedOn w:val="Normal"/>
    <w:next w:val="Normal"/>
    <w:uiPriority w:val="39"/>
    <w:unhideWhenUsed/>
    <w:qFormat/>
    <w:rsid w:val="00F84690"/>
    <w:pPr>
      <w:widowControl/>
      <w:spacing w:after="240"/>
    </w:pPr>
    <w:rPr>
      <w:lang w:val="en-GB"/>
    </w:rPr>
  </w:style>
  <w:style w:type="paragraph" w:customStyle="1" w:styleId="EPFooter2">
    <w:name w:val="EPFooter2"/>
    <w:basedOn w:val="Normal"/>
    <w:next w:val="Normal"/>
    <w:rsid w:val="00F8469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84690"/>
    <w:pPr>
      <w:keepNext/>
      <w:spacing w:after="240"/>
      <w:jc w:val="right"/>
    </w:pPr>
    <w:rPr>
      <w:rFonts w:ascii="Arial" w:hAnsi="Arial"/>
      <w:b/>
    </w:rPr>
  </w:style>
  <w:style w:type="paragraph" w:customStyle="1" w:styleId="Normal6a">
    <w:name w:val="Normal6a"/>
    <w:basedOn w:val="Normal"/>
    <w:rsid w:val="00F84690"/>
    <w:pPr>
      <w:spacing w:after="120"/>
    </w:pPr>
  </w:style>
  <w:style w:type="paragraph" w:customStyle="1" w:styleId="PageHeading">
    <w:name w:val="PageHeading"/>
    <w:basedOn w:val="Normal"/>
    <w:rsid w:val="00F84690"/>
    <w:pPr>
      <w:keepNext/>
      <w:spacing w:after="480"/>
      <w:jc w:val="center"/>
    </w:pPr>
    <w:rPr>
      <w:rFonts w:ascii="Arial" w:hAnsi="Arial" w:cs="Arial"/>
      <w:b/>
    </w:rPr>
  </w:style>
  <w:style w:type="paragraph" w:customStyle="1" w:styleId="NormalBold">
    <w:name w:val="NormalBold"/>
    <w:basedOn w:val="Normal"/>
    <w:link w:val="NormalBoldChar"/>
    <w:rsid w:val="00F84690"/>
    <w:rPr>
      <w:b/>
    </w:rPr>
  </w:style>
  <w:style w:type="paragraph" w:customStyle="1" w:styleId="NormalBold12a">
    <w:name w:val="NormalBold12a"/>
    <w:basedOn w:val="Normal"/>
    <w:rsid w:val="00F84690"/>
    <w:pPr>
      <w:spacing w:after="240"/>
    </w:pPr>
    <w:rPr>
      <w:b/>
    </w:rPr>
  </w:style>
  <w:style w:type="paragraph" w:customStyle="1" w:styleId="AmJustText">
    <w:name w:val="AmJustText"/>
    <w:basedOn w:val="Normal"/>
    <w:rsid w:val="00F84690"/>
    <w:pPr>
      <w:spacing w:after="240"/>
    </w:pPr>
    <w:rPr>
      <w:i/>
    </w:rPr>
  </w:style>
  <w:style w:type="paragraph" w:customStyle="1" w:styleId="NormalHanging12a">
    <w:name w:val="NormalHanging12a"/>
    <w:basedOn w:val="Normal"/>
    <w:rsid w:val="00F84690"/>
    <w:pPr>
      <w:spacing w:after="240"/>
      <w:ind w:left="567" w:hanging="567"/>
    </w:pPr>
  </w:style>
  <w:style w:type="paragraph" w:customStyle="1" w:styleId="CoverNormal24a">
    <w:name w:val="CoverNormal24a"/>
    <w:basedOn w:val="Normal"/>
    <w:rsid w:val="00F84690"/>
    <w:pPr>
      <w:spacing w:after="480"/>
      <w:ind w:left="1417"/>
    </w:pPr>
  </w:style>
  <w:style w:type="paragraph" w:customStyle="1" w:styleId="CoverNormal">
    <w:name w:val="CoverNormal"/>
    <w:basedOn w:val="Normal"/>
    <w:rsid w:val="00F84690"/>
    <w:pPr>
      <w:ind w:left="1418"/>
    </w:pPr>
  </w:style>
  <w:style w:type="paragraph" w:customStyle="1" w:styleId="AmCrossRef">
    <w:name w:val="AmCrossRef"/>
    <w:basedOn w:val="Normal"/>
    <w:rsid w:val="00F84690"/>
    <w:pPr>
      <w:spacing w:before="240" w:after="240"/>
      <w:jc w:val="center"/>
    </w:pPr>
    <w:rPr>
      <w:i/>
    </w:rPr>
  </w:style>
  <w:style w:type="paragraph" w:customStyle="1" w:styleId="AmJustTitle">
    <w:name w:val="AmJustTitle"/>
    <w:basedOn w:val="Normal"/>
    <w:next w:val="AmJustText"/>
    <w:rsid w:val="00F84690"/>
    <w:pPr>
      <w:keepNext/>
      <w:spacing w:before="240" w:after="240"/>
      <w:jc w:val="center"/>
    </w:pPr>
    <w:rPr>
      <w:i/>
    </w:rPr>
  </w:style>
  <w:style w:type="paragraph" w:customStyle="1" w:styleId="CoverReference">
    <w:name w:val="CoverReference"/>
    <w:basedOn w:val="Normal"/>
    <w:rsid w:val="00F84690"/>
    <w:pPr>
      <w:spacing w:before="1080"/>
      <w:jc w:val="right"/>
    </w:pPr>
    <w:rPr>
      <w:rFonts w:ascii="Arial" w:hAnsi="Arial" w:cs="Arial"/>
      <w:b/>
    </w:rPr>
  </w:style>
  <w:style w:type="paragraph" w:customStyle="1" w:styleId="CoverDocType">
    <w:name w:val="CoverDocType"/>
    <w:basedOn w:val="Normal"/>
    <w:rsid w:val="00F84690"/>
    <w:pPr>
      <w:ind w:left="1418"/>
    </w:pPr>
    <w:rPr>
      <w:rFonts w:ascii="Arial" w:hAnsi="Arial"/>
      <w:b/>
      <w:sz w:val="48"/>
    </w:rPr>
  </w:style>
  <w:style w:type="paragraph" w:customStyle="1" w:styleId="CoverDocType24a">
    <w:name w:val="CoverDocType24a"/>
    <w:basedOn w:val="Normal"/>
    <w:rsid w:val="00F84690"/>
    <w:pPr>
      <w:spacing w:after="480"/>
      <w:ind w:left="1418"/>
    </w:pPr>
    <w:rPr>
      <w:rFonts w:ascii="Arial" w:hAnsi="Arial"/>
      <w:b/>
      <w:sz w:val="48"/>
    </w:rPr>
  </w:style>
  <w:style w:type="paragraph" w:customStyle="1" w:styleId="CoverDate">
    <w:name w:val="CoverDate"/>
    <w:basedOn w:val="Normal"/>
    <w:rsid w:val="00F84690"/>
    <w:pPr>
      <w:spacing w:before="240" w:after="1200"/>
    </w:pPr>
  </w:style>
  <w:style w:type="paragraph" w:styleId="Header">
    <w:name w:val="header"/>
    <w:basedOn w:val="Normal"/>
    <w:link w:val="HeaderChar"/>
    <w:rsid w:val="00F84690"/>
    <w:pPr>
      <w:tabs>
        <w:tab w:val="center" w:pos="4513"/>
        <w:tab w:val="right" w:pos="9026"/>
      </w:tabs>
    </w:pPr>
  </w:style>
  <w:style w:type="character" w:customStyle="1" w:styleId="HeaderChar">
    <w:name w:val="Header Char"/>
    <w:basedOn w:val="DefaultParagraphFont"/>
    <w:link w:val="Header"/>
    <w:rsid w:val="00F84690"/>
    <w:rPr>
      <w:sz w:val="24"/>
      <w:lang w:val="da-DK"/>
    </w:rPr>
  </w:style>
  <w:style w:type="paragraph" w:customStyle="1" w:styleId="AmOrLang">
    <w:name w:val="AmOrLang"/>
    <w:basedOn w:val="Normal"/>
    <w:rsid w:val="00F84690"/>
    <w:pPr>
      <w:spacing w:before="240" w:after="240"/>
      <w:jc w:val="right"/>
    </w:pPr>
  </w:style>
  <w:style w:type="paragraph" w:customStyle="1" w:styleId="AmColumnHeading">
    <w:name w:val="AmColumnHeading"/>
    <w:basedOn w:val="Normal"/>
    <w:rsid w:val="00F84690"/>
    <w:pPr>
      <w:spacing w:after="240"/>
      <w:jc w:val="center"/>
    </w:pPr>
    <w:rPr>
      <w:i/>
    </w:rPr>
  </w:style>
  <w:style w:type="paragraph" w:customStyle="1" w:styleId="AmNumberTabs">
    <w:name w:val="AmNumberTabs"/>
    <w:basedOn w:val="Normal"/>
    <w:rsid w:val="00F846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84690"/>
    <w:pPr>
      <w:spacing w:before="240"/>
    </w:pPr>
    <w:rPr>
      <w:b/>
    </w:rPr>
  </w:style>
  <w:style w:type="paragraph" w:customStyle="1" w:styleId="EPBody">
    <w:name w:val="EPBody"/>
    <w:basedOn w:val="Normal"/>
    <w:rsid w:val="00F84690"/>
    <w:pPr>
      <w:jc w:val="center"/>
    </w:pPr>
    <w:rPr>
      <w:rFonts w:ascii="Arial" w:hAnsi="Arial" w:cs="Arial"/>
      <w:i/>
      <w:sz w:val="22"/>
      <w:szCs w:val="22"/>
    </w:rPr>
  </w:style>
  <w:style w:type="paragraph" w:customStyle="1" w:styleId="EPFooter">
    <w:name w:val="EPFooter"/>
    <w:basedOn w:val="Normal"/>
    <w:rsid w:val="00F84690"/>
    <w:pPr>
      <w:tabs>
        <w:tab w:val="center" w:pos="4535"/>
        <w:tab w:val="right" w:pos="9071"/>
      </w:tabs>
      <w:spacing w:before="240" w:after="240"/>
    </w:pPr>
    <w:rPr>
      <w:color w:val="010000"/>
      <w:sz w:val="22"/>
    </w:rPr>
  </w:style>
  <w:style w:type="paragraph" w:customStyle="1" w:styleId="EPComma">
    <w:name w:val="EPComma"/>
    <w:basedOn w:val="Normal"/>
    <w:rsid w:val="00F84690"/>
    <w:pPr>
      <w:spacing w:before="480" w:after="240"/>
    </w:pPr>
  </w:style>
  <w:style w:type="paragraph" w:customStyle="1" w:styleId="Lgendesigne">
    <w:name w:val="Légende signe"/>
    <w:basedOn w:val="Normal"/>
    <w:rsid w:val="00F84690"/>
    <w:pPr>
      <w:tabs>
        <w:tab w:val="right" w:pos="454"/>
        <w:tab w:val="left" w:pos="737"/>
      </w:tabs>
      <w:ind w:left="737" w:hanging="737"/>
    </w:pPr>
    <w:rPr>
      <w:snapToGrid w:val="0"/>
      <w:sz w:val="18"/>
      <w:lang w:eastAsia="en-US"/>
    </w:rPr>
  </w:style>
  <w:style w:type="paragraph" w:customStyle="1" w:styleId="Lgendetitre">
    <w:name w:val="Légende titre"/>
    <w:basedOn w:val="Normal"/>
    <w:rsid w:val="00F84690"/>
    <w:pPr>
      <w:spacing w:before="240" w:after="240"/>
    </w:pPr>
    <w:rPr>
      <w:b/>
      <w:i/>
      <w:snapToGrid w:val="0"/>
      <w:lang w:eastAsia="en-US"/>
    </w:rPr>
  </w:style>
  <w:style w:type="paragraph" w:customStyle="1" w:styleId="Lgendestandard">
    <w:name w:val="Légende standard"/>
    <w:basedOn w:val="Normal"/>
    <w:rsid w:val="00F84690"/>
    <w:rPr>
      <w:sz w:val="18"/>
    </w:rPr>
  </w:style>
  <w:style w:type="paragraph" w:customStyle="1" w:styleId="msonormal0">
    <w:name w:val="msonormal"/>
    <w:basedOn w:val="Normal"/>
    <w:rsid w:val="00F84690"/>
    <w:pPr>
      <w:widowControl/>
      <w:spacing w:before="100" w:beforeAutospacing="1" w:after="100" w:afterAutospacing="1"/>
    </w:pPr>
    <w:rPr>
      <w:szCs w:val="24"/>
    </w:rPr>
  </w:style>
  <w:style w:type="paragraph" w:styleId="NormalWeb">
    <w:name w:val="Normal (Web)"/>
    <w:basedOn w:val="Normal"/>
    <w:unhideWhenUsed/>
    <w:rsid w:val="00F84690"/>
    <w:pPr>
      <w:widowControl/>
      <w:spacing w:before="100" w:beforeAutospacing="1" w:after="100" w:afterAutospacing="1"/>
    </w:pPr>
    <w:rPr>
      <w:szCs w:val="24"/>
    </w:rPr>
  </w:style>
  <w:style w:type="paragraph" w:styleId="BodyText">
    <w:name w:val="Body Text"/>
    <w:basedOn w:val="Normal"/>
    <w:link w:val="BodyTextChar"/>
    <w:unhideWhenUsed/>
    <w:rsid w:val="00F84690"/>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F84690"/>
    <w:rPr>
      <w:sz w:val="24"/>
      <w:szCs w:val="24"/>
      <w:lang w:val="da-DK" w:eastAsia="en-US"/>
    </w:rPr>
  </w:style>
  <w:style w:type="character" w:customStyle="1" w:styleId="Normal12Char">
    <w:name w:val="Normal12 Char"/>
    <w:link w:val="Normal12"/>
    <w:locked/>
    <w:rsid w:val="00F84690"/>
    <w:rPr>
      <w:noProof/>
      <w:sz w:val="24"/>
    </w:rPr>
  </w:style>
  <w:style w:type="paragraph" w:customStyle="1" w:styleId="Normal12">
    <w:name w:val="Normal12"/>
    <w:basedOn w:val="Normal"/>
    <w:link w:val="Normal12Char"/>
    <w:rsid w:val="00F84690"/>
    <w:pPr>
      <w:spacing w:after="240"/>
    </w:pPr>
    <w:rPr>
      <w:noProof/>
      <w:lang w:val="en-GB"/>
    </w:rPr>
  </w:style>
  <w:style w:type="paragraph" w:customStyle="1" w:styleId="CommitteeAM">
    <w:name w:val="CommitteeAM"/>
    <w:basedOn w:val="Normal"/>
    <w:rsid w:val="00F84690"/>
    <w:pPr>
      <w:spacing w:before="240" w:after="600"/>
      <w:jc w:val="center"/>
    </w:pPr>
    <w:rPr>
      <w:i/>
    </w:rPr>
  </w:style>
  <w:style w:type="paragraph" w:customStyle="1" w:styleId="ZDateAM">
    <w:name w:val="ZDateAM"/>
    <w:basedOn w:val="Normal"/>
    <w:rsid w:val="00F84690"/>
    <w:pPr>
      <w:tabs>
        <w:tab w:val="right" w:pos="9356"/>
      </w:tabs>
      <w:spacing w:after="480"/>
    </w:pPr>
    <w:rPr>
      <w:noProof/>
    </w:rPr>
  </w:style>
  <w:style w:type="paragraph" w:customStyle="1" w:styleId="ProjRap">
    <w:name w:val="ProjRap"/>
    <w:basedOn w:val="Normal"/>
    <w:rsid w:val="00F84690"/>
    <w:pPr>
      <w:tabs>
        <w:tab w:val="right" w:pos="9356"/>
      </w:tabs>
    </w:pPr>
    <w:rPr>
      <w:b/>
      <w:noProof/>
    </w:rPr>
  </w:style>
  <w:style w:type="paragraph" w:customStyle="1" w:styleId="PELeft">
    <w:name w:val="PELeft"/>
    <w:basedOn w:val="Normal"/>
    <w:rsid w:val="00F84690"/>
    <w:pPr>
      <w:spacing w:before="40" w:after="40"/>
    </w:pPr>
    <w:rPr>
      <w:rFonts w:ascii="Arial" w:hAnsi="Arial" w:cs="Arial"/>
      <w:sz w:val="22"/>
      <w:szCs w:val="22"/>
    </w:rPr>
  </w:style>
  <w:style w:type="paragraph" w:customStyle="1" w:styleId="PERight">
    <w:name w:val="PERight"/>
    <w:basedOn w:val="Normal"/>
    <w:next w:val="Normal"/>
    <w:rsid w:val="00F84690"/>
    <w:pPr>
      <w:jc w:val="right"/>
    </w:pPr>
    <w:rPr>
      <w:rFonts w:ascii="Arial" w:hAnsi="Arial" w:cs="Arial"/>
      <w:sz w:val="22"/>
      <w:szCs w:val="22"/>
    </w:rPr>
  </w:style>
  <w:style w:type="character" w:customStyle="1" w:styleId="Normal6Char">
    <w:name w:val="Normal6 Char"/>
    <w:link w:val="Normal6"/>
    <w:locked/>
    <w:rsid w:val="00F84690"/>
    <w:rPr>
      <w:sz w:val="24"/>
      <w:lang w:val="da-DK"/>
    </w:rPr>
  </w:style>
  <w:style w:type="paragraph" w:customStyle="1" w:styleId="Normal6">
    <w:name w:val="Normal6"/>
    <w:basedOn w:val="Normal"/>
    <w:link w:val="Normal6Char"/>
    <w:rsid w:val="00F84690"/>
    <w:pPr>
      <w:spacing w:after="120"/>
    </w:pPr>
  </w:style>
  <w:style w:type="character" w:customStyle="1" w:styleId="NormalBoldChar">
    <w:name w:val="NormalBold Char"/>
    <w:link w:val="NormalBold"/>
    <w:locked/>
    <w:rsid w:val="00F84690"/>
    <w:rPr>
      <w:b/>
      <w:sz w:val="24"/>
      <w:lang w:val="da-DK"/>
    </w:rPr>
  </w:style>
  <w:style w:type="paragraph" w:customStyle="1" w:styleId="Normal12Italic">
    <w:name w:val="Normal12Italic"/>
    <w:basedOn w:val="Normal12"/>
    <w:rsid w:val="00F84690"/>
    <w:rPr>
      <w:i/>
    </w:rPr>
  </w:style>
  <w:style w:type="paragraph" w:customStyle="1" w:styleId="JustificationTitle">
    <w:name w:val="JustificationTitle"/>
    <w:basedOn w:val="Normal"/>
    <w:next w:val="Normal12"/>
    <w:rsid w:val="00F84690"/>
    <w:pPr>
      <w:keepNext/>
      <w:spacing w:before="240" w:after="240"/>
      <w:jc w:val="center"/>
    </w:pPr>
    <w:rPr>
      <w:i/>
      <w:noProof/>
    </w:rPr>
  </w:style>
  <w:style w:type="paragraph" w:customStyle="1" w:styleId="Olang">
    <w:name w:val="Olang"/>
    <w:basedOn w:val="Normal"/>
    <w:rsid w:val="00F84690"/>
    <w:pPr>
      <w:spacing w:before="240" w:after="240"/>
      <w:jc w:val="right"/>
    </w:pPr>
    <w:rPr>
      <w:noProof/>
      <w:szCs w:val="24"/>
    </w:rPr>
  </w:style>
  <w:style w:type="paragraph" w:customStyle="1" w:styleId="ColumnHeading">
    <w:name w:val="ColumnHeading"/>
    <w:basedOn w:val="Normal"/>
    <w:rsid w:val="00F84690"/>
    <w:pPr>
      <w:spacing w:after="240"/>
      <w:jc w:val="center"/>
    </w:pPr>
    <w:rPr>
      <w:i/>
    </w:rPr>
  </w:style>
  <w:style w:type="paragraph" w:customStyle="1" w:styleId="AMNumberTabs0">
    <w:name w:val="AMNumberTabs"/>
    <w:basedOn w:val="Normal"/>
    <w:rsid w:val="00F846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84690"/>
    <w:pPr>
      <w:spacing w:before="240"/>
      <w:jc w:val="center"/>
    </w:pPr>
    <w:rPr>
      <w:i/>
    </w:rPr>
  </w:style>
  <w:style w:type="paragraph" w:customStyle="1" w:styleId="TableParagraph">
    <w:name w:val="Table Paragraph"/>
    <w:basedOn w:val="Normal"/>
    <w:rsid w:val="00F84690"/>
    <w:pPr>
      <w:autoSpaceDE w:val="0"/>
      <w:autoSpaceDN w:val="0"/>
    </w:pPr>
    <w:rPr>
      <w:sz w:val="22"/>
      <w:szCs w:val="22"/>
      <w:lang w:eastAsia="en-US"/>
    </w:rPr>
  </w:style>
  <w:style w:type="character" w:customStyle="1" w:styleId="Footer2Middle">
    <w:name w:val="Footer2Middle"/>
    <w:rsid w:val="00F84690"/>
    <w:rPr>
      <w:rFonts w:ascii="Arial" w:hAnsi="Arial" w:cs="Arial" w:hint="default"/>
      <w:b w:val="0"/>
      <w:bCs w:val="0"/>
      <w:i/>
      <w:iCs w:val="0"/>
      <w:color w:val="C0C0C0"/>
      <w:sz w:val="22"/>
    </w:rPr>
  </w:style>
  <w:style w:type="paragraph" w:customStyle="1" w:styleId="EntPE">
    <w:name w:val="EntPE"/>
    <w:basedOn w:val="Normal12"/>
    <w:rsid w:val="00F84690"/>
    <w:pPr>
      <w:jc w:val="center"/>
    </w:pPr>
    <w:rPr>
      <w:noProof w:val="0"/>
      <w:sz w:val="56"/>
    </w:rPr>
  </w:style>
  <w:style w:type="paragraph" w:styleId="CommentText">
    <w:name w:val="annotation text"/>
    <w:basedOn w:val="Normal"/>
    <w:link w:val="CommentTextChar"/>
    <w:unhideWhenUsed/>
    <w:rsid w:val="00F84690"/>
    <w:rPr>
      <w:sz w:val="20"/>
    </w:rPr>
  </w:style>
  <w:style w:type="character" w:customStyle="1" w:styleId="CommentTextChar">
    <w:name w:val="Comment Text Char"/>
    <w:basedOn w:val="DefaultParagraphFont"/>
    <w:link w:val="CommentText"/>
    <w:rsid w:val="00F84690"/>
    <w:rPr>
      <w:lang w:val="da-DK"/>
    </w:rPr>
  </w:style>
  <w:style w:type="character" w:styleId="CommentReference">
    <w:name w:val="annotation reference"/>
    <w:basedOn w:val="DefaultParagraphFont"/>
    <w:unhideWhenUsed/>
    <w:rsid w:val="00F84690"/>
    <w:rPr>
      <w:sz w:val="16"/>
      <w:szCs w:val="16"/>
    </w:rPr>
  </w:style>
  <w:style w:type="paragraph" w:styleId="BalloonText">
    <w:name w:val="Balloon Text"/>
    <w:basedOn w:val="Normal"/>
    <w:link w:val="BalloonTextChar"/>
    <w:unhideWhenUsed/>
    <w:rsid w:val="00F84690"/>
    <w:rPr>
      <w:rFonts w:ascii="Segoe UI" w:hAnsi="Segoe UI" w:cs="Segoe UI"/>
      <w:sz w:val="18"/>
      <w:szCs w:val="18"/>
    </w:rPr>
  </w:style>
  <w:style w:type="character" w:customStyle="1" w:styleId="BalloonTextChar">
    <w:name w:val="Balloon Text Char"/>
    <w:basedOn w:val="DefaultParagraphFont"/>
    <w:link w:val="BalloonText"/>
    <w:rsid w:val="00F84690"/>
    <w:rPr>
      <w:rFonts w:ascii="Segoe UI" w:hAnsi="Segoe UI" w:cs="Segoe UI"/>
      <w:sz w:val="18"/>
      <w:szCs w:val="18"/>
      <w:lang w:val="da-DK"/>
    </w:rPr>
  </w:style>
  <w:style w:type="paragraph" w:styleId="ListParagraph">
    <w:name w:val="List Paragraph"/>
    <w:basedOn w:val="Normal"/>
    <w:uiPriority w:val="1"/>
    <w:qFormat/>
    <w:rsid w:val="00F84690"/>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F84690"/>
    <w:rPr>
      <w:b/>
      <w:bCs/>
    </w:rPr>
  </w:style>
  <w:style w:type="character" w:customStyle="1" w:styleId="CommentSubjectChar">
    <w:name w:val="Comment Subject Char"/>
    <w:basedOn w:val="CommentTextChar"/>
    <w:link w:val="CommentSubject"/>
    <w:rsid w:val="00F84690"/>
    <w:rPr>
      <w:b/>
      <w:bCs/>
      <w:lang w:val="da-DK"/>
    </w:rPr>
  </w:style>
  <w:style w:type="character" w:styleId="Hyperlink">
    <w:name w:val="Hyperlink"/>
    <w:basedOn w:val="DefaultParagraphFont"/>
    <w:unhideWhenUsed/>
    <w:rsid w:val="00F84690"/>
    <w:rPr>
      <w:color w:val="0563C1" w:themeColor="hyperlink"/>
      <w:u w:val="single"/>
    </w:rPr>
  </w:style>
  <w:style w:type="character" w:styleId="FollowedHyperlink">
    <w:name w:val="FollowedHyperlink"/>
    <w:basedOn w:val="DefaultParagraphFont"/>
    <w:uiPriority w:val="99"/>
    <w:unhideWhenUsed/>
    <w:rsid w:val="00F84690"/>
    <w:rPr>
      <w:color w:val="954F72" w:themeColor="followedHyperlink"/>
      <w:u w:val="single"/>
    </w:rPr>
  </w:style>
  <w:style w:type="character" w:customStyle="1" w:styleId="NormalBold12bChar">
    <w:name w:val="NormalBold12b Char"/>
    <w:basedOn w:val="DefaultParagraphFont"/>
    <w:link w:val="NormalBold12b"/>
    <w:locked/>
    <w:rsid w:val="00F84690"/>
    <w:rPr>
      <w:b/>
      <w:sz w:val="24"/>
      <w:lang w:val="da-DK"/>
    </w:rPr>
  </w:style>
  <w:style w:type="paragraph" w:customStyle="1" w:styleId="Normal12a">
    <w:name w:val="Normal12a"/>
    <w:basedOn w:val="Normal"/>
    <w:rsid w:val="00F84690"/>
    <w:pPr>
      <w:spacing w:after="240"/>
    </w:pPr>
  </w:style>
  <w:style w:type="paragraph" w:customStyle="1" w:styleId="PageHeadingNotTOC">
    <w:name w:val="PageHeadingNotTOC"/>
    <w:basedOn w:val="Normal"/>
    <w:rsid w:val="00F84690"/>
    <w:pPr>
      <w:keepNext/>
      <w:spacing w:after="480"/>
      <w:jc w:val="center"/>
    </w:pPr>
    <w:rPr>
      <w:rFonts w:ascii="Arial" w:hAnsi="Arial" w:cs="Arial"/>
      <w:b/>
    </w:rPr>
  </w:style>
  <w:style w:type="paragraph" w:customStyle="1" w:styleId="AmHeadingPA">
    <w:name w:val="AmHeadingPA"/>
    <w:basedOn w:val="Normal"/>
    <w:next w:val="Normal"/>
    <w:rsid w:val="00F84690"/>
    <w:pPr>
      <w:snapToGrid w:val="0"/>
      <w:spacing w:before="480" w:after="240"/>
      <w:jc w:val="center"/>
    </w:pPr>
    <w:rPr>
      <w:rFonts w:ascii="Arial" w:hAnsi="Arial"/>
      <w:b/>
      <w:caps/>
      <w:szCs w:val="24"/>
      <w:lang w:eastAsia="en-US"/>
    </w:rPr>
  </w:style>
  <w:style w:type="paragraph" w:customStyle="1" w:styleId="RollCallSymbols14pt">
    <w:name w:val="RollCallSymbols14pt"/>
    <w:basedOn w:val="Normal"/>
    <w:rsid w:val="00F84690"/>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F84690"/>
    <w:pPr>
      <w:tabs>
        <w:tab w:val="center" w:pos="284"/>
        <w:tab w:val="left" w:pos="426"/>
      </w:tabs>
      <w:snapToGrid w:val="0"/>
    </w:pPr>
    <w:rPr>
      <w:lang w:eastAsia="en-US"/>
    </w:rPr>
  </w:style>
  <w:style w:type="paragraph" w:customStyle="1" w:styleId="RollCallVotes">
    <w:name w:val="RollCallVotes"/>
    <w:basedOn w:val="Normal"/>
    <w:rsid w:val="00F84690"/>
    <w:pPr>
      <w:snapToGrid w:val="0"/>
      <w:spacing w:before="120" w:after="120"/>
      <w:jc w:val="center"/>
    </w:pPr>
    <w:rPr>
      <w:b/>
      <w:bCs/>
      <w:sz w:val="16"/>
      <w:lang w:eastAsia="en-US"/>
    </w:rPr>
  </w:style>
  <w:style w:type="paragraph" w:customStyle="1" w:styleId="RollCallTable">
    <w:name w:val="RollCallTable"/>
    <w:basedOn w:val="Normal"/>
    <w:rsid w:val="00F84690"/>
    <w:pPr>
      <w:snapToGrid w:val="0"/>
      <w:spacing w:before="120" w:after="120"/>
    </w:pPr>
    <w:rPr>
      <w:sz w:val="16"/>
      <w:lang w:eastAsia="en-US"/>
    </w:rPr>
  </w:style>
  <w:style w:type="paragraph" w:customStyle="1" w:styleId="Normal24a">
    <w:name w:val="Normal24a"/>
    <w:basedOn w:val="Normal"/>
    <w:rsid w:val="00F84690"/>
    <w:pPr>
      <w:spacing w:after="480"/>
    </w:pPr>
  </w:style>
  <w:style w:type="paragraph" w:customStyle="1" w:styleId="NormalBoldCenter">
    <w:name w:val="NormalBoldCenter"/>
    <w:basedOn w:val="Normal"/>
    <w:rsid w:val="00F84690"/>
    <w:pPr>
      <w:jc w:val="center"/>
    </w:pPr>
    <w:rPr>
      <w:b/>
    </w:rPr>
  </w:style>
  <w:style w:type="paragraph" w:styleId="Footer">
    <w:name w:val="footer"/>
    <w:basedOn w:val="Normal"/>
    <w:link w:val="FooterChar"/>
    <w:rsid w:val="00F84690"/>
    <w:pPr>
      <w:tabs>
        <w:tab w:val="center" w:pos="4513"/>
        <w:tab w:val="right" w:pos="9026"/>
      </w:tabs>
    </w:pPr>
  </w:style>
  <w:style w:type="character" w:customStyle="1" w:styleId="FooterChar">
    <w:name w:val="Footer Char"/>
    <w:basedOn w:val="DefaultParagraphFont"/>
    <w:link w:val="Footer"/>
    <w:rsid w:val="00F84690"/>
    <w:rPr>
      <w:sz w:val="24"/>
      <w:lang w:val="da-DK"/>
    </w:rPr>
  </w:style>
  <w:style w:type="paragraph" w:customStyle="1" w:styleId="Typedudocument">
    <w:name w:val="Type du document"/>
    <w:basedOn w:val="Normal"/>
    <w:next w:val="Normal"/>
    <w:rsid w:val="009E74FB"/>
    <w:pPr>
      <w:widowControl/>
      <w:spacing w:before="360"/>
      <w:jc w:val="center"/>
    </w:pPr>
    <w:rPr>
      <w:rFonts w:eastAsiaTheme="minorHAnsi"/>
      <w:b/>
      <w:szCs w:val="22"/>
      <w:lang w:eastAsia="en-US"/>
    </w:rPr>
  </w:style>
  <w:style w:type="paragraph" w:customStyle="1" w:styleId="FootnoteTextForceStyle">
    <w:name w:val="Footnote Text ForceStyle"/>
    <w:rsid w:val="009E74FB"/>
    <w:pPr>
      <w:keepLines/>
      <w:widowControl w:val="0"/>
      <w:ind w:left="850" w:hanging="850"/>
    </w:pPr>
    <w:rPr>
      <w:sz w:val="24"/>
      <w:lang w:eastAsia="en-US"/>
    </w:rPr>
  </w:style>
  <w:style w:type="character" w:customStyle="1" w:styleId="Footer2">
    <w:name w:val="Footer2"/>
    <w:rsid w:val="009E74FB"/>
    <w:rPr>
      <w:rFonts w:ascii="Arial" w:hAnsi="Arial"/>
      <w:b/>
      <w:sz w:val="48"/>
    </w:rPr>
  </w:style>
  <w:style w:type="paragraph" w:customStyle="1" w:styleId="Footer1">
    <w:name w:val="Footer1"/>
    <w:basedOn w:val="Normal"/>
    <w:rsid w:val="009E74FB"/>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3350B-5007-489B-BAE2-024078097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13436</Words>
  <Characters>84893</Characters>
  <Application>Microsoft Office Word</Application>
  <DocSecurity>4</DocSecurity>
  <Lines>707</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GOROPECNIK Tina</cp:lastModifiedBy>
  <cp:revision>2</cp:revision>
  <cp:lastPrinted>2004-11-19T15:42:00Z</cp:lastPrinted>
  <dcterms:created xsi:type="dcterms:W3CDTF">2024-12-03T10:26:00Z</dcterms:created>
  <dcterms:modified xsi:type="dcterms:W3CDTF">2024-12-03T10:26:00Z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P9_TA(2024)0143_</vt:lpwstr>
  </property>
  <property fmtid="{D5CDD505-2E9C-101B-9397-08002B2CF9AE}" pid="4" name="&lt;Type&gt;">
    <vt:lpwstr>RR</vt:lpwstr>
  </property>
</Properties>
</file>