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708B" w:rsidTr="0010095E">
        <w:trPr>
          <w:trHeight w:hRule="exact" w:val="1418"/>
        </w:trPr>
        <w:tc>
          <w:tcPr>
            <w:tcW w:w="6804" w:type="dxa"/>
            <w:shd w:val="clear" w:color="auto" w:fill="auto"/>
            <w:vAlign w:val="center"/>
          </w:tcPr>
          <w:p w:rsidR="00751A4A" w:rsidRPr="000F708B" w:rsidRDefault="00B54915" w:rsidP="0010095E">
            <w:pPr>
              <w:pStyle w:val="EPName"/>
            </w:pPr>
            <w:r w:rsidRPr="000F708B">
              <w:t>Parlament Europejski</w:t>
            </w:r>
          </w:p>
          <w:p w:rsidR="00751A4A" w:rsidRPr="000F708B" w:rsidRDefault="00817416" w:rsidP="00756632">
            <w:pPr>
              <w:pStyle w:val="EPTerm"/>
              <w:rPr>
                <w:rStyle w:val="HideTWBExt"/>
                <w:noProof w:val="0"/>
                <w:vanish w:val="0"/>
                <w:color w:val="auto"/>
              </w:rPr>
            </w:pPr>
            <w:r w:rsidRPr="000F708B">
              <w:t>2019-2024</w:t>
            </w:r>
          </w:p>
        </w:tc>
        <w:tc>
          <w:tcPr>
            <w:tcW w:w="2268" w:type="dxa"/>
            <w:shd w:val="clear" w:color="auto" w:fill="auto"/>
          </w:tcPr>
          <w:p w:rsidR="00751A4A" w:rsidRPr="000F708B" w:rsidRDefault="00187494" w:rsidP="0010095E">
            <w:pPr>
              <w:pStyle w:val="EPLogo"/>
            </w:pPr>
            <w:r w:rsidRPr="000F708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708B" w:rsidRDefault="00D058B8" w:rsidP="004C5D52">
      <w:pPr>
        <w:pStyle w:val="LineTop"/>
      </w:pPr>
    </w:p>
    <w:p w:rsidR="00680577" w:rsidRPr="000F708B" w:rsidRDefault="00B54915" w:rsidP="00680577">
      <w:pPr>
        <w:pStyle w:val="EPBodyTA1"/>
      </w:pPr>
      <w:r w:rsidRPr="000F708B">
        <w:t>TEKSTY PRZYJĘTE</w:t>
      </w:r>
    </w:p>
    <w:p w:rsidR="00D058B8" w:rsidRPr="000F708B" w:rsidRDefault="00D058B8" w:rsidP="00D058B8">
      <w:pPr>
        <w:pStyle w:val="LineBottom"/>
      </w:pPr>
    </w:p>
    <w:p w:rsidR="00B54915" w:rsidRPr="000F708B" w:rsidRDefault="00B54915" w:rsidP="00B54915">
      <w:pPr>
        <w:pStyle w:val="ATHeading1"/>
      </w:pPr>
      <w:bookmarkStart w:id="0" w:name="TANumber"/>
      <w:r w:rsidRPr="000F708B">
        <w:t>P9_TA(2024)0</w:t>
      </w:r>
      <w:bookmarkEnd w:id="0"/>
      <w:r w:rsidR="00D474C8">
        <w:t>144</w:t>
      </w:r>
    </w:p>
    <w:p w:rsidR="00B54915" w:rsidRPr="002F71CA" w:rsidRDefault="002F71CA" w:rsidP="00B54915">
      <w:pPr>
        <w:pStyle w:val="ATHeading2"/>
      </w:pPr>
      <w:r w:rsidRPr="002F71CA">
        <w:rPr>
          <w:bCs/>
        </w:rPr>
        <w:t>Bezpieczeństwo zabawek i uchylenie dyrektywy 2009/48/WE</w:t>
      </w:r>
    </w:p>
    <w:p w:rsidR="00B54915" w:rsidRPr="000F708B" w:rsidRDefault="00B54915" w:rsidP="00B54915">
      <w:pPr>
        <w:rPr>
          <w:i/>
          <w:vanish/>
        </w:rPr>
      </w:pPr>
      <w:r w:rsidRPr="000F708B">
        <w:rPr>
          <w:i/>
        </w:rPr>
        <w:fldChar w:fldCharType="begin"/>
      </w:r>
      <w:r w:rsidRPr="000F708B">
        <w:rPr>
          <w:i/>
        </w:rPr>
        <w:instrText xml:space="preserve"> TC"(</w:instrText>
      </w:r>
      <w:bookmarkStart w:id="1" w:name="DocNumber"/>
      <w:r w:rsidRPr="000F708B">
        <w:rPr>
          <w:i/>
        </w:rPr>
        <w:instrText>A9-0044/2024</w:instrText>
      </w:r>
      <w:bookmarkEnd w:id="1"/>
      <w:r w:rsidRPr="000F708B">
        <w:rPr>
          <w:i/>
        </w:rPr>
        <w:instrText xml:space="preserve"> - Sprawozdawca: Marion Walsmann )"\l3 \n&gt; \* MERGEFORMAT </w:instrText>
      </w:r>
      <w:r w:rsidRPr="000F708B">
        <w:rPr>
          <w:i/>
        </w:rPr>
        <w:fldChar w:fldCharType="end"/>
      </w:r>
    </w:p>
    <w:p w:rsidR="00B54915" w:rsidRPr="000F708B" w:rsidRDefault="00B54915" w:rsidP="00B54915">
      <w:pPr>
        <w:rPr>
          <w:vanish/>
        </w:rPr>
      </w:pPr>
      <w:bookmarkStart w:id="2" w:name="Commission"/>
      <w:r w:rsidRPr="000F708B">
        <w:rPr>
          <w:vanish/>
        </w:rPr>
        <w:t>Komisja Rynku Wewnętrznego i Ochrony Konsumentów</w:t>
      </w:r>
      <w:bookmarkEnd w:id="2"/>
    </w:p>
    <w:p w:rsidR="00B54915" w:rsidRPr="000F708B" w:rsidRDefault="00B54915" w:rsidP="00B54915">
      <w:pPr>
        <w:rPr>
          <w:vanish/>
        </w:rPr>
      </w:pPr>
      <w:bookmarkStart w:id="3" w:name="PE"/>
      <w:r w:rsidRPr="000F708B">
        <w:rPr>
          <w:vanish/>
        </w:rPr>
        <w:t>PE754.649</w:t>
      </w:r>
      <w:bookmarkEnd w:id="3"/>
    </w:p>
    <w:p w:rsidR="00B54915" w:rsidRPr="000F708B" w:rsidRDefault="00B54915" w:rsidP="00B54915">
      <w:pPr>
        <w:pStyle w:val="ATHeading3"/>
      </w:pPr>
      <w:bookmarkStart w:id="4" w:name="Sujet"/>
      <w:r w:rsidRPr="000F708B">
        <w:t xml:space="preserve">Rezolucja ustawodawcza Parlamentu Europejskiego z dnia </w:t>
      </w:r>
      <w:r w:rsidR="0039693D">
        <w:t>13</w:t>
      </w:r>
      <w:r w:rsidR="002F71CA">
        <w:t xml:space="preserve"> marca</w:t>
      </w:r>
      <w:r w:rsidRPr="000F708B">
        <w:t xml:space="preserve"> 2024 r. w sprawie wniosku dotyczącego rozporządzenia Parlamentu Europejskiego i Rady w sprawie bezpieczeństwa zabawek i uchylającego dyrektywę 2009/48/WE</w:t>
      </w:r>
      <w:bookmarkEnd w:id="4"/>
      <w:r w:rsidRPr="000F708B">
        <w:t xml:space="preserve"> </w:t>
      </w:r>
      <w:bookmarkStart w:id="5" w:name="References"/>
      <w:r w:rsidRPr="000F708B">
        <w:t>(COM(2023)0462 – C9-0317/2023 – 2023/0290(COD))</w:t>
      </w:r>
      <w:bookmarkEnd w:id="5"/>
    </w:p>
    <w:p w:rsidR="00C32D04" w:rsidRPr="000F708B" w:rsidRDefault="00C32D04" w:rsidP="00C32D04">
      <w:pPr>
        <w:pStyle w:val="NormalBold"/>
      </w:pPr>
      <w:bookmarkStart w:id="6" w:name="TextBodyBegin"/>
      <w:bookmarkEnd w:id="6"/>
      <w:r w:rsidRPr="000F708B">
        <w:t>(Zwykła procedura ustawodawcza: pierwsze czytanie)</w:t>
      </w:r>
    </w:p>
    <w:p w:rsidR="00C32D04" w:rsidRPr="000F708B" w:rsidRDefault="00C32D04" w:rsidP="00C32D04">
      <w:pPr>
        <w:pStyle w:val="EPComma"/>
      </w:pPr>
      <w:r w:rsidRPr="000F708B">
        <w:rPr>
          <w:i/>
        </w:rPr>
        <w:t>Parlament Europejski</w:t>
      </w:r>
      <w:r w:rsidRPr="000F708B">
        <w:t>,</w:t>
      </w:r>
    </w:p>
    <w:p w:rsidR="00C32D04" w:rsidRPr="000F708B" w:rsidRDefault="00C32D04" w:rsidP="00C32D04">
      <w:pPr>
        <w:pStyle w:val="NormalHanging12a"/>
      </w:pPr>
      <w:r w:rsidRPr="000F708B">
        <w:t>–</w:t>
      </w:r>
      <w:r w:rsidRPr="000F708B">
        <w:tab/>
        <w:t>uwzględniając wniosek Komisji przedstawiony Parlamentowi Europejskiemu i Radzie (COM(2023)0462),</w:t>
      </w:r>
    </w:p>
    <w:p w:rsidR="00C32D04" w:rsidRPr="000F708B" w:rsidRDefault="00C32D04" w:rsidP="00C32D04">
      <w:pPr>
        <w:pStyle w:val="NormalHanging12a"/>
      </w:pPr>
      <w:r w:rsidRPr="000F708B">
        <w:t>–</w:t>
      </w:r>
      <w:r w:rsidRPr="000F708B">
        <w:tab/>
        <w:t>uwzględniając art. 294 ust. 2 i art. 114 Traktatu o funkcjonowaniu Unii Europejskiej, zgodnie z którymi wniosek został przedstawiony Parlamentowi przez Komisję (C9</w:t>
      </w:r>
      <w:r w:rsidRPr="000F708B">
        <w:noBreakHyphen/>
        <w:t>0317/2023),</w:t>
      </w:r>
    </w:p>
    <w:p w:rsidR="00C32D04" w:rsidRDefault="00C32D04" w:rsidP="00C32D04">
      <w:pPr>
        <w:pStyle w:val="NormalHanging12a"/>
      </w:pPr>
      <w:r w:rsidRPr="000F708B">
        <w:t>–</w:t>
      </w:r>
      <w:r w:rsidRPr="000F708B">
        <w:tab/>
        <w:t>uwzględniając art. 294 ust. 3 Traktatu o funkcjonowaniu Unii Europejskiej,</w:t>
      </w:r>
    </w:p>
    <w:p w:rsidR="002F71CA" w:rsidRPr="000F708B" w:rsidRDefault="002F71CA" w:rsidP="00C32D04">
      <w:pPr>
        <w:pStyle w:val="NormalHanging12a"/>
      </w:pPr>
      <w:r w:rsidRPr="007D3C95">
        <w:t>–</w:t>
      </w:r>
      <w:r>
        <w:tab/>
        <w:t>u</w:t>
      </w:r>
      <w:r w:rsidRPr="00DF4082">
        <w:t xml:space="preserve">względniając opinię Europejskiego Komitetu </w:t>
      </w:r>
      <w:r>
        <w:t>Ekonomiczno-Społecznego z dnia 13</w:t>
      </w:r>
      <w:r w:rsidRPr="00DF4082">
        <w:t xml:space="preserve"> </w:t>
      </w:r>
      <w:r>
        <w:t>grudnia 2023</w:t>
      </w:r>
      <w:r w:rsidRPr="00DF4082">
        <w:t xml:space="preserve"> r</w:t>
      </w:r>
      <w:r>
        <w:t>.</w:t>
      </w:r>
      <w:r>
        <w:rPr>
          <w:rStyle w:val="FootnoteReference"/>
        </w:rPr>
        <w:footnoteReference w:id="1"/>
      </w:r>
      <w:r>
        <w:t>,</w:t>
      </w:r>
    </w:p>
    <w:p w:rsidR="00C32D04" w:rsidRPr="000F708B" w:rsidRDefault="00C32D04" w:rsidP="00C32D04">
      <w:pPr>
        <w:pStyle w:val="NormalHanging12a"/>
      </w:pPr>
      <w:r w:rsidRPr="000F708B">
        <w:t>–</w:t>
      </w:r>
      <w:r w:rsidRPr="000F708B">
        <w:tab/>
        <w:t>uwzględniając art. 59 Regulaminu,</w:t>
      </w:r>
    </w:p>
    <w:p w:rsidR="00C32D04" w:rsidRPr="000F708B" w:rsidRDefault="00C32D04" w:rsidP="00C32D04">
      <w:pPr>
        <w:pStyle w:val="NormalHanging12a"/>
      </w:pPr>
      <w:r w:rsidRPr="000F708B">
        <w:t>–</w:t>
      </w:r>
      <w:r w:rsidRPr="000F708B">
        <w:tab/>
        <w:t>uwzględniając opinię przedstawioną przez Komisję Ochrony Środowiska Naturalnego, Zdrowia Publicznego i Bezpieczeństwa Żywności,</w:t>
      </w:r>
    </w:p>
    <w:p w:rsidR="00C32D04" w:rsidRPr="000F708B" w:rsidRDefault="00C32D04" w:rsidP="00C32D04">
      <w:pPr>
        <w:pStyle w:val="NormalHanging12a"/>
      </w:pPr>
      <w:r w:rsidRPr="000F708B">
        <w:t>–</w:t>
      </w:r>
      <w:r w:rsidRPr="000F708B">
        <w:tab/>
        <w:t>uwzględniając sprawozdanie Komisji Rynku Wewnętrznego i Ochrony Konsumentów (A9-0044/2024),</w:t>
      </w:r>
    </w:p>
    <w:p w:rsidR="00C32D04" w:rsidRPr="000F708B" w:rsidRDefault="00C32D04" w:rsidP="00C32D04">
      <w:pPr>
        <w:pStyle w:val="NormalHanging12a"/>
      </w:pPr>
      <w:r w:rsidRPr="000F708B">
        <w:t>1.</w:t>
      </w:r>
      <w:r w:rsidRPr="000F708B">
        <w:tab/>
        <w:t>przyjmuje poniższe stanowisko w pierwszym czytaniu;</w:t>
      </w:r>
    </w:p>
    <w:p w:rsidR="00C32D04" w:rsidRPr="000F708B" w:rsidRDefault="00C32D04" w:rsidP="00C32D04">
      <w:pPr>
        <w:pStyle w:val="NormalHanging12a"/>
      </w:pPr>
      <w:r w:rsidRPr="000F708B">
        <w:t>2.</w:t>
      </w:r>
      <w:r w:rsidRPr="000F708B">
        <w:tab/>
        <w:t xml:space="preserve">zwraca się do Komisji o ponowne przekazanie mu sprawy, jeśli zastąpi ona pierwotny </w:t>
      </w:r>
      <w:r w:rsidRPr="000F708B">
        <w:lastRenderedPageBreak/>
        <w:t>wniosek, wprowadzi w nim istotne zmiany lub planuje ich wprowadzenie;</w:t>
      </w:r>
    </w:p>
    <w:p w:rsidR="00092171" w:rsidRDefault="00C32D04" w:rsidP="00C32D04">
      <w:pPr>
        <w:pStyle w:val="NormalHanging12a"/>
        <w:sectPr w:rsidR="00092171" w:rsidSect="000F708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0F708B">
        <w:t>3.</w:t>
      </w:r>
      <w:r w:rsidRPr="000F708B">
        <w:tab/>
        <w:t>zobowiązuje swoją przewodniczącą do przekazania stanowiska Parlamentu Radzie i Komisji oraz parlamentom narodowym.</w:t>
      </w:r>
    </w:p>
    <w:p w:rsidR="00092171" w:rsidRPr="00BC0F53" w:rsidRDefault="00092171" w:rsidP="00092171">
      <w:pPr>
        <w:widowControl/>
        <w:spacing w:after="240" w:line="259" w:lineRule="auto"/>
        <w:rPr>
          <w:rFonts w:eastAsia="PMingLiU"/>
          <w:b/>
          <w:bCs/>
          <w:szCs w:val="24"/>
          <w:lang w:eastAsia="en-US"/>
        </w:rPr>
      </w:pPr>
      <w:bookmarkStart w:id="7" w:name="TextBodyEnd"/>
      <w:bookmarkEnd w:id="7"/>
      <w:r w:rsidRPr="00BC0F53">
        <w:rPr>
          <w:rFonts w:eastAsia="PMingLiU"/>
          <w:b/>
          <w:bCs/>
          <w:szCs w:val="24"/>
          <w:lang w:eastAsia="en-US"/>
        </w:rPr>
        <w:lastRenderedPageBreak/>
        <w:t>P9_TC1-COD(2023)0290</w:t>
      </w:r>
    </w:p>
    <w:p w:rsidR="00092171" w:rsidRDefault="00092171" w:rsidP="00092171">
      <w:pPr>
        <w:spacing w:before="240"/>
        <w:rPr>
          <w:b/>
        </w:rPr>
      </w:pPr>
      <w:r>
        <w:rPr>
          <w:b/>
        </w:rPr>
        <w:t xml:space="preserve">Stanowisko Parlamentu Europejskiego </w:t>
      </w:r>
      <w:r w:rsidRPr="00291A00">
        <w:rPr>
          <w:b/>
        </w:rPr>
        <w:t xml:space="preserve">przyjęte w pierwszym czytaniu w dniu </w:t>
      </w:r>
      <w:r>
        <w:rPr>
          <w:b/>
        </w:rPr>
        <w:t>13 marca 2024 r.</w:t>
      </w:r>
      <w:r w:rsidRPr="00291A00">
        <w:rPr>
          <w:b/>
        </w:rPr>
        <w:t xml:space="preserve"> </w:t>
      </w:r>
      <w:r w:rsidRPr="00741191">
        <w:rPr>
          <w:b/>
        </w:rPr>
        <w:t>w celu przyjęcia rozporządzenia Parlamentu Europ</w:t>
      </w:r>
      <w:r>
        <w:rPr>
          <w:b/>
        </w:rPr>
        <w:t>ejskiego i Rady (UE) 2024/...</w:t>
      </w:r>
      <w:r w:rsidRPr="00741191">
        <w:rPr>
          <w:b/>
        </w:rPr>
        <w:t xml:space="preserve"> </w:t>
      </w:r>
      <w:r w:rsidRPr="00092171">
        <w:rPr>
          <w:b/>
        </w:rPr>
        <w:t>w sprawie bezpieczeństwa zabawek i uchylające</w:t>
      </w:r>
      <w:r>
        <w:rPr>
          <w:b/>
        </w:rPr>
        <w:t>go</w:t>
      </w:r>
      <w:r w:rsidRPr="00092171">
        <w:rPr>
          <w:b/>
        </w:rPr>
        <w:t xml:space="preserve"> dyrektywę 2009/48/WE</w:t>
      </w:r>
    </w:p>
    <w:p w:rsidR="00092171" w:rsidRPr="00092171" w:rsidRDefault="00092171" w:rsidP="00092171">
      <w:pPr>
        <w:widowControl/>
        <w:spacing w:before="360" w:after="240" w:line="360" w:lineRule="auto"/>
        <w:jc w:val="center"/>
        <w:rPr>
          <w:szCs w:val="24"/>
          <w:lang w:eastAsia="en-US"/>
        </w:rPr>
      </w:pPr>
      <w:r w:rsidRPr="00092171">
        <w:rPr>
          <w:szCs w:val="24"/>
          <w:lang w:eastAsia="en-US"/>
        </w:rPr>
        <w:t>(Tekst mający znaczenie dla EOG)</w:t>
      </w:r>
    </w:p>
    <w:p w:rsidR="00092171" w:rsidRPr="00092171" w:rsidRDefault="00092171" w:rsidP="00092171">
      <w:pPr>
        <w:keepNext/>
        <w:spacing w:before="600" w:after="120" w:line="360" w:lineRule="auto"/>
        <w:rPr>
          <w:szCs w:val="24"/>
          <w:lang w:eastAsia="en-US"/>
        </w:rPr>
      </w:pPr>
      <w:r w:rsidRPr="00092171">
        <w:rPr>
          <w:szCs w:val="24"/>
          <w:lang w:eastAsia="en-US"/>
        </w:rPr>
        <w:t>PARLAMENT EUROPEJSKI I RADA UNII EUROPEJSKIEJ,</w:t>
      </w:r>
    </w:p>
    <w:p w:rsidR="00092171" w:rsidRPr="00092171" w:rsidRDefault="00092171" w:rsidP="00092171">
      <w:pPr>
        <w:spacing w:before="120" w:after="120" w:line="360" w:lineRule="auto"/>
        <w:rPr>
          <w:lang w:eastAsia="en-US"/>
        </w:rPr>
      </w:pPr>
      <w:r w:rsidRPr="00092171">
        <w:rPr>
          <w:lang w:eastAsia="en-US"/>
        </w:rPr>
        <w:t>uwzględniając Traktat o funkcjonowaniu Unii Europejskiej, w szczególności jego art. 114,</w:t>
      </w:r>
    </w:p>
    <w:p w:rsidR="00092171" w:rsidRPr="00092171" w:rsidRDefault="00092171" w:rsidP="00092171">
      <w:pPr>
        <w:spacing w:before="120" w:after="120" w:line="360" w:lineRule="auto"/>
        <w:rPr>
          <w:lang w:eastAsia="en-US"/>
        </w:rPr>
      </w:pPr>
      <w:r w:rsidRPr="00092171">
        <w:rPr>
          <w:lang w:eastAsia="en-US"/>
        </w:rPr>
        <w:t>uwzględniając wniosek Komisji Europejskiej,</w:t>
      </w:r>
    </w:p>
    <w:p w:rsidR="00092171" w:rsidRPr="00092171" w:rsidRDefault="00092171" w:rsidP="00092171">
      <w:pPr>
        <w:spacing w:before="120" w:after="120" w:line="360" w:lineRule="auto"/>
        <w:rPr>
          <w:lang w:eastAsia="en-US"/>
        </w:rPr>
      </w:pPr>
      <w:r w:rsidRPr="00092171">
        <w:rPr>
          <w:lang w:eastAsia="en-US"/>
        </w:rPr>
        <w:t>po przekazaniu projektu aktu ustawodawczego parlamentom narodowym,</w:t>
      </w:r>
    </w:p>
    <w:p w:rsidR="00092171" w:rsidRPr="00092171" w:rsidRDefault="00092171" w:rsidP="00092171">
      <w:pPr>
        <w:spacing w:before="120" w:after="120" w:line="360" w:lineRule="auto"/>
        <w:rPr>
          <w:lang w:eastAsia="en-US"/>
        </w:rPr>
      </w:pPr>
      <w:r w:rsidRPr="00092171">
        <w:rPr>
          <w:lang w:eastAsia="en-US"/>
        </w:rPr>
        <w:t>uwzględniając opinię Europejskiego Komitetu Ekonomiczno-Społecznego</w:t>
      </w:r>
      <w:r w:rsidRPr="00092171">
        <w:rPr>
          <w:vertAlign w:val="superscript"/>
          <w:lang w:val="en-GB" w:eastAsia="en-US"/>
        </w:rPr>
        <w:footnoteReference w:id="2"/>
      </w:r>
      <w:r w:rsidRPr="00092171">
        <w:rPr>
          <w:lang w:eastAsia="en-US"/>
        </w:rPr>
        <w:t>,</w:t>
      </w:r>
    </w:p>
    <w:p w:rsidR="00092171" w:rsidRPr="00092171" w:rsidRDefault="00092171" w:rsidP="00092171">
      <w:pPr>
        <w:spacing w:before="120" w:after="120" w:line="360" w:lineRule="auto"/>
        <w:rPr>
          <w:lang w:eastAsia="en-US"/>
        </w:rPr>
      </w:pPr>
      <w:r w:rsidRPr="00092171">
        <w:rPr>
          <w:lang w:eastAsia="en-US"/>
        </w:rPr>
        <w:t>stanowiąc zgodnie ze zwykłą procedurą ustawodawczą,</w:t>
      </w:r>
    </w:p>
    <w:p w:rsidR="00F2557C" w:rsidRDefault="00F2557C">
      <w:pPr>
        <w:widowControl/>
        <w:rPr>
          <w:lang w:eastAsia="en-US"/>
        </w:rPr>
      </w:pPr>
      <w:r>
        <w:rPr>
          <w:lang w:eastAsia="en-US"/>
        </w:rPr>
        <w:br w:type="page"/>
      </w:r>
    </w:p>
    <w:p w:rsidR="00092171" w:rsidRPr="00092171" w:rsidRDefault="00092171" w:rsidP="00092171">
      <w:pPr>
        <w:spacing w:before="120" w:after="120" w:line="360" w:lineRule="auto"/>
        <w:rPr>
          <w:lang w:eastAsia="en-US"/>
        </w:rPr>
      </w:pPr>
      <w:r w:rsidRPr="00092171">
        <w:rPr>
          <w:lang w:eastAsia="en-US"/>
        </w:rPr>
        <w:lastRenderedPageBreak/>
        <w:t>a także mając na uwadze, co następuje:</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Dyrektywę Parlamentu Europejskiego i Rady 2009/48/WE</w:t>
      </w:r>
      <w:r w:rsidRPr="00092171">
        <w:rPr>
          <w:szCs w:val="24"/>
          <w:vertAlign w:val="superscript"/>
          <w:lang w:val="en-GB" w:eastAsia="en-US"/>
        </w:rPr>
        <w:footnoteReference w:id="3"/>
      </w:r>
      <w:r w:rsidRPr="00092171">
        <w:rPr>
          <w:szCs w:val="24"/>
          <w:lang w:eastAsia="en-US"/>
        </w:rPr>
        <w:t xml:space="preserve"> przyjęto w celu zapewnienia wysokiego poziomu bezpieczeństwa zabawek i ich swobodnego przepływu na rynku wewnętrznym.</w:t>
      </w:r>
    </w:p>
    <w:p w:rsidR="00092171" w:rsidRPr="00092171" w:rsidRDefault="00092171" w:rsidP="00092171">
      <w:pPr>
        <w:spacing w:before="120" w:after="120" w:line="360" w:lineRule="auto"/>
        <w:ind w:left="850" w:hanging="850"/>
        <w:rPr>
          <w:b/>
          <w:szCs w:val="24"/>
          <w:lang w:eastAsia="en-US"/>
        </w:rPr>
      </w:pPr>
      <w:r w:rsidRPr="00092171">
        <w:rPr>
          <w:szCs w:val="24"/>
          <w:lang w:eastAsia="en-US"/>
        </w:rPr>
        <w:t>(2)</w:t>
      </w:r>
      <w:r w:rsidRPr="00092171">
        <w:rPr>
          <w:szCs w:val="24"/>
          <w:lang w:eastAsia="en-US"/>
        </w:rPr>
        <w:tab/>
        <w:t xml:space="preserve">Dzieci </w:t>
      </w:r>
      <w:r w:rsidRPr="00092171">
        <w:rPr>
          <w:strike/>
          <w:szCs w:val="24"/>
          <w:lang w:eastAsia="en-US"/>
        </w:rPr>
        <w:t>należą do słabszej grupy społecznej</w:t>
      </w:r>
      <w:r w:rsidRPr="00092171">
        <w:rPr>
          <w:b/>
          <w:i/>
          <w:szCs w:val="24"/>
          <w:lang w:eastAsia="en-US"/>
        </w:rPr>
        <w:t>są szczególnie wrażliwą grupą społeczną</w:t>
      </w:r>
      <w:r w:rsidRPr="00092171">
        <w:rPr>
          <w:szCs w:val="24"/>
          <w:lang w:eastAsia="en-US"/>
        </w:rPr>
        <w:t xml:space="preserve">. Niezbędne jest zapewnienie </w:t>
      </w:r>
      <w:r w:rsidRPr="00092171">
        <w:rPr>
          <w:strike/>
          <w:szCs w:val="24"/>
          <w:lang w:eastAsia="en-US"/>
        </w:rPr>
        <w:t>dzieciom</w:t>
      </w:r>
      <w:r w:rsidRPr="00092171">
        <w:rPr>
          <w:b/>
          <w:i/>
          <w:szCs w:val="24"/>
          <w:lang w:eastAsia="en-US"/>
        </w:rPr>
        <w:t>im</w:t>
      </w:r>
      <w:r w:rsidRPr="00092171">
        <w:rPr>
          <w:szCs w:val="24"/>
          <w:lang w:eastAsia="en-US"/>
        </w:rPr>
        <w:t xml:space="preserve"> wysokiego poziomu bezpieczeństwa podczas zabawy</w:t>
      </w:r>
      <w:r w:rsidRPr="00092171">
        <w:rPr>
          <w:strike/>
          <w:szCs w:val="24"/>
          <w:lang w:eastAsia="en-US"/>
        </w:rPr>
        <w:t xml:space="preserve"> zabawkami</w:t>
      </w:r>
      <w:r w:rsidRPr="00092171">
        <w:rPr>
          <w:szCs w:val="24"/>
          <w:lang w:eastAsia="en-US"/>
        </w:rPr>
        <w:t>. Dzieci</w:t>
      </w:r>
      <w:r w:rsidRPr="00092171">
        <w:rPr>
          <w:b/>
          <w:i/>
          <w:szCs w:val="24"/>
          <w:lang w:eastAsia="en-US"/>
        </w:rPr>
        <w:t>, w tym dzieci z niepełnosprawnościami,</w:t>
      </w:r>
      <w:r w:rsidRPr="00092171">
        <w:rPr>
          <w:szCs w:val="24"/>
          <w:lang w:eastAsia="en-US"/>
        </w:rPr>
        <w:t xml:space="preserve"> należy odpowiednio chronić przed potencjalnym ryzykiem związanym z zabawkami, w </w:t>
      </w:r>
      <w:r w:rsidRPr="00092171">
        <w:rPr>
          <w:strike/>
          <w:szCs w:val="24"/>
          <w:lang w:eastAsia="en-US"/>
        </w:rPr>
        <w:t>szczególności</w:t>
      </w:r>
      <w:r w:rsidRPr="00092171">
        <w:rPr>
          <w:b/>
          <w:i/>
          <w:szCs w:val="24"/>
          <w:lang w:eastAsia="en-US"/>
        </w:rPr>
        <w:t>tym</w:t>
      </w:r>
      <w:r w:rsidRPr="00092171">
        <w:rPr>
          <w:szCs w:val="24"/>
          <w:lang w:eastAsia="en-US"/>
        </w:rPr>
        <w:t xml:space="preserve"> przed substancjami chemicznymi, które zabawki mogą zawierać. Jednocześnie powinien być możliwy swobodny przepływ zabawek, które spełniają wymagania, na rynku wewnętrznym bez konieczności spełnienia dodatkowych wymogów.</w:t>
      </w:r>
      <w:r w:rsidR="00F2557C">
        <w:rPr>
          <w:b/>
          <w:szCs w:val="24"/>
          <w:lang w:eastAsia="en-US"/>
        </w:rPr>
        <w:t xml:space="preserve"> [Popr. 1]</w:t>
      </w:r>
    </w:p>
    <w:p w:rsidR="00F2557C" w:rsidRDefault="00F2557C">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Z oceny dyrektywy 2009/48/WE przeprowadzonej przez Komisję wynika, że dyrektywa ta jest odpowiednia i co do zasady skuteczna w zakresie ochrony dzieci. Wskazano jednak również szereg niedociągnięć, które pojawiły się podczas praktycznego stosowania dyrektywy od momentu jej przyjęcia w 2009 r. W szczególności w ramach oceny stwierdzono pewne niedociągnięcia w odniesieniu do ewentualnego ryzyka wynikającego ze stosowania szkodliwych chemikaliów w zabawkach. W wyniku oceny stwierdzono również, że na rynku unijnym pozostaje wiele zabawek, które nie spełniają wymagań i nie są bezpieczne.</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W strategii w zakresie chemikaliów na rzecz zrównoważoności</w:t>
      </w:r>
      <w:r w:rsidRPr="00092171">
        <w:rPr>
          <w:szCs w:val="24"/>
          <w:vertAlign w:val="superscript"/>
          <w:lang w:val="en-GB" w:eastAsia="en-US"/>
        </w:rPr>
        <w:footnoteReference w:id="4"/>
      </w:r>
      <w:r w:rsidRPr="00092171">
        <w:rPr>
          <w:szCs w:val="24"/>
          <w:lang w:eastAsia="en-US"/>
        </w:rPr>
        <w:t xml:space="preserve"> wezwano do zwiększenia ochrony konsumentów przed najbardziej szkodliwymi chemikaliami oraz do rozszerzenia ogólnego podejścia do stosowania szkodliwych chemikaliów (opartego na ogólnych zakazach zapobiegawczych) w celu zapewnienia większej spójności ochrony konsumentów, słabszych grup społecznych i środowiska naturalnego. W ramach strategii zobowiązano się w szczególności do podkreślenia w dyrektywie 2009/48/WE znaczenia ochrony przed ryzykiem związanym z najbardziej szkodliwymi chemikaliami i możliwym połączonym oddziaływaniem chemikaliów.</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(5)</w:t>
      </w:r>
      <w:r w:rsidRPr="00092171">
        <w:rPr>
          <w:szCs w:val="24"/>
          <w:lang w:eastAsia="en-US"/>
        </w:rPr>
        <w:tab/>
        <w:t>Ponieważ przepisy określające wymagania dla zabawek, w szczególności zasadnicze wymagania i procedury oceny zgodności, muszą być stosowane w sposób jednolity w całej Unii i nie mogą przewidywać możliwości ich rozbieżnego wdrażania przez państwa członkowskie, dyrektywę 2009/48/WE należy zastąpić rozporządzeniem.</w:t>
      </w:r>
    </w:p>
    <w:p w:rsidR="00092171" w:rsidRPr="00092171" w:rsidRDefault="00092171" w:rsidP="00092171">
      <w:pPr>
        <w:spacing w:before="120" w:after="120" w:line="360" w:lineRule="auto"/>
        <w:ind w:left="850" w:hanging="850"/>
        <w:rPr>
          <w:szCs w:val="24"/>
          <w:lang w:eastAsia="en-US"/>
        </w:rPr>
      </w:pPr>
      <w:r w:rsidRPr="00092171">
        <w:rPr>
          <w:szCs w:val="24"/>
          <w:lang w:eastAsia="en-US"/>
        </w:rPr>
        <w:t>(6)</w:t>
      </w:r>
      <w:r w:rsidRPr="00092171">
        <w:rPr>
          <w:szCs w:val="24"/>
          <w:lang w:eastAsia="en-US"/>
        </w:rPr>
        <w:tab/>
        <w:t>Zabawki są również przedmiotem rozporządzenia (UE) 2023/988 w sprawie ogólnego bezpieczeństwa produktów</w:t>
      </w:r>
      <w:r w:rsidRPr="00092171">
        <w:rPr>
          <w:szCs w:val="24"/>
          <w:vertAlign w:val="superscript"/>
          <w:lang w:val="en-GB" w:eastAsia="en-US"/>
        </w:rPr>
        <w:footnoteReference w:id="5"/>
      </w:r>
      <w:r w:rsidRPr="00092171">
        <w:rPr>
          <w:szCs w:val="24"/>
          <w:lang w:eastAsia="en-US"/>
        </w:rPr>
        <w:t>, które ma zastosowanie w sposób uzupełniający w kwestiach nieobjętych szczegółowym prawodawstwem sektorowym dotyczącym produktów konsumenckich. W szczególności sekcja 2 rozdziału III i rozdział IV w odniesieniu do sprzedaży przez internet, rozdział VI dotyczący systemu wczesnego ostrzegania Safety Gate i Safety Business Gateway oraz rozdział VIII dotyczący prawa do informacji i do środków ochrony prawnej mają również zastosowanie do zabawek. W związku z tym niniejsze rozporządzenie nie zawiera przepisów szczegółowych dotyczących sprzedaży na odległość i sprzedaży przez internet, zgłaszania wypadków przez podmioty gospodarcze ani prawa do informacji i do środków ochrony prawnej, ale zobowiązuje się w nim podmioty gospodarcze dostarczające informacje na temat kwestii bezpieczeństwa dotyczących zabawek do informowania organów i konsumentów zgodnie z procedurami określonymi w rozporządzeniu (UE) 2023/988.</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(7)</w:t>
      </w:r>
      <w:r w:rsidRPr="00092171">
        <w:rPr>
          <w:szCs w:val="24"/>
          <w:lang w:eastAsia="en-US"/>
        </w:rPr>
        <w:tab/>
        <w:t>W rozporządzeniu Parlamentu Europejskiego i Rady (WE) nr 765/2008</w:t>
      </w:r>
      <w:r w:rsidRPr="00092171">
        <w:rPr>
          <w:szCs w:val="24"/>
          <w:vertAlign w:val="superscript"/>
          <w:lang w:val="en-GB" w:eastAsia="en-US"/>
        </w:rPr>
        <w:footnoteReference w:id="6"/>
      </w:r>
      <w:r w:rsidRPr="00092171">
        <w:rPr>
          <w:szCs w:val="24"/>
          <w:lang w:eastAsia="en-US"/>
        </w:rPr>
        <w:t xml:space="preserve"> określono przepisy dotyczące akredytacji jednostek oceniających zgodność oraz ogólne zasady oznakowania CE. Rozporządzenie to powinno mieć zastosowanie do zabawek, tak aby zabawki korzystające ze swobodnego przepływu towarów w Unii spełniały wymogi zapewniające wysoki poziom ochrony zdrowia i bezpieczeństwa osób, w szczególności dzieci.</w:t>
      </w:r>
    </w:p>
    <w:p w:rsidR="00092171" w:rsidRPr="00092171" w:rsidRDefault="00092171" w:rsidP="00092171">
      <w:pPr>
        <w:spacing w:before="120" w:after="120" w:line="360" w:lineRule="auto"/>
        <w:ind w:left="850" w:hanging="850"/>
        <w:rPr>
          <w:szCs w:val="24"/>
          <w:lang w:eastAsia="en-US"/>
        </w:rPr>
      </w:pPr>
      <w:r w:rsidRPr="00092171">
        <w:rPr>
          <w:szCs w:val="24"/>
          <w:lang w:eastAsia="en-US"/>
        </w:rPr>
        <w:t>(8)</w:t>
      </w:r>
      <w:r w:rsidRPr="00092171">
        <w:rPr>
          <w:szCs w:val="24"/>
          <w:lang w:eastAsia="en-US"/>
        </w:rPr>
        <w:tab/>
        <w:t>Decyzją Parlamentu Europejskiego i Rady nr 768/2008/WE</w:t>
      </w:r>
      <w:r w:rsidRPr="00092171">
        <w:rPr>
          <w:szCs w:val="24"/>
          <w:vertAlign w:val="superscript"/>
          <w:lang w:val="en-GB" w:eastAsia="en-US"/>
        </w:rPr>
        <w:footnoteReference w:id="7"/>
      </w:r>
      <w:r w:rsidRPr="00092171">
        <w:rPr>
          <w:szCs w:val="24"/>
          <w:lang w:eastAsia="en-US"/>
        </w:rPr>
        <w:t xml:space="preserve"> ustanowiono wspólne zasady i przepisy odniesienia, które mają być stosowane w prawodawstwie sektorowym dotyczącym produktów, aby zapewnić spójne podstawy dla tego prawodawstwa. Niniejsze rozporządzenie należy zatem opracować, w miarę możliwości, zgodnie z tymi wspólnymi zasadami i przepisami odniesienia.</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(9)</w:t>
      </w:r>
      <w:r w:rsidRPr="00092171">
        <w:rPr>
          <w:szCs w:val="24"/>
          <w:lang w:eastAsia="en-US"/>
        </w:rPr>
        <w:tab/>
        <w:t xml:space="preserve">W niniejszym rozporządzeniu należy określić zasadnicze wymagania dotyczące zabawek w celu zapewnienia wysokiego poziomu ochrony zdrowia i bezpieczeństwa dzieci podczas zabawy zabawkami, a także swobodnego przepływu zabawek w Unii. Niniejsze rozporządzenie należy </w:t>
      </w:r>
      <w:r w:rsidRPr="00092171">
        <w:rPr>
          <w:strike/>
          <w:szCs w:val="24"/>
          <w:lang w:eastAsia="en-US"/>
        </w:rPr>
        <w:t>stosować</w:t>
      </w:r>
      <w:r w:rsidRPr="00092171">
        <w:rPr>
          <w:b/>
          <w:i/>
          <w:szCs w:val="24"/>
          <w:lang w:eastAsia="en-US"/>
        </w:rPr>
        <w:t>wdrożyć</w:t>
      </w:r>
      <w:r w:rsidRPr="00092171">
        <w:rPr>
          <w:szCs w:val="24"/>
          <w:lang w:eastAsia="en-US"/>
        </w:rPr>
        <w:t xml:space="preserve"> z należytym uwzględnieniem zasady ostrożności.</w:t>
      </w:r>
      <w:r w:rsidR="00770204">
        <w:rPr>
          <w:b/>
          <w:szCs w:val="24"/>
          <w:lang w:eastAsia="en-US"/>
        </w:rPr>
        <w:t xml:space="preserve"> [Popr. 2]</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(10)</w:t>
      </w:r>
      <w:r w:rsidRPr="00092171">
        <w:rPr>
          <w:szCs w:val="24"/>
          <w:lang w:eastAsia="en-US"/>
        </w:rPr>
        <w:tab/>
        <w:t>Aby ułatwić producentom i organom krajowym stosowanie niniejszego rozporządzenia, należy jasno określić jego zakres stosowania. Powinno ono mieć zastosowanie do wszystkich produktów zaprojektowanych lub przeznaczonych do użytku podczas zabawy przez dzieci poniżej 14 roku życia. Produkt można uznać za zabawkę, nawet jeżeli nie jest przeznaczony wyłącznie do zabawy i posiada inne dodatkowe funkcje. To, czy produkt ma wartość zabawową, zależy od zastosowania przewidzianego przez producenta lub od zastosowania produktu możliwego do przewidzenia w sposób rozsądny przez rodzica lub opiekuna. Jednocześnie konieczne jest wyłączenie z zakresu stosowania rozporządzenia określonych zabawek, które nie są przeznaczone do użytku domowego, takich jak wyposażenie publicznych placów zabaw lub automaty przeznaczone do użytku publicznego, lub inne zabawki wyposażone w silniki spalinowe i parowe, ponieważ takie zabawki mogą stwarzać ryzyko dla zdrowia i bezpieczeństwa dzieci, które nie jest objęte zakresem niniejszego rozporządzenia. Należy ponadto przedstawić wykaz produktów, które mogą być mylone z zabawkami, ale nie należy uznawać ich za zabawki w rozumieniu niniejszego rozporządzenia.</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(11)</w:t>
      </w:r>
      <w:r w:rsidRPr="00092171">
        <w:rPr>
          <w:szCs w:val="24"/>
          <w:lang w:eastAsia="en-US"/>
        </w:rPr>
        <w:tab/>
        <w:t>Niniejsze rozporządzenie powinno mieć zastosowanie do zabawek, które są nowe na rynku Unii w chwili wprowadzenia do obrotu, tj. są to nowe zabawki wyprodukowane przez producenta mającego siedzibę na terytorium Unii albo zabawki, bez względu na to czy są nowe czy używane, przywożone z państwa trzeciego. Bezpieczeństwo innych produktów używanych jest objęte zakresem stosowania rozporządzenia Parlamentu Europejskiego i Rady (UE) 2023/988</w:t>
      </w:r>
      <w:r w:rsidRPr="00092171">
        <w:rPr>
          <w:szCs w:val="24"/>
          <w:vertAlign w:val="superscript"/>
          <w:lang w:val="en-GB" w:eastAsia="en-US"/>
        </w:rPr>
        <w:footnoteReference w:id="8"/>
      </w:r>
      <w:r w:rsidRPr="00092171">
        <w:rPr>
          <w:szCs w:val="24"/>
          <w:lang w:eastAsia="en-US"/>
        </w:rPr>
        <w:t>.</w:t>
      </w:r>
    </w:p>
    <w:p w:rsidR="00092171" w:rsidRPr="00092171" w:rsidRDefault="00092171" w:rsidP="00092171">
      <w:pPr>
        <w:spacing w:before="120" w:after="120" w:line="360" w:lineRule="auto"/>
        <w:ind w:left="850" w:hanging="850"/>
        <w:rPr>
          <w:szCs w:val="24"/>
          <w:lang w:eastAsia="en-US"/>
        </w:rPr>
      </w:pPr>
      <w:r w:rsidRPr="00092171">
        <w:rPr>
          <w:szCs w:val="24"/>
          <w:lang w:eastAsia="en-US"/>
        </w:rPr>
        <w:t>(12)</w:t>
      </w:r>
      <w:r w:rsidRPr="00092171">
        <w:rPr>
          <w:szCs w:val="24"/>
          <w:lang w:eastAsia="en-US"/>
        </w:rPr>
        <w:tab/>
        <w:t>W celu zapewnienia odpowiedniej ochrony dzieci i innych osób niniejsze rozporządzenie powinno mieć zastosowanie do wszystkich form dostaw zabawek, w tym sprzedaży na odległość, o której mowa w art. 6 rozporządzenia Parlamentu Europejskiego i Rady (UE) 2019/1020</w:t>
      </w:r>
      <w:r w:rsidRPr="00092171">
        <w:rPr>
          <w:szCs w:val="24"/>
          <w:vertAlign w:val="superscript"/>
          <w:lang w:val="en-GB" w:eastAsia="en-US"/>
        </w:rPr>
        <w:footnoteReference w:id="9"/>
      </w:r>
      <w:r w:rsidRPr="00092171">
        <w:rPr>
          <w:szCs w:val="24"/>
          <w:lang w:eastAsia="en-US"/>
        </w:rPr>
        <w:t>.</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(13)</w:t>
      </w:r>
      <w:r w:rsidRPr="00092171">
        <w:rPr>
          <w:szCs w:val="24"/>
          <w:lang w:eastAsia="en-US"/>
        </w:rPr>
        <w:tab/>
        <w:t>Zasadnicze wymagania bezpieczeństwa dotyczące zabawek powinny zapewniać ochronę przed wszelkimi istotnymi zagrożeniami dla zdrowia i bezpieczeństwa stwarzanymi przez zabawki w odniesieniu do użytkowników lub osób trzecich. Zakres szczegółowych wymagań bezpieczeństwa powinien obejmować właściwości fizyczne i mechaniczne, palność, właściwości chemiczne, elektryczne, higienę i radioaktywność, aby zapewnić odpowiednią ochronę dzieci przed tymi konkretnymi zagrożeniami. Z uwagi na fakt, iż możliwe jest istnienie lub opracowanie zabawek, które stwarzają zagrożenia nieobjęte szczegółowymi wymaganiami bezpieczeństwa, konieczne jest utrzymanie ogólnych wymagań bezpieczeństwa w celu zapewnienia ochrony dzieci w odniesieniu do takich zabawek. Bezpieczeństwo zabawek powinno być określone w odniesieniu do zamierzonego użycia takiej zabawki, przy jednoczesnym uwzględnieniu przewidywanego użycia i mając na względzie zachowanie dzieci, które zazwyczaj nie zachowują takich samych środków ostrożności, jak przeciętny dorosły użytkownik. Ogólne wymagania bezpieczeństwa wraz ze szczegółowymi wymaganiami bezpieczeństwa powinny stanowić zasadnicze wymagania bezpieczeństwa dotyczące zabawek.</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(14)</w:t>
      </w:r>
      <w:r w:rsidRPr="00092171">
        <w:rPr>
          <w:szCs w:val="24"/>
          <w:lang w:eastAsia="en-US"/>
        </w:rPr>
        <w:tab/>
        <w:t>Opieranie się na technologiach cyfrowych doprowadziło do powstania nowych zagrożeń związanych z zabawkami. Zabawki radiowe muszą spełniać zasadnicze wymagania dotyczące ochrony prywatności, a zabawki podłączone do internetu muszą posiadać wbudowane systemy zabezpieczające w zakresie cyberbezpieczeństwa i ochrony przed oszustwami zgodnie z dyrektywą Parlamentu Europejskiego i Rady 2014/53/UE</w:t>
      </w:r>
      <w:r w:rsidRPr="00092171">
        <w:rPr>
          <w:szCs w:val="24"/>
          <w:vertAlign w:val="superscript"/>
          <w:lang w:val="en-GB" w:eastAsia="en-US"/>
        </w:rPr>
        <w:footnoteReference w:id="10"/>
      </w:r>
      <w:r w:rsidRPr="00092171">
        <w:rPr>
          <w:szCs w:val="24"/>
          <w:lang w:eastAsia="en-US"/>
        </w:rPr>
        <w:t>. Zabawki wykorzystujące sztuczną inteligencję muszą spełniać wymogi określone w rozporządzeniu (UE) .../... [Urząd Publikacji: proszę wstawić numer porządkowy rozporządzenia ustanawiającego zharmonizowane przepisy dotyczące sztucznej inteligencji]</w:t>
      </w:r>
      <w:r w:rsidRPr="00092171">
        <w:rPr>
          <w:szCs w:val="24"/>
          <w:vertAlign w:val="superscript"/>
          <w:lang w:val="en-GB" w:eastAsia="en-US"/>
        </w:rPr>
        <w:footnoteReference w:id="11"/>
      </w:r>
      <w:r w:rsidRPr="00092171">
        <w:rPr>
          <w:szCs w:val="24"/>
          <w:lang w:eastAsia="en-US"/>
        </w:rPr>
        <w:t xml:space="preserve">. W związku z tym </w:t>
      </w:r>
      <w:r w:rsidRPr="00092171">
        <w:rPr>
          <w:strike/>
          <w:szCs w:val="24"/>
          <w:lang w:eastAsia="en-US"/>
        </w:rPr>
        <w:t>nie należy określać szczegółowych wymagań</w:t>
      </w:r>
      <w:r w:rsidRPr="00092171">
        <w:rPr>
          <w:b/>
          <w:i/>
          <w:szCs w:val="24"/>
          <w:lang w:eastAsia="en-US"/>
        </w:rPr>
        <w:t>takie zabawki powinny być zgodne z normami bezpieczeństwa, ochrony i prywatności już w fazie projektowania. Szczegółowe wymagania</w:t>
      </w:r>
      <w:r w:rsidRPr="00092171">
        <w:rPr>
          <w:szCs w:val="24"/>
          <w:lang w:eastAsia="en-US"/>
        </w:rPr>
        <w:t xml:space="preserve"> bezpieczeństwa </w:t>
      </w:r>
      <w:r w:rsidRPr="00092171">
        <w:rPr>
          <w:strike/>
          <w:szCs w:val="24"/>
          <w:lang w:eastAsia="en-US"/>
        </w:rPr>
        <w:t>dotyczących</w:t>
      </w:r>
      <w:r w:rsidRPr="00092171">
        <w:rPr>
          <w:b/>
          <w:i/>
          <w:szCs w:val="24"/>
          <w:lang w:eastAsia="en-US"/>
        </w:rPr>
        <w:t>dotyczące</w:t>
      </w:r>
      <w:r w:rsidRPr="00092171">
        <w:rPr>
          <w:szCs w:val="24"/>
          <w:lang w:eastAsia="en-US"/>
        </w:rPr>
        <w:t xml:space="preserve"> cyberbezpieczeństwa, ochrony danych osobowych i prywatności </w:t>
      </w:r>
      <w:r w:rsidRPr="00092171">
        <w:rPr>
          <w:strike/>
          <w:szCs w:val="24"/>
          <w:lang w:eastAsia="en-US"/>
        </w:rPr>
        <w:t>ani</w:t>
      </w:r>
      <w:r w:rsidRPr="00092171">
        <w:rPr>
          <w:b/>
          <w:i/>
          <w:szCs w:val="24"/>
          <w:lang w:eastAsia="en-US"/>
        </w:rPr>
        <w:t>lub</w:t>
      </w:r>
      <w:r w:rsidRPr="00092171">
        <w:rPr>
          <w:szCs w:val="24"/>
          <w:lang w:eastAsia="en-US"/>
        </w:rPr>
        <w:t xml:space="preserve"> innych zagrożeń związanych z wykorzystaniem sztucznej inteligencji w zabawkach</w:t>
      </w:r>
      <w:r w:rsidRPr="00092171">
        <w:rPr>
          <w:strike/>
          <w:szCs w:val="24"/>
          <w:lang w:eastAsia="en-US"/>
        </w:rPr>
        <w:t>. Nie należy jednak ograniczać ochrony zdrowia dzieci do zapewnienia braku choroby lub niepełnosprawności, a korzystanie z technologii cyfrowych może stwarzać ryzyko dla dzieci, które wykracza poza zakres ich zdrowia fizycznego. Aby zapewnić ochronę dzieci przed ryzykiem wynikającym z korzystania z technologii cyfrowych stosowanych w zabawkach, w ramach ogólnych wymagań bezpieczeństwa należy zapewnić zdrowie psychiczne, a także dobrostan i rozwój poznawczy dzieci</w:t>
      </w:r>
      <w:r w:rsidRPr="00092171">
        <w:rPr>
          <w:b/>
          <w:i/>
          <w:szCs w:val="24"/>
          <w:lang w:eastAsia="en-US"/>
        </w:rPr>
        <w:t xml:space="preserve"> powinny się znaleźć w specjalnych przepisach</w:t>
      </w:r>
      <w:r w:rsidRPr="00092171">
        <w:rPr>
          <w:szCs w:val="24"/>
          <w:lang w:eastAsia="en-US"/>
        </w:rPr>
        <w:t>.</w:t>
      </w:r>
      <w:r w:rsidR="00770204">
        <w:rPr>
          <w:b/>
          <w:szCs w:val="24"/>
          <w:lang w:eastAsia="en-US"/>
        </w:rPr>
        <w:t xml:space="preserve"> [Popr. 3]</w:t>
      </w:r>
    </w:p>
    <w:p w:rsidR="00770204" w:rsidRDefault="00770204">
      <w:pPr>
        <w:widowControl/>
        <w:rPr>
          <w:b/>
          <w:i/>
          <w:szCs w:val="24"/>
          <w:lang w:eastAsia="en-US"/>
        </w:rPr>
      </w:pPr>
      <w:r>
        <w:rPr>
          <w:b/>
          <w:i/>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lastRenderedPageBreak/>
        <w:t>(14a)</w:t>
      </w:r>
      <w:r w:rsidRPr="00092171">
        <w:rPr>
          <w:szCs w:val="24"/>
          <w:lang w:eastAsia="en-US"/>
        </w:rPr>
        <w:tab/>
      </w:r>
      <w:r w:rsidRPr="00092171">
        <w:rPr>
          <w:b/>
          <w:i/>
          <w:szCs w:val="24"/>
          <w:lang w:eastAsia="en-US"/>
        </w:rPr>
        <w:t>Zgodnie z rozporządzeniem (UE) .../... [Dz.U. proszę wstawić numer seryjny rozporządzenia ustanawiającego zharmonizowane przepisy dotyczące sztucznej inteligencji] zabawki zawierające systemy sztucznej inteligencji jako elementy bezpieczeństwa uznaje się za sztuczną inteligencję wysokiego ryzyka. Ponadto zgodnie z aktem dotyczącym cyberodporności zabawki połączone z internetem, które mają cechy zachęcające do interakcji (np. mówienie lub filmowanie) lub które posiadają funkcje śledzenia lokalizacji, uznaje się za ważne produkty z elementami cyfrowymi (klasa I). Na podstawie tych rozporządzeń tego typu zabawki wymagają przeprowadzenia przez stronę trzecią oceny zgodności, chyba że producent zastosował odpowiednie normy zharmonizowane.</w:t>
      </w:r>
      <w:r w:rsidR="00770204">
        <w:rPr>
          <w:b/>
          <w:szCs w:val="24"/>
          <w:lang w:eastAsia="en-US"/>
        </w:rPr>
        <w:t xml:space="preserve"> [Popr. 4]</w:t>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t>(14b)</w:t>
      </w:r>
      <w:r w:rsidRPr="00092171">
        <w:rPr>
          <w:szCs w:val="24"/>
          <w:lang w:eastAsia="en-US"/>
        </w:rPr>
        <w:tab/>
      </w:r>
      <w:r w:rsidRPr="00092171">
        <w:rPr>
          <w:b/>
          <w:i/>
          <w:szCs w:val="24"/>
          <w:lang w:eastAsia="en-US"/>
        </w:rPr>
        <w:t>Ocena bezpieczeństwa powinna w stosownych przypadkach uwzględniać zagrożenie dla zdrowia, które stwarzają zabawki połączone cyfrowo, w tym zagrożenia dla zdrowia psychicznego. W związku z tym podczas oceny bezpieczeństwa cyfrowo połączonych zabawek, które mogłyby mieć wpływ na dzieci, producenci powinni dopilnować, aby produkty, które udostępniają na rynku, spełniały już w fazie projektowania najwyższe normy bezpieczeństwa, ochrony i prywatności w najlepszym interesie dzieci.</w:t>
      </w:r>
      <w:r w:rsidR="00770204">
        <w:rPr>
          <w:b/>
          <w:szCs w:val="24"/>
          <w:lang w:eastAsia="en-US"/>
        </w:rPr>
        <w:t xml:space="preserve"> [Popr. 5]</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(15)</w:t>
      </w:r>
      <w:r w:rsidRPr="00092171">
        <w:rPr>
          <w:szCs w:val="24"/>
          <w:lang w:eastAsia="en-US"/>
        </w:rPr>
        <w:tab/>
        <w:t>Zabawki powinny spełniać wymagania fizyczne i mechaniczne, dzięki którym dzieci nie odnoszą obrażeń fizycznych podczas zabawy zabawkami, i nie powinny stwarzać ryzyka zadławienia się ani uduszenia dzieci. W celu ochrony dzieci przed ryzykiem uszkodzenia słuchu należy określić maksymalne wartości</w:t>
      </w:r>
      <w:r w:rsidRPr="00092171">
        <w:rPr>
          <w:b/>
          <w:i/>
          <w:szCs w:val="24"/>
          <w:lang w:eastAsia="en-US"/>
        </w:rPr>
        <w:t>, uwzględniając badania naukowe i zalecenia ekspertów medycznych</w:t>
      </w:r>
      <w:r w:rsidRPr="00092171">
        <w:rPr>
          <w:szCs w:val="24"/>
          <w:lang w:eastAsia="en-US"/>
        </w:rPr>
        <w:t xml:space="preserve"> zarówno w odniesieniu do hałasu impulsowego, jak i ciągłego, emitowanego przez zabawki</w:t>
      </w:r>
      <w:r w:rsidRPr="00092171">
        <w:rPr>
          <w:b/>
          <w:i/>
          <w:szCs w:val="24"/>
          <w:lang w:eastAsia="en-US"/>
        </w:rPr>
        <w:t>, które zaprojektowano, aby wydawały dźwięki</w:t>
      </w:r>
      <w:r w:rsidRPr="00092171">
        <w:rPr>
          <w:szCs w:val="24"/>
          <w:lang w:eastAsia="en-US"/>
        </w:rPr>
        <w:t>. Zabawki lub ich części oraz opakowania, co do których można zasadnie oczekiwać, iż wejdą w kontakt z żywnością albo nastąpi migracja ich składników do żywności w przypadku ich zastosowania w normalnych lub możliwych do przewidzenia warunkach, są przedmiotem rozporządzenia (WE) nr 1935/2004 Parlamentu Europejskiego i Rady</w:t>
      </w:r>
      <w:r w:rsidRPr="00092171">
        <w:rPr>
          <w:szCs w:val="24"/>
          <w:vertAlign w:val="superscript"/>
          <w:lang w:val="en-GB" w:eastAsia="en-US"/>
        </w:rPr>
        <w:footnoteReference w:id="12"/>
      </w:r>
      <w:r w:rsidRPr="00092171">
        <w:rPr>
          <w:szCs w:val="24"/>
          <w:lang w:eastAsia="en-US"/>
        </w:rPr>
        <w:t>. Należy ustanowić ponadto szczegółowe wymagania bezpieczeństwa, aby objąć potencjalne szczególne zagrożenie, które może wynikać z zabawek znajdujących się w żywności, jako że dołączenie zabawki do żywności może spowodować ryzyko zadławienia się, które jest odmienne od ryzyka spowodowanego przez samą zabawkę i w związku z tym nieobjęte żadnymi szczególnymi środkami na szczeblu Unii. W odniesieniu do zabawek należy również zapewnić wystarczającą ochronę w zakresie palności lub właściwości elektrycznych, szczególnie w celu zapobiegania oparzeniom lub porażeniu prądem. Zabawki powinny ponadto spełniać określone normy higieny, aby uniknąć ryzyka mikrobiologicznego lub innego ryzyka zakażenia lub zanieczyszczenia.</w:t>
      </w:r>
      <w:r w:rsidR="00770204">
        <w:rPr>
          <w:b/>
          <w:szCs w:val="24"/>
          <w:lang w:eastAsia="en-US"/>
        </w:rPr>
        <w:t xml:space="preserve"> [Popr. 6]</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(16)</w:t>
      </w:r>
      <w:r w:rsidRPr="00092171">
        <w:rPr>
          <w:szCs w:val="24"/>
          <w:lang w:eastAsia="en-US"/>
        </w:rPr>
        <w:tab/>
        <w:t xml:space="preserve">Chemikalia zaklasyfikowane jako rakotwórcze, mutagenne lub działające szkodliwie na rozrodczość (substancje CMR), chemikalia wpływające na układ hormonalny, układ oddechowy lub toksyczne dla konkretnego narządu </w:t>
      </w:r>
      <w:r w:rsidRPr="00092171">
        <w:rPr>
          <w:b/>
          <w:i/>
          <w:szCs w:val="24"/>
          <w:lang w:eastAsia="en-US"/>
        </w:rPr>
        <w:t xml:space="preserve">albo mobilne, trwałe, wykazujące zdolność do bioakumulacji i toksyczne </w:t>
      </w:r>
      <w:r w:rsidRPr="00092171">
        <w:rPr>
          <w:szCs w:val="24"/>
          <w:lang w:eastAsia="en-US"/>
        </w:rPr>
        <w:t>są szczególnie szkodliwe dla dzieci</w:t>
      </w:r>
      <w:r w:rsidRPr="00092171">
        <w:rPr>
          <w:b/>
          <w:i/>
          <w:szCs w:val="24"/>
          <w:lang w:eastAsia="en-US"/>
        </w:rPr>
        <w:t xml:space="preserve"> i środowiska</w:t>
      </w:r>
      <w:r w:rsidRPr="00092171">
        <w:rPr>
          <w:szCs w:val="24"/>
          <w:lang w:eastAsia="en-US"/>
        </w:rPr>
        <w:t xml:space="preserve">, a ich zastosowanie w zabawkach należy </w:t>
      </w:r>
      <w:r w:rsidRPr="00092171">
        <w:rPr>
          <w:strike/>
          <w:szCs w:val="24"/>
          <w:lang w:eastAsia="en-US"/>
        </w:rPr>
        <w:t>wyraźnie</w:t>
      </w:r>
      <w:r w:rsidRPr="00092171">
        <w:rPr>
          <w:b/>
          <w:i/>
          <w:szCs w:val="24"/>
          <w:lang w:eastAsia="en-US"/>
        </w:rPr>
        <w:t>zdecydowanie</w:t>
      </w:r>
      <w:r w:rsidRPr="00092171">
        <w:rPr>
          <w:szCs w:val="24"/>
          <w:lang w:eastAsia="en-US"/>
        </w:rPr>
        <w:t xml:space="preserve"> uregulować. Biorąc pod uwagę zasadniczą rolę układu hormonalnego w rozwoju człowieka, wczesne narażenie na substancje zaburzające funkcjonowanie układu hormonalnego w okresach krytycznych, takich jak wczesne dzieciństwo, może prowadzić do niekorzystnych skutków nawet przy bardzo niskich dawkach i wpływać na zdrowie w późniejszych etapach życia. Substancje działające uczulająco na drogi oddechowe mogą prowadzić do wzrostu zachorowań na astmę dziecięcą, a substancje o działaniu neurotoksycznym są szczególnie szkodliwe dla rozwijającego się mózgu dzieci, który jest z natury bardziej podatny na toksyczne uszkodzenia niż mózg osoby dorosłej. </w:t>
      </w:r>
      <w:r w:rsidRPr="00092171">
        <w:rPr>
          <w:b/>
          <w:i/>
          <w:szCs w:val="24"/>
          <w:lang w:eastAsia="en-US"/>
        </w:rPr>
        <w:t xml:space="preserve">Trwałość i bioakumulacja prowadzą do ciągłego narażenia, a tym samym zwiększają ryzyko niekorzystnych skutków. Niektóre toksyczne substancje chemiczne są również mobilne w środowisku. </w:t>
      </w:r>
      <w:r w:rsidRPr="00092171">
        <w:rPr>
          <w:szCs w:val="24"/>
          <w:lang w:eastAsia="en-US"/>
        </w:rPr>
        <w:t>Dzieci należy również odpowiednio chronić przed działaniem substancji wywołujących alergię i określonych metali. Wymogi dotyczące substancji chemicznych określone w dyrektywie 2009/48/WE należy uaktualnić i wzmocnić. Zabawki muszą być zgodne z ogólnym prawodawstwem w zakresie chemikaliów, w szczególności z rozporządzeniem (WE) nr 1907/2006 Parlamentu Europejskiego i Rady</w:t>
      </w:r>
      <w:r w:rsidRPr="00092171">
        <w:rPr>
          <w:szCs w:val="24"/>
          <w:vertAlign w:val="superscript"/>
          <w:lang w:val="en-GB" w:eastAsia="en-US"/>
        </w:rPr>
        <w:footnoteReference w:id="13"/>
      </w:r>
      <w:r w:rsidRPr="00092171">
        <w:rPr>
          <w:szCs w:val="24"/>
          <w:lang w:eastAsia="en-US"/>
        </w:rPr>
        <w:t xml:space="preserve">. W celu zapewnienia dalszej ochrony dzieci, które należą do najbardziej narażonej grupy konsumentów, i innych osób, przedmiotowe ramy prawne należy uzupełnić ogólnymi zakazami dotyczącymi zabawek, obejmującymi określone niebezpieczne chemikalia sklasyfikowane zgodnie z rozporządzeniem Parlamentu Europejskiego i </w:t>
      </w:r>
      <w:r w:rsidRPr="00092171">
        <w:rPr>
          <w:szCs w:val="24"/>
          <w:lang w:eastAsia="en-US"/>
        </w:rPr>
        <w:lastRenderedPageBreak/>
        <w:t>Rady (WE) nr 1272/2008</w:t>
      </w:r>
      <w:r w:rsidRPr="00092171">
        <w:rPr>
          <w:szCs w:val="24"/>
          <w:vertAlign w:val="superscript"/>
          <w:lang w:val="en-GB" w:eastAsia="en-US"/>
        </w:rPr>
        <w:footnoteReference w:id="14"/>
      </w:r>
      <w:r w:rsidRPr="00092171">
        <w:rPr>
          <w:szCs w:val="24"/>
          <w:lang w:eastAsia="en-US"/>
        </w:rPr>
        <w:t xml:space="preserve">. Wspomniane ogólne zakazy powinny mieć zastosowanie do substancji CMR, substancji zaburzających funkcjonowanie układu hormonalnego, </w:t>
      </w:r>
      <w:r w:rsidRPr="00092171">
        <w:rPr>
          <w:b/>
          <w:i/>
          <w:szCs w:val="24"/>
          <w:lang w:eastAsia="en-US"/>
        </w:rPr>
        <w:t xml:space="preserve">które mają wpływ na zdrowie człowieka i środowisko, </w:t>
      </w:r>
      <w:r w:rsidRPr="00092171">
        <w:rPr>
          <w:szCs w:val="24"/>
          <w:lang w:eastAsia="en-US"/>
        </w:rPr>
        <w:t xml:space="preserve">substancji działających uczulająco na drogi oddechowe i substancji ukierunkowanych na konkretny narząd </w:t>
      </w:r>
      <w:r w:rsidRPr="00092171">
        <w:rPr>
          <w:strike/>
          <w:szCs w:val="24"/>
          <w:lang w:eastAsia="en-US"/>
        </w:rPr>
        <w:t>po sklasyfikowaniu tych substancji</w:t>
      </w:r>
      <w:r w:rsidRPr="00092171">
        <w:rPr>
          <w:b/>
          <w:i/>
          <w:szCs w:val="24"/>
          <w:lang w:eastAsia="en-US"/>
        </w:rPr>
        <w:t>lub mobilnych, trwałych, wykazujących zdolność do bioakumulacji i toksycznych, które spełniają kryteria klasyfikacji lub są sklasyfikowane</w:t>
      </w:r>
      <w:r w:rsidRPr="00092171">
        <w:rPr>
          <w:szCs w:val="24"/>
          <w:lang w:eastAsia="en-US"/>
        </w:rPr>
        <w:t xml:space="preserve"> jako niebezpieczne zgodnie z rozporządzeniem (WE) nr 1272/2008</w:t>
      </w:r>
      <w:r w:rsidR="003F02B7" w:rsidRPr="003F02B7">
        <w:rPr>
          <w:rStyle w:val="FootnoteReference"/>
          <w:strike/>
          <w:noProof/>
          <w:szCs w:val="24"/>
          <w:lang w:eastAsia="fr-BE"/>
        </w:rPr>
        <w:footnoteReference w:id="15"/>
      </w:r>
      <w:r w:rsidRPr="00092171">
        <w:rPr>
          <w:szCs w:val="24"/>
          <w:lang w:eastAsia="en-US"/>
        </w:rPr>
        <w:t>. Aby zapewnić bezpieczeństwo zabawek, obecność substancji zakazanych powinna być dopuszczalna w ilościach śladowych, jeżeli jest ona z technologicznego punktu widzenia nieunikniona według dobrej praktyki wytwarzania oraz jeżeli zabawka jest bezpieczna.</w:t>
      </w:r>
      <w:r w:rsidR="00770204">
        <w:rPr>
          <w:b/>
          <w:szCs w:val="24"/>
          <w:lang w:eastAsia="en-US"/>
        </w:rPr>
        <w:t xml:space="preserve"> [Popr. 7]</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(17)</w:t>
      </w:r>
      <w:r w:rsidRPr="00092171">
        <w:rPr>
          <w:szCs w:val="24"/>
          <w:lang w:eastAsia="en-US"/>
        </w:rPr>
        <w:tab/>
      </w:r>
      <w:r w:rsidRPr="00092171">
        <w:rPr>
          <w:strike/>
          <w:szCs w:val="24"/>
          <w:lang w:eastAsia="en-US"/>
        </w:rPr>
        <w:t xml:space="preserve">W celu zapewnienia elastyczności </w:t>
      </w:r>
      <w:r w:rsidRPr="00092171">
        <w:rPr>
          <w:szCs w:val="24"/>
          <w:lang w:eastAsia="en-US"/>
        </w:rPr>
        <w:t>W przypadku gdy bezpieczeństwo dzieci nie jest zagrożone</w:t>
      </w:r>
      <w:r w:rsidRPr="00092171">
        <w:rPr>
          <w:strike/>
          <w:szCs w:val="24"/>
          <w:lang w:eastAsia="en-US"/>
        </w:rPr>
        <w:t xml:space="preserve"> i gdy jest to konieczne do udostępnienia określonych zabawek na rynku, powinna</w:t>
      </w:r>
      <w:r w:rsidRPr="00092171">
        <w:rPr>
          <w:b/>
          <w:i/>
          <w:szCs w:val="24"/>
          <w:lang w:eastAsia="en-US"/>
        </w:rPr>
        <w:t>, a nie są dostępne odpowiednie alternatywne substancje chemiczne lub mieszaniny, może</w:t>
      </w:r>
      <w:r w:rsidRPr="00092171">
        <w:rPr>
          <w:szCs w:val="24"/>
          <w:lang w:eastAsia="en-US"/>
        </w:rPr>
        <w:t xml:space="preserve"> istnieć możliwość odstąpienia od ogólnych zakazów dotyczących obecności substancji </w:t>
      </w:r>
      <w:r w:rsidRPr="00092171">
        <w:rPr>
          <w:strike/>
          <w:szCs w:val="24"/>
          <w:lang w:eastAsia="en-US"/>
        </w:rPr>
        <w:t>chemicznych</w:t>
      </w:r>
      <w:r w:rsidRPr="00092171">
        <w:rPr>
          <w:b/>
          <w:i/>
          <w:szCs w:val="24"/>
          <w:lang w:eastAsia="en-US"/>
        </w:rPr>
        <w:t>i mieszanin</w:t>
      </w:r>
      <w:r w:rsidRPr="00092171">
        <w:rPr>
          <w:szCs w:val="24"/>
          <w:lang w:eastAsia="en-US"/>
        </w:rPr>
        <w:t xml:space="preserve"> w zabawkach. Odstępstwa od ogólnych zakazów umożliwiające stosowanie substancji </w:t>
      </w:r>
      <w:r w:rsidRPr="00092171">
        <w:rPr>
          <w:b/>
          <w:i/>
          <w:szCs w:val="24"/>
          <w:lang w:eastAsia="en-US"/>
        </w:rPr>
        <w:t xml:space="preserve">i mieszanin </w:t>
      </w:r>
      <w:r w:rsidRPr="00092171">
        <w:rPr>
          <w:szCs w:val="24"/>
          <w:lang w:eastAsia="en-US"/>
        </w:rPr>
        <w:t>zakazanych powinny</w:t>
      </w:r>
      <w:r w:rsidRPr="00092171">
        <w:rPr>
          <w:b/>
          <w:i/>
          <w:szCs w:val="24"/>
          <w:lang w:eastAsia="en-US"/>
        </w:rPr>
        <w:t xml:space="preserve"> być ograniczone czasowo,</w:t>
      </w:r>
      <w:r w:rsidRPr="00092171">
        <w:rPr>
          <w:szCs w:val="24"/>
          <w:lang w:eastAsia="en-US"/>
        </w:rPr>
        <w:t xml:space="preserve"> mieć ogólne zastosowanie i</w:t>
      </w:r>
      <w:r w:rsidRPr="00092171">
        <w:rPr>
          <w:strike/>
          <w:szCs w:val="24"/>
          <w:lang w:eastAsia="en-US"/>
        </w:rPr>
        <w:t xml:space="preserve"> powinny</w:t>
      </w:r>
      <w:r w:rsidRPr="00092171">
        <w:rPr>
          <w:szCs w:val="24"/>
          <w:lang w:eastAsia="en-US"/>
        </w:rPr>
        <w:t xml:space="preserve"> być możliwe jedynie w przypadku</w:t>
      </w:r>
      <w:r w:rsidRPr="00092171">
        <w:rPr>
          <w:b/>
          <w:i/>
          <w:szCs w:val="24"/>
          <w:lang w:eastAsia="en-US"/>
        </w:rPr>
        <w:t>,</w:t>
      </w:r>
      <w:r w:rsidRPr="00092171">
        <w:rPr>
          <w:szCs w:val="24"/>
          <w:lang w:eastAsia="en-US"/>
        </w:rPr>
        <w:t xml:space="preserve"> gdy stosowanie danej substancji</w:t>
      </w:r>
      <w:r w:rsidRPr="00092171">
        <w:rPr>
          <w:b/>
          <w:i/>
          <w:szCs w:val="24"/>
          <w:lang w:eastAsia="en-US"/>
        </w:rPr>
        <w:t xml:space="preserve"> lub mieszaniny</w:t>
      </w:r>
      <w:r w:rsidRPr="00092171">
        <w:rPr>
          <w:szCs w:val="24"/>
          <w:lang w:eastAsia="en-US"/>
        </w:rPr>
        <w:t xml:space="preserve"> uznaje się za bezpieczne dla dzieci, gdy </w:t>
      </w:r>
      <w:r w:rsidRPr="00092171">
        <w:rPr>
          <w:b/>
          <w:i/>
          <w:szCs w:val="24"/>
          <w:lang w:eastAsia="en-US"/>
        </w:rPr>
        <w:t xml:space="preserve">wyeliminowanie lub zastąpienie takich substancji zakazanych poprzez wprowadzenie zmian konstrukcyjnych lub innych materiałów lub komponentów nie jest technicznie możliwe, gdy </w:t>
      </w:r>
      <w:r w:rsidRPr="00092171">
        <w:rPr>
          <w:szCs w:val="24"/>
          <w:lang w:eastAsia="en-US"/>
        </w:rPr>
        <w:t xml:space="preserve">nie istnieją </w:t>
      </w:r>
      <w:r w:rsidRPr="00092171">
        <w:rPr>
          <w:strike/>
          <w:szCs w:val="24"/>
          <w:lang w:eastAsia="en-US"/>
        </w:rPr>
        <w:t>ekonomicznie opłacalne</w:t>
      </w:r>
      <w:r w:rsidRPr="00092171">
        <w:rPr>
          <w:b/>
          <w:i/>
          <w:szCs w:val="24"/>
          <w:lang w:eastAsia="en-US"/>
        </w:rPr>
        <w:t>technicznie wykonalne</w:t>
      </w:r>
      <w:r w:rsidRPr="00092171">
        <w:rPr>
          <w:szCs w:val="24"/>
          <w:lang w:eastAsia="en-US"/>
        </w:rPr>
        <w:t xml:space="preserve"> alternatywy dla danej substancji </w:t>
      </w:r>
      <w:r w:rsidRPr="00092171">
        <w:rPr>
          <w:b/>
          <w:i/>
          <w:szCs w:val="24"/>
          <w:lang w:eastAsia="en-US"/>
        </w:rPr>
        <w:t xml:space="preserve">lub mieszaniny, gdy na wniosek ECHA zgłoszono plan zastąpienia </w:t>
      </w:r>
      <w:r w:rsidRPr="00092171">
        <w:rPr>
          <w:szCs w:val="24"/>
          <w:lang w:eastAsia="en-US"/>
        </w:rPr>
        <w:t>i gdy stosowanie danej substancji</w:t>
      </w:r>
      <w:r w:rsidRPr="00092171">
        <w:rPr>
          <w:b/>
          <w:i/>
          <w:szCs w:val="24"/>
          <w:lang w:eastAsia="en-US"/>
        </w:rPr>
        <w:t xml:space="preserve"> lub mieszaniny</w:t>
      </w:r>
      <w:r w:rsidRPr="00092171">
        <w:rPr>
          <w:szCs w:val="24"/>
          <w:lang w:eastAsia="en-US"/>
        </w:rPr>
        <w:t xml:space="preserve"> nie jest zabronione w artykułach konsumpcyjnych na mocy rozporządzenia (WE) nr 1907/2006. Ocenę </w:t>
      </w:r>
      <w:r w:rsidRPr="00092171">
        <w:rPr>
          <w:strike/>
          <w:szCs w:val="24"/>
          <w:lang w:eastAsia="en-US"/>
        </w:rPr>
        <w:t xml:space="preserve">bezpieczeństwa stosowania </w:t>
      </w:r>
      <w:r w:rsidRPr="00092171">
        <w:rPr>
          <w:szCs w:val="24"/>
          <w:lang w:eastAsia="en-US"/>
        </w:rPr>
        <w:t>danej substancji</w:t>
      </w:r>
      <w:r w:rsidRPr="00092171">
        <w:rPr>
          <w:strike/>
          <w:szCs w:val="24"/>
          <w:lang w:eastAsia="en-US"/>
        </w:rPr>
        <w:t xml:space="preserve"> w zabawkach</w:t>
      </w:r>
      <w:r w:rsidRPr="00092171">
        <w:rPr>
          <w:szCs w:val="24"/>
          <w:lang w:eastAsia="en-US"/>
        </w:rPr>
        <w:t xml:space="preserve"> powinny przeprowadzić odpowiednie komitety naukowe w Europejskiej Agencji Chemikaliów (ECHA) w celu zapewnienia spójności i skutecznego wykorzystania zasobów w ocenie substancji </w:t>
      </w:r>
      <w:r w:rsidRPr="00092171">
        <w:rPr>
          <w:strike/>
          <w:szCs w:val="24"/>
          <w:lang w:eastAsia="en-US"/>
        </w:rPr>
        <w:t>chemicznych</w:t>
      </w:r>
      <w:r w:rsidRPr="00092171">
        <w:rPr>
          <w:b/>
          <w:i/>
          <w:szCs w:val="24"/>
          <w:lang w:eastAsia="en-US"/>
        </w:rPr>
        <w:t>i mieszanin</w:t>
      </w:r>
      <w:r w:rsidRPr="00092171">
        <w:rPr>
          <w:szCs w:val="24"/>
          <w:lang w:eastAsia="en-US"/>
        </w:rPr>
        <w:t xml:space="preserve"> w Unii.</w:t>
      </w:r>
      <w:r w:rsidR="00770204">
        <w:rPr>
          <w:b/>
          <w:szCs w:val="24"/>
          <w:lang w:eastAsia="en-US"/>
        </w:rPr>
        <w:t xml:space="preserve"> [Popr. 247]</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(18)</w:t>
      </w:r>
      <w:r w:rsidRPr="00092171">
        <w:rPr>
          <w:szCs w:val="24"/>
          <w:lang w:eastAsia="en-US"/>
        </w:rPr>
        <w:tab/>
        <w:t>Podmioty gospodarcze, stowarzyszenia branżowe lub inne zainteresowane strony powinny mieć możliwość złożenia do ECHA wniosku o ocenę dozwolonego zastosowania w odniesieniu do określonej substancji objętej ogólnym zakazem. ECHA powinna opracować i udostępnić format i sposób składania wniosków o ocenę. Ze względu na przejrzystość i przewidywalność ECHA powinna ponadto wydać wytyczne techniczne i naukowe dotyczące takich wniosków o ocenę.</w:t>
      </w:r>
    </w:p>
    <w:p w:rsidR="00092171" w:rsidRPr="00092171" w:rsidRDefault="00092171" w:rsidP="00092171">
      <w:pPr>
        <w:spacing w:before="120" w:after="120" w:line="360" w:lineRule="auto"/>
        <w:ind w:left="850" w:hanging="850"/>
        <w:rPr>
          <w:szCs w:val="24"/>
          <w:lang w:eastAsia="en-US"/>
        </w:rPr>
      </w:pPr>
      <w:r w:rsidRPr="00092171">
        <w:rPr>
          <w:szCs w:val="24"/>
          <w:lang w:eastAsia="en-US"/>
        </w:rPr>
        <w:t>(19)</w:t>
      </w:r>
      <w:r w:rsidRPr="00092171">
        <w:rPr>
          <w:szCs w:val="24"/>
          <w:lang w:eastAsia="en-US"/>
        </w:rPr>
        <w:tab/>
        <w:t>Komitet Naukowy ds. Zagrożeń dla Zdrowia i Środowiska oraz Pojawiających się Zagrożeń uznał, że stosowanie niklu w stali nierdzewnej i elementach przesyłających prąd elektryczny w zabawkach jest bezpieczne i powinno być dozwolone. Należy zezwolić na stosowanie innych substancji, które są niezbędne do przesyłania prądu elektrycznego, w zabawkach, aby umożliwić udostępnianie zabawek elektrycznych na rynku, jeżeli takie substancje są całkowicie niedostępne dla dziecka bawiącego się zabawką i tym samym nie stwarzają ryzyka.</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(20)</w:t>
      </w:r>
      <w:r w:rsidRPr="00092171">
        <w:rPr>
          <w:szCs w:val="24"/>
          <w:lang w:eastAsia="en-US"/>
        </w:rPr>
        <w:tab/>
        <w:t>Ponieważ kwestię baterii uregulowano w rozporządzeniu (UE) .../... [Urząd Publikacji: proszę wstawić numer porządkowy rozporządzenia w sprawie baterii i zużytych baterii]</w:t>
      </w:r>
      <w:r w:rsidRPr="00092171">
        <w:rPr>
          <w:szCs w:val="24"/>
          <w:vertAlign w:val="superscript"/>
          <w:lang w:val="en-GB" w:eastAsia="en-US"/>
        </w:rPr>
        <w:footnoteReference w:id="16"/>
      </w:r>
      <w:r w:rsidRPr="00092171">
        <w:rPr>
          <w:szCs w:val="24"/>
          <w:lang w:eastAsia="en-US"/>
        </w:rPr>
        <w:t>, wymagania dotyczące substancji chemicznych stosowanych w zabawkach nie powinny mieć zastosowania do baterii zawartych w zabawkach. Zabawki zawierające baterie należy jednak projektować w taki sposób, aby dzieci miały utrudniony dostęp do baterii.</w:t>
      </w:r>
      <w:r w:rsidRPr="00092171">
        <w:rPr>
          <w:b/>
          <w:i/>
          <w:szCs w:val="24"/>
          <w:lang w:eastAsia="en-US"/>
        </w:rPr>
        <w:t xml:space="preserve"> W sytuacjach, w których ze względu na charakter, wielkość lub kształt zabawki lub zawartej w niej małej elektroniki nie byłoby możliwe zaprojektowanie zabawki, w której bateria wewnętrzna jest możliwa do usunięcia i wymiany przez użytkownika końcowego, przy jednoczesnym zapewnieniu bezpieczeństwa dziecka i bezpiecznego dalszego używania zabawki, zabawka może być zaprojektowana w taki sposób, aby wyjąć i wymienić baterię mogły jedynie niezależne podmioty.</w:t>
      </w:r>
      <w:r w:rsidR="00770204">
        <w:rPr>
          <w:b/>
          <w:szCs w:val="24"/>
          <w:lang w:eastAsia="en-US"/>
        </w:rPr>
        <w:t xml:space="preserve"> [Popr. 8]</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(21)</w:t>
      </w:r>
      <w:r w:rsidRPr="00092171">
        <w:rPr>
          <w:szCs w:val="24"/>
          <w:lang w:eastAsia="en-US"/>
        </w:rPr>
        <w:tab/>
        <w:t>Obowiązujące wartości graniczne dotyczące określonych substancji chemicznych i odpowiadające im metody badań okazały się odpowiednie dla ochrony dzieci w odniesieniu do tych substancji i należy je utrzymać. W celu dostosowania się do nowej wiedzy naukowej Komisja powinna posiadać uprawnienia do zmiany tych wartości granicznych w stosownych przypadkach</w:t>
      </w:r>
      <w:r w:rsidRPr="00092171">
        <w:rPr>
          <w:b/>
          <w:i/>
          <w:szCs w:val="24"/>
          <w:lang w:eastAsia="en-US"/>
        </w:rPr>
        <w:t xml:space="preserve"> zgodnie z zasadą ostrożności i podejściem „Jedno zdrowie”</w:t>
      </w:r>
      <w:r w:rsidRPr="00092171">
        <w:rPr>
          <w:szCs w:val="24"/>
          <w:lang w:eastAsia="en-US"/>
        </w:rPr>
        <w:t>. W odniesieniu do arsenu</w:t>
      </w:r>
      <w:r w:rsidRPr="00092171">
        <w:rPr>
          <w:strike/>
          <w:szCs w:val="24"/>
          <w:lang w:eastAsia="en-US"/>
        </w:rPr>
        <w:t>, kadmu, chromu VI, ołowiu, rtęci</w:t>
      </w:r>
      <w:r w:rsidRPr="00092171">
        <w:rPr>
          <w:szCs w:val="24"/>
          <w:lang w:eastAsia="en-US"/>
        </w:rPr>
        <w:t xml:space="preserve"> i cyny organicznej, które są szczególnie toksyczne, a w związku z tym nie należy ich celowo stosować w zabawkach, należy ustanowić wartości graniczne na poziomie odpowiadającym połowie wartości uznawanej za bezpieczną przez właściwy organ naukowy, aby zapewnić w zabawce obecność tylko śladowych ilości zgodnych z zasadami dobrej praktyki wytwarzania.</w:t>
      </w:r>
      <w:r w:rsidRPr="00092171">
        <w:rPr>
          <w:b/>
          <w:i/>
          <w:szCs w:val="24"/>
          <w:lang w:eastAsia="en-US"/>
        </w:rPr>
        <w:t xml:space="preserve"> Stosowanie chromu VI, kadmu, rtęci i ołowiu, które są pierwiastkami wysoce toksycznymi, nie powinno być dozwolone w zabawkach, chyba że ich obecność jest technicznie nieunikniona zgodnie z zasadami dobrej praktyki wytwarzania, a ich pozostałości nie przekraczają granicy wykrywalności w jednorodnym materiale.</w:t>
      </w:r>
      <w:r w:rsidR="00770204">
        <w:rPr>
          <w:b/>
          <w:szCs w:val="24"/>
          <w:lang w:eastAsia="en-US"/>
        </w:rPr>
        <w:t xml:space="preserve"> [Popr. 248]</w:t>
      </w:r>
    </w:p>
    <w:p w:rsidR="00770204" w:rsidRDefault="00770204">
      <w:pPr>
        <w:widowControl/>
        <w:rPr>
          <w:b/>
          <w:i/>
          <w:szCs w:val="24"/>
          <w:lang w:eastAsia="en-US"/>
        </w:rPr>
      </w:pPr>
      <w:r>
        <w:rPr>
          <w:b/>
          <w:i/>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lastRenderedPageBreak/>
        <w:t>(21a)</w:t>
      </w:r>
      <w:r w:rsidRPr="00092171">
        <w:rPr>
          <w:szCs w:val="24"/>
          <w:lang w:eastAsia="en-US"/>
        </w:rPr>
        <w:tab/>
      </w:r>
      <w:r w:rsidRPr="00092171">
        <w:rPr>
          <w:b/>
          <w:i/>
          <w:szCs w:val="24"/>
          <w:lang w:eastAsia="en-US"/>
        </w:rPr>
        <w:t>Ołów jest naturalnie występującym toksycznym metalem, który może powodować u ludzi raka płuc, mózgu, żołądka i nerek. Może przedostać się do wody pitnej w przypadku korozji elementów wodociągu zawierających ołów, zwłaszcza gdy woda, która koroduje rury i inne elementy instalacji, charakteryzuje się wysoką kwasowością lub niską zawartością minerałów. W dyrektywie (UE) 2020/2184</w:t>
      </w:r>
      <w:r w:rsidRPr="00092171">
        <w:rPr>
          <w:szCs w:val="24"/>
          <w:vertAlign w:val="superscript"/>
          <w:lang w:val="en-GB" w:eastAsia="en-US"/>
        </w:rPr>
        <w:footnoteReference w:id="17"/>
      </w:r>
      <w:r w:rsidRPr="00092171">
        <w:rPr>
          <w:b/>
          <w:i/>
          <w:szCs w:val="24"/>
          <w:lang w:eastAsia="en-US"/>
        </w:rPr>
        <w:t xml:space="preserve"> znalazły się przepisy dotyczące zawartości ołowiu w wodzie pitnej. Nie można zatem wykluczyć, że zabawki produkowane przy użyciu wody mogą zawierać minimalne pozostałości ołowiu pochodzące z wody wykorzystywanej w procesie produkcji. Takie pozostałości należy uznać za technicznie nieuniknione zgodnie z zasadami dobrej praktyki wytwarzania, jeżeli ich eliminacja za pomocą dostępnych metod filtrowania lub absorpcji nie jest możliwa.</w:t>
      </w:r>
      <w:r w:rsidR="00770204">
        <w:rPr>
          <w:b/>
          <w:szCs w:val="24"/>
          <w:lang w:eastAsia="en-US"/>
        </w:rPr>
        <w:t xml:space="preserve"> [Popr. 249]</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(22)</w:t>
      </w:r>
      <w:r w:rsidRPr="00092171">
        <w:rPr>
          <w:szCs w:val="24"/>
          <w:lang w:eastAsia="en-US"/>
        </w:rPr>
        <w:tab/>
        <w:t>W dyrektywie 2009/48/WE uwzględniono wartości graniczne dla określonych substancji zastosowanych w zabawkach przeznaczonych do użytku przez dzieci w wieku poniżej 36 miesięcy lub przeznaczonych do wkładania do ust. Wykazano, że substancje te stwarzają również ryzyko dla starszych dzieci, ponieważ mogą one w równym stopniu być narażone na działanie takich chemikaliów przez kontakt ze skórą lub wdychanie. Te wartości graniczne powinny zatem mieć zastosowanie do wszystkich zabawek. Od czasu przyjęcia wartości granicznych w odniesieniu do bisfenolu A określonych w dyrektywie 2009/48/WE pojawiły się nowe dane naukowe. W kwietniu 2023 r. Europejski Urząd ds. Bezpieczeństwa Żywności (EFSA) ponownie ocenił ryzyko dla zdrowia publicznego wynikające z narażenia na działanie bisfenolu A i stwierdził, że narażenie na działanie bisfenolu A stanowi zagrożenie dla zdrowia konsumentów we wszystkich grupach wiekowych. EFSA określiła nowe tolerowane dzienne pobranie bisfenolu A, które jest znacznie niższe niż poprzednie. W świetle tych dowodów naukowych bisfenol A powinien podlegać ogólnemu zakazowi stosowania substancji CMR w zabawkach.</w:t>
      </w:r>
    </w:p>
    <w:p w:rsidR="00770204" w:rsidRDefault="00770204">
      <w:pPr>
        <w:widowControl/>
        <w:rPr>
          <w:b/>
          <w:i/>
          <w:szCs w:val="24"/>
          <w:lang w:eastAsia="en-US"/>
        </w:rPr>
      </w:pPr>
      <w:r>
        <w:rPr>
          <w:b/>
          <w:i/>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lastRenderedPageBreak/>
        <w:t>(22a)</w:t>
      </w:r>
      <w:r w:rsidRPr="00092171">
        <w:rPr>
          <w:szCs w:val="24"/>
          <w:lang w:eastAsia="en-US"/>
        </w:rPr>
        <w:tab/>
      </w:r>
      <w:r w:rsidRPr="00092171">
        <w:rPr>
          <w:b/>
          <w:i/>
          <w:szCs w:val="24"/>
          <w:lang w:eastAsia="en-US"/>
        </w:rPr>
        <w:t>Substancje per- i polifluoroalkilowe (PFAS) to duża rodzina ponad 10 000 substancji chemicznych wytwarzanych przez człowieka. Od czasu ich wprowadzenia pod koniec lat czterdziestych XX w. substancje PFAS są stosowane w coraz szerszej gamie produktów konsumenckich. Kontakt z najlepiej przebadanymi substancjami PFAS powoduje szereg niekorzystnych skutków zdrowotnych, w tym choroby tarczycy, uszkodzenie wątroby, otyłość, cukrzycę i zmniejszoną reaktywność na obowiązkowe szczepienia, a także zwiększone ryzyko raka piersi, nerek i jąder. Zabawki nie powinny zawierać żadnych substancji per- i polifluoroalkilowych (PFAS).</w:t>
      </w:r>
      <w:r w:rsidR="00770204">
        <w:rPr>
          <w:b/>
          <w:szCs w:val="24"/>
          <w:lang w:eastAsia="en-US"/>
        </w:rPr>
        <w:t xml:space="preserve"> [Popr. 9]</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(23)</w:t>
      </w:r>
      <w:r w:rsidRPr="00092171">
        <w:rPr>
          <w:szCs w:val="24"/>
          <w:lang w:eastAsia="en-US"/>
        </w:rPr>
        <w:tab/>
        <w:t>Aby zapewnić odpowiednią ochronę przed określonymi substancjami chemicznymi w przypadku pojawienia się nowej wiedzy naukowej, Komisja powinna posiadać uprawnienia do przyjmowania aktów delegowanych ustanawiających szczegółowe wartości graniczne dla każdej substancji chemicznej stosowanej w zabawkach. Jeżeli jest to uzasadnione w przypadku zabawek wiążących się z wyższym stopniej narażenia, we wspomnianych aktach delegowanych należy określić szczegółowe wartości graniczne w odniesieniu do zabawek przeznaczonych do użytku przez dzieci w wieku poniżej 36 miesięcy i innych zabawek przeznaczonych do wkładania do ust, z uwzględnieniem wymogów określonych w rozporządzeniu (WE) nr 1935/2004 oraz różnic między zabawkami a materiałami stykającymi się z żywnością lub wyrobami, które mogą wiązać się z ryzykiem wynikającym z kontaktu z jamą ustną poprzez ich zastosowanie jako materiału przeznaczonego do kontaktu z żywnością. Obecność substancji zapachowych w zabawkach wiąże się ze szczególnym ryzykiem dla zdrowia ludzkiego. W związku z tym należy ustanowić szczegółowe przepisy dotyczące stosowania substancji zapachowych w zabawkach oraz etykietowania substancji zapachowych. Komisja powinna być uprawniona do przyjmowania aktów delegowanych w celu zmiany tych przepisów, aby umożliwić dostosowanie do postępu naukowo-technicznego.</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(24)</w:t>
      </w:r>
      <w:r w:rsidRPr="00092171">
        <w:rPr>
          <w:szCs w:val="24"/>
          <w:lang w:eastAsia="en-US"/>
        </w:rPr>
        <w:tab/>
        <w:t>W przypadku gdy całkowite wyeliminowanie zagrożeń, jakie może stwarzać zabawka, na etapie projektowania jest niemożliwe, ryzyko szczątkowe należy uwzględnić w informacjach na temat produktu skierowanych do opiekunów dzieci w formie ostrzeżeń, z uwzględnieniem zdolności tych opiekunów do podjęcia niezbędnych środków ostrożności.</w:t>
      </w:r>
      <w:r w:rsidRPr="00092171">
        <w:rPr>
          <w:b/>
          <w:i/>
          <w:szCs w:val="24"/>
          <w:lang w:eastAsia="en-US"/>
        </w:rPr>
        <w:t xml:space="preserve"> Aby skutecznie prezentować takie informacje, producent może dodać kod QR z linkiem do instrukcji w formacie cyfrowym, ale ostrzeżenia zawsze powinien umieszczać na zabawce: na przymocowanej etykiecie lub opakowaniu.</w:t>
      </w:r>
      <w:r w:rsidR="00770204">
        <w:rPr>
          <w:b/>
          <w:szCs w:val="24"/>
          <w:lang w:eastAsia="en-US"/>
        </w:rPr>
        <w:t xml:space="preserve"> [Popr. 10]</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(25)</w:t>
      </w:r>
      <w:r w:rsidRPr="00092171">
        <w:rPr>
          <w:szCs w:val="24"/>
          <w:lang w:eastAsia="en-US"/>
        </w:rPr>
        <w:tab/>
        <w:t xml:space="preserve">Aby zapobiec wykorzystywaniu ostrzeżeń do obchodzenia obowiązujących wymagań bezpieczeństwa, ostrzeżenia przewidziane dla określonych kategorii zabawek nie powinny być dozwolone, jeżeli są one sprzeczne z zamierzonym zastosowaniem zabawki. W celu zapewnienia, aby opiekunowie byli świadomi wszelkich czynników ryzyka związanych z zabawką, konieczne jest zapewnienie </w:t>
      </w:r>
      <w:r w:rsidRPr="00092171">
        <w:rPr>
          <w:b/>
          <w:i/>
          <w:szCs w:val="24"/>
          <w:lang w:eastAsia="en-US"/>
        </w:rPr>
        <w:t xml:space="preserve">zrozumiałości, </w:t>
      </w:r>
      <w:r w:rsidRPr="00092171">
        <w:rPr>
          <w:szCs w:val="24"/>
          <w:lang w:eastAsia="en-US"/>
        </w:rPr>
        <w:t>czytelności i widoczności ostrzeżeń.</w:t>
      </w:r>
      <w:r w:rsidR="00770204">
        <w:rPr>
          <w:b/>
          <w:szCs w:val="24"/>
          <w:lang w:eastAsia="en-US"/>
        </w:rPr>
        <w:t xml:space="preserve"> [Popr. 11]</w:t>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t>(25a)</w:t>
      </w:r>
      <w:r w:rsidRPr="00092171">
        <w:rPr>
          <w:szCs w:val="24"/>
          <w:lang w:eastAsia="en-US"/>
        </w:rPr>
        <w:tab/>
      </w:r>
      <w:r w:rsidRPr="00092171">
        <w:rPr>
          <w:b/>
          <w:i/>
          <w:szCs w:val="24"/>
          <w:lang w:eastAsia="en-US"/>
        </w:rPr>
        <w:t>W trosce o świadomość wszelkich zagrożeń związanych z zabawką, zwłaszcza gdy zakup odbywa się na odległość i przez internet, konieczne jest zadbanie, aby ostrzeżenia w internecie były wyraźnie czytelne i natychmiast widoczne.</w:t>
      </w:r>
      <w:r w:rsidR="00770204">
        <w:rPr>
          <w:b/>
          <w:szCs w:val="24"/>
          <w:lang w:eastAsia="en-US"/>
        </w:rPr>
        <w:t xml:space="preserve"> [Popr. 12]</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(26)</w:t>
      </w:r>
      <w:r w:rsidRPr="00092171">
        <w:rPr>
          <w:szCs w:val="24"/>
          <w:lang w:eastAsia="en-US"/>
        </w:rPr>
        <w:tab/>
        <w:t>Podmioty gospodarcze powinny postępować w sposób odpowiedzialny i w pełni zgodny z obowiązującymi wymaganiami prawnymi przy wprowadzaniu zabawek do obrotu lub udostępnianiu ich na rynku.</w:t>
      </w:r>
    </w:p>
    <w:p w:rsidR="00092171" w:rsidRPr="00092171" w:rsidRDefault="00092171" w:rsidP="00092171">
      <w:pPr>
        <w:spacing w:before="120" w:after="120" w:line="360" w:lineRule="auto"/>
        <w:ind w:left="850" w:hanging="850"/>
        <w:rPr>
          <w:szCs w:val="24"/>
          <w:lang w:eastAsia="en-US"/>
        </w:rPr>
      </w:pPr>
      <w:r w:rsidRPr="00092171">
        <w:rPr>
          <w:szCs w:val="24"/>
          <w:lang w:eastAsia="en-US"/>
        </w:rPr>
        <w:t>(27)</w:t>
      </w:r>
      <w:r w:rsidRPr="00092171">
        <w:rPr>
          <w:szCs w:val="24"/>
          <w:lang w:eastAsia="en-US"/>
        </w:rPr>
        <w:tab/>
        <w:t>Aby zapewnić wysoki poziom ochrony zdrowia i bezpieczeństwa dzieci oraz uczciwą konkurencję na rynku wewnętrznym, podmioty gospodarcze powinny odpowiadać za zgodność zabawek z niniejszym rozporządzeniem, zgodnie z ich rolą w łańcuchu dostaw.</w:t>
      </w:r>
    </w:p>
    <w:p w:rsidR="00092171" w:rsidRPr="00092171" w:rsidRDefault="00092171" w:rsidP="00092171">
      <w:pPr>
        <w:spacing w:before="120" w:after="120" w:line="360" w:lineRule="auto"/>
        <w:ind w:left="850" w:hanging="850"/>
        <w:rPr>
          <w:szCs w:val="24"/>
          <w:lang w:eastAsia="en-US"/>
        </w:rPr>
      </w:pPr>
      <w:r w:rsidRPr="00092171">
        <w:rPr>
          <w:szCs w:val="24"/>
          <w:lang w:eastAsia="en-US"/>
        </w:rPr>
        <w:t>(28)</w:t>
      </w:r>
      <w:r w:rsidRPr="00092171">
        <w:rPr>
          <w:szCs w:val="24"/>
          <w:lang w:eastAsia="en-US"/>
        </w:rPr>
        <w:tab/>
        <w:t>Z uwagi na fakt, że niektóre zadania mogą być wykonywane wyłącznie przez producenta, zachodzi konieczność wyraźnego rozróżnienia między obowiązkami producenta i podmiotów stanowiących dalsze ogniwa łańcucha dystrybucji. Ponadto należy dokonać wyraźnego rozróżnienia między obowiązkami importera a dystrybutora, ponieważ importer wprowadza zabawki z państw trzecich do obrotu w Unii. Importer powinien zapewnić, aby te zabawki spełniały obowiązujące wymagania unijne.</w:t>
      </w:r>
    </w:p>
    <w:p w:rsidR="00092171" w:rsidRPr="00092171" w:rsidRDefault="00092171" w:rsidP="00092171">
      <w:pPr>
        <w:spacing w:before="120" w:after="120" w:line="360" w:lineRule="auto"/>
        <w:ind w:left="850" w:hanging="850"/>
        <w:rPr>
          <w:szCs w:val="24"/>
          <w:lang w:eastAsia="en-US"/>
        </w:rPr>
      </w:pPr>
      <w:r w:rsidRPr="00092171">
        <w:rPr>
          <w:szCs w:val="24"/>
          <w:lang w:eastAsia="en-US"/>
        </w:rPr>
        <w:t>(29)</w:t>
      </w:r>
      <w:r w:rsidRPr="00092171">
        <w:rPr>
          <w:szCs w:val="24"/>
          <w:lang w:eastAsia="en-US"/>
        </w:rPr>
        <w:tab/>
        <w:t>Aby ułatwić komunikację między podmiotami gospodarczymi, organami nadzoru rynku i konsumentami lub innymi użytkownikami końcowymi, producenci i importerzy powinni podać oprócz adresu pocztowego również adres strony internetowej, adres e-mail lub inne cyfrowe dane kontaktowe.</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(30)</w:t>
      </w:r>
      <w:r w:rsidRPr="00092171">
        <w:rPr>
          <w:szCs w:val="24"/>
          <w:lang w:eastAsia="en-US"/>
        </w:rPr>
        <w:tab/>
        <w:t>Producent posiadający szczegółową wiedzę o procesie projektowania i produkcji jest odpowiedzialny za zapewnienie zgodności zabawki z wymaganiami określonymi w niniejszym rozporządzeniu i jest najbardziej kompetentny do przeprowadzenia pełnej procedury oceny zgodności w odniesieniu do zabawek. W związku z tym ocena zgodności powinna pozostać wyłącznie obowiązkiem producenta.</w:t>
      </w:r>
    </w:p>
    <w:p w:rsidR="00092171" w:rsidRPr="00092171" w:rsidRDefault="00092171" w:rsidP="00092171">
      <w:pPr>
        <w:spacing w:before="120" w:after="120" w:line="360" w:lineRule="auto"/>
        <w:ind w:left="850" w:hanging="850"/>
        <w:rPr>
          <w:szCs w:val="24"/>
          <w:lang w:eastAsia="en-US"/>
        </w:rPr>
      </w:pPr>
      <w:r w:rsidRPr="00092171">
        <w:rPr>
          <w:szCs w:val="24"/>
          <w:lang w:eastAsia="en-US"/>
        </w:rPr>
        <w:t>(31)</w:t>
      </w:r>
      <w:r w:rsidRPr="00092171">
        <w:rPr>
          <w:szCs w:val="24"/>
          <w:lang w:eastAsia="en-US"/>
        </w:rPr>
        <w:tab/>
        <w:t>Aby ułatwić producentom wypełnianie ich obowiązków wynikających z niniejszego rozporządzenia, producenci powinni mieć możliwość wyznaczenia upoważnionego przedstawiciela, który będzie wykonywał określone zadania w ich imieniu. Co więcej, aby zapewnić jasny i proporcjonalny podział zadań między producentem a upoważnionym przedstawicielem, konieczne jest określenie wykazu zadań, które producenci powinni móc powierzyć upoważnionemu przedstawicielowi. Aby zapewnić ponadto wykonalność przepisów niniejszego rozporządzenia i zgodność z nimi, w przypadku gdy producent mający siedzibę poza Unią wyznacza upoważnionego przedstawiciela, pełnomocnictwo powinno obejmować zadania określone w art. 4 rozporządzenia (UE) 2019/1020.</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(32)</w:t>
      </w:r>
      <w:r w:rsidRPr="00092171">
        <w:rPr>
          <w:szCs w:val="24"/>
          <w:lang w:eastAsia="en-US"/>
        </w:rPr>
        <w:tab/>
        <w:t xml:space="preserve">Podmioty gospodarcze mające udział w łańcuchu dostaw i dystrybucji powinny podjąć właściwe środki, aby zabawki wprowadzane przez nie do obrotu nie </w:t>
      </w:r>
      <w:r w:rsidRPr="00092171">
        <w:rPr>
          <w:strike/>
          <w:szCs w:val="24"/>
          <w:lang w:eastAsia="en-US"/>
        </w:rPr>
        <w:t>stanowiły zagrożenia</w:t>
      </w:r>
      <w:r w:rsidRPr="00092171">
        <w:rPr>
          <w:b/>
          <w:i/>
          <w:szCs w:val="24"/>
          <w:lang w:eastAsia="en-US"/>
        </w:rPr>
        <w:t>stwarzały ryzyka</w:t>
      </w:r>
      <w:r w:rsidRPr="00092171">
        <w:rPr>
          <w:szCs w:val="24"/>
          <w:lang w:eastAsia="en-US"/>
        </w:rPr>
        <w:t xml:space="preserve"> dla bezpieczeństwa i zdrowia dzieci w warunkach normalnego i racjonalnie przewidywalnego użytkowania, a także, aby udostępniały na rynku jedynie zabawki zgodne z odpowiednimi przepisami Unii.</w:t>
      </w:r>
      <w:r w:rsidR="00770204">
        <w:rPr>
          <w:b/>
          <w:szCs w:val="24"/>
          <w:lang w:eastAsia="en-US"/>
        </w:rPr>
        <w:t xml:space="preserve"> [Popr. 13]</w:t>
      </w:r>
    </w:p>
    <w:p w:rsidR="00092171" w:rsidRPr="00092171" w:rsidRDefault="00092171" w:rsidP="00092171">
      <w:pPr>
        <w:spacing w:before="120" w:after="120" w:line="360" w:lineRule="auto"/>
        <w:ind w:left="850" w:hanging="850"/>
        <w:rPr>
          <w:szCs w:val="24"/>
          <w:lang w:eastAsia="en-US"/>
        </w:rPr>
      </w:pPr>
      <w:r w:rsidRPr="00092171">
        <w:rPr>
          <w:szCs w:val="24"/>
          <w:lang w:eastAsia="en-US"/>
        </w:rPr>
        <w:t>(33)</w:t>
      </w:r>
      <w:r w:rsidRPr="00092171">
        <w:rPr>
          <w:szCs w:val="24"/>
          <w:lang w:eastAsia="en-US"/>
        </w:rPr>
        <w:tab/>
        <w:t>Niezbędne jest zapewnienie, aby zabawki z państw trzecich wprowadzane na rynek Unii spełniały wszystkie obowiązujące wymaganiami unijne, a w szczególności, aby producenci przeprowadzili odpowiednie procedury oceny zgodności w odniesieniu do tych zabawek. Importerzy powinni zatem zapewnić, aby zabawki wprowadzane przez nich do obrotu spełniały obowiązujące wymagania, aby przeprowadzono procedury oceny zgodności oraz aby oznakowanie i dokumentacja produktu sporządzone przez producenta były dostępne dla celów kontroli przeprowadzanej przez właściwe organy nadzoru rynku.</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(34)</w:t>
      </w:r>
      <w:r w:rsidRPr="00092171">
        <w:rPr>
          <w:szCs w:val="24"/>
          <w:lang w:eastAsia="en-US"/>
        </w:rPr>
        <w:tab/>
        <w:t>Wprowadzając zabawkę do obrotu, importerzy powinni umieścić na zabawce swoją nazwę i adres kontaktowy, pod którym są osiągalni. Należy wprowadzić wyjątki od tej zasady, w przypadku gdy takie jej oznaczenie nie jest możliwe ze względu na wielkość lub charakter zabawki, w tym w przypadku gdy importerzy musieliby otworzyć opakowanie, aby umieścić na produkcie swoją nazwę i adres. W takich przypadkach nazwę i adres należy podać na opakowaniu lub w dokumencie towarzyszącym.</w:t>
      </w:r>
    </w:p>
    <w:p w:rsidR="00092171" w:rsidRPr="00092171" w:rsidRDefault="00092171" w:rsidP="00092171">
      <w:pPr>
        <w:spacing w:before="120" w:after="120" w:line="360" w:lineRule="auto"/>
        <w:ind w:left="850" w:hanging="850"/>
        <w:rPr>
          <w:szCs w:val="24"/>
          <w:lang w:eastAsia="en-US"/>
        </w:rPr>
      </w:pPr>
      <w:r w:rsidRPr="00092171">
        <w:rPr>
          <w:szCs w:val="24"/>
          <w:lang w:eastAsia="en-US"/>
        </w:rPr>
        <w:t>(35)</w:t>
      </w:r>
      <w:r w:rsidRPr="00092171">
        <w:rPr>
          <w:szCs w:val="24"/>
          <w:lang w:eastAsia="en-US"/>
        </w:rPr>
        <w:tab/>
        <w:t>Ponieważ dystrybutor udostępnia zabawkę na rynku po jej wprowadzeniu do obrotu przez producenta lub importera, powinien on z należytą starannością obchodzić się z zabawką, tak aby nie miało to negatywnego wpływu na jej zgodność z niniejszym rozporządzeniem.</w:t>
      </w:r>
    </w:p>
    <w:p w:rsidR="00092171" w:rsidRPr="00092171" w:rsidRDefault="00092171" w:rsidP="00092171">
      <w:pPr>
        <w:spacing w:before="120" w:after="120" w:line="360" w:lineRule="auto"/>
        <w:ind w:left="850" w:hanging="850"/>
        <w:rPr>
          <w:szCs w:val="24"/>
          <w:lang w:eastAsia="en-US"/>
        </w:rPr>
      </w:pPr>
      <w:r w:rsidRPr="00092171">
        <w:rPr>
          <w:szCs w:val="24"/>
          <w:lang w:eastAsia="en-US"/>
        </w:rPr>
        <w:t>(36)</w:t>
      </w:r>
      <w:r w:rsidRPr="00092171">
        <w:rPr>
          <w:szCs w:val="24"/>
          <w:lang w:eastAsia="en-US"/>
        </w:rPr>
        <w:tab/>
        <w:t>Dystrybutorzy i importerzy mają ścisły związek z rynkiem, a zatem powinni być zaangażowani w zadania związane z nadzorem rynku wykonywane przez właściwe organy krajowe, a także powinni być zobowiązani do aktywnego udziału w wykonywaniu tych zadań i dostarczania tym organom wszystkich niezbędnych informacji dotyczących danej zabawki.</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(37)</w:t>
      </w:r>
      <w:r w:rsidRPr="00092171">
        <w:rPr>
          <w:szCs w:val="24"/>
          <w:lang w:eastAsia="en-US"/>
        </w:rPr>
        <w:tab/>
      </w:r>
      <w:r w:rsidRPr="00092171">
        <w:rPr>
          <w:strike/>
          <w:szCs w:val="24"/>
          <w:lang w:eastAsia="en-US"/>
        </w:rPr>
        <w:t>Podmioty gospodarcze wprowadzające</w:t>
      </w:r>
      <w:r w:rsidRPr="00092171">
        <w:rPr>
          <w:b/>
          <w:i/>
          <w:szCs w:val="24"/>
          <w:lang w:eastAsia="en-US"/>
        </w:rPr>
        <w:t>Osobę fizyczną lub prawną, która wprowadza</w:t>
      </w:r>
      <w:r w:rsidRPr="00092171">
        <w:rPr>
          <w:szCs w:val="24"/>
          <w:lang w:eastAsia="en-US"/>
        </w:rPr>
        <w:t xml:space="preserve"> zabawkę do obrotu pod własną nazwą lub znakiem towarowym albo </w:t>
      </w:r>
      <w:r w:rsidRPr="00092171">
        <w:rPr>
          <w:strike/>
          <w:szCs w:val="24"/>
          <w:lang w:eastAsia="en-US"/>
        </w:rPr>
        <w:t>modyfikujące</w:t>
      </w:r>
      <w:r w:rsidRPr="00092171">
        <w:rPr>
          <w:b/>
          <w:i/>
          <w:szCs w:val="24"/>
          <w:lang w:eastAsia="en-US"/>
        </w:rPr>
        <w:t>modyfikuje</w:t>
      </w:r>
      <w:r w:rsidRPr="00092171">
        <w:rPr>
          <w:szCs w:val="24"/>
          <w:lang w:eastAsia="en-US"/>
        </w:rPr>
        <w:t xml:space="preserve"> zabawkę w sposób, który może wpłynąć na zgodność produktu z obowiązującymi wymaganiami określonymi w niniejszym rozporządzeniu, należy uznać za </w:t>
      </w:r>
      <w:r w:rsidRPr="00092171">
        <w:rPr>
          <w:strike/>
          <w:szCs w:val="24"/>
          <w:lang w:eastAsia="en-US"/>
        </w:rPr>
        <w:t>producentów i powinny</w:t>
      </w:r>
      <w:r w:rsidRPr="00092171">
        <w:rPr>
          <w:b/>
          <w:i/>
          <w:szCs w:val="24"/>
          <w:lang w:eastAsia="en-US"/>
        </w:rPr>
        <w:t>producenta do celów niniejszego rozporządzenia i powinna ona</w:t>
      </w:r>
      <w:r w:rsidRPr="00092171">
        <w:rPr>
          <w:szCs w:val="24"/>
          <w:lang w:eastAsia="en-US"/>
        </w:rPr>
        <w:t xml:space="preserve"> przejąć</w:t>
      </w:r>
      <w:r w:rsidRPr="00092171">
        <w:rPr>
          <w:strike/>
          <w:szCs w:val="24"/>
          <w:lang w:eastAsia="en-US"/>
        </w:rPr>
        <w:t xml:space="preserve"> ich</w:t>
      </w:r>
      <w:r w:rsidRPr="00092171">
        <w:rPr>
          <w:szCs w:val="24"/>
          <w:lang w:eastAsia="en-US"/>
        </w:rPr>
        <w:t xml:space="preserve"> obowiązki</w:t>
      </w:r>
      <w:r w:rsidRPr="00092171">
        <w:rPr>
          <w:b/>
          <w:i/>
          <w:szCs w:val="24"/>
          <w:lang w:eastAsia="en-US"/>
        </w:rPr>
        <w:t xml:space="preserve"> producenta</w:t>
      </w:r>
      <w:r w:rsidRPr="00092171">
        <w:rPr>
          <w:szCs w:val="24"/>
          <w:lang w:eastAsia="en-US"/>
        </w:rPr>
        <w:t xml:space="preserve"> z tego tytułu.</w:t>
      </w:r>
      <w:r w:rsidR="00770204">
        <w:rPr>
          <w:b/>
          <w:szCs w:val="24"/>
          <w:lang w:eastAsia="en-US"/>
        </w:rPr>
        <w:t xml:space="preserve"> [Popr. 14]</w:t>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t>(37a)</w:t>
      </w:r>
      <w:r w:rsidRPr="00092171">
        <w:rPr>
          <w:szCs w:val="24"/>
          <w:lang w:eastAsia="en-US"/>
        </w:rPr>
        <w:tab/>
      </w:r>
      <w:r w:rsidRPr="00092171">
        <w:rPr>
          <w:b/>
          <w:i/>
          <w:szCs w:val="24"/>
          <w:lang w:eastAsia="en-US"/>
        </w:rPr>
        <w:t>Internetowe platformy handlowe odgrywają kluczową rolę w łańcuchu dostaw, umożliwiając podmiotom gospodarczym dotarcie do dużej liczby klientów. Ze względu na istotną rolę pełnioną w pośrednictwie w sprzedaży zabawek między podmiotami gospodarczymi a klientami, internetowe platformy handlowe powinny przyjąć odpowiedzialność za sprzedaż zabawek, które nie są zgodne z niniejszym rozporządzeniem, i powinny współpracować z organami nadzoru rynku. W dyrektywie 2000/31/WE Parlamentu Europejskiego i Rady określono ogólne ramy handlu elektronicznego i nałożono określone obowiązki na platformy internetowe. W rozporządzeniu (UE) 2022/2065 uregulowano kwestie odpowiedzialności i rozliczalności dostawców usług pośrednich w internecie w odniesieniu do nielegalnych treści, w tym produktów, które nie są zgodne z niniejszym rozporządzeniem.</w:t>
      </w:r>
      <w:r w:rsidR="00770204">
        <w:rPr>
          <w:b/>
          <w:szCs w:val="24"/>
          <w:lang w:eastAsia="en-US"/>
        </w:rPr>
        <w:t xml:space="preserve"> [Popr. 15]</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(38)</w:t>
      </w:r>
      <w:r w:rsidRPr="00092171">
        <w:rPr>
          <w:szCs w:val="24"/>
          <w:lang w:eastAsia="en-US"/>
        </w:rPr>
        <w:tab/>
        <w:t>Zapewnienie identyfikowalności zabawki w całym łańcuchu dostaw</w:t>
      </w:r>
      <w:r w:rsidRPr="00092171">
        <w:rPr>
          <w:b/>
          <w:i/>
          <w:szCs w:val="24"/>
          <w:lang w:eastAsia="en-US"/>
        </w:rPr>
        <w:t xml:space="preserve"> – zgodnie z rozporządzeniem </w:t>
      </w:r>
      <w:r w:rsidR="00843637">
        <w:rPr>
          <w:b/>
          <w:i/>
          <w:szCs w:val="24"/>
          <w:lang w:eastAsia="en-US"/>
        </w:rPr>
        <w:t>(UE)</w:t>
      </w:r>
      <w:r w:rsidRPr="00092171">
        <w:rPr>
          <w:b/>
          <w:i/>
          <w:szCs w:val="24"/>
          <w:lang w:eastAsia="en-US"/>
        </w:rPr>
        <w:t>2023/988 –</w:t>
      </w:r>
      <w:r w:rsidRPr="00092171">
        <w:rPr>
          <w:szCs w:val="24"/>
          <w:lang w:eastAsia="en-US"/>
        </w:rPr>
        <w:t xml:space="preserve"> pomaga uprościć działania nadzoru rynku i zwiększyć ich skuteczność. Skuteczny system identyfikowalności ułatwia organom nadzoru rynku realizację zadania polegającego na zidentyfikowaniu podmiotów gospodarczych udostępniających na rynku zabawki niespełniające wymagań.</w:t>
      </w:r>
      <w:r w:rsidR="00770204">
        <w:rPr>
          <w:b/>
          <w:szCs w:val="24"/>
          <w:lang w:eastAsia="en-US"/>
        </w:rPr>
        <w:t xml:space="preserve"> [Popr. 16]</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(39)</w:t>
      </w:r>
      <w:r w:rsidRPr="00092171">
        <w:rPr>
          <w:szCs w:val="24"/>
          <w:lang w:eastAsia="en-US"/>
        </w:rPr>
        <w:tab/>
        <w:t>W celu ułatwienia oceny zgodności z wymaganiami określonymi w niniejszym rozporządzeniu należy przewidzieć domniemanie zgodności w przypadku zabawek, które są zgodne z</w:t>
      </w:r>
      <w:r w:rsidRPr="00092171">
        <w:rPr>
          <w:b/>
          <w:i/>
          <w:szCs w:val="24"/>
          <w:lang w:eastAsia="en-US"/>
        </w:rPr>
        <w:t xml:space="preserve"> obowiązującymi</w:t>
      </w:r>
      <w:r w:rsidRPr="00092171">
        <w:rPr>
          <w:szCs w:val="24"/>
          <w:lang w:eastAsia="en-US"/>
        </w:rPr>
        <w:t xml:space="preserve"> normami zharmonizowanymi przyjętymi zgodnie z rozporządzeniem Parlamentu Europejskiego i Rady (UE) nr 1025/2012</w:t>
      </w:r>
      <w:r w:rsidRPr="00092171">
        <w:rPr>
          <w:szCs w:val="24"/>
          <w:vertAlign w:val="superscript"/>
          <w:lang w:val="en-GB" w:eastAsia="en-US"/>
        </w:rPr>
        <w:footnoteReference w:id="18"/>
      </w:r>
      <w:r w:rsidRPr="00092171">
        <w:rPr>
          <w:szCs w:val="24"/>
          <w:lang w:eastAsia="en-US"/>
        </w:rPr>
        <w:t xml:space="preserve"> i opublikowanymi w </w:t>
      </w:r>
      <w:r w:rsidR="00FD7FCD" w:rsidRPr="00FD7FCD">
        <w:rPr>
          <w:i/>
          <w:szCs w:val="24"/>
          <w:lang w:eastAsia="en-US"/>
        </w:rPr>
        <w:t>Dzienniku Urzędowym Unii Europejskiej</w:t>
      </w:r>
      <w:r w:rsidRPr="00092171">
        <w:rPr>
          <w:szCs w:val="24"/>
          <w:lang w:eastAsia="en-US"/>
        </w:rPr>
        <w:t>.</w:t>
      </w:r>
      <w:r w:rsidR="00770204">
        <w:rPr>
          <w:b/>
          <w:szCs w:val="24"/>
          <w:lang w:eastAsia="en-US"/>
        </w:rPr>
        <w:t xml:space="preserve"> [Popr. 17]</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(40)</w:t>
      </w:r>
      <w:r w:rsidRPr="00092171">
        <w:rPr>
          <w:szCs w:val="24"/>
          <w:lang w:eastAsia="en-US"/>
        </w:rPr>
        <w:tab/>
        <w:t xml:space="preserve">W przypadku braku odpowiednich norm zharmonizowanych Komisja powinna być uprawniona do przyjmowania aktów </w:t>
      </w:r>
      <w:r w:rsidRPr="00092171">
        <w:rPr>
          <w:strike/>
          <w:szCs w:val="24"/>
          <w:lang w:eastAsia="en-US"/>
        </w:rPr>
        <w:t>wykonawczych ustanawiających wspólne specyfikacje dotyczące</w:t>
      </w:r>
      <w:r w:rsidRPr="00092171">
        <w:rPr>
          <w:b/>
          <w:i/>
          <w:szCs w:val="24"/>
          <w:lang w:eastAsia="en-US"/>
        </w:rPr>
        <w:t>delegowanych uzupełniających niniejsze rozporządzenie poprzez ustanowienie wspólnych specyfikacji dotyczących</w:t>
      </w:r>
      <w:r w:rsidRPr="00092171">
        <w:rPr>
          <w:szCs w:val="24"/>
          <w:lang w:eastAsia="en-US"/>
        </w:rPr>
        <w:t xml:space="preserve"> zasadniczych wymagań</w:t>
      </w:r>
      <w:r w:rsidRPr="00092171">
        <w:rPr>
          <w:b/>
          <w:i/>
          <w:szCs w:val="24"/>
          <w:lang w:eastAsia="en-US"/>
        </w:rPr>
        <w:t xml:space="preserve"> bezpieczeństwa</w:t>
      </w:r>
      <w:r w:rsidRPr="00092171">
        <w:rPr>
          <w:szCs w:val="24"/>
          <w:lang w:eastAsia="en-US"/>
        </w:rPr>
        <w:t xml:space="preserve"> określonych w niniejszym rozporządzeniu, pod warunkiem</w:t>
      </w:r>
      <w:r w:rsidRPr="00092171">
        <w:rPr>
          <w:strike/>
          <w:szCs w:val="24"/>
          <w:lang w:eastAsia="en-US"/>
        </w:rPr>
        <w:t>,</w:t>
      </w:r>
      <w:r w:rsidRPr="00092171">
        <w:rPr>
          <w:szCs w:val="24"/>
          <w:lang w:eastAsia="en-US"/>
        </w:rPr>
        <w:t xml:space="preserve"> że należycie szanuje przy tym rolę i funkcje organizacji normalizacyjnych, jako wyjątkowe rozwiązanie awaryjne służące ułatwieniu wypełnienia obowiązku producenta polegającego na przestrzeganiu zasadniczych wymagań w przypadku zablokowania procesu, lub gdy wystąpią opóźnienia w ustanowieniu odpowiednich norm zharmonizowanych.</w:t>
      </w:r>
      <w:r w:rsidR="00770204">
        <w:rPr>
          <w:b/>
          <w:szCs w:val="24"/>
          <w:lang w:eastAsia="en-US"/>
        </w:rPr>
        <w:t xml:space="preserve"> [Popr. 18]</w:t>
      </w:r>
    </w:p>
    <w:p w:rsidR="00092171" w:rsidRPr="00092171" w:rsidRDefault="00092171" w:rsidP="00092171">
      <w:pPr>
        <w:spacing w:before="120" w:after="120" w:line="360" w:lineRule="auto"/>
        <w:ind w:left="850" w:hanging="850"/>
        <w:rPr>
          <w:szCs w:val="24"/>
          <w:lang w:eastAsia="en-US"/>
        </w:rPr>
      </w:pPr>
      <w:r w:rsidRPr="00092171">
        <w:rPr>
          <w:szCs w:val="24"/>
          <w:lang w:eastAsia="en-US"/>
        </w:rPr>
        <w:t>(41)</w:t>
      </w:r>
      <w:r w:rsidRPr="00092171">
        <w:rPr>
          <w:szCs w:val="24"/>
          <w:lang w:eastAsia="en-US"/>
        </w:rPr>
        <w:tab/>
        <w:t>Oznakowanie CE wskazujące na zgodność zabawki z wymaganiami jest widoczną konsekwencją całego procesu obejmującego ocenę zgodności w szerokim znaczeniu. Ogólne zasady dotyczące oznakowania CE określono w rozporządzeniu (WE) nr 765/2008. W niniejszym rozporządzeniu należy ustanowić szczegółowe zasady regulujące umieszczanie oznakowania CE na zabawkach. Zasady te powinny zapewniać wystarczającą widoczność oznakowania CE, ułatwiając tym samym nadzór rynku zabawek.</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(42)</w:t>
      </w:r>
      <w:r w:rsidRPr="00092171">
        <w:rPr>
          <w:szCs w:val="24"/>
          <w:lang w:eastAsia="en-US"/>
        </w:rPr>
        <w:tab/>
        <w:t>Producenci powinni opracować</w:t>
      </w:r>
      <w:r w:rsidRPr="00092171">
        <w:rPr>
          <w:b/>
          <w:i/>
          <w:szCs w:val="24"/>
          <w:lang w:eastAsia="en-US"/>
        </w:rPr>
        <w:t xml:space="preserve"> cyfrowy</w:t>
      </w:r>
      <w:r w:rsidRPr="00092171">
        <w:rPr>
          <w:szCs w:val="24"/>
          <w:lang w:eastAsia="en-US"/>
        </w:rPr>
        <w:t xml:space="preserve"> paszport produktu, który będzie zawierał informacje o zgodności zabawek z niniejszym rozporządzeniem oraz z wszelkimi innymi przepisami Unii mającymi zastosowanie do zabawek. </w:t>
      </w:r>
      <w:r w:rsidRPr="00092171">
        <w:rPr>
          <w:b/>
          <w:i/>
          <w:szCs w:val="24"/>
          <w:lang w:eastAsia="en-US"/>
        </w:rPr>
        <w:t xml:space="preserve">Dokładając należytych starań powinni oni aktualizować cyfrowy paszport produktu i w razie potrzeby wprowadzać wszelkie niezbędne zmiany. Cyfrowy </w:t>
      </w:r>
      <w:r w:rsidRPr="00092171">
        <w:rPr>
          <w:szCs w:val="24"/>
          <w:lang w:eastAsia="en-US"/>
        </w:rPr>
        <w:t>paszport produktu powinien zastąpić deklarację zgodności UE określoną w dyrektywie 2009/48/WE</w:t>
      </w:r>
      <w:r w:rsidRPr="00092171">
        <w:rPr>
          <w:b/>
          <w:i/>
          <w:szCs w:val="24"/>
          <w:lang w:eastAsia="en-US"/>
        </w:rPr>
        <w:t>, dyrektywie 2014/53/UE i we wszelkich innych przepisach Unii mających zastosowanie do zabawek. Powinien też</w:t>
      </w:r>
      <w:r w:rsidRPr="00092171">
        <w:rPr>
          <w:strike/>
          <w:szCs w:val="24"/>
          <w:lang w:eastAsia="en-US"/>
        </w:rPr>
        <w:t xml:space="preserve"> i</w:t>
      </w:r>
      <w:r w:rsidRPr="00092171">
        <w:rPr>
          <w:szCs w:val="24"/>
          <w:lang w:eastAsia="en-US"/>
        </w:rPr>
        <w:t xml:space="preserve"> zawierać elementy niezbędne do oceny zgodności zabawki z mającymi zastosowanie wymogami i normami zharmonizowanymi lub innymi specyfikacjami</w:t>
      </w:r>
      <w:r w:rsidRPr="00092171">
        <w:rPr>
          <w:b/>
          <w:i/>
          <w:szCs w:val="24"/>
          <w:lang w:eastAsia="en-US"/>
        </w:rPr>
        <w:t xml:space="preserve"> albo elementami</w:t>
      </w:r>
      <w:r w:rsidRPr="00092171">
        <w:rPr>
          <w:szCs w:val="24"/>
          <w:lang w:eastAsia="en-US"/>
        </w:rPr>
        <w:t>. Aby ułatwić kontrole zabawek przez organy nadzoru rynku oraz umożliwić uczestnikom łańcucha dostaw i konsumentom dostęp do informacji na temat zabawek</w:t>
      </w:r>
      <w:r w:rsidRPr="00092171">
        <w:rPr>
          <w:b/>
          <w:i/>
          <w:szCs w:val="24"/>
          <w:lang w:eastAsia="en-US"/>
        </w:rPr>
        <w:t xml:space="preserve"> i do kanałów komunikacji</w:t>
      </w:r>
      <w:r w:rsidRPr="00092171">
        <w:rPr>
          <w:szCs w:val="24"/>
          <w:lang w:eastAsia="en-US"/>
        </w:rPr>
        <w:t>, informacje zawarte w</w:t>
      </w:r>
      <w:r w:rsidRPr="00092171">
        <w:rPr>
          <w:b/>
          <w:i/>
          <w:szCs w:val="24"/>
          <w:lang w:eastAsia="en-US"/>
        </w:rPr>
        <w:t xml:space="preserve"> cyfrowym</w:t>
      </w:r>
      <w:r w:rsidRPr="00092171">
        <w:rPr>
          <w:szCs w:val="24"/>
          <w:lang w:eastAsia="en-US"/>
        </w:rPr>
        <w:t xml:space="preserve"> paszporcie produktu powinny być dostarczane w formie cyfrowej i w bezpośrednio dostępny sposób, za pomocą nośnika danych umieszczonego na zabawce, na jej opakowaniu lub w dołączonej do niej dokumentacji. </w:t>
      </w:r>
      <w:r w:rsidRPr="00092171">
        <w:rPr>
          <w:b/>
          <w:i/>
          <w:szCs w:val="24"/>
          <w:lang w:eastAsia="en-US"/>
        </w:rPr>
        <w:t xml:space="preserve">Zależnie od uprawnień, </w:t>
      </w:r>
      <w:r w:rsidRPr="00092171">
        <w:rPr>
          <w:szCs w:val="24"/>
          <w:lang w:eastAsia="en-US"/>
        </w:rPr>
        <w:t xml:space="preserve">organy nadzoru rynku, organy celne, podmioty gospodarcze i konsumenci powinni mieć natychmiastowy dostęp do </w:t>
      </w:r>
      <w:r w:rsidRPr="00092171">
        <w:rPr>
          <w:b/>
          <w:i/>
          <w:szCs w:val="24"/>
          <w:lang w:eastAsia="en-US"/>
        </w:rPr>
        <w:t xml:space="preserve">odpowiednich </w:t>
      </w:r>
      <w:r w:rsidRPr="00092171">
        <w:rPr>
          <w:szCs w:val="24"/>
          <w:lang w:eastAsia="en-US"/>
        </w:rPr>
        <w:t>informacji na temat zabawki za pośrednictwem nośnika danych.</w:t>
      </w:r>
      <w:r w:rsidR="00770204">
        <w:rPr>
          <w:b/>
          <w:szCs w:val="24"/>
          <w:lang w:eastAsia="en-US"/>
        </w:rPr>
        <w:t xml:space="preserve"> [Popr. 19]</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(43)</w:t>
      </w:r>
      <w:r w:rsidRPr="00092171">
        <w:rPr>
          <w:szCs w:val="24"/>
          <w:lang w:eastAsia="en-US"/>
        </w:rPr>
        <w:tab/>
        <w:t xml:space="preserve">Aby uniknąć powielania inwestycji w cyfryzację przez wszystkie zaangażowane podmioty, w tym producentów, organy nadzoru rynku i organy celne, w przypadku gdy w innych przepisach Unii wymaga się paszportu produktu w odniesieniu do zabawek powinien być dostępny jeden paszport produktu zawierający informacje wymagane na podstawie niniejszego rozporządzenia i pozostałych przepisów Unii. </w:t>
      </w:r>
      <w:r w:rsidRPr="00092171">
        <w:rPr>
          <w:b/>
          <w:i/>
          <w:szCs w:val="24"/>
          <w:lang w:eastAsia="en-US"/>
        </w:rPr>
        <w:t xml:space="preserve">Cyfrowy </w:t>
      </w:r>
      <w:r w:rsidRPr="00092171">
        <w:rPr>
          <w:szCs w:val="24"/>
          <w:lang w:eastAsia="en-US"/>
        </w:rPr>
        <w:t>paszport produktu powinien być ponadto w pełni interoperacyjny z każdym paszportem produktu wymaganym na mocy innych przepisów Unii.</w:t>
      </w:r>
      <w:r w:rsidR="00770204">
        <w:rPr>
          <w:b/>
          <w:szCs w:val="24"/>
          <w:lang w:eastAsia="en-US"/>
        </w:rPr>
        <w:t xml:space="preserve"> [Popr. 20]</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(44)</w:t>
      </w:r>
      <w:r w:rsidRPr="00092171">
        <w:rPr>
          <w:szCs w:val="24"/>
          <w:lang w:eastAsia="en-US"/>
        </w:rPr>
        <w:tab/>
        <w:t>W szczególności w rozporządzeniu Parlamentu Europejskiego i Rady (UE) .../... [Urząd Publikacji: proszę wstawić numer porządkowy rozporządzenia w sprawie wymogów dotyczących ekoprojektu dla zrównoważonych produktów]</w:t>
      </w:r>
      <w:r w:rsidRPr="00092171">
        <w:rPr>
          <w:szCs w:val="24"/>
          <w:vertAlign w:val="superscript"/>
          <w:lang w:val="en-GB" w:eastAsia="en-US"/>
        </w:rPr>
        <w:footnoteReference w:id="19"/>
      </w:r>
      <w:r w:rsidRPr="00092171">
        <w:rPr>
          <w:szCs w:val="24"/>
          <w:lang w:eastAsia="en-US"/>
        </w:rPr>
        <w:t xml:space="preserve"> również określono wymogi i specyfikacje techniczne dotyczące</w:t>
      </w:r>
      <w:r w:rsidRPr="00092171">
        <w:rPr>
          <w:b/>
          <w:i/>
          <w:szCs w:val="24"/>
          <w:lang w:eastAsia="en-US"/>
        </w:rPr>
        <w:t xml:space="preserve"> cyfrowego</w:t>
      </w:r>
      <w:r w:rsidRPr="00092171">
        <w:rPr>
          <w:szCs w:val="24"/>
          <w:lang w:eastAsia="en-US"/>
        </w:rPr>
        <w:t xml:space="preserve"> paszportu produktu, ustanowienia centralnego rejestru Komisji, w którym przechowywane są informacje o paszportach, oraz wzajemnego połączenia tego rejestru z systemami informatycznymi organów celnych. Rozporządzenie to mogłoby w perspektywie średnioterminowej objąć swoim zakresem stosowania zabawki, co wymagałoby udostępnienia dla nich </w:t>
      </w:r>
      <w:r w:rsidRPr="00092171">
        <w:rPr>
          <w:b/>
          <w:i/>
          <w:szCs w:val="24"/>
          <w:lang w:eastAsia="en-US"/>
        </w:rPr>
        <w:t xml:space="preserve">cyfrowego </w:t>
      </w:r>
      <w:r w:rsidRPr="00092171">
        <w:rPr>
          <w:szCs w:val="24"/>
          <w:lang w:eastAsia="en-US"/>
        </w:rPr>
        <w:t xml:space="preserve">paszportu produktu. W przyszłości powinno być zatem możliwe włączenie do </w:t>
      </w:r>
      <w:r w:rsidRPr="00092171">
        <w:rPr>
          <w:b/>
          <w:i/>
          <w:szCs w:val="24"/>
          <w:lang w:eastAsia="en-US"/>
        </w:rPr>
        <w:t xml:space="preserve">cyfrowego </w:t>
      </w:r>
      <w:r w:rsidRPr="00092171">
        <w:rPr>
          <w:szCs w:val="24"/>
          <w:lang w:eastAsia="en-US"/>
        </w:rPr>
        <w:t>paszportu produktu dokładniejszych informacji</w:t>
      </w:r>
      <w:r w:rsidRPr="00092171">
        <w:rPr>
          <w:strike/>
          <w:szCs w:val="24"/>
          <w:lang w:eastAsia="en-US"/>
        </w:rPr>
        <w:t>, szczególnie informacji związanych ze zrównoważeniem środowiskowym, takich jak ślad środowiskowy produktu, informacje przydatne na potrzeby recyklingu, zawartość materiałów z recyklingu w danym materiale, informacje o łańcuchu dostaw oraz innych podobnych informacji.</w:t>
      </w:r>
      <w:r w:rsidRPr="00092171">
        <w:rPr>
          <w:b/>
          <w:i/>
          <w:szCs w:val="24"/>
          <w:lang w:eastAsia="en-US"/>
        </w:rPr>
        <w:t>. Cyfrowy</w:t>
      </w:r>
      <w:r w:rsidRPr="00092171">
        <w:rPr>
          <w:szCs w:val="24"/>
          <w:lang w:eastAsia="en-US"/>
        </w:rPr>
        <w:t xml:space="preserve"> paszport produktu dla zabawek sporządzany na podstawie niniejszego rozporządzenia powinien zatem spełniać te same wymogi i posiadać te same elementy techniczne, które określono w rozporządzeniu (UE) .../... [Urząd Publikacji: proszę wstawić numer porządkowy rozporządzenia w sprawie wymogów dotyczących ekoprojektu dla zrównoważonych produktów], w tym jego techniczne, semantyczne i organizacyjne aspekty łączności typu koniec-koniec i przekazywania danych.</w:t>
      </w:r>
      <w:r w:rsidR="00770204">
        <w:rPr>
          <w:b/>
          <w:szCs w:val="24"/>
          <w:lang w:eastAsia="en-US"/>
        </w:rPr>
        <w:t xml:space="preserve"> [Popr. 21]</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(45)</w:t>
      </w:r>
      <w:r w:rsidRPr="00092171">
        <w:rPr>
          <w:szCs w:val="24"/>
          <w:lang w:eastAsia="en-US"/>
        </w:rPr>
        <w:tab/>
        <w:t>Ponieważ</w:t>
      </w:r>
      <w:r w:rsidRPr="00092171">
        <w:rPr>
          <w:b/>
          <w:i/>
          <w:szCs w:val="24"/>
          <w:lang w:eastAsia="en-US"/>
        </w:rPr>
        <w:t xml:space="preserve"> cyfrowy</w:t>
      </w:r>
      <w:r w:rsidRPr="00092171">
        <w:rPr>
          <w:szCs w:val="24"/>
          <w:lang w:eastAsia="en-US"/>
        </w:rPr>
        <w:t xml:space="preserve"> paszport produktu ma zastąpić deklarację zgodności UE, sprawą zasadniczą jest wyraźne wskazanie, że opracowanie</w:t>
      </w:r>
      <w:r w:rsidRPr="00092171">
        <w:rPr>
          <w:b/>
          <w:i/>
          <w:szCs w:val="24"/>
          <w:lang w:eastAsia="en-US"/>
        </w:rPr>
        <w:t xml:space="preserve"> cyfrowego</w:t>
      </w:r>
      <w:r w:rsidRPr="00092171">
        <w:rPr>
          <w:szCs w:val="24"/>
          <w:lang w:eastAsia="en-US"/>
        </w:rPr>
        <w:t xml:space="preserve"> paszportu produktu dla zabawki i umieszczenie oznakowania CE jest równoznaczne z zadeklarowaniem przez producenta, że zabawka jest zgodna z wymaganiami określonymi w niniejszym rozporządzeniu i że producent ponosi za to pełną odpowiedzialność.</w:t>
      </w:r>
      <w:r w:rsidR="00770204">
        <w:rPr>
          <w:b/>
          <w:szCs w:val="24"/>
          <w:lang w:eastAsia="en-US"/>
        </w:rPr>
        <w:t xml:space="preserve"> [Popr. 22]</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(46)</w:t>
      </w:r>
      <w:r w:rsidRPr="00092171">
        <w:rPr>
          <w:szCs w:val="24"/>
          <w:lang w:eastAsia="en-US"/>
        </w:rPr>
        <w:tab/>
        <w:t>W przypadku gdy w formie cyfrowej przekazywane są inne informacje niż elementy wymagane na potrzeby</w:t>
      </w:r>
      <w:r w:rsidRPr="00092171">
        <w:rPr>
          <w:b/>
          <w:i/>
          <w:szCs w:val="24"/>
          <w:lang w:eastAsia="en-US"/>
        </w:rPr>
        <w:t xml:space="preserve"> cyfrowego</w:t>
      </w:r>
      <w:r w:rsidRPr="00092171">
        <w:rPr>
          <w:szCs w:val="24"/>
          <w:lang w:eastAsia="en-US"/>
        </w:rPr>
        <w:t xml:space="preserve"> paszportu produktu, należy uściślić, że poszczególne rodzaje informacji muszą być przekazywane oddzielnie i wyraźnie odróżnione od siebie, ale za pośrednictwem jednego nośnika danych. Ułatwi to pracę organom nadzoru rynku, ale także zapewni konsumentom jasność co do poszczególnych rodzajów informacji, które są dla nich dostępne w postaci cyfrowej.</w:t>
      </w:r>
      <w:r w:rsidR="00770204">
        <w:rPr>
          <w:b/>
          <w:szCs w:val="24"/>
          <w:lang w:eastAsia="en-US"/>
        </w:rPr>
        <w:t xml:space="preserve"> [Popr. 23]</w:t>
      </w:r>
    </w:p>
    <w:p w:rsidR="00770204" w:rsidRDefault="00770204">
      <w:pPr>
        <w:widowControl/>
        <w:rPr>
          <w:b/>
          <w:i/>
          <w:szCs w:val="24"/>
          <w:lang w:eastAsia="en-US"/>
        </w:rPr>
      </w:pPr>
      <w:r>
        <w:rPr>
          <w:b/>
          <w:i/>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lastRenderedPageBreak/>
        <w:t>(46a)</w:t>
      </w:r>
      <w:r w:rsidRPr="00092171">
        <w:rPr>
          <w:szCs w:val="24"/>
          <w:lang w:eastAsia="en-US"/>
        </w:rPr>
        <w:tab/>
      </w:r>
      <w:r w:rsidRPr="00092171">
        <w:rPr>
          <w:b/>
          <w:i/>
          <w:szCs w:val="24"/>
          <w:lang w:eastAsia="en-US"/>
        </w:rPr>
        <w:t>Większość producentów zabawek podlegających wymogom niniejszego rozporządzenia to mikroprzedsiębiorstwa oraz małe i średnie przedsiębiorstwa (MŚP), dla których sporządzenie cyfrowego paszportu produktu stanowi poważne wyzwanie z administracyjnego i operacyjnego punktu widzenia. W związku z tym Komisja powinna udzielić MŚP dodatkowego wsparcia, aby pomóc im w spełnieniu nowych wymogów określonych w niniejszym rozporządzeniu. W tym celu Komisja powinna opublikować praktyczne wytyczne i dostosowane do ich potrzeb wytyczne dla MŚP. Należy zwłaszcza stworzyć bezpośredni kanał komunikacji z ekspertami, aby pomóc MŚP w ocenie bezpieczeństwa i tworzeniu cyfrowego paszportu produktu dla wytwarzanych przez nie zabawek.</w:t>
      </w:r>
      <w:r w:rsidR="00770204">
        <w:rPr>
          <w:b/>
          <w:szCs w:val="24"/>
          <w:lang w:eastAsia="en-US"/>
        </w:rPr>
        <w:t xml:space="preserve"> [Popr. 24]</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(47)</w:t>
      </w:r>
      <w:r w:rsidRPr="00092171">
        <w:rPr>
          <w:szCs w:val="24"/>
          <w:lang w:eastAsia="en-US"/>
        </w:rPr>
        <w:tab/>
        <w:t>Rozdział VII rozporządzenia (UE) 2019/1020, ustanawiający zasady kontroli produktów wprowadzanych na rynek Unii, ma zastosowanie do zabawek. Organy odpowiedzialne za kontrole, którymi w niemal wszystkich państwach członkowskich są organy celne, mają je przeprowadzać na podstawie analizy ryzyka, o której mowa w art. 46 i 47 rozporządzenia Parlamentu Europejskiego i Rady (UE) nr 952/2013</w:t>
      </w:r>
      <w:r w:rsidRPr="00092171">
        <w:rPr>
          <w:szCs w:val="24"/>
          <w:vertAlign w:val="superscript"/>
          <w:lang w:val="en-GB" w:eastAsia="en-US"/>
        </w:rPr>
        <w:footnoteReference w:id="20"/>
      </w:r>
      <w:r w:rsidRPr="00092171">
        <w:rPr>
          <w:szCs w:val="24"/>
          <w:lang w:eastAsia="en-US"/>
        </w:rPr>
        <w:t>, jego przepisach wykonawczych i odpowiednich wytycznych. Niniejsze rozporządzenie w żaden sposób nie zmienia zatem rozdziału VII rozporządzenia (UE) 2019/1020 ani sposobu, w jaki organy odpowiedzialne za kontrole produktów wprowadzanych na rynek Unii organizują się i prowadzą swoje działania.</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(48)</w:t>
      </w:r>
      <w:r w:rsidRPr="00092171">
        <w:rPr>
          <w:szCs w:val="24"/>
          <w:lang w:eastAsia="en-US"/>
        </w:rPr>
        <w:tab/>
        <w:t xml:space="preserve">Oprócz ram kontroli ustanowionych w rozdziale VII rozporządzenia (UE) 2019/1020 organy celne powinny mieć możliwość automatycznej weryfikacji, czy dla przywożonych zabawek podlegających niniejszemu rozporządzeniu istnieje </w:t>
      </w:r>
      <w:r w:rsidRPr="00092171">
        <w:rPr>
          <w:b/>
          <w:i/>
          <w:szCs w:val="24"/>
          <w:lang w:eastAsia="en-US"/>
        </w:rPr>
        <w:t xml:space="preserve">cyfrowy </w:t>
      </w:r>
      <w:r w:rsidRPr="00092171">
        <w:rPr>
          <w:szCs w:val="24"/>
          <w:lang w:eastAsia="en-US"/>
        </w:rPr>
        <w:t>paszport produktu, co pozwoli wzmocnić kontrole na granicach zewnętrznych Unii i zapobiec wprowadzaniu na rynek Unii zabawek niespełniających wymagań.</w:t>
      </w:r>
      <w:r w:rsidR="00770204">
        <w:rPr>
          <w:b/>
          <w:szCs w:val="24"/>
          <w:lang w:eastAsia="en-US"/>
        </w:rPr>
        <w:t xml:space="preserve"> [Popr. 25]</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(49)</w:t>
      </w:r>
      <w:r w:rsidRPr="00092171">
        <w:rPr>
          <w:szCs w:val="24"/>
          <w:lang w:eastAsia="en-US"/>
        </w:rPr>
        <w:tab/>
        <w:t xml:space="preserve">Gdy zabawki pochodzące z państw trzecich obejmuje się procedurą celną dopuszczenia do obrotu, podmiot gospodarczy powinien udostępnić organom celnym odniesienie do </w:t>
      </w:r>
      <w:r w:rsidRPr="00092171">
        <w:rPr>
          <w:b/>
          <w:i/>
          <w:szCs w:val="24"/>
          <w:lang w:eastAsia="en-US"/>
        </w:rPr>
        <w:t xml:space="preserve">cyfrowego </w:t>
      </w:r>
      <w:r w:rsidRPr="00092171">
        <w:rPr>
          <w:szCs w:val="24"/>
          <w:lang w:eastAsia="en-US"/>
        </w:rPr>
        <w:t>paszportu produktu dla tych zabawek. Odniesienie do</w:t>
      </w:r>
      <w:r w:rsidRPr="00092171">
        <w:rPr>
          <w:b/>
          <w:i/>
          <w:szCs w:val="24"/>
          <w:lang w:eastAsia="en-US"/>
        </w:rPr>
        <w:t xml:space="preserve"> cyfrowego</w:t>
      </w:r>
      <w:r w:rsidRPr="00092171">
        <w:rPr>
          <w:szCs w:val="24"/>
          <w:lang w:eastAsia="en-US"/>
        </w:rPr>
        <w:t xml:space="preserve"> paszportu produktu powinno odpowiadać unikatowemu identyfikatorowi produktu, który jest przechowywany w rejestrze paszportów produktu ustanowionym na podstawie art. 12 [Urząd Publikacji: proszę wstawić numer porządkowy rozporządzenia (UE) .../... w sprawie wymogów dotyczących ekoprojektu dla zrównoważonych produktów] („rejestr”). Organy celne powinny prowadzić automatyczną weryfikację paszportu produktu przedstawionego organom celnym dla danej zabawki, tak aby zapewnić, by do obrotu dopuszczane były wyłącznie zabawki posiadające ważne odniesienie odsyłające do unikatowego identyfikatora produktu zawartego w rejestrze. W celu prowadzenia tej automatycznej weryfikacji należy stosować wzajemne połączenie między tym rejestrem a systemami informatycznymi organów celnych, przewidziane w [art. 13 rozporządzenia (UE) …/… w sprawie wymogów dotyczących ekoprojektu dla zrównoważonych produktów].</w:t>
      </w:r>
      <w:r w:rsidR="00770204">
        <w:rPr>
          <w:b/>
          <w:szCs w:val="24"/>
          <w:lang w:eastAsia="en-US"/>
        </w:rPr>
        <w:t xml:space="preserve"> [Popr. 26]</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(50)</w:t>
      </w:r>
      <w:r w:rsidRPr="00092171">
        <w:rPr>
          <w:szCs w:val="24"/>
          <w:lang w:eastAsia="en-US"/>
        </w:rPr>
        <w:tab/>
        <w:t>W przypadku gdy w rejestrze przechowywane są inne informacje niż unikatowy identyfikator produktu i unikatowy identyfikator podmiotu, Komisja powinna być uprawniona do przyjmowania aktów delegowanych umożliwiających organom celnym zweryfikowanie zbieżności tych dodatkowych informacji z informacjami udostępnionymi organom celnym przez podmiot gospodarczy, w celu zapewnienia zgodności zabawek objętych procedurą celną dopuszczenia do obrotu z niniejszym rozporządzeniem.</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(51)</w:t>
      </w:r>
      <w:r w:rsidRPr="00092171">
        <w:rPr>
          <w:szCs w:val="24"/>
          <w:lang w:eastAsia="en-US"/>
        </w:rPr>
        <w:tab/>
        <w:t>Informacje zawarte w</w:t>
      </w:r>
      <w:r w:rsidRPr="00092171">
        <w:rPr>
          <w:b/>
          <w:i/>
          <w:szCs w:val="24"/>
          <w:lang w:eastAsia="en-US"/>
        </w:rPr>
        <w:t xml:space="preserve"> cyfrowym</w:t>
      </w:r>
      <w:r w:rsidRPr="00092171">
        <w:rPr>
          <w:szCs w:val="24"/>
          <w:lang w:eastAsia="en-US"/>
        </w:rPr>
        <w:t xml:space="preserve"> paszporcie produktu umożliwiają organom celnym udoskonalenie i ułatwienie zarządzania ryzykiem oraz lepsze ukierunkowanie kontroli na granicach zewnętrznych Unii. Organy celne powinny mieć zatem możliwość wyszukiwania i wykorzystywania informacji zawartych w </w:t>
      </w:r>
      <w:r w:rsidRPr="00092171">
        <w:rPr>
          <w:b/>
          <w:i/>
          <w:szCs w:val="24"/>
          <w:lang w:eastAsia="en-US"/>
        </w:rPr>
        <w:t xml:space="preserve">cyfrowym </w:t>
      </w:r>
      <w:r w:rsidRPr="00092171">
        <w:rPr>
          <w:szCs w:val="24"/>
          <w:lang w:eastAsia="en-US"/>
        </w:rPr>
        <w:t>paszporcie produktu i w rejestrze do wykonywania swoich zadań zgodnie z przepisami Unii, w tym do zarządzania ryzykiem w rozumieniu rozporządzenia (UE) nr 952/2013.</w:t>
      </w:r>
      <w:r w:rsidR="00770204">
        <w:rPr>
          <w:b/>
          <w:szCs w:val="24"/>
          <w:lang w:eastAsia="en-US"/>
        </w:rPr>
        <w:t xml:space="preserve"> [Popr. 27]</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(52)</w:t>
      </w:r>
      <w:r w:rsidRPr="00092171">
        <w:rPr>
          <w:szCs w:val="24"/>
          <w:lang w:eastAsia="en-US"/>
        </w:rPr>
        <w:tab/>
        <w:t xml:space="preserve">Należy zapewnić publikację w </w:t>
      </w:r>
      <w:r w:rsidR="00FD7FCD" w:rsidRPr="00FD7FCD">
        <w:rPr>
          <w:i/>
          <w:szCs w:val="24"/>
          <w:lang w:eastAsia="en-US"/>
        </w:rPr>
        <w:t>Dzienniku Urzędowym Unii Europejskiej</w:t>
      </w:r>
      <w:r w:rsidRPr="00092171">
        <w:rPr>
          <w:szCs w:val="24"/>
          <w:lang w:eastAsia="en-US"/>
        </w:rPr>
        <w:t xml:space="preserve"> zawiadomienia wskazującego datę rozpoczęcia funkcjonowania wzajemnego połączenia między rejestrem a unijnym systemem jednego okienka w dziedzinie ceł służącego do wymiany świadectw, o którym mowa w art. 13 [Urząd Publikacji: proszę wstawić numer porządkowy rozporządzenia (UE) .../... w sprawie wymogów dotyczących ekoprojektu dla zrównoważonych produktów], co ułatwi publiczny dostęp do tych informacji.</w:t>
      </w:r>
      <w:r w:rsidRPr="00092171">
        <w:rPr>
          <w:b/>
          <w:i/>
          <w:szCs w:val="24"/>
          <w:lang w:eastAsia="en-US"/>
        </w:rPr>
        <w:t xml:space="preserve"> Podobne publikacje powinny zostać udostępnione w przypadku uruchomienia kolejnych unijnych celnych systemów informatycznych.</w:t>
      </w:r>
      <w:r w:rsidR="00770204">
        <w:rPr>
          <w:b/>
          <w:szCs w:val="24"/>
          <w:lang w:eastAsia="en-US"/>
        </w:rPr>
        <w:t xml:space="preserve"> [Popr. 28]</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(53)</w:t>
      </w:r>
      <w:r w:rsidRPr="00092171">
        <w:rPr>
          <w:szCs w:val="24"/>
          <w:lang w:eastAsia="en-US"/>
        </w:rPr>
        <w:tab/>
        <w:t>Automatyczna weryfikacja przez organy celne odniesienia do</w:t>
      </w:r>
      <w:r w:rsidRPr="00092171">
        <w:rPr>
          <w:b/>
          <w:i/>
          <w:szCs w:val="24"/>
          <w:lang w:eastAsia="en-US"/>
        </w:rPr>
        <w:t xml:space="preserve"> cyfrowego</w:t>
      </w:r>
      <w:r w:rsidRPr="00092171">
        <w:rPr>
          <w:szCs w:val="24"/>
          <w:lang w:eastAsia="en-US"/>
        </w:rPr>
        <w:t xml:space="preserve"> paszportu produktu dla zabawek wprowadzanych a rynek Unii nie powinna skutkować zastąpieniem ani zmianą obowiązków organów nadzoru rynku, lecz jedynie uzupełniać ogólne ramy kontroli produktów wprowadzanych na rynek Unii. Rozporządzenie (UE) 2019/1020 powinno mieć w dalszym ciągu zastosowanie do zabawek, tak aby zapewnić, by organy nadzoru rynku prowadziły kontrole informacji zawartych w paszportach produktów, kontrole zabawek znajdujących się na rynku zgodnie z tym rozporządzeniem oraz, w przypadku zawieszenia dopuszczenia do obrotu przez organy wyznaczone do kontroli na granicach zewnętrznych Unii, określały zgodność i ryzyko związane z zabawkami zgodnie z rozdziałem VII rozporządzenia (UE) 2019/1020.</w:t>
      </w:r>
      <w:r w:rsidR="00770204">
        <w:rPr>
          <w:b/>
          <w:szCs w:val="24"/>
          <w:lang w:eastAsia="en-US"/>
        </w:rPr>
        <w:t xml:space="preserve"> [Popr. 29]</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(54)</w:t>
      </w:r>
      <w:r w:rsidRPr="00092171">
        <w:rPr>
          <w:szCs w:val="24"/>
          <w:lang w:eastAsia="en-US"/>
        </w:rPr>
        <w:tab/>
        <w:t xml:space="preserve">Każdego dnia dzieci są </w:t>
      </w:r>
      <w:r w:rsidRPr="00092171">
        <w:rPr>
          <w:strike/>
          <w:szCs w:val="24"/>
          <w:lang w:eastAsia="en-US"/>
        </w:rPr>
        <w:t>narażane</w:t>
      </w:r>
      <w:r w:rsidRPr="00092171">
        <w:rPr>
          <w:b/>
          <w:i/>
          <w:szCs w:val="24"/>
          <w:lang w:eastAsia="en-US"/>
        </w:rPr>
        <w:t>narażone</w:t>
      </w:r>
      <w:r w:rsidRPr="00092171">
        <w:rPr>
          <w:szCs w:val="24"/>
          <w:lang w:eastAsia="en-US"/>
        </w:rPr>
        <w:t xml:space="preserve"> na działanie szerokiego zakresu różnych substancji chemicznych pochodzących z różnorodnych źródeł</w:t>
      </w:r>
      <w:r w:rsidRPr="00092171">
        <w:rPr>
          <w:b/>
          <w:i/>
          <w:szCs w:val="24"/>
          <w:lang w:eastAsia="en-US"/>
        </w:rPr>
        <w:t>, które mają negatywny wpływ jako pojedyncze substancje lub mieszaniny, ale także przez narażenie łączne</w:t>
      </w:r>
      <w:r w:rsidRPr="00092171">
        <w:rPr>
          <w:szCs w:val="24"/>
          <w:lang w:eastAsia="en-US"/>
        </w:rPr>
        <w:t>. Poczyniono znaczne postępy w celu zlikwidowania pewnych luk w wiedzy na temat skutków połączonego oddziaływania tych substancji chemicznych.</w:t>
      </w:r>
      <w:r w:rsidRPr="00092171">
        <w:rPr>
          <w:b/>
          <w:i/>
          <w:szCs w:val="24"/>
          <w:lang w:eastAsia="en-US"/>
        </w:rPr>
        <w:t xml:space="preserve"> Obecnie</w:t>
      </w:r>
      <w:r w:rsidRPr="00092171">
        <w:rPr>
          <w:szCs w:val="24"/>
          <w:lang w:eastAsia="en-US"/>
        </w:rPr>
        <w:t xml:space="preserve"> bezpieczeństwo substancji chemicznych ocenia się jednak zazwyczaj na podstawie oceny pojedynczych substancji, a w niektórych przypadkach mieszanin celowo dodanych do konkretnych zastosowań. </w:t>
      </w:r>
      <w:r w:rsidRPr="00092171">
        <w:rPr>
          <w:b/>
          <w:i/>
          <w:szCs w:val="24"/>
          <w:lang w:eastAsia="en-US"/>
        </w:rPr>
        <w:t xml:space="preserve">Potrzebne są dalsze wysiłki, aby lepiej zrozumieć wpływ połączonego oddziaływania substancji chemicznych. </w:t>
      </w:r>
      <w:r w:rsidRPr="00092171">
        <w:rPr>
          <w:szCs w:val="24"/>
          <w:lang w:eastAsia="en-US"/>
        </w:rPr>
        <w:t>Aby zapewnić najwyższy poziom ochrony dzieci</w:t>
      </w:r>
      <w:r w:rsidRPr="00092171">
        <w:rPr>
          <w:b/>
          <w:i/>
          <w:szCs w:val="24"/>
          <w:lang w:eastAsia="en-US"/>
        </w:rPr>
        <w:t xml:space="preserve"> i środowiska ogółem</w:t>
      </w:r>
      <w:r w:rsidRPr="00092171">
        <w:rPr>
          <w:szCs w:val="24"/>
          <w:lang w:eastAsia="en-US"/>
        </w:rPr>
        <w:t>, należy zasadniczo zakazać stosowania najbardziej szkodliwych substancji w zabawkach, aby zapewnić brak narażenia na nie w zabawkach. Konkretne wartości graniczne dotyczące substancji chemicznych w zabawkach powinny uwzględniać łączne narażenie na działanie tej samej substancji chemicznej pochodzące z różnych źródeł. Producenci powinni ponadto być zobowiązani do prowadzenia analizy poszczególnych zagrożeń, jakie może stwarzać zabawka, oraz oceny potencjalnego narażenia na takie zagrożenia oraz, w ramach oceny zagrożeń chemicznych, do uwzględnienia znanych efektów kumulacji lub efektów synergicznych substancji chemicznych obecnych w zabawce, aby zapewnić uwzględnienie ryzyka wynikającego z jednoczesnego narażenia na wiele substancji chemicznych. Ponadto zabawki muszą być zgodne z ogólnym prawodawstwem w zakresie chemikaliów, w szczególności z rozporządzeniem (WE) nr 1907/2006 Parlamentu Europejskiego i Rady; niniejsze rozporządzenie nie zmienia obowiązków w zakresie oceny bezpieczeństwa samych substancji lub mieszanin chemicznych, które mogą mieć zastosowanie zgodnie z tym rozporządzeniem.</w:t>
      </w:r>
      <w:r w:rsidR="00770204">
        <w:rPr>
          <w:b/>
          <w:szCs w:val="24"/>
          <w:lang w:eastAsia="en-US"/>
        </w:rPr>
        <w:t xml:space="preserve"> [Popr. 250]</w:t>
      </w:r>
    </w:p>
    <w:p w:rsidR="00770204" w:rsidRDefault="00770204">
      <w:pPr>
        <w:widowControl/>
        <w:rPr>
          <w:b/>
          <w:i/>
          <w:szCs w:val="24"/>
          <w:lang w:eastAsia="en-US"/>
        </w:rPr>
      </w:pPr>
      <w:r>
        <w:rPr>
          <w:b/>
          <w:i/>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lastRenderedPageBreak/>
        <w:t>(54a)</w:t>
      </w:r>
      <w:r w:rsidRPr="00092171">
        <w:rPr>
          <w:szCs w:val="24"/>
          <w:lang w:eastAsia="en-US"/>
        </w:rPr>
        <w:tab/>
      </w:r>
      <w:r w:rsidRPr="00092171">
        <w:rPr>
          <w:b/>
          <w:i/>
          <w:szCs w:val="24"/>
          <w:lang w:eastAsia="en-US"/>
        </w:rPr>
        <w:t>ECHA powinna otrzymać odpowiednie i stabilne dofinansowanie, aby móc dostarczać odpowiednią wiedzę fachową, wsparcie i szczegółowe oceny naukowe.</w:t>
      </w:r>
      <w:r w:rsidR="00770204">
        <w:rPr>
          <w:b/>
          <w:szCs w:val="24"/>
          <w:lang w:eastAsia="en-US"/>
        </w:rPr>
        <w:t xml:space="preserve"> [Popr. 30]</w:t>
      </w:r>
    </w:p>
    <w:p w:rsidR="00092171" w:rsidRPr="00092171" w:rsidRDefault="00092171" w:rsidP="00092171">
      <w:pPr>
        <w:spacing w:before="120" w:after="120" w:line="360" w:lineRule="auto"/>
        <w:ind w:left="850" w:hanging="850"/>
        <w:rPr>
          <w:szCs w:val="24"/>
          <w:lang w:eastAsia="en-US"/>
        </w:rPr>
      </w:pPr>
      <w:r w:rsidRPr="00092171">
        <w:rPr>
          <w:szCs w:val="24"/>
          <w:lang w:eastAsia="en-US"/>
        </w:rPr>
        <w:t>(55)</w:t>
      </w:r>
      <w:r w:rsidRPr="00092171">
        <w:rPr>
          <w:szCs w:val="24"/>
          <w:lang w:eastAsia="en-US"/>
        </w:rPr>
        <w:tab/>
        <w:t>Producenci powinni przygotować dokumentację techniczną opisującą wszystkie istotne aspekty zabawek, w tym ocenę bezpieczeństwa wszystkich zagrożeń, jakie może stwarzać zabawka, oraz sposoby, w jakie zniwelowano te zagrożenia, aby umożliwić organom nadzoru rynku skuteczne wykonywanie swoich zadań. Producent powinien być zobowiązany do udostępnienia tej dokumentacji technicznej na wniosek organów krajowych lub jednostek notyfikowanych w kontekście stosownych procedur oceny zgodności.</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(56)</w:t>
      </w:r>
      <w:r w:rsidRPr="00092171">
        <w:rPr>
          <w:szCs w:val="24"/>
          <w:lang w:eastAsia="en-US"/>
        </w:rPr>
        <w:tab/>
        <w:t xml:space="preserve">Aby zapewnić zgodność zabawek z zasadniczymi wymaganiami, należy ustanowić odpowiednie procedury oceny zgodności, które mają być przestrzegane przez producenta. Wewnętrzna kontrola produkcji przeprowadzana na odpowiedzialność producenta w odniesieniu do oceny zgodności jest odpowiednia, o ile zastosował on normy zharmonizowane, które zostały opublikowane w </w:t>
      </w:r>
      <w:r w:rsidR="00FD7FCD" w:rsidRPr="00FD7FCD">
        <w:rPr>
          <w:i/>
          <w:szCs w:val="24"/>
          <w:lang w:eastAsia="en-US"/>
        </w:rPr>
        <w:t>Dzienniku Urzędowym Unii Europejskiej</w:t>
      </w:r>
      <w:r w:rsidRPr="00092171">
        <w:rPr>
          <w:szCs w:val="24"/>
          <w:lang w:eastAsia="en-US"/>
        </w:rPr>
        <w:t xml:space="preserve">, lub wspólne specyfikacje obejmujące wszystkie szczegółowe wymagania bezpieczeństwa wobec zabawki. W przypadku braku takich norm zharmonizowanych lub wspólnych specyfikacji zabawka powinna być poddana weryfikacji przez stronę trzecią, w tym przypadku badaniu typu UE. Należy przedsięwziąć takie same środki, jeśli takie normy lub jedna z nich zostały opublikowane w </w:t>
      </w:r>
      <w:r w:rsidR="00FD7FCD" w:rsidRPr="00FD7FCD">
        <w:rPr>
          <w:i/>
          <w:szCs w:val="24"/>
          <w:lang w:eastAsia="en-US"/>
        </w:rPr>
        <w:t>Dzienniku Urzędowym Unii Europejskiej</w:t>
      </w:r>
      <w:r w:rsidRPr="00092171">
        <w:rPr>
          <w:szCs w:val="24"/>
          <w:lang w:eastAsia="en-US"/>
        </w:rPr>
        <w:t xml:space="preserve"> z zastrzeżeniem lub jeśli producent nie zastosował się do norm lub specyfikacji lub zastosował się do nich częściowo. Producent powinien poddać zabawkę badaniu typu UE w przypadku gdy uważa, że charakter, projekt, konstrukcja lub przeznaczenie zabawki wymagają weryfikacji przez stronę trzecią.</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(57)</w:t>
      </w:r>
      <w:r w:rsidRPr="00092171">
        <w:rPr>
          <w:szCs w:val="24"/>
          <w:lang w:eastAsia="en-US"/>
        </w:rPr>
        <w:tab/>
        <w:t>Z uwagi na fakt, że należy zapewnić jednolicie wysoki poziom realizacji zadań przez jednostki dokonujące oceny zgodności zabawek na terenie całej Unii i z uwagi na fakt, że wszystkie takie organy powinny realizować swoje zadania na tym samym poziomie i zgodnie z warunkami uczciwej konkurencji, należy ustanowić wymagania dla jednostek oceniających zgodność, które chciałyby zostać notyfikowane jako podmioty świadczące usługi w zakresie oceny zgodności na podstawie niniejszego rozporządzenia.</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(58)</w:t>
      </w:r>
      <w:r w:rsidRPr="00092171">
        <w:rPr>
          <w:szCs w:val="24"/>
          <w:lang w:eastAsia="en-US"/>
        </w:rPr>
        <w:tab/>
        <w:t>Jeżeli jednostka oceniająca zgodność wykaże</w:t>
      </w:r>
      <w:r w:rsidRPr="00092171">
        <w:rPr>
          <w:strike/>
          <w:szCs w:val="24"/>
          <w:lang w:eastAsia="en-US"/>
        </w:rPr>
        <w:t xml:space="preserve"> spełnienie kryteriów określonych</w:t>
      </w:r>
      <w:r w:rsidRPr="00092171">
        <w:rPr>
          <w:b/>
          <w:i/>
          <w:szCs w:val="24"/>
          <w:lang w:eastAsia="en-US"/>
        </w:rPr>
        <w:t>, że zabawka spełnia kryteria określone</w:t>
      </w:r>
      <w:r w:rsidRPr="00092171">
        <w:rPr>
          <w:szCs w:val="24"/>
          <w:lang w:eastAsia="en-US"/>
        </w:rPr>
        <w:t xml:space="preserve"> w normach zharmonizowanych, należy zakładać, że</w:t>
      </w:r>
      <w:r w:rsidRPr="00092171">
        <w:rPr>
          <w:b/>
          <w:i/>
          <w:szCs w:val="24"/>
          <w:lang w:eastAsia="en-US"/>
        </w:rPr>
        <w:t xml:space="preserve"> zabawka</w:t>
      </w:r>
      <w:r w:rsidRPr="00092171">
        <w:rPr>
          <w:szCs w:val="24"/>
          <w:lang w:eastAsia="en-US"/>
        </w:rPr>
        <w:t xml:space="preserve"> spełnia odpowiednie wymagania określone w niniejszym rozporządzeniu.</w:t>
      </w:r>
      <w:r w:rsidR="00770204">
        <w:rPr>
          <w:b/>
          <w:szCs w:val="24"/>
          <w:lang w:eastAsia="en-US"/>
        </w:rPr>
        <w:t xml:space="preserve"> [Popr. 31]</w:t>
      </w:r>
    </w:p>
    <w:p w:rsidR="00092171" w:rsidRPr="00092171" w:rsidRDefault="00092171" w:rsidP="00092171">
      <w:pPr>
        <w:spacing w:before="120" w:after="120" w:line="360" w:lineRule="auto"/>
        <w:ind w:left="850" w:hanging="850"/>
        <w:rPr>
          <w:szCs w:val="24"/>
          <w:lang w:eastAsia="en-US"/>
        </w:rPr>
      </w:pPr>
      <w:r w:rsidRPr="00092171">
        <w:rPr>
          <w:szCs w:val="24"/>
          <w:lang w:eastAsia="en-US"/>
        </w:rPr>
        <w:t>(59)</w:t>
      </w:r>
      <w:r w:rsidRPr="00092171">
        <w:rPr>
          <w:szCs w:val="24"/>
          <w:lang w:eastAsia="en-US"/>
        </w:rPr>
        <w:tab/>
        <w:t>System określony w niniejszym rozporządzeniu należy uzupełnić o system akredytacji przewidziany w rozporządzeniu (WE) nr 765/2008. Ponieważ akredytacja stanowi podstawowy środek weryfikacji kompetencji jednostek oceniających zgodność, powinno się stosować ją dla celów notyfikacji. W szczególności jedyną metodą wykazywania kompetencji technicznych jednostek oceniających zgodność powinna być przejrzysta akredytacja zgodna z rozporządzeniem (WE) nr 765/2008, zapewniająca niezbędny poziom zaufania do certyfikatów zgodności.</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(60)</w:t>
      </w:r>
      <w:r w:rsidRPr="00092171">
        <w:rPr>
          <w:szCs w:val="24"/>
          <w:lang w:eastAsia="en-US"/>
        </w:rPr>
        <w:tab/>
        <w:t>Jednostki oceniające zgodność często zlecają realizację części zadań związanych z oceną zgodności podwykonawcom lub korzystają z usług spółek zależnych. W celu zapewnienia poziomu bezpieczeństwa wymaganego w przypadku zabawek, które mają zostać wprowadzone do obrotu, zasadnicze znaczenie ma to, aby w ramach wykonywania zadań oceny zgodności podwykonawcy i spółki zależne spełniali te same wymagania co jednostki notyfikowane. W związku z tym ważne jest, aby ocena kompetencji i działalności jednostek, które mają być notyfikowane, oraz monitorowanie jednostek już notyfikowanych obejmowały również działania prowadzone przez podwykonawców i spółki zależne. Należy unikać w szczególności nadmiernego powierzania tych zadań podwykonawcom i spółkom zależnym, które podważałoby kompetencje jednostki notyfikowanej lub sprawowanie nadzoru przez organ notyfikujący.</w:t>
      </w:r>
    </w:p>
    <w:p w:rsidR="00092171" w:rsidRPr="00092171" w:rsidRDefault="00092171" w:rsidP="00092171">
      <w:pPr>
        <w:spacing w:before="120" w:after="120" w:line="360" w:lineRule="auto"/>
        <w:ind w:left="850" w:hanging="850"/>
        <w:rPr>
          <w:szCs w:val="24"/>
          <w:lang w:eastAsia="en-US"/>
        </w:rPr>
      </w:pPr>
      <w:r w:rsidRPr="00092171">
        <w:rPr>
          <w:szCs w:val="24"/>
          <w:lang w:eastAsia="en-US"/>
        </w:rPr>
        <w:t>(61)</w:t>
      </w:r>
      <w:r w:rsidRPr="00092171">
        <w:rPr>
          <w:szCs w:val="24"/>
          <w:lang w:eastAsia="en-US"/>
        </w:rPr>
        <w:tab/>
        <w:t>Zapewnienie spójnego poziomu jakości w dokonywaniu oceny zgodności zabawek wymaga nie tylko konsolidacji wymagań, które muszą spełniać jednostki oceniające zgodność, jeżeli chcą być notyfikowane, lecz również jednoczesnego ustalenia wymagań obowiązujących organy notyfikujące i inne organy zaangażowane w ocenę, notyfikowanie i monitorowanie jednostek notyfikowanych.</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(62)</w:t>
      </w:r>
      <w:r w:rsidRPr="00092171">
        <w:rPr>
          <w:szCs w:val="24"/>
          <w:lang w:eastAsia="en-US"/>
        </w:rPr>
        <w:tab/>
        <w:t>Ponieważ jednostki notyfikowane mogą oferować swoje usługi w całej Unii, należy zapewnić pozostałym państwom członkowskim i Komisji możliwość zgłaszania zastrzeżeń dotyczących jednostki notyfikowanej. Ważne jest zatem ustalenie terminu, w jakim możliwe będzie wyjaśnienie jakichkolwiek wątpliwości lub obaw co do kompetencji jednostek oceniających zgodność, zanim zaczną one prowadzić działalność jako jednostki notyfikowane. Komisja powinna w drodze aktów wykonawczych zobowiązać notyfikujące państwo członkowskie do przyjęcia niezbędnych środków naprawczych w odniesieniu do jednostki notyfikowanej, która nie spełnia wymogów swojej notyfikacji.</w:t>
      </w:r>
    </w:p>
    <w:p w:rsidR="00092171" w:rsidRPr="00092171" w:rsidRDefault="00092171" w:rsidP="00092171">
      <w:pPr>
        <w:spacing w:before="120" w:after="120" w:line="360" w:lineRule="auto"/>
        <w:ind w:left="850" w:hanging="850"/>
        <w:rPr>
          <w:szCs w:val="24"/>
          <w:lang w:eastAsia="en-US"/>
        </w:rPr>
      </w:pPr>
      <w:r w:rsidRPr="00092171">
        <w:rPr>
          <w:szCs w:val="24"/>
          <w:lang w:eastAsia="en-US"/>
        </w:rPr>
        <w:t>(63)</w:t>
      </w:r>
      <w:r w:rsidRPr="00092171">
        <w:rPr>
          <w:szCs w:val="24"/>
          <w:lang w:eastAsia="en-US"/>
        </w:rPr>
        <w:tab/>
        <w:t>Z punktu widzenia konkurencyjności bardzo ważne jest, aby jednostki notyfikowane stosowały procedury oceny zgodności bez tworzenia zbędnego obciążenia dla podmiotów gospodarczych. Z tego samego powodu oraz w celu zapewnienia równego traktowania podmiotów gospodarczych, należy zapewnić spójność stosowania procedur oceny zgodności pod względem technicznym. Najlepszym sposobem na osiągnięcie tego celu jest odpowiednia koordynacja jednostek notyfikowanych i współpraca między nimi. Taka koordynacja i współpraca powinny odbywać się z poszanowaniem unijnych reguł konkurencji.</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(64)</w:t>
      </w:r>
      <w:r w:rsidRPr="00092171">
        <w:rPr>
          <w:szCs w:val="24"/>
          <w:lang w:eastAsia="en-US"/>
        </w:rPr>
        <w:tab/>
        <w:t>Nadzór rynku jest instrumentem istotnym o tyle, że zapewnia on właściwe i jednolite stosowanie przepisów Unii. W rozporządzeniu (UE) 2019/1020 określono ramy nadzoru rynku dla produktów podlegających unijnemu prawodawstwu harmonizacyjnemu, w tym dla zabawek. Ponieważ niniejsze rozporządzenie zastępuje dyrektywę 2009/48/WE, zasady nadzoru rynku i kontroli produktów wprowadzanych na rynek Unii określone w rozporządzeniu (UE) 2019/1020, w tym szczególne wymogi określone w art. 4 tego rozporządzenia, zgodnie z którymi zabawki można wprowadzić do obrotu, tylko jeżeli istnieje podmiot gospodarczy mający miejsce zamieszkania lub siedzibę w Unii, który jest odpowiedzialny za zadania określone w tym artykule, w dalszym ciągu mają zastosowanie do zabawek. W związku z tym państwa członkowskie powinny organizować i wykonywać nadzór rynku zabawek zgodnie z tym rozporządzeniem.</w:t>
      </w:r>
    </w:p>
    <w:p w:rsidR="00092171" w:rsidRPr="00092171" w:rsidRDefault="00092171" w:rsidP="00092171">
      <w:pPr>
        <w:spacing w:before="120" w:after="120" w:line="360" w:lineRule="auto"/>
        <w:ind w:left="850" w:hanging="850"/>
        <w:rPr>
          <w:szCs w:val="24"/>
          <w:lang w:eastAsia="en-US"/>
        </w:rPr>
      </w:pPr>
      <w:r w:rsidRPr="00092171">
        <w:rPr>
          <w:szCs w:val="24"/>
          <w:lang w:eastAsia="en-US"/>
        </w:rPr>
        <w:t>(65)</w:t>
      </w:r>
      <w:r w:rsidRPr="00092171">
        <w:rPr>
          <w:szCs w:val="24"/>
          <w:lang w:eastAsia="en-US"/>
        </w:rPr>
        <w:tab/>
        <w:t>Dyrektywa 2009/48/WE przewiduje procedurę w sprawie środków ochronnych, umożliwiającą Komisji i innym państwom członkowskim zbadanie uzasadnienia podjęcia środka przez państwo członkowskie w związku z zabawkami uważanymi przez to państwo członkowskie za niespełniające wymagań. Procedura ta zapewnia przekazywanie zainteresowanym stronom informacji na temat środków przewidzianych w odniesieniu do zabawek stwarzających ryzyko dla zdrowia lub bezpieczeństwa osób oraz spójne traktowanie takich zabawek przez wszystkie organy nadzoru rynku na rynku unijnym. Należy zatem utrzymać tę procedurę.</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(66)</w:t>
      </w:r>
      <w:r w:rsidRPr="00092171">
        <w:rPr>
          <w:szCs w:val="24"/>
          <w:lang w:eastAsia="en-US"/>
        </w:rPr>
        <w:tab/>
        <w:t>Jeżeli państwa członkowskie i Komisja osiągną porozumienie co do zasadności środka przyjętego przez państwo członkowskie, nie należy wymagać dalszego zaangażowania Komisji. W przypadku zgłoszenia zastrzeżeń do takiego środka Komisja powinna, w drodze aktów wykonawczych, stwierdzić, czy wprowadzenie środka krajowego w odniesieniu do zabawki jest uzasadnione.</w:t>
      </w:r>
    </w:p>
    <w:p w:rsidR="00092171" w:rsidRPr="00092171" w:rsidRDefault="00092171" w:rsidP="00092171">
      <w:pPr>
        <w:spacing w:before="120" w:after="120" w:line="360" w:lineRule="auto"/>
        <w:ind w:left="850" w:hanging="850"/>
        <w:rPr>
          <w:szCs w:val="24"/>
          <w:lang w:eastAsia="en-US"/>
        </w:rPr>
      </w:pPr>
      <w:r w:rsidRPr="00092171">
        <w:rPr>
          <w:szCs w:val="24"/>
          <w:lang w:eastAsia="en-US"/>
        </w:rPr>
        <w:t>(67)</w:t>
      </w:r>
      <w:r w:rsidRPr="00092171">
        <w:rPr>
          <w:szCs w:val="24"/>
          <w:lang w:eastAsia="en-US"/>
        </w:rPr>
        <w:tab/>
        <w:t>Z doświadczeń związanych z dyrektywą 2009/48/WE wynika, że nowe zabawki dostępne na rynku, które były zgodne z mającymi zastosowanie szczegółowymi wymaganiami bezpieczeństwa, po wprowadzeniu do obrotu stwarzały w szczególnych przypadkach ryzyko względem dzieci, nie były zatem zgodne z ogólnym wymaganiem bezpieczeństwa. Należy ustanowić przepisy zapewniające, aby organy nadzoru rynku mogły podejmować działania w odniesieniu do zabawek stanowiących ryzyko dla dzieci, nawet jeśli spełniają one szczegółowe wymagania bezpieczeństwa. Komisja powinna, w drodze aktów wykonawczych, stwierdzić, czy uzasadnione jest wprowadzenie środka krajowego w odniesieniu do zabawek, które spełniają wymagania, ale zdaniem państwa członkowskiego stanowią ryzyko dla zdrowia i bezpieczeństwa dzieci lub innych osób.</w:t>
      </w:r>
    </w:p>
    <w:p w:rsidR="00770204" w:rsidRDefault="00770204">
      <w:pPr>
        <w:widowControl/>
        <w:rPr>
          <w:b/>
          <w:i/>
          <w:szCs w:val="24"/>
          <w:lang w:eastAsia="en-US"/>
        </w:rPr>
      </w:pPr>
      <w:r>
        <w:rPr>
          <w:b/>
          <w:i/>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lastRenderedPageBreak/>
        <w:t>(67a)</w:t>
      </w:r>
      <w:r w:rsidRPr="00092171">
        <w:rPr>
          <w:szCs w:val="24"/>
          <w:lang w:eastAsia="en-US"/>
        </w:rPr>
        <w:tab/>
      </w:r>
      <w:r w:rsidRPr="00092171">
        <w:rPr>
          <w:b/>
          <w:i/>
          <w:szCs w:val="24"/>
          <w:lang w:eastAsia="en-US"/>
        </w:rPr>
        <w:t>Zgodnie z art. 20 rozporządzenia (UE) 2023/988 producenci są zobowiązani do powiadamiania, za pośrednictwem portalu Safety Business Gateway, o wszelkich urazach spowodowanych używaniem produktu. Na podstawie tych informacji Komisja powinna ocenić potrzebę i wykonalność utworzenia ogólnoeuropejskiej bazy danych o urazach, która mogłaby dostarczyć dodatkowych informacji i wiedzy podmiotom gospodarczym, odpowiednim zainteresowanym stronom i ekspertom, z myślą o ocenie skuteczności szczegółowych unijnych ram regulacyjnych dotyczących zabawek.</w:t>
      </w:r>
      <w:r w:rsidR="00770204">
        <w:rPr>
          <w:b/>
          <w:szCs w:val="24"/>
          <w:lang w:eastAsia="en-US"/>
        </w:rPr>
        <w:t xml:space="preserve"> [Popr. 32]</w:t>
      </w:r>
    </w:p>
    <w:p w:rsidR="00092171" w:rsidRPr="00092171" w:rsidRDefault="00092171" w:rsidP="00092171">
      <w:pPr>
        <w:spacing w:before="120" w:after="120" w:line="360" w:lineRule="auto"/>
        <w:ind w:left="850" w:hanging="850"/>
        <w:rPr>
          <w:szCs w:val="24"/>
          <w:lang w:eastAsia="en-US"/>
        </w:rPr>
      </w:pPr>
      <w:r w:rsidRPr="00092171">
        <w:rPr>
          <w:szCs w:val="24"/>
          <w:lang w:eastAsia="en-US"/>
        </w:rPr>
        <w:t>(68)</w:t>
      </w:r>
      <w:r w:rsidRPr="00092171">
        <w:rPr>
          <w:szCs w:val="24"/>
          <w:lang w:eastAsia="en-US"/>
        </w:rPr>
        <w:tab/>
        <w:t>W celu uwzględnienia postępu naukowo-technicznego lub nowych dowodów naukowych należy przekazać Komisji uprawnienia do przyjmowania aktów zgodnie z art. 290 Traktatu o funkcjonowaniu Unii Europejskiej w odniesieniu do zmiany niniejszego rozporządzenia poprzez dostosowywanie ostrzeżeń szczegółowych, które mają być umieszczane na zabawkach, dostosowywanie szczegółowych wymagań dotyczących substancji chemicznych w zabawkach i przyznawanie odstępstw w celu włączenia szczególnych zastosowań w zabawkach substancji objętych ogólnymi zakazami.</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(69)</w:t>
      </w:r>
      <w:r w:rsidRPr="00092171">
        <w:rPr>
          <w:szCs w:val="24"/>
          <w:lang w:eastAsia="en-US"/>
        </w:rPr>
        <w:tab/>
        <w:t xml:space="preserve">W celu uwzględnienia postępu naukowo-technicznego, jak również poziomu gotowości cyfrowej organów nadzoru rynku oraz dzieci i ich opiekunów należy również przekazać Komisji uprawnienia do przyjmowania aktów zgodnie z art. 290 Traktatu o funkcjonowaniu Unii Europejskiej dotyczących zmiany niniejszego rozporządzenia w odniesieniu do informacji, które należy włączyć do </w:t>
      </w:r>
      <w:r w:rsidRPr="00092171">
        <w:rPr>
          <w:b/>
          <w:i/>
          <w:szCs w:val="24"/>
          <w:lang w:eastAsia="en-US"/>
        </w:rPr>
        <w:t xml:space="preserve">cyfrowego </w:t>
      </w:r>
      <w:r w:rsidRPr="00092171">
        <w:rPr>
          <w:szCs w:val="24"/>
          <w:lang w:eastAsia="en-US"/>
        </w:rPr>
        <w:t xml:space="preserve">paszportu produktu, oraz informacji, które należy włączyć do </w:t>
      </w:r>
      <w:r w:rsidRPr="00092171">
        <w:rPr>
          <w:b/>
          <w:i/>
          <w:szCs w:val="24"/>
          <w:lang w:eastAsia="en-US"/>
        </w:rPr>
        <w:t xml:space="preserve">cyfrowego </w:t>
      </w:r>
      <w:r w:rsidRPr="00092171">
        <w:rPr>
          <w:szCs w:val="24"/>
          <w:lang w:eastAsia="en-US"/>
        </w:rPr>
        <w:t>rejestru paszportów produktu.</w:t>
      </w:r>
      <w:r w:rsidR="00770204">
        <w:rPr>
          <w:b/>
          <w:szCs w:val="24"/>
          <w:lang w:eastAsia="en-US"/>
        </w:rPr>
        <w:t xml:space="preserve"> [Popr. 33]</w:t>
      </w:r>
    </w:p>
    <w:p w:rsidR="00092171" w:rsidRPr="00092171" w:rsidRDefault="00092171" w:rsidP="00092171">
      <w:pPr>
        <w:spacing w:before="120" w:after="120" w:line="360" w:lineRule="auto"/>
        <w:ind w:left="850" w:hanging="850"/>
        <w:rPr>
          <w:szCs w:val="24"/>
          <w:lang w:eastAsia="en-US"/>
        </w:rPr>
      </w:pPr>
      <w:r w:rsidRPr="00092171">
        <w:rPr>
          <w:szCs w:val="24"/>
          <w:lang w:eastAsia="en-US"/>
        </w:rPr>
        <w:t>(70)</w:t>
      </w:r>
      <w:r w:rsidRPr="00092171">
        <w:rPr>
          <w:szCs w:val="24"/>
          <w:lang w:eastAsia="en-US"/>
        </w:rPr>
        <w:tab/>
        <w:t>W celu ułatwienia pracy organom celnym w odniesieniu do zabawek i ich zgodności z wymaganiami określonymi w niniejszym rozporządzeniu należy przekazać Komisji uprawnienia do przyjmowania aktów zgodnie z art. 290 Traktatu o funkcjonowaniu Unii Europejskiej w odniesieniu do uzupełniania niniejszego rozporządzenia poprzez ustalanie dodatkowych informacji przechowywanych w rejestrze podlegających kontroli organów celnych oraz w odniesieniu do zmiany wykazu kodów towarów i opisów produktów wykorzystywanych do celów kontroli celnych zgodnie z niniejszym rozporządzeniem na podstawie załącznika I do rozporządzenia Rady (EWG) nr 2658/87</w:t>
      </w:r>
      <w:r w:rsidRPr="00092171">
        <w:rPr>
          <w:szCs w:val="24"/>
          <w:vertAlign w:val="superscript"/>
          <w:lang w:val="en-GB" w:eastAsia="en-US"/>
        </w:rPr>
        <w:footnoteReference w:id="21"/>
      </w:r>
      <w:r w:rsidRPr="00092171">
        <w:rPr>
          <w:szCs w:val="24"/>
          <w:lang w:eastAsia="en-US"/>
        </w:rPr>
        <w:t>.</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(71)</w:t>
      </w:r>
      <w:r w:rsidRPr="00092171">
        <w:rPr>
          <w:szCs w:val="24"/>
          <w:lang w:eastAsia="en-US"/>
        </w:rPr>
        <w:tab/>
        <w:t>Podczas przyjmowania aktów delegowanych na podstawie niniejszego rozporządzenia szczególnie ważne jest, by podczas swoich prac przygotowawczych Komisja prowadziła odpowiednie konsultacje, w tym konsultacje na poziomie ekspertów</w:t>
      </w:r>
      <w:r w:rsidRPr="00092171">
        <w:rPr>
          <w:b/>
          <w:i/>
          <w:szCs w:val="24"/>
          <w:lang w:eastAsia="en-US"/>
        </w:rPr>
        <w:t xml:space="preserve"> i interesariuszy</w:t>
      </w:r>
      <w:r w:rsidRPr="00092171">
        <w:rPr>
          <w:szCs w:val="24"/>
          <w:lang w:eastAsia="en-US"/>
        </w:rPr>
        <w:t>, oraz by konsultacje te były prowadzone zgodnie z zasadami ustanowionymi w Porozumieniu międzyinstytucjonalnym z dnia 13 kwietnia 2016 r. w sprawie lepszego stanowienia prawa</w:t>
      </w:r>
      <w:r w:rsidRPr="00092171">
        <w:rPr>
          <w:szCs w:val="24"/>
          <w:vertAlign w:val="superscript"/>
          <w:lang w:val="en-GB" w:eastAsia="en-US"/>
        </w:rPr>
        <w:footnoteReference w:id="22"/>
      </w:r>
      <w:r w:rsidRPr="00092171">
        <w:rPr>
          <w:szCs w:val="24"/>
          <w:lang w:eastAsia="en-US"/>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r w:rsidR="00770204">
        <w:rPr>
          <w:b/>
          <w:szCs w:val="24"/>
          <w:lang w:eastAsia="en-US"/>
        </w:rPr>
        <w:t xml:space="preserve"> [Popr. 34]</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(72)</w:t>
      </w:r>
      <w:r w:rsidRPr="00092171">
        <w:rPr>
          <w:szCs w:val="24"/>
          <w:lang w:eastAsia="en-US"/>
        </w:rPr>
        <w:tab/>
        <w:t>Aby zapewnić jednolite warunki wykonania niniejszego rozporządzenia, Komisji należy przyznać uprawnienia wykonawcze w celu ustanowienia szczegółowych wymagań technicznych dotyczących</w:t>
      </w:r>
      <w:r w:rsidRPr="00092171">
        <w:rPr>
          <w:b/>
          <w:i/>
          <w:szCs w:val="24"/>
          <w:lang w:eastAsia="en-US"/>
        </w:rPr>
        <w:t xml:space="preserve"> cyfrowego</w:t>
      </w:r>
      <w:r w:rsidRPr="00092171">
        <w:rPr>
          <w:szCs w:val="24"/>
          <w:lang w:eastAsia="en-US"/>
        </w:rPr>
        <w:t xml:space="preserve"> paszportu produktu dla zabawek oraz ustalenia, czy do celów niniejszego rozporządzenia należy uznać konkretny produkt lub konkretną grupę produktów za zabawkę. W wyjątkowych przypadkach, gdy jest to konieczne w celu uwzględnienia nowego pojawiającego się ryzyka, które nie jest odpowiednio uwzględnione w szczegółowych wymaganiach bezpieczeństwa, Komisja powinna być uprawniona do przyjmowania aktów wykonawczych ustanawiających szczególne środki w związku z zabawkami lub kategoriami zabawek udostępnianymi na rynku, które stwarzają ryzyko dla dzieci. Uprawnienia te powinny być wykonywane zgodnie z rozporządzeniem Parlamentu Europejskiego i Rady (UE) nr 182/2011</w:t>
      </w:r>
      <w:r w:rsidRPr="00092171">
        <w:rPr>
          <w:szCs w:val="24"/>
          <w:vertAlign w:val="superscript"/>
          <w:lang w:val="en-GB" w:eastAsia="en-US"/>
        </w:rPr>
        <w:footnoteReference w:id="23"/>
      </w:r>
      <w:r w:rsidRPr="00092171">
        <w:rPr>
          <w:szCs w:val="24"/>
          <w:lang w:eastAsia="en-US"/>
        </w:rPr>
        <w:t>.</w:t>
      </w:r>
      <w:r w:rsidR="00770204">
        <w:rPr>
          <w:b/>
          <w:szCs w:val="24"/>
          <w:lang w:eastAsia="en-US"/>
        </w:rPr>
        <w:t xml:space="preserve"> [Popr. 35]</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(73)</w:t>
      </w:r>
      <w:r w:rsidRPr="00092171">
        <w:rPr>
          <w:szCs w:val="24"/>
          <w:lang w:eastAsia="en-US"/>
        </w:rPr>
        <w:tab/>
        <w:t>Państwa członkowskie powinny przewidzieć sankcje za naruszenia niniejszego rozporządzenia. Sankcje te powinny być skuteczne, proporcjonalne i odstraszające.</w:t>
      </w:r>
    </w:p>
    <w:p w:rsidR="00092171" w:rsidRPr="00092171" w:rsidRDefault="00092171" w:rsidP="00092171">
      <w:pPr>
        <w:spacing w:before="120" w:after="120" w:line="360" w:lineRule="auto"/>
        <w:ind w:left="850" w:hanging="850"/>
        <w:rPr>
          <w:szCs w:val="24"/>
          <w:lang w:eastAsia="en-US"/>
        </w:rPr>
      </w:pPr>
      <w:r w:rsidRPr="00092171">
        <w:rPr>
          <w:szCs w:val="24"/>
          <w:lang w:eastAsia="en-US"/>
        </w:rPr>
        <w:t>(74)</w:t>
      </w:r>
      <w:r w:rsidRPr="00092171">
        <w:rPr>
          <w:szCs w:val="24"/>
          <w:lang w:eastAsia="en-US"/>
        </w:rPr>
        <w:tab/>
        <w:t>W celu zapewnienia producentom i innym podmiotom gospodarczym wystarczającego czasu na dostosowanie się do wymagań ustanowionych w niniejszym rozporządzeniu niezbędne jest przyjęcie okresu przejściowego, w którym możliwe będzie wprowadzanie do obrotu zabawek zgodnych z dyrektywą 2009/48/WE. Należy ponadto ograniczyć okres, w którym zabawki wprowadzone już do obrotu zgodnie z przepisami tej dyrektywy będą mogły być dalej udostępniane na rynku po rozpoczęciu stosowania niniejszego rozporządzenia.</w:t>
      </w:r>
    </w:p>
    <w:p w:rsidR="00092171" w:rsidRPr="00092171" w:rsidRDefault="00092171" w:rsidP="00092171">
      <w:pPr>
        <w:spacing w:before="120" w:after="120" w:line="360" w:lineRule="auto"/>
        <w:ind w:left="850" w:hanging="850"/>
        <w:rPr>
          <w:szCs w:val="24"/>
          <w:lang w:eastAsia="en-US"/>
        </w:rPr>
      </w:pPr>
      <w:r w:rsidRPr="00092171">
        <w:rPr>
          <w:szCs w:val="24"/>
          <w:lang w:eastAsia="en-US"/>
        </w:rPr>
        <w:t>(75)</w:t>
      </w:r>
      <w:r w:rsidRPr="00092171">
        <w:rPr>
          <w:szCs w:val="24"/>
          <w:lang w:eastAsia="en-US"/>
        </w:rPr>
        <w:tab/>
        <w:t>Ponieważ cel niniejszego rozporządzenia, czyli zapewnienie wysokiego poziomu bezpieczeństwa zabawek, w celu zapewnienia bezpieczeństwa i zdrowia dzieci, przy jednoczesnym zagwarantowaniu funkcjonowania rynku wewnętrznego nie może być osiągnięty przez państwa członkowskie w sposób wystarczający, ale może być, ze względu na jej skalę i skutki, lepiej osiągnięty na poziomie Unii, Unia może przyjąć środki zgodnie z zasadą pomocniczości, określoną w art. 5 Traktatu. Zgodnie z zasadą proporcjonalności, określoną w tym artykule, niniejsze rozporządzenie nie wykracza poza to, co jest niezbędne do osiągnięcia tego celu.</w:t>
      </w:r>
    </w:p>
    <w:p w:rsidR="00092171" w:rsidRPr="00092171" w:rsidRDefault="00092171" w:rsidP="00092171">
      <w:pPr>
        <w:keepNext/>
        <w:widowControl/>
        <w:spacing w:before="120" w:after="120" w:line="360" w:lineRule="auto"/>
        <w:rPr>
          <w:szCs w:val="24"/>
          <w:lang w:eastAsia="en-US"/>
        </w:rPr>
      </w:pPr>
      <w:r w:rsidRPr="00092171">
        <w:rPr>
          <w:szCs w:val="24"/>
          <w:lang w:eastAsia="en-US"/>
        </w:rPr>
        <w:t>PRZYJMUJĄ NINIEJSZE ROZPORZĄDZENIE:</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ROZDZIAŁ I</w:t>
      </w:r>
      <w:r w:rsidRPr="00092171">
        <w:rPr>
          <w:szCs w:val="24"/>
          <w:lang w:eastAsia="en-US"/>
        </w:rPr>
        <w:br/>
        <w:t>POSTANOWIENIA OGÓLNE</w:t>
      </w:r>
    </w:p>
    <w:p w:rsidR="00092171" w:rsidRPr="00092171" w:rsidRDefault="00092171" w:rsidP="00092171">
      <w:pPr>
        <w:spacing w:before="120" w:after="120" w:line="360" w:lineRule="auto"/>
        <w:jc w:val="center"/>
        <w:rPr>
          <w:szCs w:val="24"/>
          <w:lang w:eastAsia="en-US"/>
        </w:rPr>
      </w:pPr>
      <w:r w:rsidRPr="00092171">
        <w:rPr>
          <w:szCs w:val="24"/>
          <w:lang w:eastAsia="en-US"/>
        </w:rPr>
        <w:t>Artykuł 1</w:t>
      </w:r>
      <w:r w:rsidRPr="00092171">
        <w:rPr>
          <w:szCs w:val="24"/>
          <w:lang w:eastAsia="en-US"/>
        </w:rPr>
        <w:br/>
      </w:r>
      <w:r w:rsidRPr="00092171">
        <w:rPr>
          <w:b/>
          <w:i/>
          <w:szCs w:val="24"/>
          <w:lang w:eastAsia="en-US"/>
        </w:rPr>
        <w:t xml:space="preserve">Cel i </w:t>
      </w:r>
      <w:r w:rsidRPr="00092171">
        <w:rPr>
          <w:szCs w:val="24"/>
          <w:lang w:eastAsia="en-US"/>
        </w:rPr>
        <w:t>przedmiot</w:t>
      </w:r>
    </w:p>
    <w:p w:rsidR="00092171" w:rsidRPr="00770204" w:rsidRDefault="00092171" w:rsidP="00092171">
      <w:pPr>
        <w:spacing w:before="120" w:after="120" w:line="360" w:lineRule="auto"/>
        <w:rPr>
          <w:b/>
          <w:szCs w:val="24"/>
          <w:lang w:eastAsia="en-US"/>
        </w:rPr>
      </w:pPr>
      <w:r w:rsidRPr="00092171">
        <w:rPr>
          <w:strike/>
          <w:szCs w:val="24"/>
          <w:lang w:eastAsia="en-US"/>
        </w:rPr>
        <w:t>W niniejszym rozporządzeniu ustanawia się przepisy dotyczące bezpieczeństwa zabawek zapewniające wysoki poziom</w:t>
      </w:r>
      <w:r w:rsidRPr="00092171">
        <w:rPr>
          <w:b/>
          <w:i/>
          <w:szCs w:val="24"/>
          <w:lang w:eastAsia="en-US"/>
        </w:rPr>
        <w:t>Celem niniejszego rozporządzenia jest poprawa funkcjonowania rynku wewnętrznego przy jednoczesnym zapewnieniu wysokiego poziomu ochrony konsumentów oraz wysokiego poziomu</w:t>
      </w:r>
      <w:r w:rsidRPr="00092171">
        <w:rPr>
          <w:szCs w:val="24"/>
          <w:lang w:eastAsia="en-US"/>
        </w:rPr>
        <w:t xml:space="preserve"> ochrony zdrowia i bezpieczeństwa dzieci </w:t>
      </w:r>
      <w:r w:rsidRPr="00092171">
        <w:rPr>
          <w:strike/>
          <w:szCs w:val="24"/>
          <w:lang w:eastAsia="en-US"/>
        </w:rPr>
        <w:t>i</w:t>
      </w:r>
      <w:r w:rsidRPr="00092171">
        <w:rPr>
          <w:b/>
          <w:i/>
          <w:szCs w:val="24"/>
          <w:lang w:eastAsia="en-US"/>
        </w:rPr>
        <w:t>oraz</w:t>
      </w:r>
      <w:r w:rsidRPr="00092171">
        <w:rPr>
          <w:szCs w:val="24"/>
          <w:lang w:eastAsia="en-US"/>
        </w:rPr>
        <w:t xml:space="preserve"> innych osób</w:t>
      </w:r>
      <w:r w:rsidRPr="00092171">
        <w:rPr>
          <w:strike/>
          <w:szCs w:val="24"/>
          <w:lang w:eastAsia="en-US"/>
        </w:rPr>
        <w:t>, a także swobodnego przepływu zabawek w Unii</w:t>
      </w:r>
      <w:r w:rsidRPr="00092171">
        <w:rPr>
          <w:szCs w:val="24"/>
          <w:lang w:eastAsia="en-US"/>
        </w:rPr>
        <w:t>.</w:t>
      </w:r>
      <w:r w:rsidR="00770204">
        <w:rPr>
          <w:b/>
          <w:szCs w:val="24"/>
          <w:lang w:eastAsia="en-US"/>
        </w:rPr>
        <w:t xml:space="preserve"> [Popr. 37]</w:t>
      </w:r>
    </w:p>
    <w:p w:rsidR="00092171" w:rsidRPr="00770204" w:rsidRDefault="00092171" w:rsidP="00092171">
      <w:pPr>
        <w:spacing w:before="120" w:after="120" w:line="360" w:lineRule="auto"/>
        <w:rPr>
          <w:b/>
          <w:szCs w:val="24"/>
          <w:lang w:eastAsia="en-US"/>
        </w:rPr>
      </w:pPr>
      <w:r w:rsidRPr="00092171">
        <w:rPr>
          <w:b/>
          <w:i/>
          <w:szCs w:val="24"/>
          <w:lang w:eastAsia="en-US"/>
        </w:rPr>
        <w:t>Niniejsze rozporządzenie ustanawia przepisy dotyczące bezpieczeństwa zabawek i swobodnego przepływu zabawek w Unii, przez co wzmacnia rynek wewnętrzny.</w:t>
      </w:r>
      <w:r w:rsidR="00770204">
        <w:rPr>
          <w:b/>
          <w:szCs w:val="24"/>
          <w:lang w:eastAsia="en-US"/>
        </w:rPr>
        <w:t xml:space="preserve"> [Popr. 38]</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2</w:t>
      </w:r>
      <w:r w:rsidRPr="00092171">
        <w:rPr>
          <w:szCs w:val="24"/>
          <w:lang w:eastAsia="en-US"/>
        </w:rPr>
        <w:br/>
        <w:t>Zakres</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Niniejsze rozporządzenie stosuje się do produktów zaprojektowanych lub przeznaczonych, wyłącznie lub nie, do użytku podczas zabawy przez dzieci poniżej 14. roku życia („zabawek”).</w:t>
      </w:r>
    </w:p>
    <w:p w:rsidR="00092171" w:rsidRPr="00770204" w:rsidRDefault="00092171" w:rsidP="00092171">
      <w:pPr>
        <w:spacing w:before="120" w:after="120" w:line="360" w:lineRule="auto"/>
        <w:ind w:left="850"/>
        <w:rPr>
          <w:b/>
          <w:szCs w:val="24"/>
          <w:lang w:eastAsia="en-US"/>
        </w:rPr>
      </w:pPr>
      <w:r w:rsidRPr="00092171">
        <w:rPr>
          <w:szCs w:val="24"/>
          <w:lang w:eastAsia="en-US"/>
        </w:rPr>
        <w:t>Do celów niniejszego rozporządzenia produkt uznaje się za przeznaczony do użytku podczas zabawy przez dzieci poniżej 14. roku życia</w:t>
      </w:r>
      <w:r w:rsidRPr="00092171">
        <w:rPr>
          <w:strike/>
          <w:szCs w:val="24"/>
          <w:lang w:eastAsia="en-US"/>
        </w:rPr>
        <w:t xml:space="preserve"> lub przez dzieci z dowolnej innej grupy wiekowej poniżej 14 lat</w:t>
      </w:r>
      <w:r w:rsidRPr="00092171">
        <w:rPr>
          <w:szCs w:val="24"/>
          <w:lang w:eastAsia="en-US"/>
        </w:rPr>
        <w:t>, jeżeli rodzic lub opiekun może rozsądnie założyć na podstawie funkcji, wymiarów i charakterystyki tego produktu, że jest on przeznaczony do użytku podczas zabawy przez dzieci z odpowiedniej grupy wiekowej.</w:t>
      </w:r>
      <w:r w:rsidR="00770204">
        <w:rPr>
          <w:b/>
          <w:szCs w:val="24"/>
          <w:lang w:eastAsia="en-US"/>
        </w:rPr>
        <w:t xml:space="preserve"> [Popr. 39]</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Niniejsze rozporządzenie nie ma zastosowania do produktów wymienionych w załączniku I.</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3.</w:t>
      </w:r>
      <w:r w:rsidRPr="00092171">
        <w:rPr>
          <w:szCs w:val="24"/>
          <w:lang w:eastAsia="en-US"/>
        </w:rPr>
        <w:tab/>
      </w:r>
      <w:r w:rsidRPr="00092171">
        <w:rPr>
          <w:b/>
          <w:i/>
          <w:szCs w:val="24"/>
          <w:lang w:eastAsia="en-US"/>
        </w:rPr>
        <w:t xml:space="preserve">Przed rozpoczęciem stosowania niniejszego rozporządzenia na podstawie art. 56 i aby w razie potrzeby zaradzić istniejącym zagrożeniom dla bezpieczeństwa po rozpoczęciu stosowania, </w:t>
      </w:r>
      <w:r w:rsidRPr="00092171">
        <w:rPr>
          <w:szCs w:val="24"/>
          <w:lang w:eastAsia="en-US"/>
        </w:rPr>
        <w:t>Komisja jest uprawniona do przyjmowania aktów wykonawczych określających, czy konkretne produkty lub kategorie produktów spełniają kryteria określone w ust. 1 niniejszego artykułu, i mogą zatem lub nie mogą zostać uznane za zabawki w rozumieniu niniejszego rozporządzenia. Te akty wykonawcze przyjmuje się zgodnie z procedurą, o której mowa w art. 50 ust. 2.</w:t>
      </w:r>
      <w:r w:rsidR="00770204">
        <w:rPr>
          <w:b/>
          <w:szCs w:val="24"/>
          <w:lang w:eastAsia="en-US"/>
        </w:rPr>
        <w:t xml:space="preserve"> [Popr. 40]</w:t>
      </w:r>
    </w:p>
    <w:p w:rsidR="00770204" w:rsidRDefault="00770204">
      <w:pPr>
        <w:widowControl/>
        <w:rPr>
          <w:b/>
          <w:i/>
          <w:szCs w:val="24"/>
          <w:lang w:eastAsia="en-US"/>
        </w:rPr>
      </w:pPr>
      <w:r>
        <w:rPr>
          <w:b/>
          <w:i/>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lastRenderedPageBreak/>
        <w:t>3a.</w:t>
      </w:r>
      <w:r w:rsidRPr="00092171">
        <w:rPr>
          <w:szCs w:val="24"/>
          <w:lang w:eastAsia="en-US"/>
        </w:rPr>
        <w:tab/>
      </w:r>
      <w:r w:rsidRPr="00092171">
        <w:rPr>
          <w:b/>
          <w:i/>
          <w:szCs w:val="24"/>
          <w:lang w:eastAsia="en-US"/>
        </w:rPr>
        <w:t>Niniejsze rozporządzenie wdraża się z należytym uwzględnieniem zasady ostrożności.</w:t>
      </w:r>
      <w:r w:rsidR="00770204">
        <w:rPr>
          <w:b/>
          <w:szCs w:val="24"/>
          <w:lang w:eastAsia="en-US"/>
        </w:rPr>
        <w:t xml:space="preserve"> [Popr. 41]</w:t>
      </w:r>
    </w:p>
    <w:p w:rsidR="00092171" w:rsidRPr="00092171" w:rsidRDefault="00092171" w:rsidP="00092171">
      <w:pPr>
        <w:spacing w:before="120" w:after="120" w:line="360" w:lineRule="auto"/>
        <w:jc w:val="center"/>
        <w:rPr>
          <w:szCs w:val="24"/>
          <w:lang w:eastAsia="en-US"/>
        </w:rPr>
      </w:pPr>
      <w:r w:rsidRPr="00092171">
        <w:rPr>
          <w:szCs w:val="24"/>
          <w:lang w:eastAsia="en-US"/>
        </w:rPr>
        <w:t>Artykuł 3</w:t>
      </w:r>
      <w:r w:rsidRPr="00092171">
        <w:rPr>
          <w:szCs w:val="24"/>
          <w:lang w:eastAsia="en-US"/>
        </w:rPr>
        <w:br/>
        <w:t>Definicje</w:t>
      </w:r>
    </w:p>
    <w:p w:rsidR="00092171" w:rsidRPr="00092171" w:rsidRDefault="00092171" w:rsidP="00092171">
      <w:pPr>
        <w:spacing w:before="120" w:after="120" w:line="360" w:lineRule="auto"/>
        <w:rPr>
          <w:szCs w:val="24"/>
          <w:lang w:eastAsia="en-US"/>
        </w:rPr>
      </w:pPr>
      <w:r w:rsidRPr="00092171">
        <w:rPr>
          <w:szCs w:val="24"/>
          <w:lang w:eastAsia="en-US"/>
        </w:rPr>
        <w:t>Do celów niniejszego rozporządzenia stosuje się następujące definicje:</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„udostępnianie na rynku” oznacza każde dostarczanie zabawki w celu jej dystrybucji, konsumpcji lub używania na rynku Unii, w ramach działalności handlowej, odpłatne lub nieodpłatne;</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„wprowadzenie do obrotu” oznacza udostępnienie zabawki na rynku Unii po raz pierwszy;</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„producent” oznacza każdą osobę fizyczną lub prawną, która wytwarza zabawkę lub która zleca jej zaprojektowanie lub wytworzenie i wprowadza do obrotu zabawkę pod własną nazwą lub znakiem towarowym;</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4)</w:t>
      </w:r>
      <w:r w:rsidRPr="00092171">
        <w:rPr>
          <w:szCs w:val="24"/>
          <w:lang w:eastAsia="en-US"/>
        </w:rPr>
        <w:tab/>
        <w:t>„upoważniony przedstawiciel” oznacza każdą osobę fizyczną lub prawną mającą siedzibę w Unii posiadającą pisemne pełnomocnictwo od producenta do działania w jej imieniu w odniesieniu do określonych zadań</w:t>
      </w:r>
      <w:r w:rsidRPr="00092171">
        <w:rPr>
          <w:b/>
          <w:i/>
          <w:szCs w:val="24"/>
          <w:lang w:eastAsia="en-US"/>
        </w:rPr>
        <w:t xml:space="preserve"> w związku z obowiązkami producenta wynikającymi z niniejszego rozporządzenia</w:t>
      </w:r>
      <w:r w:rsidRPr="00092171">
        <w:rPr>
          <w:szCs w:val="24"/>
          <w:lang w:eastAsia="en-US"/>
        </w:rPr>
        <w:t>;</w:t>
      </w:r>
      <w:r w:rsidR="00770204">
        <w:rPr>
          <w:b/>
          <w:szCs w:val="24"/>
          <w:lang w:eastAsia="en-US"/>
        </w:rPr>
        <w:t xml:space="preserve"> [Popr. 42]</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„importer” oznacza każdą osobę fizyczną lub prawną, mającą siedzibę w Unii, wprowadzającą do obrotu w Unii zabawkę z kraju trzeciego;</w:t>
      </w:r>
    </w:p>
    <w:p w:rsidR="00092171" w:rsidRPr="00092171" w:rsidRDefault="00092171" w:rsidP="00092171">
      <w:pPr>
        <w:spacing w:before="120" w:after="120" w:line="360" w:lineRule="auto"/>
        <w:ind w:left="850" w:hanging="850"/>
        <w:rPr>
          <w:szCs w:val="24"/>
          <w:lang w:eastAsia="en-US"/>
        </w:rPr>
      </w:pPr>
      <w:r w:rsidRPr="00092171">
        <w:rPr>
          <w:szCs w:val="24"/>
          <w:lang w:eastAsia="en-US"/>
        </w:rPr>
        <w:t>6)</w:t>
      </w:r>
      <w:r w:rsidRPr="00092171">
        <w:rPr>
          <w:szCs w:val="24"/>
          <w:lang w:eastAsia="en-US"/>
        </w:rPr>
        <w:tab/>
        <w:t>„dystrybutor” oznacza każdą osobę fizyczną lub prawną w łańcuchu dostaw, inną niż producent lub importer, która udostępnia zabawkę na rynku;</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7)</w:t>
      </w:r>
      <w:r w:rsidRPr="00092171">
        <w:rPr>
          <w:szCs w:val="24"/>
          <w:lang w:eastAsia="en-US"/>
        </w:rPr>
        <w:tab/>
        <w:t xml:space="preserve">„dostawca usług realizacji zamówień” oznacza dostawcę usług realizacji zamówień w rozumieniu art. </w:t>
      </w:r>
      <w:r w:rsidRPr="00092171">
        <w:rPr>
          <w:strike/>
          <w:szCs w:val="24"/>
          <w:lang w:eastAsia="en-US"/>
        </w:rPr>
        <w:t>2</w:t>
      </w:r>
      <w:r w:rsidRPr="00092171">
        <w:rPr>
          <w:b/>
          <w:i/>
          <w:szCs w:val="24"/>
          <w:lang w:eastAsia="en-US"/>
        </w:rPr>
        <w:t>3</w:t>
      </w:r>
      <w:r w:rsidRPr="00092171">
        <w:rPr>
          <w:szCs w:val="24"/>
          <w:lang w:eastAsia="en-US"/>
        </w:rPr>
        <w:t xml:space="preserve"> pkt 11 rozporządzenia (UE) 2019/1020;</w:t>
      </w:r>
      <w:r w:rsidR="00770204">
        <w:rPr>
          <w:b/>
          <w:szCs w:val="24"/>
          <w:lang w:eastAsia="en-US"/>
        </w:rPr>
        <w:t xml:space="preserve"> [Popr. 43]</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8)</w:t>
      </w:r>
      <w:r w:rsidRPr="00092171">
        <w:rPr>
          <w:szCs w:val="24"/>
          <w:lang w:eastAsia="en-US"/>
        </w:rPr>
        <w:tab/>
        <w:t>„podmiot gospodarczy” oznacza producenta, upoważnionego przedstawiciela, importera, dystrybutora</w:t>
      </w:r>
      <w:r w:rsidRPr="00092171">
        <w:rPr>
          <w:strike/>
          <w:szCs w:val="24"/>
          <w:lang w:eastAsia="en-US"/>
        </w:rPr>
        <w:t xml:space="preserve"> i</w:t>
      </w:r>
      <w:r w:rsidRPr="00092171">
        <w:rPr>
          <w:b/>
          <w:i/>
          <w:szCs w:val="24"/>
          <w:lang w:eastAsia="en-US"/>
        </w:rPr>
        <w:t>,</w:t>
      </w:r>
      <w:r w:rsidRPr="00092171">
        <w:rPr>
          <w:szCs w:val="24"/>
          <w:lang w:eastAsia="en-US"/>
        </w:rPr>
        <w:t xml:space="preserve"> dostawcę usług realizacji zamówień</w:t>
      </w:r>
      <w:r w:rsidRPr="00092171">
        <w:rPr>
          <w:b/>
          <w:i/>
          <w:szCs w:val="24"/>
          <w:lang w:eastAsia="en-US"/>
        </w:rPr>
        <w:t xml:space="preserve"> bądź każdą inną osobę fizyczną lub prawną podlegającą obowiązkom związanym z wytwarzaniem produktów lub udostępnianiem ich na rynku zgodnie z niniejszym rozporządzeniem</w:t>
      </w:r>
      <w:r w:rsidRPr="00092171">
        <w:rPr>
          <w:szCs w:val="24"/>
          <w:lang w:eastAsia="en-US"/>
        </w:rPr>
        <w:t>;</w:t>
      </w:r>
      <w:r w:rsidR="00770204">
        <w:rPr>
          <w:b/>
          <w:szCs w:val="24"/>
          <w:lang w:eastAsia="en-US"/>
        </w:rPr>
        <w:t xml:space="preserve"> [Popr. 44]</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9)</w:t>
      </w:r>
      <w:r w:rsidRPr="00092171">
        <w:rPr>
          <w:szCs w:val="24"/>
          <w:lang w:eastAsia="en-US"/>
        </w:rPr>
        <w:tab/>
        <w:t>„</w:t>
      </w:r>
      <w:r w:rsidRPr="00092171">
        <w:rPr>
          <w:strike/>
          <w:szCs w:val="24"/>
          <w:lang w:eastAsia="en-US"/>
        </w:rPr>
        <w:t>internetowa platforma handlowa</w:t>
      </w:r>
      <w:r w:rsidRPr="00092171">
        <w:rPr>
          <w:b/>
          <w:i/>
          <w:szCs w:val="24"/>
          <w:lang w:eastAsia="en-US"/>
        </w:rPr>
        <w:t>dostawca internetowej platformy handlowej</w:t>
      </w:r>
      <w:r w:rsidRPr="00092171">
        <w:rPr>
          <w:szCs w:val="24"/>
          <w:lang w:eastAsia="en-US"/>
        </w:rPr>
        <w:t xml:space="preserve">” oznacza </w:t>
      </w:r>
      <w:r w:rsidRPr="00092171">
        <w:rPr>
          <w:strike/>
          <w:szCs w:val="24"/>
          <w:lang w:eastAsia="en-US"/>
        </w:rPr>
        <w:t>internetową platformę handlową w rozumieniu</w:t>
      </w:r>
      <w:r w:rsidRPr="00092171">
        <w:rPr>
          <w:b/>
          <w:i/>
          <w:szCs w:val="24"/>
          <w:lang w:eastAsia="en-US"/>
        </w:rPr>
        <w:t>dostawcę usługi pośredniej korzystającego z interfejsu internetowego, który umożliwia konsumentom zawieranie z przedsiębiorcami umów na odległość dotyczących sprzedaży produktów zgodnie z</w:t>
      </w:r>
      <w:r w:rsidRPr="00092171">
        <w:rPr>
          <w:szCs w:val="24"/>
          <w:lang w:eastAsia="en-US"/>
        </w:rPr>
        <w:t xml:space="preserve"> art. 3 pkt 14 rozporządzenia (UE) 2023/988;</w:t>
      </w:r>
      <w:r w:rsidR="00770204">
        <w:rPr>
          <w:b/>
          <w:szCs w:val="24"/>
          <w:lang w:eastAsia="en-US"/>
        </w:rPr>
        <w:t xml:space="preserve"> [Popr. 45]</w:t>
      </w:r>
    </w:p>
    <w:p w:rsidR="00092171" w:rsidRPr="00092171" w:rsidRDefault="00092171" w:rsidP="00092171">
      <w:pPr>
        <w:spacing w:before="120" w:after="120" w:line="360" w:lineRule="auto"/>
        <w:ind w:left="850" w:hanging="850"/>
        <w:rPr>
          <w:szCs w:val="24"/>
          <w:lang w:eastAsia="en-US"/>
        </w:rPr>
      </w:pPr>
      <w:r w:rsidRPr="00092171">
        <w:rPr>
          <w:szCs w:val="24"/>
          <w:lang w:eastAsia="en-US"/>
        </w:rPr>
        <w:t>10)</w:t>
      </w:r>
      <w:r w:rsidRPr="00092171">
        <w:rPr>
          <w:szCs w:val="24"/>
          <w:lang w:eastAsia="en-US"/>
        </w:rPr>
        <w:tab/>
        <w:t>„norma zharmonizowana” oznacza normę zharmonizowaną w rozumieniu art. 2 pkt 1 rozporządzenia (UE) nr 1025/2012;</w:t>
      </w:r>
    </w:p>
    <w:p w:rsidR="00092171" w:rsidRPr="00092171" w:rsidRDefault="00092171" w:rsidP="00092171">
      <w:pPr>
        <w:spacing w:before="120" w:after="120" w:line="360" w:lineRule="auto"/>
        <w:ind w:left="850" w:hanging="850"/>
        <w:rPr>
          <w:szCs w:val="24"/>
          <w:lang w:eastAsia="en-US"/>
        </w:rPr>
      </w:pPr>
      <w:r w:rsidRPr="00092171">
        <w:rPr>
          <w:szCs w:val="24"/>
          <w:lang w:eastAsia="en-US"/>
        </w:rPr>
        <w:t>11)</w:t>
      </w:r>
      <w:r w:rsidRPr="00092171">
        <w:rPr>
          <w:szCs w:val="24"/>
          <w:lang w:eastAsia="en-US"/>
        </w:rPr>
        <w:tab/>
        <w:t>„unijne prawodawstwo harmonizacyjne” oznacza przepisy Unii wymienione w załączniku I do rozporządzenia (UE) 2019/1020 oraz wszelkie inne przepisy Unii harmonizujące warunki oferowania produktów, do których to rozporządzenie ma zastosowanie;</w:t>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t>11a)</w:t>
      </w:r>
      <w:r w:rsidRPr="00092171">
        <w:rPr>
          <w:szCs w:val="24"/>
          <w:lang w:eastAsia="en-US"/>
        </w:rPr>
        <w:tab/>
      </w:r>
      <w:r w:rsidRPr="00092171">
        <w:rPr>
          <w:b/>
          <w:i/>
          <w:szCs w:val="24"/>
          <w:lang w:eastAsia="en-US"/>
        </w:rPr>
        <w:t>„przeznaczone dla” oznacza, że rodzic lub opiekun ma podstawy zakładać na podstawie funkcji, wymiarów i charakterystyki danej zabawki, że jest ona przeznaczona do użytku przez dzieci z podanej grupy wiekowej;</w:t>
      </w:r>
      <w:r w:rsidR="00770204">
        <w:rPr>
          <w:b/>
          <w:szCs w:val="24"/>
          <w:lang w:eastAsia="en-US"/>
        </w:rPr>
        <w:t xml:space="preserve"> [Popr. 46]</w:t>
      </w:r>
    </w:p>
    <w:p w:rsidR="00092171" w:rsidRPr="00092171" w:rsidRDefault="00092171" w:rsidP="00092171">
      <w:pPr>
        <w:spacing w:before="120" w:after="120" w:line="360" w:lineRule="auto"/>
        <w:ind w:left="850" w:hanging="850"/>
        <w:rPr>
          <w:szCs w:val="24"/>
          <w:lang w:eastAsia="en-US"/>
        </w:rPr>
      </w:pPr>
      <w:r w:rsidRPr="00092171">
        <w:rPr>
          <w:szCs w:val="24"/>
          <w:lang w:eastAsia="en-US"/>
        </w:rPr>
        <w:t>12)</w:t>
      </w:r>
      <w:r w:rsidRPr="00092171">
        <w:rPr>
          <w:szCs w:val="24"/>
          <w:lang w:eastAsia="en-US"/>
        </w:rPr>
        <w:tab/>
        <w:t>„oznakowanie CE” oznacza oznakowanie, poprzez które producent wskazuje, że zabawka spełnia mające zastosowanie wymagania w unijnym prawodawstwie harmonizacyjnym przewidującym jego umieszczanie;</w:t>
      </w:r>
    </w:p>
    <w:p w:rsidR="00770204" w:rsidRDefault="00770204">
      <w:pPr>
        <w:widowControl/>
        <w:rPr>
          <w:b/>
          <w:i/>
          <w:szCs w:val="24"/>
          <w:lang w:eastAsia="en-US"/>
        </w:rPr>
      </w:pPr>
      <w:r>
        <w:rPr>
          <w:b/>
          <w:i/>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lastRenderedPageBreak/>
        <w:t>12a)</w:t>
      </w:r>
      <w:r w:rsidRPr="00092171">
        <w:rPr>
          <w:szCs w:val="24"/>
          <w:lang w:eastAsia="en-US"/>
        </w:rPr>
        <w:tab/>
      </w:r>
      <w:r w:rsidRPr="00092171">
        <w:rPr>
          <w:b/>
          <w:i/>
          <w:szCs w:val="24"/>
          <w:lang w:eastAsia="en-US"/>
        </w:rPr>
        <w:t>„zasadnicze wymagania bezpieczeństwa” oznaczają „ogólne wymagania bezpieczeństwa” zgodnie z art. 5 ust. 2 i szczegółowe wymagania bezpieczeństwa określone w załączniku II;</w:t>
      </w:r>
      <w:r w:rsidR="00770204">
        <w:rPr>
          <w:b/>
          <w:szCs w:val="24"/>
          <w:lang w:eastAsia="en-US"/>
        </w:rPr>
        <w:t xml:space="preserve"> [Popr. 47]</w:t>
      </w:r>
    </w:p>
    <w:p w:rsidR="00092171" w:rsidRPr="00092171" w:rsidRDefault="00092171" w:rsidP="00092171">
      <w:pPr>
        <w:spacing w:before="120" w:after="120" w:line="360" w:lineRule="auto"/>
        <w:ind w:left="850" w:hanging="850"/>
        <w:rPr>
          <w:szCs w:val="24"/>
          <w:lang w:eastAsia="en-US"/>
        </w:rPr>
      </w:pPr>
      <w:r w:rsidRPr="00092171">
        <w:rPr>
          <w:szCs w:val="24"/>
          <w:lang w:eastAsia="en-US"/>
        </w:rPr>
        <w:t>13)</w:t>
      </w:r>
      <w:r w:rsidRPr="00092171">
        <w:rPr>
          <w:szCs w:val="24"/>
          <w:lang w:eastAsia="en-US"/>
        </w:rPr>
        <w:tab/>
        <w:t>„model zabawki” oznacza grupę zabawek spełniających następujące warunki: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odpowiada za nie ten sam producent,</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mają jednakowy projekt i jednakowe właściwości techniczne,</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produkuje się je z wykorzystaniem jednakowych materiałów i procesów produkcji,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są określone za pomocą numeru typu lub innego elementu umożliwiającego ich identyfikację jako grupy;</w:t>
      </w:r>
    </w:p>
    <w:p w:rsidR="00092171" w:rsidRPr="00770204" w:rsidRDefault="00092171" w:rsidP="00092171">
      <w:pPr>
        <w:spacing w:before="120" w:after="120" w:line="360" w:lineRule="auto"/>
        <w:ind w:left="850" w:hanging="850"/>
        <w:rPr>
          <w:b/>
          <w:szCs w:val="24"/>
          <w:lang w:eastAsia="en-US"/>
        </w:rPr>
      </w:pPr>
      <w:r w:rsidRPr="00092171">
        <w:rPr>
          <w:b/>
          <w:i/>
          <w:szCs w:val="24"/>
          <w:lang w:eastAsia="en-US"/>
        </w:rPr>
        <w:t>13a)</w:t>
      </w:r>
      <w:r w:rsidRPr="00092171">
        <w:rPr>
          <w:szCs w:val="24"/>
          <w:lang w:eastAsia="en-US"/>
        </w:rPr>
        <w:tab/>
      </w:r>
      <w:r w:rsidRPr="00092171">
        <w:rPr>
          <w:b/>
          <w:i/>
          <w:szCs w:val="24"/>
          <w:lang w:eastAsia="en-US"/>
        </w:rPr>
        <w:t>„cyfrowy paszport produktu” oznacza zbiór danych specyficznych dla produktu, który zawiera informacje określone w załączniku VI i jest dostępny drogą elektroniczną za pośrednictwem nośnika danych;</w:t>
      </w:r>
      <w:r w:rsidR="00770204">
        <w:rPr>
          <w:b/>
          <w:szCs w:val="24"/>
          <w:lang w:eastAsia="en-US"/>
        </w:rPr>
        <w:t xml:space="preserve"> [Popr. 48]</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14)</w:t>
      </w:r>
      <w:r w:rsidRPr="00092171">
        <w:rPr>
          <w:szCs w:val="24"/>
          <w:lang w:eastAsia="en-US"/>
        </w:rPr>
        <w:tab/>
        <w:t xml:space="preserve">„nośnik danych” oznacza </w:t>
      </w:r>
      <w:r w:rsidRPr="00092171">
        <w:rPr>
          <w:strike/>
          <w:szCs w:val="24"/>
          <w:lang w:eastAsia="en-US"/>
        </w:rPr>
        <w:t xml:space="preserve">liniowy symbol kodu kreskowego, symbol dwuwymiarowy lub inny </w:t>
      </w:r>
      <w:r w:rsidRPr="00092171">
        <w:rPr>
          <w:szCs w:val="24"/>
          <w:lang w:eastAsia="en-US"/>
        </w:rPr>
        <w:t xml:space="preserve">nośnik danych </w:t>
      </w:r>
      <w:r w:rsidRPr="00092171">
        <w:rPr>
          <w:strike/>
          <w:szCs w:val="24"/>
          <w:lang w:eastAsia="en-US"/>
        </w:rPr>
        <w:t>służący do automatycznej identyfikacji, który może być odczytywany przez urządzenie</w:t>
      </w:r>
      <w:r w:rsidRPr="00092171">
        <w:rPr>
          <w:b/>
          <w:i/>
          <w:szCs w:val="24"/>
          <w:lang w:eastAsia="en-US"/>
        </w:rPr>
        <w:t>zdefiniowany w art. 2 ust. 1 pkt 30 rozporządzenia (UE) .../... [Dz.U. proszę wstawić numer seryjny na potrzeby wymogów dotyczących ekoprojektu dla zrównoważonych produktów]</w:t>
      </w:r>
      <w:r w:rsidRPr="00092171">
        <w:rPr>
          <w:szCs w:val="24"/>
          <w:lang w:eastAsia="en-US"/>
        </w:rPr>
        <w:t>;</w:t>
      </w:r>
      <w:r w:rsidR="00770204">
        <w:rPr>
          <w:b/>
          <w:szCs w:val="24"/>
          <w:lang w:eastAsia="en-US"/>
        </w:rPr>
        <w:t xml:space="preserve"> [Popr. 49]</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15)</w:t>
      </w:r>
      <w:r w:rsidRPr="00092171">
        <w:rPr>
          <w:szCs w:val="24"/>
          <w:lang w:eastAsia="en-US"/>
        </w:rPr>
        <w:tab/>
        <w:t xml:space="preserve">„unikatowy identyfikator produktu” oznacza niepowtarzalny </w:t>
      </w:r>
      <w:r w:rsidRPr="00092171">
        <w:rPr>
          <w:strike/>
          <w:szCs w:val="24"/>
          <w:lang w:eastAsia="en-US"/>
        </w:rPr>
        <w:t>ciąg znaków umożliwiający identyfikację zabawek, umożliwiający również umieszczenie łącza internetowego do paszportu produktu</w:t>
      </w:r>
      <w:r w:rsidRPr="00092171">
        <w:rPr>
          <w:b/>
          <w:i/>
          <w:szCs w:val="24"/>
          <w:lang w:eastAsia="en-US"/>
        </w:rPr>
        <w:t>identyfikator zdefiniowany w art. 2 ust. 1 pkt 31 rozporządzenia (UE) .../... [Dz.U.: proszę wstawić numer seryjny na potrzeby wymogów dotyczących ekoprojektu dla zrównoważonych produktów]</w:t>
      </w:r>
      <w:r w:rsidRPr="00092171">
        <w:rPr>
          <w:szCs w:val="24"/>
          <w:lang w:eastAsia="en-US"/>
        </w:rPr>
        <w:t>;</w:t>
      </w:r>
      <w:r w:rsidR="00770204">
        <w:rPr>
          <w:b/>
          <w:szCs w:val="24"/>
          <w:lang w:eastAsia="en-US"/>
        </w:rPr>
        <w:t xml:space="preserve"> [Popr. 50]</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16)</w:t>
      </w:r>
      <w:r w:rsidRPr="00092171">
        <w:rPr>
          <w:szCs w:val="24"/>
          <w:lang w:eastAsia="en-US"/>
        </w:rPr>
        <w:tab/>
        <w:t xml:space="preserve">„unikatowy identyfikator podmiotu” oznacza niepowtarzalny </w:t>
      </w:r>
      <w:r w:rsidRPr="00092171">
        <w:rPr>
          <w:strike/>
          <w:szCs w:val="24"/>
          <w:lang w:eastAsia="en-US"/>
        </w:rPr>
        <w:t>ciąg znaków służący do identyfikacji podmiotów uczestniczących w łańcuchu wartości zabawek</w:t>
      </w:r>
      <w:r w:rsidRPr="00092171">
        <w:rPr>
          <w:b/>
          <w:i/>
          <w:szCs w:val="24"/>
          <w:lang w:eastAsia="en-US"/>
        </w:rPr>
        <w:t>identyfikator podmiotu zdefiniowany w art. 2 ust. 1 pkt 32 rozporządzenia (UE) .../... [Dz.U.: proszę wstawić numer seryjny na potrzeby wymogów dotyczących ekoprojektu dla zrównoważonych produktów]</w:t>
      </w:r>
      <w:r w:rsidRPr="00092171">
        <w:rPr>
          <w:szCs w:val="24"/>
          <w:lang w:eastAsia="en-US"/>
        </w:rPr>
        <w:t>;</w:t>
      </w:r>
      <w:r w:rsidR="00770204">
        <w:rPr>
          <w:b/>
          <w:szCs w:val="24"/>
          <w:lang w:eastAsia="en-US"/>
        </w:rPr>
        <w:t xml:space="preserve"> [Popr. 51]</w:t>
      </w:r>
    </w:p>
    <w:p w:rsidR="00092171" w:rsidRPr="00092171" w:rsidRDefault="00092171" w:rsidP="00092171">
      <w:pPr>
        <w:spacing w:before="120" w:after="120" w:line="360" w:lineRule="auto"/>
        <w:ind w:left="850" w:hanging="850"/>
        <w:rPr>
          <w:szCs w:val="24"/>
          <w:lang w:eastAsia="en-US"/>
        </w:rPr>
      </w:pPr>
      <w:r w:rsidRPr="00092171">
        <w:rPr>
          <w:szCs w:val="24"/>
          <w:lang w:eastAsia="en-US"/>
        </w:rPr>
        <w:t>17)</w:t>
      </w:r>
      <w:r w:rsidRPr="00092171">
        <w:rPr>
          <w:szCs w:val="24"/>
          <w:lang w:eastAsia="en-US"/>
        </w:rPr>
        <w:tab/>
        <w:t>„dopuszczenie do obrotu” oznacza procedurę celną określoną w art. 201 rozporządzenia (UE) nr 952/2013;</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18)</w:t>
      </w:r>
      <w:r w:rsidRPr="00092171">
        <w:rPr>
          <w:szCs w:val="24"/>
          <w:lang w:eastAsia="en-US"/>
        </w:rPr>
        <w:tab/>
        <w:t>„organy celne” oznaczają organy celne zgodnie z definicją w art. 5 pkt 1 rozporządzenia (UE) nr 952/2013;</w:t>
      </w:r>
    </w:p>
    <w:p w:rsidR="00092171" w:rsidRPr="00092171" w:rsidRDefault="00092171" w:rsidP="00092171">
      <w:pPr>
        <w:spacing w:before="120" w:after="120" w:line="360" w:lineRule="auto"/>
        <w:ind w:left="850" w:hanging="850"/>
        <w:rPr>
          <w:szCs w:val="24"/>
          <w:lang w:eastAsia="en-US"/>
        </w:rPr>
      </w:pPr>
      <w:r w:rsidRPr="00092171">
        <w:rPr>
          <w:szCs w:val="24"/>
          <w:lang w:eastAsia="en-US"/>
        </w:rPr>
        <w:t>19)</w:t>
      </w:r>
      <w:r w:rsidRPr="00092171">
        <w:rPr>
          <w:szCs w:val="24"/>
          <w:lang w:eastAsia="en-US"/>
        </w:rPr>
        <w:tab/>
        <w:t>„unijny system jednego okienka w dziedzinie ceł służącego do wymiany świadectw” oznacza system, o którym mowa w art. 4 rozporządzenia Parlamentu Europejskiego i Rady (UE) 2022/2399</w:t>
      </w:r>
      <w:r w:rsidRPr="00092171">
        <w:rPr>
          <w:szCs w:val="24"/>
          <w:vertAlign w:val="superscript"/>
          <w:lang w:val="en-GB" w:eastAsia="en-US"/>
        </w:rPr>
        <w:footnoteReference w:id="24"/>
      </w:r>
      <w:r w:rsidRPr="00092171">
        <w:rPr>
          <w:szCs w:val="24"/>
          <w:lang w:eastAsia="en-US"/>
        </w:rPr>
        <w:t>;</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20)</w:t>
      </w:r>
      <w:r w:rsidRPr="00092171">
        <w:rPr>
          <w:szCs w:val="24"/>
          <w:lang w:eastAsia="en-US"/>
        </w:rPr>
        <w:tab/>
        <w:t xml:space="preserve">„ocena zgodności” oznacza proces wykazujący, czy zostały spełnione zasadnicze wymagania </w:t>
      </w:r>
      <w:r w:rsidRPr="00092171">
        <w:rPr>
          <w:b/>
          <w:i/>
          <w:szCs w:val="24"/>
          <w:lang w:eastAsia="en-US"/>
        </w:rPr>
        <w:t xml:space="preserve">bezpieczeństwa </w:t>
      </w:r>
      <w:r w:rsidRPr="00092171">
        <w:rPr>
          <w:szCs w:val="24"/>
          <w:lang w:eastAsia="en-US"/>
        </w:rPr>
        <w:t>dotyczące zabawki;</w:t>
      </w:r>
      <w:r w:rsidR="00770204">
        <w:rPr>
          <w:b/>
          <w:szCs w:val="24"/>
          <w:lang w:eastAsia="en-US"/>
        </w:rPr>
        <w:t xml:space="preserve"> [Popr. 52]</w:t>
      </w:r>
    </w:p>
    <w:p w:rsidR="00092171" w:rsidRPr="00092171" w:rsidRDefault="00092171" w:rsidP="00092171">
      <w:pPr>
        <w:spacing w:before="120" w:after="120" w:line="360" w:lineRule="auto"/>
        <w:ind w:left="850" w:hanging="850"/>
        <w:rPr>
          <w:szCs w:val="24"/>
          <w:lang w:eastAsia="en-US"/>
        </w:rPr>
      </w:pPr>
      <w:r w:rsidRPr="00092171">
        <w:rPr>
          <w:szCs w:val="24"/>
          <w:lang w:eastAsia="en-US"/>
        </w:rPr>
        <w:t>21)</w:t>
      </w:r>
      <w:r w:rsidRPr="00092171">
        <w:rPr>
          <w:szCs w:val="24"/>
          <w:lang w:eastAsia="en-US"/>
        </w:rPr>
        <w:tab/>
        <w:t>„jednostka oceniająca zgodność” oznacza jednostkę, która wykonuje czynności z zakresu oceny zgodności, w tym wzorcowanie, badanie, certyfikację i inspekcję;</w:t>
      </w:r>
    </w:p>
    <w:p w:rsidR="00092171" w:rsidRPr="00092171" w:rsidRDefault="00092171" w:rsidP="00092171">
      <w:pPr>
        <w:spacing w:before="120" w:after="120" w:line="360" w:lineRule="auto"/>
        <w:ind w:left="850" w:hanging="850"/>
        <w:rPr>
          <w:szCs w:val="24"/>
          <w:lang w:eastAsia="en-US"/>
        </w:rPr>
      </w:pPr>
      <w:r w:rsidRPr="00092171">
        <w:rPr>
          <w:szCs w:val="24"/>
          <w:lang w:eastAsia="en-US"/>
        </w:rPr>
        <w:t>22)</w:t>
      </w:r>
      <w:r w:rsidRPr="00092171">
        <w:rPr>
          <w:szCs w:val="24"/>
          <w:lang w:eastAsia="en-US"/>
        </w:rPr>
        <w:tab/>
        <w:t>„akredytacja” oznacza akredytację w rozumieniu art. 2 pkt 10 rozporządzenia (WE) nr 765/2008;</w:t>
      </w:r>
    </w:p>
    <w:p w:rsidR="00092171" w:rsidRPr="00092171" w:rsidRDefault="00092171" w:rsidP="00092171">
      <w:pPr>
        <w:spacing w:before="120" w:after="120" w:line="360" w:lineRule="auto"/>
        <w:ind w:left="850" w:hanging="850"/>
        <w:rPr>
          <w:szCs w:val="24"/>
          <w:lang w:eastAsia="en-US"/>
        </w:rPr>
      </w:pPr>
      <w:r w:rsidRPr="00092171">
        <w:rPr>
          <w:szCs w:val="24"/>
          <w:lang w:eastAsia="en-US"/>
        </w:rPr>
        <w:t>23)</w:t>
      </w:r>
      <w:r w:rsidRPr="00092171">
        <w:rPr>
          <w:szCs w:val="24"/>
          <w:lang w:eastAsia="en-US"/>
        </w:rPr>
        <w:tab/>
        <w:t>„krajowa jednostka akredytująca” oznacza krajową jednostkę akredytującą w rozumieniu art. 2 pkt 11 rozporządzenia (WE) nr 765/2008;</w:t>
      </w:r>
    </w:p>
    <w:p w:rsidR="00092171" w:rsidRPr="00092171" w:rsidRDefault="00092171" w:rsidP="00092171">
      <w:pPr>
        <w:spacing w:before="120" w:after="120" w:line="360" w:lineRule="auto"/>
        <w:ind w:left="850" w:hanging="850"/>
        <w:rPr>
          <w:szCs w:val="24"/>
          <w:lang w:eastAsia="en-US"/>
        </w:rPr>
      </w:pPr>
      <w:r w:rsidRPr="00092171">
        <w:rPr>
          <w:szCs w:val="24"/>
          <w:lang w:eastAsia="en-US"/>
        </w:rPr>
        <w:t>24)</w:t>
      </w:r>
      <w:r w:rsidRPr="00092171">
        <w:rPr>
          <w:szCs w:val="24"/>
          <w:lang w:eastAsia="en-US"/>
        </w:rPr>
        <w:tab/>
        <w:t>„zagrożenie” oznacza potencjalne źródło szkody;</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25)</w:t>
      </w:r>
      <w:r w:rsidRPr="00092171">
        <w:rPr>
          <w:szCs w:val="24"/>
          <w:lang w:eastAsia="en-US"/>
        </w:rPr>
        <w:tab/>
        <w:t>„ryzyko” oznacza połączenie prawdopodobieństwa wystąpienia zagrożenia oraz stopnia powagi szkody spowodowanej przez to zagrożenie;</w:t>
      </w:r>
    </w:p>
    <w:p w:rsidR="00092171" w:rsidRPr="00092171" w:rsidRDefault="00092171" w:rsidP="00092171">
      <w:pPr>
        <w:spacing w:before="120" w:after="120" w:line="360" w:lineRule="auto"/>
        <w:ind w:left="850" w:hanging="850"/>
        <w:rPr>
          <w:szCs w:val="24"/>
          <w:lang w:eastAsia="en-US"/>
        </w:rPr>
      </w:pPr>
      <w:r w:rsidRPr="00092171">
        <w:rPr>
          <w:szCs w:val="24"/>
          <w:lang w:eastAsia="en-US"/>
        </w:rPr>
        <w:t>26)</w:t>
      </w:r>
      <w:r w:rsidRPr="00092171">
        <w:rPr>
          <w:szCs w:val="24"/>
          <w:lang w:eastAsia="en-US"/>
        </w:rPr>
        <w:tab/>
        <w:t>„odzyskanie” oznacza każdy środek, mający na celu doprowadzenie do zwrotu zabawki, która została już udostępniona użytkownikowi końcowemu;</w:t>
      </w:r>
    </w:p>
    <w:p w:rsidR="00092171" w:rsidRPr="00092171" w:rsidRDefault="00092171" w:rsidP="00092171">
      <w:pPr>
        <w:spacing w:before="120" w:after="120" w:line="360" w:lineRule="auto"/>
        <w:ind w:left="850" w:hanging="850"/>
        <w:rPr>
          <w:szCs w:val="24"/>
          <w:lang w:eastAsia="en-US"/>
        </w:rPr>
      </w:pPr>
      <w:r w:rsidRPr="00092171">
        <w:rPr>
          <w:szCs w:val="24"/>
          <w:lang w:eastAsia="en-US"/>
        </w:rPr>
        <w:t>27)</w:t>
      </w:r>
      <w:r w:rsidRPr="00092171">
        <w:rPr>
          <w:szCs w:val="24"/>
          <w:lang w:eastAsia="en-US"/>
        </w:rPr>
        <w:tab/>
        <w:t>„wycofanie z obrotu” oznacza każdy środek, którego celem jest zapobieżenie udostępnieniu na rynku zabawki w danym łańcuchu dostaw;</w:t>
      </w:r>
    </w:p>
    <w:p w:rsidR="00092171" w:rsidRDefault="00092171" w:rsidP="00092171">
      <w:pPr>
        <w:spacing w:before="120" w:after="120" w:line="360" w:lineRule="auto"/>
        <w:ind w:left="850" w:hanging="850"/>
        <w:rPr>
          <w:b/>
          <w:szCs w:val="24"/>
          <w:lang w:eastAsia="en-US"/>
        </w:rPr>
      </w:pPr>
      <w:r w:rsidRPr="00092171">
        <w:rPr>
          <w:szCs w:val="24"/>
          <w:lang w:eastAsia="en-US"/>
        </w:rPr>
        <w:t>28)</w:t>
      </w:r>
      <w:r w:rsidRPr="00092171">
        <w:rPr>
          <w:szCs w:val="24"/>
          <w:lang w:eastAsia="en-US"/>
        </w:rPr>
        <w:tab/>
        <w:t xml:space="preserve">„organ nadzoru rynku” oznacza organ </w:t>
      </w:r>
      <w:r w:rsidRPr="00092171">
        <w:rPr>
          <w:strike/>
          <w:szCs w:val="24"/>
          <w:lang w:eastAsia="en-US"/>
        </w:rPr>
        <w:t>nadzoru rynku zgodnie z definicją w art. 3 pkt 4</w:t>
      </w:r>
      <w:r w:rsidRPr="00092171">
        <w:rPr>
          <w:b/>
          <w:i/>
          <w:szCs w:val="24"/>
          <w:lang w:eastAsia="en-US"/>
        </w:rPr>
        <w:t>wyznaczony przez państwo członkowskie na podstawie art. 10</w:t>
      </w:r>
      <w:r w:rsidRPr="00092171">
        <w:rPr>
          <w:szCs w:val="24"/>
          <w:lang w:eastAsia="en-US"/>
        </w:rPr>
        <w:t xml:space="preserve"> rozporządzenia (UE) 2019/1020</w:t>
      </w:r>
      <w:r w:rsidRPr="00092171">
        <w:rPr>
          <w:b/>
          <w:i/>
          <w:szCs w:val="24"/>
          <w:lang w:eastAsia="en-US"/>
        </w:rPr>
        <w:t xml:space="preserve"> jako odpowiedzialny za organizowanie i sprawowanie nadzoru rynku na terytorium tego państwa członkowskiego</w:t>
      </w:r>
      <w:r w:rsidRPr="00092171">
        <w:rPr>
          <w:szCs w:val="24"/>
          <w:lang w:eastAsia="en-US"/>
        </w:rPr>
        <w:t>;</w:t>
      </w:r>
      <w:r w:rsidR="00770204">
        <w:rPr>
          <w:b/>
          <w:szCs w:val="24"/>
          <w:lang w:eastAsia="en-US"/>
        </w:rPr>
        <w:t xml:space="preserve"> [Popr. 53]</w:t>
      </w:r>
    </w:p>
    <w:p w:rsidR="00770204" w:rsidRPr="00770204" w:rsidRDefault="00770204" w:rsidP="00092171">
      <w:pPr>
        <w:spacing w:before="120" w:after="120" w:line="360" w:lineRule="auto"/>
        <w:ind w:left="850" w:hanging="850"/>
        <w:rPr>
          <w:b/>
          <w:szCs w:val="24"/>
          <w:lang w:eastAsia="en-US"/>
        </w:rPr>
      </w:pPr>
      <w:r w:rsidRPr="000F708B">
        <w:rPr>
          <w:b/>
          <w:i/>
        </w:rPr>
        <w:t>28a)</w:t>
      </w:r>
      <w:r w:rsidRPr="000F708B">
        <w:rPr>
          <w:b/>
          <w:i/>
        </w:rPr>
        <w:tab/>
        <w:t>„organ zgłaszający” oznacza organ wyznaczony przez państwo członkowskie zgodnie z niniejszym rozporządzeniem jako odpowiedzialny za ocenę i powiadamianie jednostek oceniających zgodność na terytorium tego państwa członkowskiego;</w:t>
      </w:r>
      <w:r>
        <w:rPr>
          <w:b/>
        </w:rPr>
        <w:t xml:space="preserve"> [Popr. 54]</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29)</w:t>
      </w:r>
      <w:r w:rsidRPr="00092171">
        <w:rPr>
          <w:szCs w:val="24"/>
          <w:lang w:eastAsia="en-US"/>
        </w:rPr>
        <w:tab/>
        <w:t>„</w:t>
      </w:r>
      <w:r w:rsidR="00770204" w:rsidRPr="000F708B">
        <w:t xml:space="preserve">„zabawka funkcjonalna” oznacza zabawkę, która działa i jest używana w taki sam sposób jak produkt, urządzenie lub instalacja przeznaczone do użytku dorosłych, i która </w:t>
      </w:r>
      <w:r w:rsidR="00770204" w:rsidRPr="000F708B">
        <w:rPr>
          <w:b/>
          <w:i/>
        </w:rPr>
        <w:t xml:space="preserve">powoduje taki sam poziom ryzyka jak produkt używany przez dorosłych, oraz która </w:t>
      </w:r>
      <w:r w:rsidR="00770204" w:rsidRPr="000F708B">
        <w:t>może być pomniejszonym modelem takiego produktu, urządzenia lub instalacji;</w:t>
      </w:r>
      <w:r w:rsidR="00770204">
        <w:rPr>
          <w:b/>
        </w:rPr>
        <w:t xml:space="preserve"> [Popr. 55]</w:t>
      </w:r>
    </w:p>
    <w:p w:rsidR="00092171" w:rsidRPr="00092171" w:rsidRDefault="00092171" w:rsidP="00092171">
      <w:pPr>
        <w:spacing w:before="120" w:after="120" w:line="360" w:lineRule="auto"/>
        <w:ind w:left="850" w:hanging="850"/>
        <w:rPr>
          <w:szCs w:val="24"/>
          <w:lang w:eastAsia="en-US"/>
        </w:rPr>
      </w:pPr>
      <w:r w:rsidRPr="00092171">
        <w:rPr>
          <w:szCs w:val="24"/>
          <w:lang w:eastAsia="en-US"/>
        </w:rPr>
        <w:t>30)</w:t>
      </w:r>
      <w:r w:rsidRPr="00092171">
        <w:rPr>
          <w:szCs w:val="24"/>
          <w:lang w:eastAsia="en-US"/>
        </w:rPr>
        <w:tab/>
        <w:t>„zabawka do zabawy w wodzie” oznacza zabawkę przeznaczoną do użytku w płytkiej wodzie, zdolną unieść lub utrzymać dziecko w wodzie;</w:t>
      </w:r>
    </w:p>
    <w:p w:rsidR="00092171" w:rsidRPr="00092171" w:rsidRDefault="00092171" w:rsidP="00092171">
      <w:pPr>
        <w:spacing w:before="120" w:after="120" w:line="360" w:lineRule="auto"/>
        <w:ind w:left="850" w:hanging="850"/>
        <w:rPr>
          <w:szCs w:val="24"/>
          <w:lang w:eastAsia="en-US"/>
        </w:rPr>
      </w:pPr>
      <w:r w:rsidRPr="00092171">
        <w:rPr>
          <w:szCs w:val="24"/>
          <w:lang w:eastAsia="en-US"/>
        </w:rPr>
        <w:t>31)</w:t>
      </w:r>
      <w:r w:rsidRPr="00092171">
        <w:rPr>
          <w:szCs w:val="24"/>
          <w:lang w:eastAsia="en-US"/>
        </w:rPr>
        <w:tab/>
        <w:t>„zabawka ruchowa” oznacza zabawkę do użytku domowego, której konstrukcja nośna pozostaje nieruchoma w czasie wykonywania danej czynności i która jest przeznaczona do wspinania się, skakania, huśtania, zjeżdżania, kołysania, obracania, raczkowania, pełzania lub dowolnego połączenia tych czynności;</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32)</w:t>
      </w:r>
      <w:r w:rsidRPr="00092171">
        <w:rPr>
          <w:szCs w:val="24"/>
          <w:lang w:eastAsia="en-US"/>
        </w:rPr>
        <w:tab/>
      </w:r>
      <w:r w:rsidR="00770204" w:rsidRPr="000F708B">
        <w:t>„zabawka chemiczna” oznacza zabawkę przeznaczoną do bezpośredniego obchodzenia się z</w:t>
      </w:r>
      <w:r w:rsidR="00770204" w:rsidRPr="000F708B">
        <w:rPr>
          <w:b/>
          <w:i/>
        </w:rPr>
        <w:t xml:space="preserve"> </w:t>
      </w:r>
      <w:r w:rsidR="00770204" w:rsidRPr="000F708B">
        <w:t>substancjami chemicznymi i</w:t>
      </w:r>
      <w:r w:rsidR="00770204" w:rsidRPr="000F708B">
        <w:rPr>
          <w:b/>
          <w:i/>
        </w:rPr>
        <w:t xml:space="preserve"> </w:t>
      </w:r>
      <w:r w:rsidR="00770204" w:rsidRPr="000F708B">
        <w:t>mieszaninami</w:t>
      </w:r>
      <w:r w:rsidR="00770204" w:rsidRPr="000F708B">
        <w:rPr>
          <w:b/>
          <w:i/>
        </w:rPr>
        <w:t>, wykorzystywaną stosowanie do wieku dziecka i pod nadzorem osoby dorosłej</w:t>
      </w:r>
      <w:r w:rsidR="00770204" w:rsidRPr="000F708B">
        <w:t>;</w:t>
      </w:r>
      <w:r w:rsidR="00770204">
        <w:rPr>
          <w:b/>
        </w:rPr>
        <w:t xml:space="preserve"> [Popr. 56]</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33)</w:t>
      </w:r>
      <w:r w:rsidRPr="00092171">
        <w:rPr>
          <w:szCs w:val="24"/>
          <w:lang w:eastAsia="en-US"/>
        </w:rPr>
        <w:tab/>
      </w:r>
      <w:r w:rsidR="00770204" w:rsidRPr="000F708B">
        <w:t xml:space="preserve">„zapachowa gra planszowa” oznacza zabawkę, której celem jest ułatwienie dziecku nauki rozpoznawania </w:t>
      </w:r>
      <w:r w:rsidR="00770204" w:rsidRPr="000F708B">
        <w:rPr>
          <w:b/>
          <w:i/>
        </w:rPr>
        <w:t xml:space="preserve">lub łączenia </w:t>
      </w:r>
      <w:r w:rsidR="00770204" w:rsidRPr="000F708B">
        <w:t>różnych zapachów lub smaków;</w:t>
      </w:r>
      <w:r w:rsidR="00770204">
        <w:rPr>
          <w:b/>
        </w:rPr>
        <w:t xml:space="preserve"> [Popr. 57]</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34)</w:t>
      </w:r>
      <w:r w:rsidRPr="00092171">
        <w:rPr>
          <w:szCs w:val="24"/>
          <w:lang w:eastAsia="en-US"/>
        </w:rPr>
        <w:tab/>
        <w:t>„zestaw kosmetyczny” oznacza zabawkę, która ma na celu ułatwienie dziecku nauki wytwarzania produktów kosmetycznych, takich jak perfumy, mydła, kremy, szampony, odżywki, płyny do kąpieli, pasty do zębów, a także błyszczyki, pomadki do ust i inne produkty do makijażu;</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35)</w:t>
      </w:r>
      <w:r w:rsidRPr="00092171">
        <w:rPr>
          <w:szCs w:val="24"/>
          <w:lang w:eastAsia="en-US"/>
        </w:rPr>
        <w:tab/>
      </w:r>
      <w:r w:rsidR="00770204" w:rsidRPr="000F708B">
        <w:t>„gra smakowa” oznacza zabawkę, której celem jest umożliwienie dziecku przygotowania słodyczy lub innych potraw z wykorzystaniem składników spożywczych, w tym płynów, substancji w proszku i aromatów</w:t>
      </w:r>
      <w:r w:rsidR="00770204" w:rsidRPr="000F708B">
        <w:rPr>
          <w:b/>
          <w:i/>
        </w:rPr>
        <w:t>, bez potrzeby użycia jakiegokolwiek źródła ciepła</w:t>
      </w:r>
      <w:r w:rsidR="00770204" w:rsidRPr="000F708B">
        <w:t>;</w:t>
      </w:r>
      <w:r w:rsidR="00770204">
        <w:rPr>
          <w:b/>
        </w:rPr>
        <w:t xml:space="preserve"> [Popr. 58]</w:t>
      </w:r>
    </w:p>
    <w:p w:rsidR="00092171" w:rsidRPr="00770204" w:rsidRDefault="00092171" w:rsidP="00092171">
      <w:pPr>
        <w:spacing w:before="120" w:after="120" w:line="360" w:lineRule="auto"/>
        <w:ind w:left="850" w:hanging="850"/>
        <w:rPr>
          <w:b/>
          <w:szCs w:val="24"/>
          <w:lang w:eastAsia="en-US"/>
        </w:rPr>
      </w:pPr>
      <w:r w:rsidRPr="00092171">
        <w:rPr>
          <w:strike/>
          <w:szCs w:val="24"/>
          <w:lang w:eastAsia="en-US"/>
        </w:rPr>
        <w:t>36)</w:t>
      </w:r>
      <w:r w:rsidRPr="00092171">
        <w:rPr>
          <w:szCs w:val="24"/>
          <w:lang w:eastAsia="en-US"/>
        </w:rPr>
        <w:tab/>
      </w:r>
      <w:r w:rsidRPr="00092171">
        <w:rPr>
          <w:strike/>
          <w:szCs w:val="24"/>
          <w:lang w:eastAsia="en-US"/>
        </w:rPr>
        <w:t>„substancja potencjalnie niebezpieczna” oznacza substancję potencjalnie niebezpieczną w rozumieniu art. 2 pkt 28 rozporządzenia (UE) …/… [w sprawie wymogów dotyczących ekoprojektu dla zrównoważonych produktów].</w:t>
      </w:r>
      <w:r w:rsidR="00770204">
        <w:rPr>
          <w:b/>
          <w:szCs w:val="24"/>
          <w:lang w:eastAsia="en-US"/>
        </w:rPr>
        <w:t xml:space="preserve"> [Popr. 59]</w:t>
      </w:r>
    </w:p>
    <w:p w:rsidR="00092171" w:rsidRPr="00092171" w:rsidRDefault="00092171" w:rsidP="00092171">
      <w:pPr>
        <w:spacing w:before="120" w:after="120" w:line="360" w:lineRule="auto"/>
        <w:jc w:val="center"/>
        <w:rPr>
          <w:szCs w:val="24"/>
          <w:lang w:eastAsia="en-US"/>
        </w:rPr>
      </w:pPr>
      <w:r w:rsidRPr="00092171">
        <w:rPr>
          <w:szCs w:val="24"/>
          <w:lang w:eastAsia="en-US"/>
        </w:rPr>
        <w:t>Artykuł 4</w:t>
      </w:r>
      <w:r w:rsidRPr="00092171">
        <w:rPr>
          <w:szCs w:val="24"/>
          <w:lang w:eastAsia="en-US"/>
        </w:rPr>
        <w:br/>
        <w:t xml:space="preserve">Swobodny przepływ </w:t>
      </w:r>
    </w:p>
    <w:p w:rsidR="00092171" w:rsidRPr="00770204"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r>
      <w:r w:rsidR="00770204" w:rsidRPr="000F708B">
        <w:t xml:space="preserve">Państwa członkowskie nie </w:t>
      </w:r>
      <w:r w:rsidR="00770204" w:rsidRPr="000F708B">
        <w:rPr>
          <w:b/>
          <w:i/>
        </w:rPr>
        <w:t xml:space="preserve">zakazują, ograniczają ani nie </w:t>
      </w:r>
      <w:r w:rsidR="00770204" w:rsidRPr="000F708B">
        <w:t>utrudniają – ze względów dotyczących zdrowia i bezpieczeństwa lub innych aspektów objętych niniejszym rozporządzeniem – udostępniania na rynku zabawek zgodnych z niniejszym rozporządzeniem.</w:t>
      </w:r>
      <w:r w:rsidR="00770204">
        <w:rPr>
          <w:b/>
        </w:rPr>
        <w:t xml:space="preserve"> [Popr. 60]</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Podczas targów, wystaw i pokazów handlowych lub podobnych imprez państwa członkowskie nie uniemożliwiają prezentowania zabawki, która nie jest zgodna z niniejszym rozporządzeniem, pod warunkiem że widoczny znak wyraźnie wskazuje, że zabawka ta nie jest zgodna z niniejszym rozporządzeniem i nie będzie dostępna na rynku, dopóki jej zgodność nie zostanie zapewniona.</w:t>
      </w:r>
    </w:p>
    <w:p w:rsidR="00092171" w:rsidRPr="00092171" w:rsidRDefault="00092171" w:rsidP="00092171">
      <w:pPr>
        <w:spacing w:before="120" w:after="120" w:line="360" w:lineRule="auto"/>
        <w:ind w:left="850"/>
        <w:rPr>
          <w:szCs w:val="24"/>
          <w:lang w:eastAsia="en-US"/>
        </w:rPr>
      </w:pPr>
      <w:r w:rsidRPr="00092171">
        <w:rPr>
          <w:szCs w:val="24"/>
          <w:lang w:eastAsia="en-US"/>
        </w:rPr>
        <w:t>Podczas targów, wystaw i pokazów podmioty gospodarcze wdrażają odpowiednie środki celem zapewnienia ochrony osób.</w:t>
      </w:r>
    </w:p>
    <w:p w:rsidR="00092171" w:rsidRPr="00770204" w:rsidRDefault="00092171" w:rsidP="00092171">
      <w:pPr>
        <w:spacing w:before="120" w:after="120" w:line="360" w:lineRule="auto"/>
        <w:jc w:val="center"/>
        <w:rPr>
          <w:b/>
          <w:szCs w:val="24"/>
          <w:lang w:eastAsia="en-US"/>
        </w:rPr>
      </w:pPr>
      <w:r w:rsidRPr="00092171">
        <w:rPr>
          <w:szCs w:val="24"/>
          <w:lang w:eastAsia="en-US"/>
        </w:rPr>
        <w:t>Artykuł 5</w:t>
      </w:r>
      <w:r w:rsidRPr="00092171">
        <w:rPr>
          <w:szCs w:val="24"/>
          <w:lang w:eastAsia="en-US"/>
        </w:rPr>
        <w:br/>
      </w:r>
      <w:r w:rsidRPr="00092171">
        <w:rPr>
          <w:strike/>
          <w:szCs w:val="24"/>
          <w:lang w:eastAsia="en-US"/>
        </w:rPr>
        <w:t xml:space="preserve">Wymogi dotyczące produktu </w:t>
      </w:r>
      <w:r w:rsidRPr="00092171">
        <w:rPr>
          <w:b/>
          <w:i/>
          <w:szCs w:val="24"/>
          <w:lang w:eastAsia="en-US"/>
        </w:rPr>
        <w:t>Zasadnicze wymagania bezpieczeństwa</w:t>
      </w:r>
      <w:r w:rsidR="00770204">
        <w:rPr>
          <w:b/>
          <w:szCs w:val="24"/>
          <w:lang w:eastAsia="en-US"/>
        </w:rPr>
        <w:t xml:space="preserve"> [Popr. 61]</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Zabawki wprowadza się do obrotu wyłącznie pod warunkiem że spełniają one zasadnicze wymagania bezpieczeństwa obejmujące wymagania bezpieczeństwa określone w ust. 2 („ogólne wymagania bezpieczeństwa”) i wymagania bezpieczeństwa określone w załączniku II („szczegółowe wymagania bezpieczeństwa”).</w:t>
      </w:r>
    </w:p>
    <w:p w:rsidR="00770204" w:rsidRDefault="00770204">
      <w:pPr>
        <w:widowControl/>
        <w:rPr>
          <w:szCs w:val="24"/>
          <w:lang w:eastAsia="en-US"/>
        </w:rPr>
      </w:pPr>
      <w:r>
        <w:rPr>
          <w:szCs w:val="24"/>
          <w:lang w:eastAsia="en-US"/>
        </w:rPr>
        <w:br w:type="page"/>
      </w:r>
    </w:p>
    <w:p w:rsidR="00092171" w:rsidRPr="00770204" w:rsidRDefault="00092171" w:rsidP="00092171">
      <w:pPr>
        <w:spacing w:before="120" w:after="120" w:line="360" w:lineRule="auto"/>
        <w:ind w:left="850" w:hanging="850"/>
        <w:rPr>
          <w:b/>
          <w:szCs w:val="24"/>
          <w:lang w:eastAsia="en-US"/>
        </w:rPr>
      </w:pPr>
      <w:r w:rsidRPr="00092171">
        <w:rPr>
          <w:szCs w:val="24"/>
          <w:lang w:eastAsia="en-US"/>
        </w:rPr>
        <w:lastRenderedPageBreak/>
        <w:t>2.</w:t>
      </w:r>
      <w:r w:rsidRPr="00092171">
        <w:rPr>
          <w:szCs w:val="24"/>
          <w:lang w:eastAsia="en-US"/>
        </w:rPr>
        <w:tab/>
        <w:t>Zabawki nie stwarzają ryzyka dla bezpieczeństwa lub zdrowia użytkowników lub osób trzecich</w:t>
      </w:r>
      <w:r w:rsidRPr="00092171">
        <w:rPr>
          <w:strike/>
          <w:szCs w:val="24"/>
          <w:lang w:eastAsia="en-US"/>
        </w:rPr>
        <w:t>, w tym zdrowia psychicznego, dobrostanu i rozwoju poznawczego dzieci, wtedy</w:t>
      </w:r>
      <w:r w:rsidRPr="00092171">
        <w:rPr>
          <w:szCs w:val="24"/>
          <w:lang w:eastAsia="en-US"/>
        </w:rPr>
        <w:t>, gdy są używane zgodnie z przeznaczeniem lub w sposób możliwy do przewidzenia z uwzględnieniem normalnego zachowania dzieci.</w:t>
      </w:r>
      <w:r w:rsidR="00770204">
        <w:rPr>
          <w:b/>
          <w:szCs w:val="24"/>
          <w:lang w:eastAsia="en-US"/>
        </w:rPr>
        <w:t xml:space="preserve"> [Popr. 62]</w:t>
      </w:r>
    </w:p>
    <w:p w:rsidR="00092171" w:rsidRPr="00770204" w:rsidRDefault="00092171" w:rsidP="00092171">
      <w:pPr>
        <w:spacing w:before="120" w:after="120" w:line="360" w:lineRule="auto"/>
        <w:ind w:left="850"/>
        <w:rPr>
          <w:b/>
          <w:szCs w:val="24"/>
          <w:lang w:eastAsia="en-US"/>
        </w:rPr>
      </w:pPr>
      <w:r w:rsidRPr="00092171">
        <w:rPr>
          <w:b/>
          <w:i/>
          <w:szCs w:val="24"/>
          <w:lang w:eastAsia="en-US"/>
        </w:rPr>
        <w:t>Oceniając ryzyko, o którym mowa w akapicie pierwszym, producent zabawek połączonych cyfrowo, w stosownych przypadkach i dokładając należytej staranności, bierze również pod uwagę wszelkie zagrożenia dla zdrowia psychicznego, a także dla rozwoju poznawczego dzieci, które mogą powstać, gdy takie zabawki są używane zgodnie z ich przeznaczeniem.</w:t>
      </w:r>
      <w:r w:rsidR="00770204">
        <w:rPr>
          <w:b/>
          <w:szCs w:val="24"/>
          <w:lang w:eastAsia="en-US"/>
        </w:rPr>
        <w:t xml:space="preserve"> [Popr. 63]</w:t>
      </w:r>
    </w:p>
    <w:p w:rsidR="00092171" w:rsidRPr="00770204" w:rsidRDefault="00092171" w:rsidP="00092171">
      <w:pPr>
        <w:spacing w:before="120" w:after="120" w:line="360" w:lineRule="auto"/>
        <w:ind w:left="850"/>
        <w:rPr>
          <w:b/>
          <w:szCs w:val="24"/>
          <w:lang w:eastAsia="en-US"/>
        </w:rPr>
      </w:pPr>
      <w:r w:rsidRPr="00092171">
        <w:rPr>
          <w:b/>
          <w:i/>
          <w:szCs w:val="24"/>
          <w:lang w:eastAsia="en-US"/>
        </w:rPr>
        <w:t>Producent stosuje akapit drugi w sposób proporcjonalny do jego zdolności w zakresie odpowiedniej oceny takiego ryzyka.</w:t>
      </w:r>
      <w:r w:rsidR="00770204">
        <w:rPr>
          <w:b/>
          <w:szCs w:val="24"/>
          <w:lang w:eastAsia="en-US"/>
        </w:rPr>
        <w:t xml:space="preserve"> [Popr. 64]</w:t>
      </w:r>
    </w:p>
    <w:p w:rsidR="00092171" w:rsidRPr="00092171" w:rsidRDefault="00092171" w:rsidP="00092171">
      <w:pPr>
        <w:spacing w:before="120" w:after="120" w:line="360" w:lineRule="auto"/>
        <w:ind w:left="850"/>
        <w:rPr>
          <w:szCs w:val="24"/>
          <w:lang w:eastAsia="en-US"/>
        </w:rPr>
      </w:pPr>
      <w:r w:rsidRPr="00092171">
        <w:rPr>
          <w:szCs w:val="24"/>
          <w:lang w:eastAsia="en-US"/>
        </w:rPr>
        <w:t>Oceniając ryzyko, o którym mowa w akapicie pierwszym, należy uwzględnić zdolności użytkowników, a tam gdzie to właściwe, ich opiekunów. W przypadku zabawki przeznaczonej do użytku przez dzieci w wieku poniżej 36 miesięcy lub z innych określonych grup wiekowych uwzględnia się zdolności użytkowników w tej konkretnej grupie wiekowej.</w:t>
      </w:r>
    </w:p>
    <w:p w:rsidR="00770204" w:rsidRDefault="00770204">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Zabawki wprowadzone do obrotu są zgodne z zasadniczymi wymaganiami bezpieczeństwa podczas przewidzianego czasu ich używania.</w:t>
      </w:r>
    </w:p>
    <w:p w:rsidR="00092171" w:rsidRPr="00092171" w:rsidRDefault="00092171" w:rsidP="00092171">
      <w:pPr>
        <w:spacing w:before="120" w:after="120" w:line="360" w:lineRule="auto"/>
        <w:jc w:val="center"/>
        <w:rPr>
          <w:szCs w:val="24"/>
          <w:lang w:eastAsia="en-US"/>
        </w:rPr>
      </w:pPr>
      <w:r w:rsidRPr="00092171">
        <w:rPr>
          <w:szCs w:val="24"/>
          <w:lang w:eastAsia="en-US"/>
        </w:rPr>
        <w:t>Artykuł 6</w:t>
      </w:r>
      <w:r w:rsidRPr="00092171">
        <w:rPr>
          <w:szCs w:val="24"/>
          <w:lang w:eastAsia="en-US"/>
        </w:rPr>
        <w:br/>
        <w:t>Ostrzeżenia</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 xml:space="preserve">Tam, gdzie jest to właściwe, w celu zapewnienia ich bezpiecznego użytkowania </w:t>
      </w:r>
      <w:r w:rsidRPr="00092171">
        <w:rPr>
          <w:b/>
          <w:i/>
          <w:szCs w:val="24"/>
          <w:lang w:eastAsia="en-US"/>
        </w:rPr>
        <w:t xml:space="preserve">i zdrowia dzieci </w:t>
      </w:r>
      <w:r w:rsidRPr="00092171">
        <w:rPr>
          <w:szCs w:val="24"/>
          <w:lang w:eastAsia="en-US"/>
        </w:rPr>
        <w:t>zabawki są opatrzone</w:t>
      </w:r>
      <w:r w:rsidRPr="00092171">
        <w:rPr>
          <w:strike/>
          <w:szCs w:val="24"/>
          <w:lang w:eastAsia="en-US"/>
        </w:rPr>
        <w:t xml:space="preserve"> ogólnym</w:t>
      </w:r>
      <w:r w:rsidRPr="00092171">
        <w:rPr>
          <w:szCs w:val="24"/>
          <w:lang w:eastAsia="en-US"/>
        </w:rPr>
        <w:t xml:space="preserve"> ostrzeżeniem podającym stosowne ograniczenia ich użycia. Ograniczenia użycia zawierają co najmniej minimalny lub maksymalny wiek użytkownika, i tam gdzie to jest właściwe, wymagane umiejętności użytkownika, maksymalną lub minimalną wagę użytkownika oraz konieczność zapewnienia, aby zabawka była używana wyłącznie pod nadzorem osoby dorosłej.</w:t>
      </w:r>
      <w:r w:rsidR="00234E17">
        <w:rPr>
          <w:b/>
          <w:szCs w:val="24"/>
          <w:lang w:eastAsia="en-US"/>
        </w:rPr>
        <w:t xml:space="preserve"> [Popr. 65]</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850" w:hanging="850"/>
        <w:rPr>
          <w:b/>
          <w:szCs w:val="24"/>
          <w:lang w:eastAsia="en-US"/>
        </w:rPr>
      </w:pPr>
      <w:r w:rsidRPr="00092171">
        <w:rPr>
          <w:szCs w:val="24"/>
          <w:lang w:eastAsia="en-US"/>
        </w:rPr>
        <w:lastRenderedPageBreak/>
        <w:t>2.</w:t>
      </w:r>
      <w:r w:rsidRPr="00092171">
        <w:rPr>
          <w:szCs w:val="24"/>
          <w:lang w:eastAsia="en-US"/>
        </w:rPr>
        <w:tab/>
      </w:r>
      <w:r w:rsidRPr="00092171">
        <w:rPr>
          <w:strike/>
          <w:szCs w:val="24"/>
          <w:lang w:eastAsia="en-US"/>
        </w:rPr>
        <w:t xml:space="preserve">Następujące </w:t>
      </w:r>
      <w:r w:rsidRPr="00092171">
        <w:rPr>
          <w:szCs w:val="24"/>
          <w:lang w:eastAsia="en-US"/>
        </w:rPr>
        <w:t>Kategorie zabawek</w:t>
      </w:r>
      <w:r w:rsidRPr="00092171">
        <w:rPr>
          <w:b/>
          <w:i/>
          <w:szCs w:val="24"/>
          <w:lang w:eastAsia="en-US"/>
        </w:rPr>
        <w:t xml:space="preserve"> określone w załączniku III</w:t>
      </w:r>
      <w:r w:rsidRPr="00092171">
        <w:rPr>
          <w:szCs w:val="24"/>
          <w:lang w:eastAsia="en-US"/>
        </w:rPr>
        <w:t xml:space="preserve"> są opatrzone ostrzeżeniami</w:t>
      </w:r>
      <w:r w:rsidRPr="00092171">
        <w:rPr>
          <w:strike/>
          <w:szCs w:val="24"/>
          <w:lang w:eastAsia="en-US"/>
        </w:rPr>
        <w:t xml:space="preserve"> zgodnie z zasadami dotyczącymi każdej z kategorii określonymi w załączniku III:</w:t>
      </w:r>
      <w:r w:rsidRPr="00092171">
        <w:rPr>
          <w:b/>
          <w:i/>
          <w:szCs w:val="24"/>
          <w:lang w:eastAsia="en-US"/>
        </w:rPr>
        <w:t>.</w:t>
      </w:r>
      <w:r w:rsidR="00234E17">
        <w:rPr>
          <w:b/>
          <w:szCs w:val="24"/>
          <w:lang w:eastAsia="en-US"/>
        </w:rPr>
        <w:t xml:space="preserve"> [Popr. 66]</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a)</w:t>
      </w:r>
      <w:r w:rsidRPr="00092171">
        <w:rPr>
          <w:szCs w:val="24"/>
          <w:lang w:eastAsia="en-US"/>
        </w:rPr>
        <w:tab/>
      </w:r>
      <w:r w:rsidRPr="00092171">
        <w:rPr>
          <w:strike/>
          <w:szCs w:val="24"/>
          <w:lang w:eastAsia="en-US"/>
        </w:rPr>
        <w:t>zabawki nieprzeznaczone dla dzieci w wieku poniżej 36 miesięcy;</w:t>
      </w:r>
      <w:r w:rsidR="00234E17">
        <w:rPr>
          <w:b/>
          <w:szCs w:val="24"/>
          <w:lang w:eastAsia="en-US"/>
        </w:rPr>
        <w:t xml:space="preserve"> [Popr. 67]</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b)</w:t>
      </w:r>
      <w:r w:rsidRPr="00092171">
        <w:rPr>
          <w:szCs w:val="24"/>
          <w:lang w:eastAsia="en-US"/>
        </w:rPr>
        <w:tab/>
      </w:r>
      <w:r w:rsidRPr="00092171">
        <w:rPr>
          <w:strike/>
          <w:szCs w:val="24"/>
          <w:lang w:eastAsia="en-US"/>
        </w:rPr>
        <w:t>zabawki ruchowe;</w:t>
      </w:r>
      <w:r w:rsidR="00234E17">
        <w:rPr>
          <w:b/>
          <w:szCs w:val="24"/>
          <w:lang w:eastAsia="en-US"/>
        </w:rPr>
        <w:t xml:space="preserve"> [Popr. 68]</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c)</w:t>
      </w:r>
      <w:r w:rsidRPr="00092171">
        <w:rPr>
          <w:szCs w:val="24"/>
          <w:lang w:eastAsia="en-US"/>
        </w:rPr>
        <w:tab/>
      </w:r>
      <w:r w:rsidRPr="00092171">
        <w:rPr>
          <w:strike/>
          <w:szCs w:val="24"/>
          <w:lang w:eastAsia="en-US"/>
        </w:rPr>
        <w:t>zabawki funkcjonalne;</w:t>
      </w:r>
      <w:r w:rsidR="00234E17">
        <w:rPr>
          <w:b/>
          <w:szCs w:val="24"/>
          <w:lang w:eastAsia="en-US"/>
        </w:rPr>
        <w:t xml:space="preserve"> [Popr. 69]</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d)</w:t>
      </w:r>
      <w:r w:rsidRPr="00092171">
        <w:rPr>
          <w:szCs w:val="24"/>
          <w:lang w:eastAsia="en-US"/>
        </w:rPr>
        <w:tab/>
      </w:r>
      <w:r w:rsidRPr="00092171">
        <w:rPr>
          <w:strike/>
          <w:szCs w:val="24"/>
          <w:lang w:eastAsia="en-US"/>
        </w:rPr>
        <w:t>zabawki chemiczne;</w:t>
      </w:r>
      <w:r w:rsidR="00234E17">
        <w:rPr>
          <w:b/>
          <w:szCs w:val="24"/>
          <w:lang w:eastAsia="en-US"/>
        </w:rPr>
        <w:t xml:space="preserve"> [Popr. 70]</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e)</w:t>
      </w:r>
      <w:r w:rsidRPr="00092171">
        <w:rPr>
          <w:szCs w:val="24"/>
          <w:lang w:eastAsia="en-US"/>
        </w:rPr>
        <w:tab/>
      </w:r>
      <w:r w:rsidRPr="00092171">
        <w:rPr>
          <w:strike/>
          <w:szCs w:val="24"/>
          <w:lang w:eastAsia="en-US"/>
        </w:rPr>
        <w:t>łyżwy, wrotki, łyżworolki, deskorolki, hulajnogi i rowerki dziecięce;</w:t>
      </w:r>
      <w:r w:rsidR="00234E17">
        <w:rPr>
          <w:b/>
          <w:szCs w:val="24"/>
          <w:lang w:eastAsia="en-US"/>
        </w:rPr>
        <w:t xml:space="preserve"> [Popr. 71]</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f)</w:t>
      </w:r>
      <w:r w:rsidRPr="00092171">
        <w:rPr>
          <w:szCs w:val="24"/>
          <w:lang w:eastAsia="en-US"/>
        </w:rPr>
        <w:tab/>
      </w:r>
      <w:r w:rsidRPr="00092171">
        <w:rPr>
          <w:strike/>
          <w:szCs w:val="24"/>
          <w:lang w:eastAsia="en-US"/>
        </w:rPr>
        <w:t>zabawki do zabawy w wodzie;</w:t>
      </w:r>
      <w:r w:rsidR="00234E17">
        <w:rPr>
          <w:b/>
          <w:szCs w:val="24"/>
          <w:lang w:eastAsia="en-US"/>
        </w:rPr>
        <w:t xml:space="preserve"> [Popr. 72]</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g)</w:t>
      </w:r>
      <w:r w:rsidRPr="00092171">
        <w:rPr>
          <w:szCs w:val="24"/>
          <w:lang w:eastAsia="en-US"/>
        </w:rPr>
        <w:tab/>
      </w:r>
      <w:r w:rsidRPr="00092171">
        <w:rPr>
          <w:strike/>
          <w:szCs w:val="24"/>
          <w:lang w:eastAsia="en-US"/>
        </w:rPr>
        <w:t>zabawki w żywności;</w:t>
      </w:r>
      <w:r w:rsidR="00234E17">
        <w:rPr>
          <w:b/>
          <w:szCs w:val="24"/>
          <w:lang w:eastAsia="en-US"/>
        </w:rPr>
        <w:t xml:space="preserve"> [Popr. 73]</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h)</w:t>
      </w:r>
      <w:r w:rsidRPr="00092171">
        <w:rPr>
          <w:szCs w:val="24"/>
          <w:lang w:eastAsia="en-US"/>
        </w:rPr>
        <w:tab/>
      </w:r>
      <w:r w:rsidRPr="00092171">
        <w:rPr>
          <w:strike/>
          <w:szCs w:val="24"/>
          <w:lang w:eastAsia="en-US"/>
        </w:rPr>
        <w:t>imitacje ochronnych masek i hełmów;</w:t>
      </w:r>
      <w:r w:rsidR="00234E17">
        <w:rPr>
          <w:b/>
          <w:szCs w:val="24"/>
          <w:lang w:eastAsia="en-US"/>
        </w:rPr>
        <w:t xml:space="preserve"> [Popr. 74]</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i)</w:t>
      </w:r>
      <w:r w:rsidRPr="00092171">
        <w:rPr>
          <w:szCs w:val="24"/>
          <w:lang w:eastAsia="en-US"/>
        </w:rPr>
        <w:tab/>
      </w:r>
      <w:r w:rsidRPr="00092171">
        <w:rPr>
          <w:strike/>
          <w:szCs w:val="24"/>
          <w:lang w:eastAsia="en-US"/>
        </w:rPr>
        <w:t>zabawki przeznaczone do zawieszenia na kołysce, łóżeczku lub wózku dziecięcym za pomocą sznurków, tasiemek, gumek lub pasków;</w:t>
      </w:r>
      <w:r w:rsidR="00234E17">
        <w:rPr>
          <w:b/>
          <w:szCs w:val="24"/>
          <w:lang w:eastAsia="en-US"/>
        </w:rPr>
        <w:t xml:space="preserve"> [Popr. 75]</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j)</w:t>
      </w:r>
      <w:r w:rsidRPr="00092171">
        <w:rPr>
          <w:szCs w:val="24"/>
          <w:lang w:eastAsia="en-US"/>
        </w:rPr>
        <w:tab/>
      </w:r>
      <w:r w:rsidRPr="00092171">
        <w:rPr>
          <w:strike/>
          <w:szCs w:val="24"/>
          <w:lang w:eastAsia="en-US"/>
        </w:rPr>
        <w:t>opakowania substancji zapachowych gier planszowych, zestawów kosmetycznych i gier smakowych.</w:t>
      </w:r>
      <w:r w:rsidR="00234E17">
        <w:rPr>
          <w:b/>
          <w:szCs w:val="24"/>
          <w:lang w:eastAsia="en-US"/>
        </w:rPr>
        <w:t xml:space="preserve"> [Popr. 76]</w:t>
      </w:r>
    </w:p>
    <w:p w:rsidR="00234E17" w:rsidRDefault="00234E17">
      <w:pPr>
        <w:widowControl/>
        <w:rPr>
          <w:szCs w:val="24"/>
          <w:lang w:eastAsia="en-US"/>
        </w:rPr>
      </w:pPr>
      <w:r>
        <w:rPr>
          <w:szCs w:val="24"/>
          <w:lang w:eastAsia="en-US"/>
        </w:rPr>
        <w:br w:type="page"/>
      </w:r>
    </w:p>
    <w:p w:rsidR="00092171" w:rsidRPr="00092171" w:rsidRDefault="00092171" w:rsidP="00092171">
      <w:pPr>
        <w:spacing w:before="120" w:after="120" w:line="360" w:lineRule="auto"/>
        <w:ind w:left="850"/>
        <w:rPr>
          <w:szCs w:val="24"/>
          <w:lang w:eastAsia="en-US"/>
        </w:rPr>
      </w:pPr>
      <w:r w:rsidRPr="00092171">
        <w:rPr>
          <w:szCs w:val="24"/>
          <w:lang w:eastAsia="en-US"/>
        </w:rPr>
        <w:lastRenderedPageBreak/>
        <w:t>Na zabawkach nie umieszcza się ostrzeżenia lub ostrzeżeń ustanowionych w załączniku III, jeżeli są one sprzeczne z przewidywanym użytkowaniem zabawki określonym na podstawie jej funkcji, rozmiarów i charakterystyki.</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3.</w:t>
      </w:r>
      <w:r w:rsidRPr="00092171">
        <w:rPr>
          <w:szCs w:val="24"/>
          <w:lang w:eastAsia="en-US"/>
        </w:rPr>
        <w:tab/>
        <w:t xml:space="preserve">Producent umieszcza ostrzeżenia w sposób wyraźnie widoczny, łatwo czytelny, zrozumiały oraz dokładny na zabawce, na przymocowanej etykiecie lub na opakowaniu i, w stosownych przypadkach, w instrukcji użytkowania załączonej do zabawki. Do </w:t>
      </w:r>
      <w:r w:rsidRPr="00092171">
        <w:rPr>
          <w:strike/>
          <w:szCs w:val="24"/>
          <w:lang w:eastAsia="en-US"/>
        </w:rPr>
        <w:t xml:space="preserve">małych </w:t>
      </w:r>
      <w:r w:rsidRPr="00092171">
        <w:rPr>
          <w:szCs w:val="24"/>
          <w:lang w:eastAsia="en-US"/>
        </w:rPr>
        <w:t>zabawek sprzedawanych bez opakowania przymocowane są odpowiednie ostrzeżenia</w:t>
      </w:r>
      <w:r w:rsidRPr="00092171">
        <w:rPr>
          <w:b/>
          <w:i/>
          <w:szCs w:val="24"/>
          <w:lang w:eastAsia="en-US"/>
        </w:rPr>
        <w:t>, jeżeli pozwala na to powierzchnia zabawki</w:t>
      </w:r>
      <w:r w:rsidRPr="00092171">
        <w:rPr>
          <w:szCs w:val="24"/>
          <w:lang w:eastAsia="en-US"/>
        </w:rPr>
        <w:t>.</w:t>
      </w:r>
      <w:r w:rsidRPr="00092171">
        <w:rPr>
          <w:b/>
          <w:i/>
          <w:szCs w:val="24"/>
          <w:lang w:eastAsia="en-US"/>
        </w:rPr>
        <w:t xml:space="preserve"> Jeżeli nie jest to możliwe, ostrzeżenia umieszcza się na etykiecie. Producent może dodać kod QR, który zawiera link do instrukcji w formacie cyfrowym, ale ostrzeżenia są zawsze umieszczane na przymocowanej etykiecie lub na opakowaniu.</w:t>
      </w:r>
      <w:r w:rsidR="00234E17">
        <w:rPr>
          <w:b/>
          <w:szCs w:val="24"/>
          <w:lang w:eastAsia="en-US"/>
        </w:rPr>
        <w:t xml:space="preserve"> [Popr. 77]</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850"/>
        <w:rPr>
          <w:b/>
          <w:szCs w:val="24"/>
          <w:lang w:eastAsia="en-US"/>
        </w:rPr>
      </w:pPr>
      <w:r w:rsidRPr="00092171">
        <w:rPr>
          <w:szCs w:val="24"/>
          <w:lang w:eastAsia="en-US"/>
        </w:rPr>
        <w:lastRenderedPageBreak/>
        <w:t>Ostrzeżenia</w:t>
      </w:r>
      <w:r w:rsidRPr="00092171">
        <w:rPr>
          <w:b/>
          <w:i/>
          <w:szCs w:val="24"/>
          <w:lang w:eastAsia="en-US"/>
        </w:rPr>
        <w:t>, które wpływają na decyzję w sprawie zakupu zabawki,</w:t>
      </w:r>
      <w:r w:rsidRPr="00092171">
        <w:rPr>
          <w:szCs w:val="24"/>
          <w:lang w:eastAsia="en-US"/>
        </w:rPr>
        <w:t xml:space="preserve"> są wyraźnie widoczne dla konsumenta przed dokonaniem zakupu, w tym również w przypadku dokonywania zakupu na odległość</w:t>
      </w:r>
      <w:r w:rsidRPr="00092171">
        <w:rPr>
          <w:b/>
          <w:i/>
          <w:szCs w:val="24"/>
          <w:lang w:eastAsia="en-US"/>
        </w:rPr>
        <w:t xml:space="preserve"> lub w internecie</w:t>
      </w:r>
      <w:r w:rsidRPr="00092171">
        <w:rPr>
          <w:szCs w:val="24"/>
          <w:lang w:eastAsia="en-US"/>
        </w:rPr>
        <w:t xml:space="preserve">. Ostrzeżenia mają odpowiedni rozmiar, aby zapewnić ich </w:t>
      </w:r>
      <w:r w:rsidRPr="00092171">
        <w:rPr>
          <w:b/>
          <w:i/>
          <w:szCs w:val="24"/>
          <w:lang w:eastAsia="en-US"/>
        </w:rPr>
        <w:t xml:space="preserve">natychmiastową </w:t>
      </w:r>
      <w:r w:rsidRPr="00092171">
        <w:rPr>
          <w:szCs w:val="24"/>
          <w:lang w:eastAsia="en-US"/>
        </w:rPr>
        <w:t>widoczność</w:t>
      </w:r>
      <w:r w:rsidRPr="00092171">
        <w:rPr>
          <w:b/>
          <w:i/>
          <w:szCs w:val="24"/>
          <w:lang w:eastAsia="en-US"/>
        </w:rPr>
        <w:t xml:space="preserve"> i czytelność w internecie</w:t>
      </w:r>
      <w:r w:rsidRPr="00092171">
        <w:rPr>
          <w:szCs w:val="24"/>
          <w:lang w:eastAsia="en-US"/>
        </w:rPr>
        <w:t>.</w:t>
      </w:r>
      <w:r w:rsidRPr="00092171">
        <w:rPr>
          <w:b/>
          <w:i/>
          <w:szCs w:val="24"/>
          <w:lang w:eastAsia="en-US"/>
        </w:rPr>
        <w:t xml:space="preserve"> Komisja przyjmuje akty wykonawcze określające kryteria widoczności i czytelności ostrzeżeń, w tym w internecie, po upływie 12 miesięcy od daty wejścia w życie niniejszego rozporządzenia.</w:t>
      </w:r>
      <w:r w:rsidR="00234E17">
        <w:rPr>
          <w:b/>
          <w:szCs w:val="24"/>
          <w:lang w:eastAsia="en-US"/>
        </w:rPr>
        <w:t xml:space="preserve"> [Popr. 78]</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4.</w:t>
      </w:r>
      <w:r w:rsidRPr="00092171">
        <w:rPr>
          <w:szCs w:val="24"/>
          <w:lang w:eastAsia="en-US"/>
        </w:rPr>
        <w:tab/>
        <w:t xml:space="preserve">Etykiety i instrukcje użytkowania mają zwracać uwagę dzieci lub ich opiekunów na zagrożenia i ryzyko dla zdrowia i bezpieczeństwa dzieci </w:t>
      </w:r>
      <w:r w:rsidRPr="00092171">
        <w:rPr>
          <w:strike/>
          <w:szCs w:val="24"/>
          <w:lang w:eastAsia="en-US"/>
        </w:rPr>
        <w:t>związane z używaniem</w:t>
      </w:r>
      <w:r w:rsidRPr="00092171">
        <w:rPr>
          <w:b/>
          <w:i/>
          <w:szCs w:val="24"/>
          <w:lang w:eastAsia="en-US"/>
        </w:rPr>
        <w:t>stosownie do wieku dzieci, dla których</w:t>
      </w:r>
      <w:r w:rsidRPr="00092171">
        <w:rPr>
          <w:szCs w:val="24"/>
          <w:lang w:eastAsia="en-US"/>
        </w:rPr>
        <w:t xml:space="preserve"> zabawki</w:t>
      </w:r>
      <w:r w:rsidRPr="00092171">
        <w:rPr>
          <w:b/>
          <w:i/>
          <w:szCs w:val="24"/>
          <w:lang w:eastAsia="en-US"/>
        </w:rPr>
        <w:t xml:space="preserve"> są przeznaczone,</w:t>
      </w:r>
      <w:r w:rsidRPr="00092171">
        <w:rPr>
          <w:szCs w:val="24"/>
          <w:lang w:eastAsia="en-US"/>
        </w:rPr>
        <w:t xml:space="preserve"> oraz na sposoby uniknięcia takiego zagrożenia i ryzyka.</w:t>
      </w:r>
      <w:r w:rsidR="00234E17">
        <w:rPr>
          <w:b/>
          <w:szCs w:val="24"/>
          <w:lang w:eastAsia="en-US"/>
        </w:rPr>
        <w:t xml:space="preserve"> [Popr. 79]</w:t>
      </w:r>
    </w:p>
    <w:p w:rsidR="00234E17" w:rsidRDefault="00234E17">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 xml:space="preserve">ROZDZIAŁ II </w:t>
      </w:r>
      <w:r w:rsidRPr="00092171">
        <w:rPr>
          <w:szCs w:val="24"/>
          <w:lang w:eastAsia="en-US"/>
        </w:rPr>
        <w:br/>
        <w:t xml:space="preserve">OBOWIĄZKI PODMIOTÓW GOSPODARCZYCH </w:t>
      </w:r>
    </w:p>
    <w:p w:rsidR="00092171" w:rsidRPr="00092171" w:rsidRDefault="00092171" w:rsidP="00092171">
      <w:pPr>
        <w:spacing w:before="120" w:after="120" w:line="360" w:lineRule="auto"/>
        <w:jc w:val="center"/>
        <w:rPr>
          <w:szCs w:val="24"/>
          <w:lang w:eastAsia="en-US"/>
        </w:rPr>
      </w:pPr>
      <w:r w:rsidRPr="00092171">
        <w:rPr>
          <w:szCs w:val="24"/>
          <w:lang w:eastAsia="en-US"/>
        </w:rPr>
        <w:t>Artykuł 7</w:t>
      </w:r>
      <w:r w:rsidRPr="00092171">
        <w:rPr>
          <w:szCs w:val="24"/>
          <w:lang w:eastAsia="en-US"/>
        </w:rPr>
        <w:br/>
        <w:t>Obowiązki producentów</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Wprowadzając zabawki do obrotu, producenci zapewniają, aby zostały one zaprojektowane i wytworzone zgodnie z zasadniczymi wymaganiami bezpieczeństwa.</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Przed wprowadzeniem zabawek do obrotu producenci sporządzają wymaganą dokumentację techniczną zgodnie z art. 23 i przeprowadzają obowiązującą procedurę oceny zgodności, zgodnie z art. 22, lub zlecają jej przeprowadzenie.</w:t>
      </w:r>
    </w:p>
    <w:p w:rsidR="00092171" w:rsidRPr="00092171" w:rsidRDefault="00092171" w:rsidP="00092171">
      <w:pPr>
        <w:spacing w:before="120" w:after="120" w:line="360" w:lineRule="auto"/>
        <w:ind w:left="850"/>
        <w:rPr>
          <w:szCs w:val="24"/>
          <w:lang w:eastAsia="en-US"/>
        </w:rPr>
      </w:pPr>
      <w:r w:rsidRPr="00092171">
        <w:rPr>
          <w:szCs w:val="24"/>
          <w:lang w:eastAsia="en-US"/>
        </w:rPr>
        <w:t>W przypadku wykazania zgodności zabawki z obowiązującymi wymaganiami określonymi w niniejszym rozporządzeniu za pomocą procedury, o której mowa w akapicie pierwszym, przed wprowadzeniem zabawki do obrotu, producenci:</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a)</w:t>
      </w:r>
      <w:r w:rsidRPr="00092171">
        <w:rPr>
          <w:szCs w:val="24"/>
          <w:lang w:eastAsia="en-US"/>
        </w:rPr>
        <w:tab/>
        <w:t>sporządzają</w:t>
      </w:r>
      <w:r w:rsidRPr="00092171">
        <w:rPr>
          <w:b/>
          <w:i/>
          <w:szCs w:val="24"/>
          <w:lang w:eastAsia="en-US"/>
        </w:rPr>
        <w:t xml:space="preserve"> cyfrowy</w:t>
      </w:r>
      <w:r w:rsidRPr="00092171">
        <w:rPr>
          <w:szCs w:val="24"/>
          <w:lang w:eastAsia="en-US"/>
        </w:rPr>
        <w:t xml:space="preserve"> paszport produktu dla zabawki zgodnie z art. 17;</w:t>
      </w:r>
      <w:r w:rsidR="00234E17">
        <w:rPr>
          <w:b/>
          <w:szCs w:val="24"/>
          <w:lang w:eastAsia="en-US"/>
        </w:rPr>
        <w:t xml:space="preserve"> [Popr. 80]</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1416" w:hanging="566"/>
        <w:rPr>
          <w:b/>
          <w:szCs w:val="24"/>
          <w:lang w:eastAsia="en-US"/>
        </w:rPr>
      </w:pPr>
      <w:r w:rsidRPr="00092171">
        <w:rPr>
          <w:szCs w:val="24"/>
          <w:lang w:eastAsia="en-US"/>
        </w:rPr>
        <w:lastRenderedPageBreak/>
        <w:t>b)</w:t>
      </w:r>
      <w:r w:rsidRPr="00092171">
        <w:rPr>
          <w:szCs w:val="24"/>
          <w:lang w:eastAsia="en-US"/>
        </w:rPr>
        <w:tab/>
        <w:t xml:space="preserve">umieszczają nośnik danych </w:t>
      </w:r>
      <w:r w:rsidRPr="00092171">
        <w:rPr>
          <w:strike/>
          <w:szCs w:val="24"/>
          <w:lang w:eastAsia="en-US"/>
        </w:rPr>
        <w:t xml:space="preserve">na zabawce lub na etykiecie, którą zabawka jest opatrzona, </w:t>
      </w:r>
      <w:r w:rsidRPr="00092171">
        <w:rPr>
          <w:szCs w:val="24"/>
          <w:lang w:eastAsia="en-US"/>
        </w:rPr>
        <w:t>zgodnie z art. 17 ust. 5;</w:t>
      </w:r>
      <w:r w:rsidR="00234E17">
        <w:rPr>
          <w:b/>
          <w:szCs w:val="24"/>
          <w:lang w:eastAsia="en-US"/>
        </w:rPr>
        <w:t xml:space="preserve"> [Popr. 81]</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umieszczają oznakowanie CE zgodnie z art. 16 ust. 1;</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d)</w:t>
      </w:r>
      <w:r w:rsidRPr="00092171">
        <w:rPr>
          <w:szCs w:val="24"/>
          <w:lang w:eastAsia="en-US"/>
        </w:rPr>
        <w:tab/>
        <w:t>umieszczają unikatowy identyfikator produktu i unikatowy identyfikator podmiotu odnoszące się do zabawki w</w:t>
      </w:r>
      <w:r w:rsidRPr="00092171">
        <w:rPr>
          <w:b/>
          <w:i/>
          <w:szCs w:val="24"/>
          <w:lang w:eastAsia="en-US"/>
        </w:rPr>
        <w:t xml:space="preserve"> cyfrowym</w:t>
      </w:r>
      <w:r w:rsidRPr="00092171">
        <w:rPr>
          <w:szCs w:val="24"/>
          <w:lang w:eastAsia="en-US"/>
        </w:rPr>
        <w:t xml:space="preserve"> rejestrze paszportów produktu, o którym mowa w art. 19 ust. 1, jak również wszelkie inne dodatkowe informacje określone w akcie delegowanym przyjętym zgodnie z art. 46 ust. 2.</w:t>
      </w:r>
      <w:r w:rsidR="00234E17">
        <w:rPr>
          <w:b/>
          <w:szCs w:val="24"/>
          <w:lang w:eastAsia="en-US"/>
        </w:rPr>
        <w:t xml:space="preserve"> [Popr. 82]</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3.</w:t>
      </w:r>
      <w:r w:rsidRPr="00092171">
        <w:rPr>
          <w:szCs w:val="24"/>
          <w:lang w:eastAsia="en-US"/>
        </w:rPr>
        <w:tab/>
        <w:t>Producenci przechowują</w:t>
      </w:r>
      <w:r w:rsidRPr="00092171">
        <w:rPr>
          <w:b/>
          <w:i/>
          <w:szCs w:val="24"/>
          <w:lang w:eastAsia="en-US"/>
        </w:rPr>
        <w:t xml:space="preserve"> aktualną</w:t>
      </w:r>
      <w:r w:rsidRPr="00092171">
        <w:rPr>
          <w:szCs w:val="24"/>
          <w:lang w:eastAsia="en-US"/>
        </w:rPr>
        <w:t xml:space="preserve"> dokumentację techniczną oraz</w:t>
      </w:r>
      <w:r w:rsidRPr="00092171">
        <w:rPr>
          <w:b/>
          <w:i/>
          <w:szCs w:val="24"/>
          <w:lang w:eastAsia="en-US"/>
        </w:rPr>
        <w:t xml:space="preserve"> cyfrowy</w:t>
      </w:r>
      <w:r w:rsidRPr="00092171">
        <w:rPr>
          <w:szCs w:val="24"/>
          <w:lang w:eastAsia="en-US"/>
        </w:rPr>
        <w:t xml:space="preserve"> paszport produktu przez okres 10 lat od chwili wprowadzenia do obrotu </w:t>
      </w:r>
      <w:r w:rsidRPr="00092171">
        <w:rPr>
          <w:b/>
          <w:i/>
          <w:szCs w:val="24"/>
          <w:lang w:eastAsia="en-US"/>
        </w:rPr>
        <w:t xml:space="preserve">ostatniego egzemplarza modelu </w:t>
      </w:r>
      <w:r w:rsidRPr="00092171">
        <w:rPr>
          <w:szCs w:val="24"/>
          <w:lang w:eastAsia="en-US"/>
        </w:rPr>
        <w:t xml:space="preserve">zabawki, której dotyczą ta dokumentacja i ten </w:t>
      </w:r>
      <w:r w:rsidRPr="00092171">
        <w:rPr>
          <w:b/>
          <w:i/>
          <w:szCs w:val="24"/>
          <w:lang w:eastAsia="en-US"/>
        </w:rPr>
        <w:t xml:space="preserve">cyfrowy </w:t>
      </w:r>
      <w:r w:rsidRPr="00092171">
        <w:rPr>
          <w:szCs w:val="24"/>
          <w:lang w:eastAsia="en-US"/>
        </w:rPr>
        <w:t>paszport produktu.</w:t>
      </w:r>
      <w:r w:rsidR="00234E17">
        <w:rPr>
          <w:b/>
          <w:szCs w:val="24"/>
          <w:lang w:eastAsia="en-US"/>
        </w:rPr>
        <w:t xml:space="preserve"> [Popr. 83]</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Producenci zapewniają wprowadzenie procedur mających na celu utrzymanie zgodności zabawek, które są częścią produkcji seryjnej, z niniejszym rozporządzeniem. Odpowiednio uwzględnia się zmiany w projekcie lub właściwościach zabawek oraz zmiany w normach zharmonizowanych, o których mowa w art. 13, lub wspólnych specyfikacjach, o których mowa w art. 14 i w odniesieniu do których deklaruje się zgodność zabawki lub poprzez stosowanie których weryfikuje się zgodność zabawki.</w:t>
      </w:r>
    </w:p>
    <w:p w:rsidR="00234E17" w:rsidRDefault="00234E17">
      <w:pPr>
        <w:widowControl/>
        <w:rPr>
          <w:b/>
          <w:i/>
          <w:szCs w:val="24"/>
          <w:lang w:eastAsia="en-US"/>
        </w:rPr>
      </w:pPr>
      <w:r>
        <w:rPr>
          <w:b/>
          <w:i/>
          <w:szCs w:val="24"/>
          <w:lang w:eastAsia="en-US"/>
        </w:rPr>
        <w:br w:type="page"/>
      </w:r>
    </w:p>
    <w:p w:rsidR="00092171" w:rsidRPr="00234E17" w:rsidRDefault="00092171" w:rsidP="00092171">
      <w:pPr>
        <w:spacing w:before="120" w:after="120" w:line="360" w:lineRule="auto"/>
        <w:ind w:left="850"/>
        <w:rPr>
          <w:b/>
          <w:szCs w:val="24"/>
          <w:lang w:eastAsia="en-US"/>
        </w:rPr>
      </w:pPr>
      <w:r w:rsidRPr="00092171">
        <w:rPr>
          <w:b/>
          <w:i/>
          <w:szCs w:val="24"/>
          <w:lang w:eastAsia="en-US"/>
        </w:rPr>
        <w:lastRenderedPageBreak/>
        <w:t xml:space="preserve">W stosownych przypadkach </w:t>
      </w:r>
      <w:r w:rsidRPr="00092171">
        <w:rPr>
          <w:szCs w:val="24"/>
          <w:lang w:eastAsia="en-US"/>
        </w:rPr>
        <w:t xml:space="preserve">producenci </w:t>
      </w:r>
      <w:r w:rsidRPr="00092171">
        <w:rPr>
          <w:strike/>
          <w:szCs w:val="24"/>
          <w:lang w:eastAsia="en-US"/>
        </w:rPr>
        <w:t>są zobowiązani</w:t>
      </w:r>
      <w:r w:rsidRPr="00092171">
        <w:rPr>
          <w:b/>
          <w:i/>
          <w:szCs w:val="24"/>
          <w:lang w:eastAsia="en-US"/>
        </w:rPr>
        <w:t>przeprowadzają</w:t>
      </w:r>
      <w:r w:rsidRPr="00092171">
        <w:rPr>
          <w:szCs w:val="24"/>
          <w:lang w:eastAsia="en-US"/>
        </w:rPr>
        <w:t xml:space="preserve"> w odniesieniu do ryzyka związanego z zabawką</w:t>
      </w:r>
      <w:r w:rsidRPr="00092171">
        <w:rPr>
          <w:strike/>
          <w:szCs w:val="24"/>
          <w:lang w:eastAsia="en-US"/>
        </w:rPr>
        <w:t>, jeżeli uznają to za niezbędne</w:t>
      </w:r>
      <w:r w:rsidRPr="00092171">
        <w:rPr>
          <w:b/>
          <w:i/>
          <w:szCs w:val="24"/>
          <w:lang w:eastAsia="en-US"/>
        </w:rPr>
        <w:t xml:space="preserve"> badanie próby zabawek wprowadzanych do obrotu</w:t>
      </w:r>
      <w:r w:rsidRPr="00092171">
        <w:rPr>
          <w:szCs w:val="24"/>
          <w:lang w:eastAsia="en-US"/>
        </w:rPr>
        <w:t xml:space="preserve"> w celu ochrony zdrowia i bezpieczeństwa konsumentów</w:t>
      </w:r>
      <w:r w:rsidRPr="00092171">
        <w:rPr>
          <w:strike/>
          <w:szCs w:val="24"/>
          <w:lang w:eastAsia="en-US"/>
        </w:rPr>
        <w:t>, do przeprowadzania badania próby zabawek wprowadzanych do obrotu</w:t>
      </w:r>
      <w:r w:rsidRPr="00092171">
        <w:rPr>
          <w:szCs w:val="24"/>
          <w:lang w:eastAsia="en-US"/>
        </w:rPr>
        <w:t>.</w:t>
      </w:r>
      <w:r w:rsidR="00234E17">
        <w:rPr>
          <w:b/>
          <w:szCs w:val="24"/>
          <w:lang w:eastAsia="en-US"/>
        </w:rPr>
        <w:t xml:space="preserve"> [Popr. 84]</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Producenci zapewniają, aby zabawki były opatrzone nazwą typu, numerem partii, serii lub modelu lub inną informacją umożliwiającą ich identyfikację, lub w przypadku gdy wielkość lub charakter zabawki to uniemożliwiają, aby wymagane informacje były umieszczone na opakowaniu lub w dokumencie załączonym do zabawki.</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6.</w:t>
      </w:r>
      <w:r w:rsidRPr="00092171">
        <w:rPr>
          <w:szCs w:val="24"/>
          <w:lang w:eastAsia="en-US"/>
        </w:rPr>
        <w:tab/>
        <w:t xml:space="preserve">Producenci umieszczają swoje nazwisko, zarejestrowaną nazwę towarową lub zarejestrowany znak towarowy oraz adres pocztowy </w:t>
      </w:r>
      <w:r w:rsidRPr="00092171">
        <w:rPr>
          <w:strike/>
          <w:szCs w:val="24"/>
          <w:lang w:eastAsia="en-US"/>
        </w:rPr>
        <w:t>i</w:t>
      </w:r>
      <w:r w:rsidRPr="00092171">
        <w:rPr>
          <w:b/>
          <w:i/>
          <w:szCs w:val="24"/>
          <w:lang w:eastAsia="en-US"/>
        </w:rPr>
        <w:t>lub</w:t>
      </w:r>
      <w:r w:rsidRPr="00092171">
        <w:rPr>
          <w:szCs w:val="24"/>
          <w:lang w:eastAsia="en-US"/>
        </w:rPr>
        <w:t xml:space="preserve"> adres poczty elektronicznej, pod którym można się z nimi skontaktować, na zabawce, a jeżeli nie jest to </w:t>
      </w:r>
      <w:r w:rsidRPr="00092171">
        <w:rPr>
          <w:strike/>
          <w:szCs w:val="24"/>
          <w:lang w:eastAsia="en-US"/>
        </w:rPr>
        <w:t>możliwe</w:t>
      </w:r>
      <w:r w:rsidRPr="00092171">
        <w:rPr>
          <w:b/>
          <w:i/>
          <w:szCs w:val="24"/>
          <w:lang w:eastAsia="en-US"/>
        </w:rPr>
        <w:t>wykonalne</w:t>
      </w:r>
      <w:r w:rsidRPr="00092171">
        <w:rPr>
          <w:szCs w:val="24"/>
          <w:lang w:eastAsia="en-US"/>
        </w:rPr>
        <w:t xml:space="preserve"> – na opakowaniu</w:t>
      </w:r>
      <w:r w:rsidRPr="00092171">
        <w:rPr>
          <w:strike/>
          <w:szCs w:val="24"/>
          <w:lang w:eastAsia="en-US"/>
        </w:rPr>
        <w:t xml:space="preserve"> lub</w:t>
      </w:r>
      <w:r w:rsidRPr="00092171">
        <w:rPr>
          <w:b/>
          <w:i/>
          <w:szCs w:val="24"/>
          <w:lang w:eastAsia="en-US"/>
        </w:rPr>
        <w:t>,</w:t>
      </w:r>
      <w:r w:rsidRPr="00092171">
        <w:rPr>
          <w:szCs w:val="24"/>
          <w:lang w:eastAsia="en-US"/>
        </w:rPr>
        <w:t xml:space="preserve"> w dokumencie dołączonym do zabawki</w:t>
      </w:r>
      <w:r w:rsidRPr="00092171">
        <w:rPr>
          <w:b/>
          <w:i/>
          <w:szCs w:val="24"/>
          <w:lang w:eastAsia="en-US"/>
        </w:rPr>
        <w:t xml:space="preserve"> lub w cyfrowym paszporcie produktu</w:t>
      </w:r>
      <w:r w:rsidRPr="00092171">
        <w:rPr>
          <w:szCs w:val="24"/>
          <w:lang w:eastAsia="en-US"/>
        </w:rPr>
        <w:t>. Producenci wskazują pojedynczy punkt, w którym można się z nimi skontaktować.</w:t>
      </w:r>
      <w:r w:rsidR="00234E17">
        <w:rPr>
          <w:b/>
          <w:szCs w:val="24"/>
          <w:lang w:eastAsia="en-US"/>
        </w:rPr>
        <w:t xml:space="preserve"> [Popr. 85]</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7.</w:t>
      </w:r>
      <w:r w:rsidRPr="00092171">
        <w:rPr>
          <w:szCs w:val="24"/>
          <w:lang w:eastAsia="en-US"/>
        </w:rPr>
        <w:tab/>
        <w:t xml:space="preserve">Producenci zapewniają dołączenie do zabawki instrukcji obsługi oraz dostarczenie informacji na temat bezpieczeństwa w </w:t>
      </w:r>
      <w:r w:rsidRPr="00092171">
        <w:rPr>
          <w:b/>
          <w:i/>
          <w:szCs w:val="24"/>
          <w:lang w:eastAsia="en-US"/>
        </w:rPr>
        <w:t xml:space="preserve">określonych przez zainteresowane państwo członkowskie </w:t>
      </w:r>
      <w:r w:rsidRPr="00092171">
        <w:rPr>
          <w:szCs w:val="24"/>
          <w:lang w:eastAsia="en-US"/>
        </w:rPr>
        <w:t xml:space="preserve">języku lub językach łatwo zrozumiałych przez konsumentów i innych użytkowników końcowych, </w:t>
      </w:r>
      <w:r w:rsidRPr="00092171">
        <w:rPr>
          <w:strike/>
          <w:szCs w:val="24"/>
          <w:lang w:eastAsia="en-US"/>
        </w:rPr>
        <w:t>określonych</w:t>
      </w:r>
      <w:r w:rsidRPr="00092171">
        <w:rPr>
          <w:b/>
          <w:i/>
          <w:szCs w:val="24"/>
          <w:lang w:eastAsia="en-US"/>
        </w:rPr>
        <w:t>w tym – jeżeli jest to wykonalne –</w:t>
      </w:r>
      <w:r w:rsidRPr="00092171">
        <w:rPr>
          <w:szCs w:val="24"/>
          <w:lang w:eastAsia="en-US"/>
        </w:rPr>
        <w:t xml:space="preserve"> przez </w:t>
      </w:r>
      <w:r w:rsidRPr="00092171">
        <w:rPr>
          <w:strike/>
          <w:szCs w:val="24"/>
          <w:lang w:eastAsia="en-US"/>
        </w:rPr>
        <w:t>zainteresowane państwo członkowskie</w:t>
      </w:r>
      <w:r w:rsidRPr="00092171">
        <w:rPr>
          <w:b/>
          <w:i/>
          <w:szCs w:val="24"/>
          <w:lang w:eastAsia="en-US"/>
        </w:rPr>
        <w:t>osoby z niepełnosprawnościami</w:t>
      </w:r>
      <w:r w:rsidRPr="00092171">
        <w:rPr>
          <w:szCs w:val="24"/>
          <w:lang w:eastAsia="en-US"/>
        </w:rPr>
        <w:t>. Taka instrukcja obsługi oraz takie informacje muszą być jasne, zrozumiałe i czytelne.</w:t>
      </w:r>
      <w:r w:rsidR="00234E17">
        <w:rPr>
          <w:b/>
          <w:szCs w:val="24"/>
          <w:lang w:eastAsia="en-US"/>
        </w:rPr>
        <w:t xml:space="preserve"> [Popr. 86]</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850" w:hanging="850"/>
        <w:rPr>
          <w:b/>
          <w:szCs w:val="24"/>
          <w:lang w:eastAsia="en-US"/>
        </w:rPr>
      </w:pPr>
      <w:r w:rsidRPr="00092171">
        <w:rPr>
          <w:szCs w:val="24"/>
          <w:lang w:eastAsia="en-US"/>
        </w:rPr>
        <w:lastRenderedPageBreak/>
        <w:t>8.</w:t>
      </w:r>
      <w:r w:rsidRPr="00092171">
        <w:rPr>
          <w:szCs w:val="24"/>
          <w:lang w:eastAsia="en-US"/>
        </w:rPr>
        <w:tab/>
        <w:t>Jeżeli producenci uznają lub mają powody, by uważać</w:t>
      </w:r>
      <w:r w:rsidRPr="00092171">
        <w:rPr>
          <w:b/>
          <w:i/>
          <w:szCs w:val="24"/>
          <w:lang w:eastAsia="en-US"/>
        </w:rPr>
        <w:t xml:space="preserve"> na podstawie posiadanych przez nich informacji</w:t>
      </w:r>
      <w:r w:rsidRPr="00092171">
        <w:rPr>
          <w:szCs w:val="24"/>
          <w:lang w:eastAsia="en-US"/>
        </w:rPr>
        <w:t>, że zabawka wprowadzona przez nich do obrotu nie jest zgodna z niniejszym rozporządzeniem, niezwłocznie przyjmują środki naprawcze niezbędne do odpowiedniego dostosowania tej zabawki lub w razie potrzeby wycofania jej z rynku lub jej odzyskania.</w:t>
      </w:r>
      <w:r w:rsidR="00234E17">
        <w:rPr>
          <w:b/>
          <w:szCs w:val="24"/>
          <w:lang w:eastAsia="en-US"/>
        </w:rPr>
        <w:t xml:space="preserve"> [Popr. 87]</w:t>
      </w:r>
    </w:p>
    <w:p w:rsidR="00092171" w:rsidRPr="00234E17" w:rsidRDefault="00092171" w:rsidP="00092171">
      <w:pPr>
        <w:spacing w:before="120" w:after="120" w:line="360" w:lineRule="auto"/>
        <w:ind w:left="850"/>
        <w:rPr>
          <w:b/>
          <w:szCs w:val="24"/>
          <w:lang w:eastAsia="en-US"/>
        </w:rPr>
      </w:pPr>
      <w:r w:rsidRPr="00092171">
        <w:rPr>
          <w:szCs w:val="24"/>
          <w:lang w:eastAsia="en-US"/>
        </w:rPr>
        <w:t>Jeżeli producenci uznają lub mają powody, by uważać</w:t>
      </w:r>
      <w:r w:rsidRPr="00092171">
        <w:rPr>
          <w:b/>
          <w:i/>
          <w:szCs w:val="24"/>
          <w:lang w:eastAsia="en-US"/>
        </w:rPr>
        <w:t xml:space="preserve"> na podstawie posiadanych przez nich informacji</w:t>
      </w:r>
      <w:r w:rsidRPr="00092171">
        <w:rPr>
          <w:szCs w:val="24"/>
          <w:lang w:eastAsia="en-US"/>
        </w:rPr>
        <w:t>, że zabawka stwarza ryzyko, niezwłocznie powiadamiają o tym:</w:t>
      </w:r>
      <w:r w:rsidR="00234E17">
        <w:rPr>
          <w:b/>
          <w:szCs w:val="24"/>
          <w:lang w:eastAsia="en-US"/>
        </w:rPr>
        <w:t xml:space="preserve"> [Popr. 88]</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a)</w:t>
      </w:r>
      <w:r w:rsidRPr="00092171">
        <w:rPr>
          <w:szCs w:val="24"/>
          <w:lang w:eastAsia="en-US"/>
        </w:rPr>
        <w:tab/>
        <w:t xml:space="preserve">organy nadzoru rynku państw członkowskich, w których udostępnili daną zabawkę na rynku, za pośrednictwem portalu Safety Business Gateway, o którym mowa w art. 26 rozporządzenia (UE) 2023/988, podając szczegółowe informacje dotyczące </w:t>
      </w:r>
      <w:r w:rsidRPr="00092171">
        <w:rPr>
          <w:strike/>
          <w:szCs w:val="24"/>
          <w:lang w:eastAsia="en-US"/>
        </w:rPr>
        <w:t>w szczególności wszelkich niezgodności oraz</w:t>
      </w:r>
      <w:r w:rsidRPr="00092171">
        <w:rPr>
          <w:b/>
          <w:i/>
          <w:szCs w:val="24"/>
          <w:lang w:eastAsia="en-US"/>
        </w:rPr>
        <w:t>zwłaszcza nieprzestrzegania</w:t>
      </w:r>
      <w:r w:rsidRPr="00092171">
        <w:rPr>
          <w:szCs w:val="24"/>
          <w:lang w:eastAsia="en-US"/>
        </w:rPr>
        <w:t xml:space="preserve"> wprowadzonych środków naprawczych</w:t>
      </w:r>
      <w:r w:rsidRPr="00092171">
        <w:rPr>
          <w:b/>
          <w:i/>
          <w:szCs w:val="24"/>
          <w:lang w:eastAsia="en-US"/>
        </w:rPr>
        <w:t>, a także ilości zabawek wciąż znajdujących się rynku w podziale na państwa członkowskie, o ile takie dane są dostępne</w:t>
      </w:r>
      <w:r w:rsidRPr="00092171">
        <w:rPr>
          <w:szCs w:val="24"/>
          <w:lang w:eastAsia="en-US"/>
        </w:rPr>
        <w:t>; oraz</w:t>
      </w:r>
      <w:r w:rsidR="00234E17">
        <w:rPr>
          <w:b/>
          <w:szCs w:val="24"/>
          <w:lang w:eastAsia="en-US"/>
        </w:rPr>
        <w:t xml:space="preserve"> [Popr. 89]</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konsumentów lub innych użytkowników końcowych zgodnie z art. 35 lub 36 rozporządzenia (UE) 2023/988 lub oboma tymi artykułami.</w:t>
      </w:r>
    </w:p>
    <w:p w:rsidR="00234E17" w:rsidRDefault="00234E17">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9.</w:t>
      </w:r>
      <w:r w:rsidRPr="00092171">
        <w:rPr>
          <w:szCs w:val="24"/>
          <w:lang w:eastAsia="en-US"/>
        </w:rPr>
        <w:tab/>
        <w:t>Na uzasadnione żądanie właściwego organu krajowego producenci przekazują mu wszelkie informacje i dokumentację, które są konieczne do wykazania zgodności danej zabawki, w języku, który może być z łatwością zrozumiany przez ten organ. Na żądanie właściwych organów podejmują z nimi współpracę w działaniach ukierunkowanych na usunięcie ryzyka, jakie stwarza zabawka wprowadzona przez nich do obrotu.</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10.</w:t>
      </w:r>
      <w:r w:rsidRPr="00092171">
        <w:rPr>
          <w:szCs w:val="24"/>
          <w:lang w:eastAsia="en-US"/>
        </w:rPr>
        <w:tab/>
        <w:t xml:space="preserve">Producenci zapewniają, aby inne podmioty gospodarcze, podmiot gospodarczy, o którym mowa w art. 4 ust. 1 rozporządzenia (UE) 2019/1020, i </w:t>
      </w:r>
      <w:r w:rsidRPr="00092171">
        <w:rPr>
          <w:strike/>
          <w:szCs w:val="24"/>
          <w:lang w:eastAsia="en-US"/>
        </w:rPr>
        <w:t>internetowe platformy handlowe</w:t>
      </w:r>
      <w:r w:rsidRPr="00092171">
        <w:rPr>
          <w:b/>
          <w:i/>
          <w:szCs w:val="24"/>
          <w:lang w:eastAsia="en-US"/>
        </w:rPr>
        <w:t>dostawcy internetowych platform handlowych</w:t>
      </w:r>
      <w:r w:rsidRPr="00092171">
        <w:rPr>
          <w:szCs w:val="24"/>
          <w:lang w:eastAsia="en-US"/>
        </w:rPr>
        <w:t xml:space="preserve"> w danym łańcuchu dostaw byli terminowo informowani o wszelkich stwierdzonych przez nich przypadkach niezgodności.</w:t>
      </w:r>
      <w:r w:rsidR="00234E17">
        <w:rPr>
          <w:b/>
          <w:szCs w:val="24"/>
          <w:lang w:eastAsia="en-US"/>
        </w:rPr>
        <w:t xml:space="preserve"> [Popr. 90]</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850" w:hanging="850"/>
        <w:rPr>
          <w:b/>
          <w:szCs w:val="24"/>
          <w:lang w:eastAsia="en-US"/>
        </w:rPr>
      </w:pPr>
      <w:r w:rsidRPr="00092171">
        <w:rPr>
          <w:szCs w:val="24"/>
          <w:lang w:eastAsia="en-US"/>
        </w:rPr>
        <w:lastRenderedPageBreak/>
        <w:t>11.</w:t>
      </w:r>
      <w:r w:rsidRPr="00092171">
        <w:rPr>
          <w:szCs w:val="24"/>
          <w:lang w:eastAsia="en-US"/>
        </w:rPr>
        <w:tab/>
        <w:t>Producenci podają do wiadomości publicznej</w:t>
      </w:r>
      <w:r w:rsidRPr="00092171">
        <w:rPr>
          <w:b/>
          <w:i/>
          <w:szCs w:val="24"/>
          <w:lang w:eastAsia="en-US"/>
        </w:rPr>
        <w:t xml:space="preserve"> kanały komunikacji takie jak</w:t>
      </w:r>
      <w:r w:rsidRPr="00092171">
        <w:rPr>
          <w:szCs w:val="24"/>
          <w:lang w:eastAsia="en-US"/>
        </w:rPr>
        <w:t xml:space="preserve"> numer telefonu, adres poczty elektronicznej, wyodrębnioną część ich strony internetowej</w:t>
      </w:r>
      <w:r w:rsidRPr="00092171">
        <w:rPr>
          <w:strike/>
          <w:szCs w:val="24"/>
          <w:lang w:eastAsia="en-US"/>
        </w:rPr>
        <w:t xml:space="preserve"> lub inny kanał komunikacji,</w:t>
      </w:r>
      <w:r w:rsidRPr="00092171">
        <w:rPr>
          <w:szCs w:val="24"/>
          <w:lang w:eastAsia="en-US"/>
        </w:rPr>
        <w:t xml:space="preserve"> umożliwiające konsumentom lub innym użytkownikom końcowym składanie skarg dotyczących bezpieczeństwa zabawek oraz informowanie producentów o wszelkich wypadkach lub problemach związanych z bezpieczeństwem, których doświadczyli w przypadku takiej zabawki. W ramach tego działania producenci biorą pod uwagę potrzeby związane z dostępnością dla osób z niepełnosprawnościami.</w:t>
      </w:r>
      <w:r w:rsidRPr="00092171">
        <w:rPr>
          <w:b/>
          <w:i/>
          <w:szCs w:val="24"/>
          <w:lang w:eastAsia="en-US"/>
        </w:rPr>
        <w:t xml:space="preserve"> Kanał komunikacji zawiera link do części portalu Safety Gate, o której mowa w art. 34 ust. 3 rozporządzenia</w:t>
      </w:r>
      <w:r w:rsidR="00843637">
        <w:rPr>
          <w:b/>
          <w:i/>
          <w:szCs w:val="24"/>
          <w:lang w:eastAsia="en-US"/>
        </w:rPr>
        <w:t xml:space="preserve"> (UE)</w:t>
      </w:r>
      <w:r w:rsidRPr="00092171">
        <w:rPr>
          <w:b/>
          <w:i/>
          <w:szCs w:val="24"/>
          <w:lang w:eastAsia="en-US"/>
        </w:rPr>
        <w:t xml:space="preserve"> 2023/988, na potrzeby przekazywania informacji o zabawkach, które mogą stanowić zagrożenie dla zdrowia i bezpieczeństwa konsumentów.</w:t>
      </w:r>
      <w:r w:rsidR="00234E17">
        <w:rPr>
          <w:b/>
          <w:szCs w:val="24"/>
          <w:lang w:eastAsia="en-US"/>
        </w:rPr>
        <w:t xml:space="preserve"> [Popr. 91]</w:t>
      </w:r>
    </w:p>
    <w:p w:rsidR="00092171" w:rsidRPr="00092171" w:rsidRDefault="00092171" w:rsidP="00092171">
      <w:pPr>
        <w:spacing w:before="120" w:after="120" w:line="360" w:lineRule="auto"/>
        <w:ind w:left="850" w:hanging="850"/>
        <w:rPr>
          <w:szCs w:val="24"/>
          <w:lang w:eastAsia="en-US"/>
        </w:rPr>
      </w:pPr>
      <w:r w:rsidRPr="00092171">
        <w:rPr>
          <w:szCs w:val="24"/>
          <w:lang w:eastAsia="en-US"/>
        </w:rPr>
        <w:t>12.</w:t>
      </w:r>
      <w:r w:rsidRPr="00092171">
        <w:rPr>
          <w:szCs w:val="24"/>
          <w:lang w:eastAsia="en-US"/>
        </w:rPr>
        <w:tab/>
        <w:t>Producenci badają skargi i informacje, o których mowa w ust. 11, i prowadzą wewnętrzny rejestr tych skarg i informacji, a także rejestr przypadków odzyskania i wszelkich innych środków naprawczych podjętych w celu zapewnienia zgodności zabawki z niniejszym rozporządzeniem.</w:t>
      </w:r>
    </w:p>
    <w:p w:rsidR="00234E17" w:rsidRDefault="00234E17">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13.</w:t>
      </w:r>
      <w:r w:rsidRPr="00092171">
        <w:rPr>
          <w:szCs w:val="24"/>
          <w:lang w:eastAsia="en-US"/>
        </w:rPr>
        <w:tab/>
        <w:t>W wewnętrznym rejestrze, o którym mowa w ust. 12, przechowuje się wyłącznie dane osobowe, które są dla producenta niezbędne do zbadania skargi lub informacji, o których mowa w ust. 11. Takie dane przechowuje się tylko tak długo, jak jest to niezbędne do celów zbadania skargi lub informacji, i w każdym wypadku nie dłużej niż pięć lat po dniu ich wprowadzenia do rejestru.</w:t>
      </w:r>
    </w:p>
    <w:p w:rsidR="00092171" w:rsidRPr="00092171" w:rsidRDefault="00092171" w:rsidP="00092171">
      <w:pPr>
        <w:spacing w:before="120" w:after="120" w:line="360" w:lineRule="auto"/>
        <w:jc w:val="center"/>
        <w:rPr>
          <w:szCs w:val="24"/>
          <w:lang w:eastAsia="en-US"/>
        </w:rPr>
      </w:pPr>
      <w:r w:rsidRPr="00092171">
        <w:rPr>
          <w:szCs w:val="24"/>
          <w:lang w:eastAsia="en-US"/>
        </w:rPr>
        <w:t>Artykuł 8</w:t>
      </w:r>
      <w:r w:rsidRPr="00092171">
        <w:rPr>
          <w:szCs w:val="24"/>
          <w:lang w:eastAsia="en-US"/>
        </w:rPr>
        <w:br/>
        <w:t>Upoważnieni przedstawiciele</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Producent może wyznaczyć upoważnionego przedstawiciela w drodze pisemnego pełnomocnictwa.</w:t>
      </w:r>
      <w:r w:rsidRPr="00092171">
        <w:rPr>
          <w:b/>
          <w:i/>
          <w:szCs w:val="24"/>
          <w:lang w:eastAsia="en-US"/>
        </w:rPr>
        <w:t xml:space="preserve"> Kiedy producenci wypowiadają pełnomocnictwo powierzone upoważnionemu przedstawicielowi, informują o tym organ nadzoru rynku. Producent z siedzibą w Unii również może wyznaczyć upoważnionego przedstawiciela.</w:t>
      </w:r>
      <w:r w:rsidR="00234E17">
        <w:rPr>
          <w:b/>
          <w:szCs w:val="24"/>
          <w:lang w:eastAsia="en-US"/>
        </w:rPr>
        <w:t xml:space="preserve"> [Popr. 92]</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Obowiązki określone w art. 7 ust. 1 oraz obowiązek sporządzania dokumentacji technicznej, o której mowa w art. 7 ust. 2, nie wchodzą w zakres pełnomocnictwa upoważnionego przedstawiciela.</w:t>
      </w:r>
    </w:p>
    <w:p w:rsidR="00234E17" w:rsidRDefault="00234E17">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Upoważniony przedstawiciel wykonuje zadania określone w pełnomocnictwie otrzymanym od producenta i na żądanie przekazuje kopię upoważnienia organom nadzoru rynku. Pełnomocnictwo umożliwia upoważnionemu przedstawicielowi wykonywanie co najmniej następujących obowiązków:</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a)</w:t>
      </w:r>
      <w:r w:rsidRPr="00092171">
        <w:rPr>
          <w:szCs w:val="24"/>
          <w:lang w:eastAsia="en-US"/>
        </w:rPr>
        <w:tab/>
        <w:t xml:space="preserve">przechowywanie dokumentacji technicznej do dyspozycji krajowych organów nadzoru i zapewnienie dostępności </w:t>
      </w:r>
      <w:r w:rsidRPr="00092171">
        <w:rPr>
          <w:b/>
          <w:i/>
          <w:szCs w:val="24"/>
          <w:lang w:eastAsia="en-US"/>
        </w:rPr>
        <w:t xml:space="preserve">cyfrowego </w:t>
      </w:r>
      <w:r w:rsidRPr="00092171">
        <w:rPr>
          <w:szCs w:val="24"/>
          <w:lang w:eastAsia="en-US"/>
        </w:rPr>
        <w:t xml:space="preserve">paszportu produktu zgodnie z art. 17 ust. 2 przez okres 10 lat od momentu wprowadzenia do obrotu </w:t>
      </w:r>
      <w:r w:rsidRPr="00092171">
        <w:rPr>
          <w:b/>
          <w:i/>
          <w:szCs w:val="24"/>
          <w:lang w:eastAsia="en-US"/>
        </w:rPr>
        <w:t xml:space="preserve">ostatniego egzemplarza modelu </w:t>
      </w:r>
      <w:r w:rsidRPr="00092171">
        <w:rPr>
          <w:szCs w:val="24"/>
          <w:lang w:eastAsia="en-US"/>
        </w:rPr>
        <w:t>zabawki, której dotyczy ta dokumentacja;</w:t>
      </w:r>
      <w:r w:rsidR="00234E17">
        <w:rPr>
          <w:b/>
          <w:szCs w:val="24"/>
          <w:lang w:eastAsia="en-US"/>
        </w:rPr>
        <w:t xml:space="preserve"> [Popr. 93]</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b)</w:t>
      </w:r>
      <w:r w:rsidRPr="00092171">
        <w:rPr>
          <w:szCs w:val="24"/>
          <w:lang w:eastAsia="en-US"/>
        </w:rPr>
        <w:tab/>
        <w:t>na uzasadnione żądanie właściwego organu krajowego, udostępnianie temu organowi wszelkich informacji i dokumentów niezbędnych do wykazania zgodności danej zabawki z wymaganiami</w:t>
      </w:r>
      <w:r w:rsidRPr="00092171">
        <w:rPr>
          <w:b/>
          <w:i/>
          <w:szCs w:val="24"/>
          <w:lang w:eastAsia="en-US"/>
        </w:rPr>
        <w:t xml:space="preserve"> w języku urzędowym, który jest zrozumiały dla tego organu</w:t>
      </w:r>
      <w:r w:rsidRPr="00092171">
        <w:rPr>
          <w:szCs w:val="24"/>
          <w:lang w:eastAsia="en-US"/>
        </w:rPr>
        <w:t>;</w:t>
      </w:r>
      <w:r w:rsidR="00234E17">
        <w:rPr>
          <w:b/>
          <w:szCs w:val="24"/>
          <w:lang w:eastAsia="en-US"/>
        </w:rPr>
        <w:t xml:space="preserve"> [Popr. 94]</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c)</w:t>
      </w:r>
      <w:r w:rsidRPr="00092171">
        <w:rPr>
          <w:szCs w:val="24"/>
          <w:lang w:eastAsia="en-US"/>
        </w:rPr>
        <w:tab/>
        <w:t xml:space="preserve">na żądanie właściwego organu krajowego, podejmowanie z nim współpracy w </w:t>
      </w:r>
      <w:r w:rsidRPr="00092171">
        <w:rPr>
          <w:strike/>
          <w:szCs w:val="24"/>
          <w:lang w:eastAsia="en-US"/>
        </w:rPr>
        <w:t xml:space="preserve">jakichkolwiek </w:t>
      </w:r>
      <w:r w:rsidRPr="00092171">
        <w:rPr>
          <w:szCs w:val="24"/>
          <w:lang w:eastAsia="en-US"/>
        </w:rPr>
        <w:t xml:space="preserve">działaniach </w:t>
      </w:r>
      <w:r w:rsidRPr="00092171">
        <w:rPr>
          <w:strike/>
          <w:szCs w:val="24"/>
          <w:lang w:eastAsia="en-US"/>
        </w:rPr>
        <w:t>ukierunkowanych na usunięcie</w:t>
      </w:r>
      <w:r w:rsidRPr="00092171">
        <w:rPr>
          <w:b/>
          <w:i/>
          <w:szCs w:val="24"/>
          <w:lang w:eastAsia="en-US"/>
        </w:rPr>
        <w:t>podjętych w celu skutecznego wyeliminowania</w:t>
      </w:r>
      <w:r w:rsidRPr="00092171">
        <w:rPr>
          <w:szCs w:val="24"/>
          <w:lang w:eastAsia="en-US"/>
        </w:rPr>
        <w:t xml:space="preserve"> ryzyka, jakie stwarzają zabawki objęte </w:t>
      </w:r>
      <w:r w:rsidRPr="00092171">
        <w:rPr>
          <w:b/>
          <w:i/>
          <w:szCs w:val="24"/>
          <w:lang w:eastAsia="en-US"/>
        </w:rPr>
        <w:t xml:space="preserve">pisemnym </w:t>
      </w:r>
      <w:r w:rsidRPr="00092171">
        <w:rPr>
          <w:szCs w:val="24"/>
          <w:lang w:eastAsia="en-US"/>
        </w:rPr>
        <w:t>pełnomocnictwem.</w:t>
      </w:r>
      <w:r w:rsidR="00234E17">
        <w:rPr>
          <w:b/>
          <w:szCs w:val="24"/>
          <w:lang w:eastAsia="en-US"/>
        </w:rPr>
        <w:t xml:space="preserve"> [Popr. 95]</w:t>
      </w:r>
    </w:p>
    <w:p w:rsidR="00234E17" w:rsidRDefault="00234E17">
      <w:pPr>
        <w:widowControl/>
        <w:rPr>
          <w:b/>
          <w:i/>
          <w:szCs w:val="24"/>
          <w:lang w:eastAsia="en-US"/>
        </w:rPr>
      </w:pPr>
      <w:r>
        <w:rPr>
          <w:b/>
          <w:i/>
          <w:szCs w:val="24"/>
          <w:lang w:eastAsia="en-US"/>
        </w:rPr>
        <w:br w:type="page"/>
      </w:r>
    </w:p>
    <w:p w:rsidR="00092171" w:rsidRPr="00234E17" w:rsidRDefault="00092171" w:rsidP="00092171">
      <w:pPr>
        <w:spacing w:before="120" w:after="120" w:line="360" w:lineRule="auto"/>
        <w:ind w:left="1416" w:hanging="566"/>
        <w:rPr>
          <w:b/>
          <w:szCs w:val="24"/>
          <w:lang w:eastAsia="en-US"/>
        </w:rPr>
      </w:pPr>
      <w:r w:rsidRPr="00092171">
        <w:rPr>
          <w:b/>
          <w:i/>
          <w:szCs w:val="24"/>
          <w:lang w:eastAsia="en-US"/>
        </w:rPr>
        <w:lastRenderedPageBreak/>
        <w:t>ca)</w:t>
      </w:r>
      <w:r w:rsidRPr="00092171">
        <w:rPr>
          <w:szCs w:val="24"/>
          <w:lang w:eastAsia="en-US"/>
        </w:rPr>
        <w:tab/>
      </w:r>
      <w:r w:rsidRPr="00092171">
        <w:rPr>
          <w:b/>
          <w:i/>
          <w:szCs w:val="24"/>
          <w:lang w:eastAsia="en-US"/>
        </w:rPr>
        <w:t>informowanie właściwych organów krajowych o wszelkich działaniach podjętych w celu wyeliminowania ryzyk, jakie stwarzają zabawki objęte ich pełnomocnictwem, za pomocą zgłoszenia na portalu Safety Business Gateway, jeżeli informacje te nie zostały już przekazane przez producenta lub na polecenie producenta.</w:t>
      </w:r>
      <w:r w:rsidR="00234E17">
        <w:rPr>
          <w:b/>
          <w:szCs w:val="24"/>
          <w:lang w:eastAsia="en-US"/>
        </w:rPr>
        <w:t xml:space="preserve"> [Popr. 96]</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W przypadku gdy producent mający siedzibę poza Unią wyznacza upoważnionego przedstawiciela zgodnie z ust. 1 niniejszego artykułu, pisemne pełnomocnictwo musi obejmować zadania określone w art. 4 ust. 3 rozporządzenia (UE) 2019/1020.</w:t>
      </w:r>
    </w:p>
    <w:p w:rsidR="00092171" w:rsidRPr="00092171" w:rsidRDefault="00092171" w:rsidP="00092171">
      <w:pPr>
        <w:spacing w:before="120" w:after="120" w:line="360" w:lineRule="auto"/>
        <w:jc w:val="center"/>
        <w:rPr>
          <w:szCs w:val="24"/>
          <w:lang w:eastAsia="en-US"/>
        </w:rPr>
      </w:pPr>
      <w:r w:rsidRPr="00092171">
        <w:rPr>
          <w:szCs w:val="24"/>
          <w:lang w:eastAsia="en-US"/>
        </w:rPr>
        <w:t>Artykuł 9</w:t>
      </w:r>
      <w:r w:rsidRPr="00092171">
        <w:rPr>
          <w:szCs w:val="24"/>
          <w:lang w:eastAsia="en-US"/>
        </w:rPr>
        <w:br/>
        <w:t>Obowiązki importerów</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Importerzy wprowadzają do obrotu wyłącznie zabawki zgodne z przepisami niniejszego rozporządzenia.</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Przed wprowadzeniem zabawek do obrotu importerzy dopilnowują, aby:</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producent przeprowadził odpowiednią procedurę oceny zgodności i sporządził dokumentację techniczną, o której mowa w art. 7 ust. 2;</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1416" w:hanging="566"/>
        <w:rPr>
          <w:b/>
          <w:szCs w:val="24"/>
          <w:lang w:eastAsia="en-US"/>
        </w:rPr>
      </w:pPr>
      <w:r w:rsidRPr="00092171">
        <w:rPr>
          <w:szCs w:val="24"/>
          <w:lang w:eastAsia="en-US"/>
        </w:rPr>
        <w:lastRenderedPageBreak/>
        <w:t>b)</w:t>
      </w:r>
      <w:r w:rsidRPr="00092171">
        <w:rPr>
          <w:szCs w:val="24"/>
          <w:lang w:eastAsia="en-US"/>
        </w:rPr>
        <w:tab/>
        <w:t xml:space="preserve">do zabawki dołączona była instrukcja </w:t>
      </w:r>
      <w:r w:rsidRPr="00092171">
        <w:rPr>
          <w:strike/>
          <w:szCs w:val="24"/>
          <w:lang w:eastAsia="en-US"/>
        </w:rPr>
        <w:t>obsługi</w:t>
      </w:r>
      <w:r w:rsidRPr="00092171">
        <w:rPr>
          <w:b/>
          <w:i/>
          <w:szCs w:val="24"/>
          <w:lang w:eastAsia="en-US"/>
        </w:rPr>
        <w:t>użytkowania</w:t>
      </w:r>
      <w:r w:rsidRPr="00092171">
        <w:rPr>
          <w:szCs w:val="24"/>
          <w:lang w:eastAsia="en-US"/>
        </w:rPr>
        <w:t xml:space="preserve"> oraz informacje na temat bezpieczeństwa zgodnie z art. 7 ust. 7 w języku lub językach łatwo zrozumiałych przez konsumentów lub innych użytkowników końcowych, określonych przez zainteresowane państwo członkowskie;</w:t>
      </w:r>
      <w:r w:rsidR="00234E17">
        <w:rPr>
          <w:b/>
          <w:szCs w:val="24"/>
          <w:lang w:eastAsia="en-US"/>
        </w:rPr>
        <w:t xml:space="preserve"> [Popr. 97]</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c)</w:t>
      </w:r>
      <w:r w:rsidRPr="00092171">
        <w:rPr>
          <w:szCs w:val="24"/>
          <w:lang w:eastAsia="en-US"/>
        </w:rPr>
        <w:tab/>
        <w:t>producent sporządził</w:t>
      </w:r>
      <w:r w:rsidRPr="00092171">
        <w:rPr>
          <w:b/>
          <w:i/>
          <w:szCs w:val="24"/>
          <w:lang w:eastAsia="en-US"/>
        </w:rPr>
        <w:t xml:space="preserve"> cyfrowy</w:t>
      </w:r>
      <w:r w:rsidRPr="00092171">
        <w:rPr>
          <w:szCs w:val="24"/>
          <w:lang w:eastAsia="en-US"/>
        </w:rPr>
        <w:t xml:space="preserve"> paszport produktu dla zabawki zgodnie z art. 7 ust. 2;</w:t>
      </w:r>
      <w:r w:rsidR="00234E17">
        <w:rPr>
          <w:b/>
          <w:szCs w:val="24"/>
          <w:lang w:eastAsia="en-US"/>
        </w:rPr>
        <w:t xml:space="preserve"> [Popr. 98]</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d)</w:t>
      </w:r>
      <w:r w:rsidRPr="00092171">
        <w:rPr>
          <w:szCs w:val="24"/>
          <w:lang w:eastAsia="en-US"/>
        </w:rPr>
        <w:tab/>
      </w:r>
      <w:r w:rsidRPr="00092171">
        <w:rPr>
          <w:strike/>
          <w:szCs w:val="24"/>
          <w:lang w:eastAsia="en-US"/>
        </w:rPr>
        <w:t>zabawka była opatrzona nośnikiem</w:t>
      </w:r>
      <w:r w:rsidRPr="00092171">
        <w:rPr>
          <w:b/>
          <w:i/>
          <w:szCs w:val="24"/>
          <w:lang w:eastAsia="en-US"/>
        </w:rPr>
        <w:t>umieszczono nośnik</w:t>
      </w:r>
      <w:r w:rsidRPr="00092171">
        <w:rPr>
          <w:szCs w:val="24"/>
          <w:lang w:eastAsia="en-US"/>
        </w:rPr>
        <w:t xml:space="preserve"> danych zgodnie z art. 17 ust. 5</w:t>
      </w:r>
      <w:r w:rsidRPr="00092171">
        <w:rPr>
          <w:strike/>
          <w:szCs w:val="24"/>
          <w:lang w:eastAsia="en-US"/>
        </w:rPr>
        <w:t>;</w:t>
      </w:r>
      <w:r w:rsidRPr="00092171">
        <w:rPr>
          <w:b/>
          <w:i/>
          <w:szCs w:val="24"/>
          <w:lang w:eastAsia="en-US"/>
        </w:rPr>
        <w:t>:</w:t>
      </w:r>
      <w:r w:rsidR="00234E17">
        <w:rPr>
          <w:b/>
          <w:szCs w:val="24"/>
          <w:lang w:eastAsia="en-US"/>
        </w:rPr>
        <w:t xml:space="preserve"> [Popr. 99]</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e)</w:t>
      </w:r>
      <w:r w:rsidRPr="00092171">
        <w:rPr>
          <w:szCs w:val="24"/>
          <w:lang w:eastAsia="en-US"/>
        </w:rPr>
        <w:tab/>
        <w:t>odpowiednie informacje znajdujące się w</w:t>
      </w:r>
      <w:r w:rsidRPr="00092171">
        <w:rPr>
          <w:b/>
          <w:i/>
          <w:szCs w:val="24"/>
          <w:lang w:eastAsia="en-US"/>
        </w:rPr>
        <w:t xml:space="preserve"> cyfrowym</w:t>
      </w:r>
      <w:r w:rsidRPr="00092171">
        <w:rPr>
          <w:szCs w:val="24"/>
          <w:lang w:eastAsia="en-US"/>
        </w:rPr>
        <w:t xml:space="preserve"> paszporcie produktu zostały umieszczone w</w:t>
      </w:r>
      <w:r w:rsidRPr="00092171">
        <w:rPr>
          <w:b/>
          <w:i/>
          <w:szCs w:val="24"/>
          <w:lang w:eastAsia="en-US"/>
        </w:rPr>
        <w:t xml:space="preserve"> cyfrowym</w:t>
      </w:r>
      <w:r w:rsidRPr="00092171">
        <w:rPr>
          <w:szCs w:val="24"/>
          <w:lang w:eastAsia="en-US"/>
        </w:rPr>
        <w:t xml:space="preserve"> rejestrze paszportów produktu zgodnie z art. 19 ust. 1;</w:t>
      </w:r>
      <w:r w:rsidR="00234E17">
        <w:rPr>
          <w:b/>
          <w:szCs w:val="24"/>
          <w:lang w:eastAsia="en-US"/>
        </w:rPr>
        <w:t xml:space="preserve"> [Popr. 100]</w:t>
      </w:r>
    </w:p>
    <w:p w:rsidR="00092171" w:rsidRPr="00092171" w:rsidRDefault="00092171" w:rsidP="00092171">
      <w:pPr>
        <w:spacing w:before="120" w:after="120" w:line="360" w:lineRule="auto"/>
        <w:ind w:left="1416" w:hanging="566"/>
        <w:rPr>
          <w:szCs w:val="24"/>
          <w:lang w:eastAsia="en-US"/>
        </w:rPr>
      </w:pPr>
      <w:r w:rsidRPr="00092171">
        <w:rPr>
          <w:szCs w:val="24"/>
          <w:lang w:eastAsia="en-US"/>
        </w:rPr>
        <w:t>f)</w:t>
      </w:r>
      <w:r w:rsidRPr="00092171">
        <w:rPr>
          <w:szCs w:val="24"/>
          <w:lang w:eastAsia="en-US"/>
        </w:rPr>
        <w:tab/>
        <w:t>na zabawce było umieszczone oznakowanie CE zgodnie z art. 16;</w:t>
      </w:r>
    </w:p>
    <w:p w:rsidR="00092171" w:rsidRPr="00092171" w:rsidRDefault="00092171" w:rsidP="00092171">
      <w:pPr>
        <w:spacing w:before="120" w:after="120" w:line="360" w:lineRule="auto"/>
        <w:ind w:left="1416" w:hanging="566"/>
        <w:rPr>
          <w:szCs w:val="24"/>
          <w:lang w:eastAsia="en-US"/>
        </w:rPr>
      </w:pPr>
      <w:r w:rsidRPr="00092171">
        <w:rPr>
          <w:szCs w:val="24"/>
          <w:lang w:eastAsia="en-US"/>
        </w:rPr>
        <w:t>g)</w:t>
      </w:r>
      <w:r w:rsidRPr="00092171">
        <w:rPr>
          <w:szCs w:val="24"/>
          <w:lang w:eastAsia="en-US"/>
        </w:rPr>
        <w:tab/>
        <w:t>producent spełnił wymogi określone w art. 7 ust. 5 i 6.</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850"/>
        <w:rPr>
          <w:b/>
          <w:szCs w:val="24"/>
          <w:lang w:eastAsia="en-US"/>
        </w:rPr>
      </w:pPr>
      <w:r w:rsidRPr="00092171">
        <w:rPr>
          <w:szCs w:val="24"/>
          <w:lang w:eastAsia="en-US"/>
        </w:rPr>
        <w:lastRenderedPageBreak/>
        <w:t>Jeżeli importerzy uznają lub mają powody, by uważać</w:t>
      </w:r>
      <w:r w:rsidRPr="00092171">
        <w:rPr>
          <w:b/>
          <w:i/>
          <w:szCs w:val="24"/>
          <w:lang w:eastAsia="en-US"/>
        </w:rPr>
        <w:t>, na podstawie informacji będących w posiadaniu importera</w:t>
      </w:r>
      <w:r w:rsidRPr="00092171">
        <w:rPr>
          <w:szCs w:val="24"/>
          <w:lang w:eastAsia="en-US"/>
        </w:rPr>
        <w:t xml:space="preserve">, że zabawka nie jest zgodna z zasadniczymi wymaganiami bezpieczeństwa, </w:t>
      </w:r>
      <w:r w:rsidRPr="00092171">
        <w:rPr>
          <w:strike/>
          <w:szCs w:val="24"/>
          <w:lang w:eastAsia="en-US"/>
        </w:rPr>
        <w:t>nie wolno im wprowadzić</w:t>
      </w:r>
      <w:r w:rsidRPr="00092171">
        <w:rPr>
          <w:b/>
          <w:i/>
          <w:szCs w:val="24"/>
          <w:lang w:eastAsia="en-US"/>
        </w:rPr>
        <w:t>informują o tym producenta i rezygnują z wprowadzenia</w:t>
      </w:r>
      <w:r w:rsidRPr="00092171">
        <w:rPr>
          <w:szCs w:val="24"/>
          <w:lang w:eastAsia="en-US"/>
        </w:rPr>
        <w:t xml:space="preserve"> tej zabawki do obrotu, dopóki </w:t>
      </w:r>
      <w:r w:rsidRPr="00092171">
        <w:rPr>
          <w:b/>
          <w:i/>
          <w:szCs w:val="24"/>
          <w:lang w:eastAsia="en-US"/>
        </w:rPr>
        <w:t>producent nie zapewni jej zgodności</w:t>
      </w:r>
      <w:r w:rsidRPr="00092171">
        <w:rPr>
          <w:strike/>
          <w:szCs w:val="24"/>
          <w:lang w:eastAsia="en-US"/>
        </w:rPr>
        <w:t>nie zostanie zapewniona jej zgodność</w:t>
      </w:r>
      <w:r w:rsidRPr="00092171">
        <w:rPr>
          <w:szCs w:val="24"/>
          <w:lang w:eastAsia="en-US"/>
        </w:rPr>
        <w:t>.</w:t>
      </w:r>
      <w:r w:rsidR="00234E17">
        <w:rPr>
          <w:b/>
          <w:szCs w:val="24"/>
          <w:lang w:eastAsia="en-US"/>
        </w:rPr>
        <w:t xml:space="preserve"> [Popr. 101]</w:t>
      </w:r>
    </w:p>
    <w:p w:rsidR="00092171" w:rsidRPr="00234E17" w:rsidRDefault="00092171" w:rsidP="00092171">
      <w:pPr>
        <w:spacing w:before="120" w:after="120" w:line="360" w:lineRule="auto"/>
        <w:ind w:left="850"/>
        <w:rPr>
          <w:b/>
          <w:szCs w:val="24"/>
          <w:lang w:eastAsia="en-US"/>
        </w:rPr>
      </w:pPr>
      <w:r w:rsidRPr="00092171">
        <w:rPr>
          <w:szCs w:val="24"/>
          <w:lang w:eastAsia="en-US"/>
        </w:rPr>
        <w:t>Jeżeli importerzy uznają lub mają powody, by uważać</w:t>
      </w:r>
      <w:r w:rsidRPr="00092171">
        <w:rPr>
          <w:b/>
          <w:i/>
          <w:szCs w:val="24"/>
          <w:lang w:eastAsia="en-US"/>
        </w:rPr>
        <w:t xml:space="preserve"> na podstawie posiadanych przez nich informacji</w:t>
      </w:r>
      <w:r w:rsidRPr="00092171">
        <w:rPr>
          <w:szCs w:val="24"/>
          <w:lang w:eastAsia="en-US"/>
        </w:rPr>
        <w:t>, że zabawka stwarza ryzyko, niezwłocznie powiadamiają o tym:</w:t>
      </w:r>
      <w:r w:rsidR="00234E17">
        <w:rPr>
          <w:b/>
          <w:szCs w:val="24"/>
          <w:lang w:eastAsia="en-US"/>
        </w:rPr>
        <w:t xml:space="preserve"> [Popr. 102]</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producenta;</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organy nadzoru rynku za pośrednictwem portalu Safety Business Gateway, o którym mowa w art. 26 rozporządzenia (UE) 2023/988;</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c)</w:t>
      </w:r>
      <w:r w:rsidRPr="00092171">
        <w:rPr>
          <w:szCs w:val="24"/>
          <w:lang w:eastAsia="en-US"/>
        </w:rPr>
        <w:tab/>
      </w:r>
      <w:r w:rsidRPr="00092171">
        <w:rPr>
          <w:strike/>
          <w:szCs w:val="24"/>
          <w:lang w:eastAsia="en-US"/>
        </w:rPr>
        <w:t>konsumentów lub innych użytkowników końcowych zgodnie z art. 35 lub 36 rozporządzenia (UE) 2023/988 lub oboma tymi artykułami.</w:t>
      </w:r>
      <w:r w:rsidR="00234E17">
        <w:rPr>
          <w:b/>
          <w:szCs w:val="24"/>
          <w:lang w:eastAsia="en-US"/>
        </w:rPr>
        <w:t xml:space="preserve"> [Popr. 103]</w:t>
      </w:r>
    </w:p>
    <w:p w:rsidR="00234E17" w:rsidRDefault="00234E17">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Importerzy umieszczają swoje nazwisko, zarejestrowaną nazwę towarową lub zarejestrowany znak towarowy oraz adres pocztowy i adres poczty elektronicznej, pod którym można się z nimi skontaktować, na zabawce, a jeżeli nie jest to możliwe – na opakowaniu lub w dokumencie dołączonym do zabawki.</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Importerzy zapewniają, aby w czasie, gdy ponoszą oni odpowiedzialność za zabawkę, warunki jej przechowywania lub przewożenia nie wpływały ujemnie na jej zgodność z zasadniczymi wymaganiami bezpieczeństwa.</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Importerzy są zobowiązani w odniesieniu do ryzyka związanego z zabawką, jeżeli uznają to za niezbędne w celu ochrony zdrowia i bezpieczeństwa konsumentów lub innych użytkowników końcowych, do przeprowadzania badania próby zabawek wprowadzanych do obrotu.</w:t>
      </w:r>
    </w:p>
    <w:p w:rsidR="00092171" w:rsidRPr="00092171" w:rsidRDefault="00092171" w:rsidP="00092171">
      <w:pPr>
        <w:spacing w:before="120" w:after="120" w:line="360" w:lineRule="auto"/>
        <w:ind w:left="850" w:hanging="850"/>
        <w:rPr>
          <w:szCs w:val="24"/>
          <w:lang w:eastAsia="en-US"/>
        </w:rPr>
      </w:pPr>
      <w:r w:rsidRPr="00092171">
        <w:rPr>
          <w:szCs w:val="24"/>
          <w:lang w:eastAsia="en-US"/>
        </w:rPr>
        <w:t>6.</w:t>
      </w:r>
      <w:r w:rsidRPr="00092171">
        <w:rPr>
          <w:szCs w:val="24"/>
          <w:lang w:eastAsia="en-US"/>
        </w:rPr>
        <w:tab/>
        <w:t>Jeżeli importerzy uznają lub mają powody, by uważać, że zabawka wprowadzona przez nich do obrotu nie jest zgodna z odpowiednim unijnym prawodawstwem harmonizacyjnym, niezwłocznie przyjmują środki naprawcze niezbędne do odpowiedniego dostosowania tej zabawki lub w razie potrzeby wycofania jej z rynku lub jej odzyskania.</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850"/>
        <w:rPr>
          <w:b/>
          <w:szCs w:val="24"/>
          <w:lang w:eastAsia="en-US"/>
        </w:rPr>
      </w:pPr>
      <w:r w:rsidRPr="00092171">
        <w:rPr>
          <w:szCs w:val="24"/>
          <w:lang w:eastAsia="en-US"/>
        </w:rPr>
        <w:lastRenderedPageBreak/>
        <w:t xml:space="preserve">Jeżeli importerzy uznają lub mają powody, by uważać, że zabawka, którą wprowadzili do obrotu, stwarza ryzyko dla zdrowia i bezpieczeństwa konsumentów i innych użytkowników końcowych, niezwłocznie informują o tym </w:t>
      </w:r>
      <w:r w:rsidRPr="00092171">
        <w:rPr>
          <w:b/>
          <w:i/>
          <w:szCs w:val="24"/>
          <w:lang w:eastAsia="en-US"/>
        </w:rPr>
        <w:t xml:space="preserve">producenta i </w:t>
      </w:r>
      <w:r w:rsidRPr="00092171">
        <w:rPr>
          <w:szCs w:val="24"/>
          <w:lang w:eastAsia="en-US"/>
        </w:rPr>
        <w:t xml:space="preserve">właściwe organy krajowe państw członkowskich, w których udostępnili daną zabawkę na rynku, podając szczegółowe informacje dotyczące </w:t>
      </w:r>
      <w:r w:rsidRPr="00092171">
        <w:rPr>
          <w:strike/>
          <w:szCs w:val="24"/>
          <w:lang w:eastAsia="en-US"/>
        </w:rPr>
        <w:t>w szczególności</w:t>
      </w:r>
      <w:r w:rsidRPr="00092171">
        <w:rPr>
          <w:b/>
          <w:i/>
          <w:szCs w:val="24"/>
          <w:lang w:eastAsia="en-US"/>
        </w:rPr>
        <w:t>zwłaszcza</w:t>
      </w:r>
      <w:r w:rsidRPr="00092171">
        <w:rPr>
          <w:szCs w:val="24"/>
          <w:lang w:eastAsia="en-US"/>
        </w:rPr>
        <w:t xml:space="preserve"> wszelkich niezgodności oraz wprowadzonych środków naprawczych</w:t>
      </w:r>
      <w:r w:rsidRPr="00092171">
        <w:rPr>
          <w:b/>
          <w:i/>
          <w:szCs w:val="24"/>
          <w:lang w:eastAsia="en-US"/>
        </w:rPr>
        <w:t xml:space="preserve"> i informują konsumentów lub innych użytkowników końcowych zgodnie z art</w:t>
      </w:r>
      <w:r w:rsidRPr="00092171">
        <w:rPr>
          <w:szCs w:val="24"/>
          <w:lang w:eastAsia="en-US"/>
        </w:rPr>
        <w:t>.</w:t>
      </w:r>
      <w:r w:rsidRPr="00092171">
        <w:rPr>
          <w:b/>
          <w:i/>
          <w:szCs w:val="24"/>
          <w:lang w:eastAsia="en-US"/>
        </w:rPr>
        <w:t xml:space="preserve"> 35 lub 36 rozporządzenia (UE) 2023/988 lub oboma tymi artykułami.</w:t>
      </w:r>
      <w:r w:rsidR="00234E17">
        <w:rPr>
          <w:b/>
          <w:szCs w:val="24"/>
          <w:lang w:eastAsia="en-US"/>
        </w:rPr>
        <w:t xml:space="preserve"> [Popr. 104]</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7.</w:t>
      </w:r>
      <w:r w:rsidRPr="00092171">
        <w:rPr>
          <w:szCs w:val="24"/>
          <w:lang w:eastAsia="en-US"/>
        </w:rPr>
        <w:tab/>
        <w:t xml:space="preserve">Importerzy przechowują unikatowy identyfikator produktu dla zabawki do dyspozycji organów nadzoru rynku przez okres 10 lat od momentu wprowadzenia </w:t>
      </w:r>
      <w:r w:rsidRPr="00092171">
        <w:rPr>
          <w:b/>
          <w:i/>
          <w:szCs w:val="24"/>
          <w:lang w:eastAsia="en-US"/>
        </w:rPr>
        <w:t xml:space="preserve">ostatniego egzemplarza modelu </w:t>
      </w:r>
      <w:r w:rsidRPr="00092171">
        <w:rPr>
          <w:szCs w:val="24"/>
          <w:lang w:eastAsia="en-US"/>
        </w:rPr>
        <w:t>zabawki do obrotu i zapewniają dostępność dokumentacji technicznej, o której mowa w art. 23, dla tych organów na ich żądanie.</w:t>
      </w:r>
      <w:r w:rsidR="00234E17">
        <w:rPr>
          <w:b/>
          <w:szCs w:val="24"/>
          <w:lang w:eastAsia="en-US"/>
        </w:rPr>
        <w:t xml:space="preserve"> [Popr. 105]</w:t>
      </w:r>
    </w:p>
    <w:p w:rsidR="00092171" w:rsidRPr="00092171" w:rsidRDefault="00092171" w:rsidP="00092171">
      <w:pPr>
        <w:spacing w:before="120" w:after="120" w:line="360" w:lineRule="auto"/>
        <w:ind w:left="850" w:hanging="850"/>
        <w:rPr>
          <w:szCs w:val="24"/>
          <w:lang w:eastAsia="en-US"/>
        </w:rPr>
      </w:pPr>
      <w:r w:rsidRPr="00092171">
        <w:rPr>
          <w:szCs w:val="24"/>
          <w:lang w:eastAsia="en-US"/>
        </w:rPr>
        <w:t>8.</w:t>
      </w:r>
      <w:r w:rsidRPr="00092171">
        <w:rPr>
          <w:szCs w:val="24"/>
          <w:lang w:eastAsia="en-US"/>
        </w:rPr>
        <w:tab/>
        <w:t>Na uzasadnione żądanie właściwego organu krajowego importerzy przekazują mu wszelkie informacje i dokumentację, które są konieczne do wykazania zgodności danej zabawki, w języku, który może być z łatwością zrozumiany przez ten organ. Na żądanie właściwych organów podejmują z nimi współpracę w działaniach ukierunkowanych na usunięcie ryzyka, jakie stwarza zabawka wprowadzona przez nich do obrotu.</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850" w:hanging="850"/>
        <w:rPr>
          <w:b/>
          <w:szCs w:val="24"/>
          <w:lang w:eastAsia="en-US"/>
        </w:rPr>
      </w:pPr>
      <w:r w:rsidRPr="00092171">
        <w:rPr>
          <w:szCs w:val="24"/>
          <w:lang w:eastAsia="en-US"/>
        </w:rPr>
        <w:lastRenderedPageBreak/>
        <w:t>9.</w:t>
      </w:r>
      <w:r w:rsidRPr="00092171">
        <w:rPr>
          <w:szCs w:val="24"/>
          <w:lang w:eastAsia="en-US"/>
        </w:rPr>
        <w:tab/>
        <w:t xml:space="preserve">Importerzy weryfikują, czy producent udostępnił publicznie </w:t>
      </w:r>
      <w:r w:rsidRPr="00092171">
        <w:rPr>
          <w:strike/>
          <w:szCs w:val="24"/>
          <w:lang w:eastAsia="en-US"/>
        </w:rPr>
        <w:t>kanał</w:t>
      </w:r>
      <w:r w:rsidRPr="00092171">
        <w:rPr>
          <w:b/>
          <w:i/>
          <w:szCs w:val="24"/>
          <w:lang w:eastAsia="en-US"/>
        </w:rPr>
        <w:t>kanały</w:t>
      </w:r>
      <w:r w:rsidRPr="00092171">
        <w:rPr>
          <w:szCs w:val="24"/>
          <w:lang w:eastAsia="en-US"/>
        </w:rPr>
        <w:t xml:space="preserve"> komunikacji, o </w:t>
      </w:r>
      <w:r w:rsidRPr="00092171">
        <w:rPr>
          <w:strike/>
          <w:szCs w:val="24"/>
          <w:lang w:eastAsia="en-US"/>
        </w:rPr>
        <w:t>którym</w:t>
      </w:r>
      <w:r w:rsidRPr="00092171">
        <w:rPr>
          <w:b/>
          <w:i/>
          <w:szCs w:val="24"/>
          <w:lang w:eastAsia="en-US"/>
        </w:rPr>
        <w:t>których</w:t>
      </w:r>
      <w:r w:rsidRPr="00092171">
        <w:rPr>
          <w:szCs w:val="24"/>
          <w:lang w:eastAsia="en-US"/>
        </w:rPr>
        <w:t xml:space="preserve"> mowa w art. 7 ust. 11, dla konsumentów lub innych użytkowników końcowych, umożliwiając im składanie skarg dotyczących bezpieczeństwa zabawek i zgłaszanie informacji na temat wszelkich wypadków lub problemów związanych z bezpieczeństwem, których doświadczyli w odniesieniu do zabawki. Jeżeli </w:t>
      </w:r>
      <w:r w:rsidRPr="00092171">
        <w:rPr>
          <w:strike/>
          <w:szCs w:val="24"/>
          <w:lang w:eastAsia="en-US"/>
        </w:rPr>
        <w:t>taki kanał nie jest dostępny</w:t>
      </w:r>
      <w:r w:rsidRPr="00092171">
        <w:rPr>
          <w:b/>
          <w:i/>
          <w:szCs w:val="24"/>
          <w:lang w:eastAsia="en-US"/>
        </w:rPr>
        <w:t>takie kanały nie są dostępne</w:t>
      </w:r>
      <w:r w:rsidRPr="00092171">
        <w:rPr>
          <w:szCs w:val="24"/>
          <w:lang w:eastAsia="en-US"/>
        </w:rPr>
        <w:t xml:space="preserve">, muszą </w:t>
      </w:r>
      <w:r w:rsidRPr="00092171">
        <w:rPr>
          <w:strike/>
          <w:szCs w:val="24"/>
          <w:lang w:eastAsia="en-US"/>
        </w:rPr>
        <w:t>go</w:t>
      </w:r>
      <w:r w:rsidRPr="00092171">
        <w:rPr>
          <w:b/>
          <w:i/>
          <w:szCs w:val="24"/>
          <w:lang w:eastAsia="en-US"/>
        </w:rPr>
        <w:t>je</w:t>
      </w:r>
      <w:r w:rsidRPr="00092171">
        <w:rPr>
          <w:szCs w:val="24"/>
          <w:lang w:eastAsia="en-US"/>
        </w:rPr>
        <w:t xml:space="preserve"> zapewnić importerzy, uwzględniając potrzeby w zakresie dostępności osób z niepełnosprawnościami.</w:t>
      </w:r>
      <w:r w:rsidR="00234E17">
        <w:rPr>
          <w:b/>
          <w:szCs w:val="24"/>
          <w:lang w:eastAsia="en-US"/>
        </w:rPr>
        <w:t xml:space="preserve"> [Popr. 106]</w:t>
      </w:r>
    </w:p>
    <w:p w:rsidR="00092171" w:rsidRPr="00092171" w:rsidRDefault="00092171" w:rsidP="00092171">
      <w:pPr>
        <w:spacing w:before="120" w:after="120" w:line="360" w:lineRule="auto"/>
        <w:ind w:left="850" w:hanging="850"/>
        <w:rPr>
          <w:szCs w:val="24"/>
          <w:lang w:eastAsia="en-US"/>
        </w:rPr>
      </w:pPr>
      <w:r w:rsidRPr="00092171">
        <w:rPr>
          <w:szCs w:val="24"/>
          <w:lang w:eastAsia="en-US"/>
        </w:rPr>
        <w:t>10.</w:t>
      </w:r>
      <w:r w:rsidRPr="00092171">
        <w:rPr>
          <w:szCs w:val="24"/>
          <w:lang w:eastAsia="en-US"/>
        </w:rPr>
        <w:tab/>
        <w:t>Importerzy badają skargi i informacje, o których mowa w ust. 9 niniejszego artykułu, które otrzymali za pośrednictwem kanału komunikacji udostępnionego przez producenta lub za pośrednictwem kanału komunikacji, który oni sami udostępnili, dotyczące zabawek udostępnionych przez nich na rynku. Importerzy wprowadzają te skargi, a także przypadki odzyskania i wszelkie inne środki naprawcze podjęte w celu zapewnienia zgodności zabawki z niniejszym rozporządzeniem, do rejestru, o którym mowa w art. 7 ust. 12, lub do własnego wewnętrznego rejestru.</w:t>
      </w:r>
    </w:p>
    <w:p w:rsidR="00092171" w:rsidRPr="00234E17" w:rsidRDefault="00092171" w:rsidP="00092171">
      <w:pPr>
        <w:spacing w:before="120" w:after="120" w:line="360" w:lineRule="auto"/>
        <w:ind w:left="850"/>
        <w:rPr>
          <w:b/>
          <w:szCs w:val="24"/>
          <w:lang w:eastAsia="en-US"/>
        </w:rPr>
      </w:pPr>
      <w:r w:rsidRPr="00092171">
        <w:rPr>
          <w:szCs w:val="24"/>
          <w:lang w:eastAsia="en-US"/>
        </w:rPr>
        <w:t xml:space="preserve">Importerzy na bieżąco informują producenta, dystrybutorów oraz, w stosownych przypadkach, </w:t>
      </w:r>
      <w:r w:rsidRPr="00092171">
        <w:rPr>
          <w:strike/>
          <w:szCs w:val="24"/>
          <w:lang w:eastAsia="en-US"/>
        </w:rPr>
        <w:t>internetowe platformy handlowe</w:t>
      </w:r>
      <w:r w:rsidRPr="00092171">
        <w:rPr>
          <w:b/>
          <w:i/>
          <w:szCs w:val="24"/>
          <w:lang w:eastAsia="en-US"/>
        </w:rPr>
        <w:t>dostawców internetowych platform handlowych</w:t>
      </w:r>
      <w:r w:rsidRPr="00092171">
        <w:rPr>
          <w:szCs w:val="24"/>
          <w:lang w:eastAsia="en-US"/>
        </w:rPr>
        <w:t xml:space="preserve"> o prowadzonym badaniu i jego wynikach.</w:t>
      </w:r>
      <w:r w:rsidR="00234E17">
        <w:rPr>
          <w:b/>
          <w:szCs w:val="24"/>
          <w:lang w:eastAsia="en-US"/>
        </w:rPr>
        <w:t xml:space="preserve"> [Popr. 107]</w:t>
      </w:r>
    </w:p>
    <w:p w:rsidR="00234E17" w:rsidRDefault="00234E17">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11.</w:t>
      </w:r>
      <w:r w:rsidRPr="00092171">
        <w:rPr>
          <w:szCs w:val="24"/>
          <w:lang w:eastAsia="en-US"/>
        </w:rPr>
        <w:tab/>
        <w:t>W wewnętrznym rejestrze importerów, o którym mowa w ust. 10, przechowuje się wyłącznie takie dane osobowe, które są dla importera niezbędne do zbadania skargi lub informacji, o których mowa w ust. 9. Takie dane przechowuje się tylko tak długo, jak jest to niezbędne do celów zbadania skargi lub informacji, i w każdym wypadku nie dłużej niż pięć lat po dniu ich wprowadzenia do rejestru.</w:t>
      </w:r>
    </w:p>
    <w:p w:rsidR="00092171" w:rsidRPr="00092171" w:rsidRDefault="00092171" w:rsidP="00092171">
      <w:pPr>
        <w:spacing w:before="120" w:after="120" w:line="360" w:lineRule="auto"/>
        <w:jc w:val="center"/>
        <w:rPr>
          <w:szCs w:val="24"/>
          <w:lang w:eastAsia="en-US"/>
        </w:rPr>
      </w:pPr>
      <w:r w:rsidRPr="00092171">
        <w:rPr>
          <w:szCs w:val="24"/>
          <w:lang w:eastAsia="en-US"/>
        </w:rPr>
        <w:t>Artykuł 10</w:t>
      </w:r>
      <w:r w:rsidRPr="00092171">
        <w:rPr>
          <w:szCs w:val="24"/>
          <w:lang w:eastAsia="en-US"/>
        </w:rPr>
        <w:br/>
        <w:t>Obowiązki dystrybutorów</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Udostępniając zabawkę na rynku, dystrybutorzy działają z należytą starannością w odniesieniu do wymogów niniejszego rozporządzenia.</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Przed udostępnieniem zabawki na rynku dystrybutorzy sprawdzają, czy spełniono następujące warunki:</w:t>
      </w:r>
    </w:p>
    <w:p w:rsidR="00092171" w:rsidRPr="00234E17" w:rsidRDefault="00092171" w:rsidP="00092171">
      <w:pPr>
        <w:spacing w:before="120" w:after="120" w:line="360" w:lineRule="auto"/>
        <w:ind w:left="1416" w:hanging="566"/>
        <w:rPr>
          <w:b/>
          <w:szCs w:val="24"/>
          <w:lang w:eastAsia="en-US"/>
        </w:rPr>
      </w:pPr>
      <w:r w:rsidRPr="00092171">
        <w:rPr>
          <w:szCs w:val="24"/>
          <w:lang w:eastAsia="en-US"/>
        </w:rPr>
        <w:t>a)</w:t>
      </w:r>
      <w:r w:rsidRPr="00092171">
        <w:rPr>
          <w:szCs w:val="24"/>
          <w:lang w:eastAsia="en-US"/>
        </w:rPr>
        <w:tab/>
        <w:t>do zabawki dołączone są instrukcje</w:t>
      </w:r>
      <w:r w:rsidRPr="00092171">
        <w:rPr>
          <w:b/>
          <w:i/>
          <w:szCs w:val="24"/>
          <w:lang w:eastAsia="en-US"/>
        </w:rPr>
        <w:t xml:space="preserve"> użytkowania</w:t>
      </w:r>
      <w:r w:rsidRPr="00092171">
        <w:rPr>
          <w:szCs w:val="24"/>
          <w:lang w:eastAsia="en-US"/>
        </w:rPr>
        <w:t xml:space="preserve"> oraz informacje na temat bezpieczeństwa w języku lub językach łatwo zrozumiałych przez konsumentów lub innych użytkowników końcowych, określonych przez zainteresowane państwo członkowskie, w którym udostępniono zabawkę na rynku;</w:t>
      </w:r>
      <w:r w:rsidR="00234E17">
        <w:rPr>
          <w:b/>
          <w:szCs w:val="24"/>
          <w:lang w:eastAsia="en-US"/>
        </w:rPr>
        <w:t xml:space="preserve"> [Popr. 108]</w:t>
      </w:r>
    </w:p>
    <w:p w:rsidR="00234E17" w:rsidRDefault="00234E17">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b)</w:t>
      </w:r>
      <w:r w:rsidRPr="00092171">
        <w:rPr>
          <w:szCs w:val="24"/>
          <w:lang w:eastAsia="en-US"/>
        </w:rPr>
        <w:tab/>
        <w:t>zabawka jest opatrzona nośnikiem danych zgodnie z art. 17 ust. 5 i umieszczone jest na niej oznakowanie CE zgodnie z art. 16; oraz</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producent i importer spełnili wymagania określone odpowiednio w art. 7 ust. 2 akapit drugi, art. 7 ust. 5, 6 i 11 oraz art. 9 ust. 3.</w:t>
      </w:r>
    </w:p>
    <w:p w:rsidR="00092171" w:rsidRPr="00234E17" w:rsidRDefault="00092171" w:rsidP="00092171">
      <w:pPr>
        <w:spacing w:before="120" w:after="120" w:line="360" w:lineRule="auto"/>
        <w:ind w:left="850"/>
        <w:rPr>
          <w:b/>
          <w:szCs w:val="24"/>
          <w:lang w:eastAsia="en-US"/>
        </w:rPr>
      </w:pPr>
      <w:r w:rsidRPr="00092171">
        <w:rPr>
          <w:szCs w:val="24"/>
          <w:lang w:eastAsia="en-US"/>
        </w:rPr>
        <w:t>Jeżeli dystrybutorzy uznają lub mają powody, by uważać</w:t>
      </w:r>
      <w:r w:rsidRPr="00092171">
        <w:rPr>
          <w:b/>
          <w:i/>
          <w:szCs w:val="24"/>
          <w:lang w:eastAsia="en-US"/>
        </w:rPr>
        <w:t>, na podstawie informacji będących w posiadaniu dystrybutora</w:t>
      </w:r>
      <w:r w:rsidRPr="00092171">
        <w:rPr>
          <w:szCs w:val="24"/>
          <w:lang w:eastAsia="en-US"/>
        </w:rPr>
        <w:t xml:space="preserve">, że zabawka nie jest zgodna z zasadniczymi wymaganiami bezpieczeństwa, </w:t>
      </w:r>
      <w:r w:rsidRPr="00092171">
        <w:rPr>
          <w:strike/>
          <w:szCs w:val="24"/>
          <w:lang w:eastAsia="en-US"/>
        </w:rPr>
        <w:t>nie wolno im udostępnić</w:t>
      </w:r>
      <w:r w:rsidRPr="00092171">
        <w:rPr>
          <w:b/>
          <w:i/>
          <w:szCs w:val="24"/>
          <w:lang w:eastAsia="en-US"/>
        </w:rPr>
        <w:t>informują o tym producenta i rezygnują z wprowadzenia</w:t>
      </w:r>
      <w:r w:rsidRPr="00092171">
        <w:rPr>
          <w:szCs w:val="24"/>
          <w:lang w:eastAsia="en-US"/>
        </w:rPr>
        <w:t xml:space="preserve"> tej zabawki </w:t>
      </w:r>
      <w:r w:rsidRPr="00092171">
        <w:rPr>
          <w:strike/>
          <w:szCs w:val="24"/>
          <w:lang w:eastAsia="en-US"/>
        </w:rPr>
        <w:t>na rynku</w:t>
      </w:r>
      <w:r w:rsidRPr="00092171">
        <w:rPr>
          <w:b/>
          <w:i/>
          <w:szCs w:val="24"/>
          <w:lang w:eastAsia="en-US"/>
        </w:rPr>
        <w:t>do obrotu</w:t>
      </w:r>
      <w:r w:rsidRPr="00092171">
        <w:rPr>
          <w:szCs w:val="24"/>
          <w:lang w:eastAsia="en-US"/>
        </w:rPr>
        <w:t xml:space="preserve">, dopóki </w:t>
      </w:r>
      <w:r w:rsidRPr="00092171">
        <w:rPr>
          <w:b/>
          <w:i/>
          <w:szCs w:val="24"/>
          <w:lang w:eastAsia="en-US"/>
        </w:rPr>
        <w:t>producent nie zapewni jej zgodności</w:t>
      </w:r>
      <w:r w:rsidRPr="00092171">
        <w:rPr>
          <w:strike/>
          <w:szCs w:val="24"/>
          <w:lang w:eastAsia="en-US"/>
        </w:rPr>
        <w:t>nie zostanie zapewniona jej zgodność</w:t>
      </w:r>
      <w:r w:rsidRPr="00092171">
        <w:rPr>
          <w:szCs w:val="24"/>
          <w:lang w:eastAsia="en-US"/>
        </w:rPr>
        <w:t>.</w:t>
      </w:r>
      <w:r w:rsidR="00234E17">
        <w:rPr>
          <w:b/>
          <w:szCs w:val="24"/>
          <w:lang w:eastAsia="en-US"/>
        </w:rPr>
        <w:t xml:space="preserve"> [Popr. 109]</w:t>
      </w:r>
    </w:p>
    <w:p w:rsidR="00092171" w:rsidRPr="00234E17" w:rsidRDefault="00092171" w:rsidP="00092171">
      <w:pPr>
        <w:spacing w:before="120" w:after="120" w:line="360" w:lineRule="auto"/>
        <w:ind w:left="850"/>
        <w:rPr>
          <w:b/>
          <w:szCs w:val="24"/>
          <w:lang w:eastAsia="en-US"/>
        </w:rPr>
      </w:pPr>
      <w:r w:rsidRPr="00092171">
        <w:rPr>
          <w:szCs w:val="24"/>
          <w:lang w:eastAsia="en-US"/>
        </w:rPr>
        <w:t>Jeżeli dystrybutorzy uznają lub mają powody, by uważać</w:t>
      </w:r>
      <w:r w:rsidRPr="00092171">
        <w:rPr>
          <w:b/>
          <w:i/>
          <w:szCs w:val="24"/>
          <w:lang w:eastAsia="en-US"/>
        </w:rPr>
        <w:t xml:space="preserve"> na podstawie posiadanych przez nich informacji</w:t>
      </w:r>
      <w:r w:rsidRPr="00092171">
        <w:rPr>
          <w:szCs w:val="24"/>
          <w:lang w:eastAsia="en-US"/>
        </w:rPr>
        <w:t>, że zabawka stwarza ryzyko, niezwłocznie powiadamiają o tym:</w:t>
      </w:r>
      <w:r w:rsidR="00234E17">
        <w:rPr>
          <w:b/>
          <w:szCs w:val="24"/>
          <w:lang w:eastAsia="en-US"/>
        </w:rPr>
        <w:t xml:space="preserve"> [Popr. 110]</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producenta lub importera;</w:t>
      </w:r>
    </w:p>
    <w:p w:rsidR="00234E17" w:rsidRDefault="00234E17">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b)</w:t>
      </w:r>
      <w:r w:rsidRPr="00092171">
        <w:rPr>
          <w:szCs w:val="24"/>
          <w:lang w:eastAsia="en-US"/>
        </w:rPr>
        <w:tab/>
        <w:t>organy nadzoru rynku za pośrednictwem portalu Safety Business Gateway, o którym mowa w art. 26 rozporządzenia (UE) 2023/988;</w:t>
      </w:r>
    </w:p>
    <w:p w:rsidR="00092171" w:rsidRPr="00234E17" w:rsidRDefault="00092171" w:rsidP="00092171">
      <w:pPr>
        <w:spacing w:before="120" w:after="120" w:line="360" w:lineRule="auto"/>
        <w:ind w:left="1416" w:hanging="566"/>
        <w:rPr>
          <w:b/>
          <w:szCs w:val="24"/>
          <w:lang w:eastAsia="en-US"/>
        </w:rPr>
      </w:pPr>
      <w:r w:rsidRPr="00092171">
        <w:rPr>
          <w:strike/>
          <w:szCs w:val="24"/>
          <w:lang w:eastAsia="en-US"/>
        </w:rPr>
        <w:t>c)</w:t>
      </w:r>
      <w:r w:rsidRPr="00092171">
        <w:rPr>
          <w:szCs w:val="24"/>
          <w:lang w:eastAsia="en-US"/>
        </w:rPr>
        <w:tab/>
      </w:r>
      <w:r w:rsidRPr="00092171">
        <w:rPr>
          <w:strike/>
          <w:szCs w:val="24"/>
          <w:lang w:eastAsia="en-US"/>
        </w:rPr>
        <w:t>konsumentów lub innych użytkowników końcowych zgodnie z art. 35 lub 36 rozporządzenia (UE) 2023/988 lub oboma tymi artykułami.</w:t>
      </w:r>
      <w:r w:rsidR="00234E17">
        <w:rPr>
          <w:b/>
          <w:szCs w:val="24"/>
          <w:lang w:eastAsia="en-US"/>
        </w:rPr>
        <w:t xml:space="preserve"> [Popr. 111]</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Dystrybutorzy zapewniają, aby w czasie, gdy ponoszą oni odpowiedzialność za zabawkę, warunki jej przechowywania lub przewożenia nie wpływały ujemnie na jej zgodność z zasadniczymi wymaganiami bezpieczeństwa.</w:t>
      </w:r>
    </w:p>
    <w:p w:rsidR="00092171" w:rsidRPr="00234E17" w:rsidRDefault="00092171" w:rsidP="00092171">
      <w:pPr>
        <w:spacing w:before="120" w:after="120" w:line="360" w:lineRule="auto"/>
        <w:ind w:left="850" w:hanging="850"/>
        <w:rPr>
          <w:b/>
          <w:szCs w:val="24"/>
          <w:lang w:eastAsia="en-US"/>
        </w:rPr>
      </w:pPr>
      <w:r w:rsidRPr="00092171">
        <w:rPr>
          <w:szCs w:val="24"/>
          <w:lang w:eastAsia="en-US"/>
        </w:rPr>
        <w:t>4.</w:t>
      </w:r>
      <w:r w:rsidRPr="00092171">
        <w:rPr>
          <w:szCs w:val="24"/>
          <w:lang w:eastAsia="en-US"/>
        </w:rPr>
        <w:tab/>
        <w:t>Jeżeli dystrybutorzy uznają lub mają powody, by uważać</w:t>
      </w:r>
      <w:r w:rsidRPr="00092171">
        <w:rPr>
          <w:b/>
          <w:i/>
          <w:szCs w:val="24"/>
          <w:lang w:eastAsia="en-US"/>
        </w:rPr>
        <w:t xml:space="preserve"> na podstawie posiadanych przez nich informacji</w:t>
      </w:r>
      <w:r w:rsidRPr="00092171">
        <w:rPr>
          <w:szCs w:val="24"/>
          <w:lang w:eastAsia="en-US"/>
        </w:rPr>
        <w:t>, że zabawka udostępniona przez nich na rynku nie jest zgodna z niniejszym rozporządzeniem, zapewniają</w:t>
      </w:r>
      <w:r w:rsidRPr="00092171">
        <w:rPr>
          <w:b/>
          <w:i/>
          <w:szCs w:val="24"/>
          <w:lang w:eastAsia="en-US"/>
        </w:rPr>
        <w:t xml:space="preserve"> natychmiastowe</w:t>
      </w:r>
      <w:r w:rsidRPr="00092171">
        <w:rPr>
          <w:szCs w:val="24"/>
          <w:lang w:eastAsia="en-US"/>
        </w:rPr>
        <w:t xml:space="preserve"> przyjęcie środków naprawczych niezbędnych do odpowiedniego dostosowania tej zabawki lub w razie potrzeby wycofania jej z rynku lub jej odzyskania.</w:t>
      </w:r>
      <w:r w:rsidR="00234E17">
        <w:rPr>
          <w:b/>
          <w:szCs w:val="24"/>
          <w:lang w:eastAsia="en-US"/>
        </w:rPr>
        <w:t xml:space="preserve"> [Popr. 112]</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ind w:left="850"/>
        <w:rPr>
          <w:b/>
          <w:szCs w:val="24"/>
          <w:lang w:eastAsia="en-US"/>
        </w:rPr>
      </w:pPr>
      <w:r w:rsidRPr="00092171">
        <w:rPr>
          <w:szCs w:val="24"/>
          <w:lang w:eastAsia="en-US"/>
        </w:rPr>
        <w:lastRenderedPageBreak/>
        <w:t>Jeżeli dystrybutorzy uznają lub mają powody, by uważać, że zabawka, którą udostępnili na rynku, stwarza ryzyko, niezwłocznie informują o tym</w:t>
      </w:r>
      <w:r w:rsidRPr="00092171">
        <w:rPr>
          <w:b/>
          <w:i/>
          <w:szCs w:val="24"/>
          <w:lang w:eastAsia="en-US"/>
        </w:rPr>
        <w:t>, odpowiednio, producenta lub importera i</w:t>
      </w:r>
      <w:r w:rsidRPr="00092171">
        <w:rPr>
          <w:szCs w:val="24"/>
          <w:lang w:eastAsia="en-US"/>
        </w:rPr>
        <w:t xml:space="preserve"> organy nadzoru rynku państw członkowskich, w których udostępnili daną zabawkę na rynku, podając szczegółowe informacje dotyczące </w:t>
      </w:r>
      <w:r w:rsidRPr="00092171">
        <w:rPr>
          <w:strike/>
          <w:szCs w:val="24"/>
          <w:lang w:eastAsia="en-US"/>
        </w:rPr>
        <w:t>w szczególności</w:t>
      </w:r>
      <w:r w:rsidRPr="00092171">
        <w:rPr>
          <w:b/>
          <w:i/>
          <w:szCs w:val="24"/>
          <w:lang w:eastAsia="en-US"/>
        </w:rPr>
        <w:t>zwłaszcza</w:t>
      </w:r>
      <w:r w:rsidRPr="00092171">
        <w:rPr>
          <w:szCs w:val="24"/>
          <w:lang w:eastAsia="en-US"/>
        </w:rPr>
        <w:t xml:space="preserve"> wszelkich niezgodności oraz wprowadzonych środków naprawczych</w:t>
      </w:r>
      <w:r w:rsidRPr="00092171">
        <w:rPr>
          <w:b/>
          <w:i/>
          <w:szCs w:val="24"/>
          <w:lang w:eastAsia="en-US"/>
        </w:rPr>
        <w:t xml:space="preserve"> i informują konsumentów lub innych użytkowników końcowych zgodnie z art</w:t>
      </w:r>
      <w:r w:rsidRPr="00092171">
        <w:rPr>
          <w:szCs w:val="24"/>
          <w:lang w:eastAsia="en-US"/>
        </w:rPr>
        <w:t>.</w:t>
      </w:r>
      <w:r w:rsidRPr="00092171">
        <w:rPr>
          <w:b/>
          <w:i/>
          <w:szCs w:val="24"/>
          <w:lang w:eastAsia="en-US"/>
        </w:rPr>
        <w:t xml:space="preserve"> 35 lub 36 rozporządzenia (UE) 2023/988 lub oboma tymi artykułami.</w:t>
      </w:r>
      <w:r w:rsidR="00234E17">
        <w:rPr>
          <w:b/>
          <w:szCs w:val="24"/>
          <w:lang w:eastAsia="en-US"/>
        </w:rPr>
        <w:t xml:space="preserve"> [Popr. 113]</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Na uzasadnione żądanie właściwego organu krajowego dystrybutorzy przekazują mu wszelkie informacje i dokumentację niezbędne do ustalenia zgodności danej zabawki z wymaganiami w języku łatwo zrozumiałym dla tego organu. Na żądanie tego organu podejmują z nim współpracę w działaniach ukierunkowanych na usunięcie ryzyka, jakie stwarzają zabawki udostępnione przez nich na rynku.</w:t>
      </w:r>
    </w:p>
    <w:p w:rsidR="00234E17" w:rsidRDefault="00234E17">
      <w:pPr>
        <w:widowControl/>
        <w:rPr>
          <w:szCs w:val="24"/>
          <w:lang w:eastAsia="en-US"/>
        </w:rPr>
      </w:pPr>
      <w:r>
        <w:rPr>
          <w:szCs w:val="24"/>
          <w:lang w:eastAsia="en-US"/>
        </w:rPr>
        <w:br w:type="page"/>
      </w:r>
    </w:p>
    <w:p w:rsidR="00092171" w:rsidRPr="00234E17" w:rsidRDefault="00092171" w:rsidP="00092171">
      <w:pPr>
        <w:spacing w:before="120" w:after="120" w:line="360" w:lineRule="auto"/>
        <w:jc w:val="center"/>
        <w:rPr>
          <w:b/>
          <w:szCs w:val="24"/>
          <w:lang w:eastAsia="en-US"/>
        </w:rPr>
      </w:pPr>
      <w:r w:rsidRPr="00092171">
        <w:rPr>
          <w:szCs w:val="24"/>
          <w:lang w:eastAsia="en-US"/>
        </w:rPr>
        <w:lastRenderedPageBreak/>
        <w:t>Artykuł 11</w:t>
      </w:r>
      <w:r w:rsidRPr="00092171">
        <w:rPr>
          <w:szCs w:val="24"/>
          <w:lang w:eastAsia="en-US"/>
        </w:rPr>
        <w:br/>
        <w:t xml:space="preserve">Przypadki, w których obowiązki producentów dotyczą </w:t>
      </w:r>
      <w:r w:rsidRPr="00092171">
        <w:rPr>
          <w:strike/>
          <w:szCs w:val="24"/>
          <w:lang w:eastAsia="en-US"/>
        </w:rPr>
        <w:t xml:space="preserve">importerów i dystrybutorów </w:t>
      </w:r>
      <w:r w:rsidRPr="00092171">
        <w:rPr>
          <w:b/>
          <w:i/>
          <w:szCs w:val="24"/>
          <w:lang w:eastAsia="en-US"/>
        </w:rPr>
        <w:t xml:space="preserve">innych osób </w:t>
      </w:r>
      <w:r w:rsidR="00234E17">
        <w:rPr>
          <w:b/>
          <w:szCs w:val="24"/>
          <w:lang w:eastAsia="en-US"/>
        </w:rPr>
        <w:t xml:space="preserve"> [Popr. 114]</w:t>
      </w:r>
    </w:p>
    <w:p w:rsidR="00092171" w:rsidRPr="00234E17" w:rsidRDefault="00092171" w:rsidP="00092171">
      <w:pPr>
        <w:spacing w:before="120" w:after="120" w:line="360" w:lineRule="auto"/>
        <w:rPr>
          <w:b/>
          <w:szCs w:val="24"/>
          <w:lang w:eastAsia="en-US"/>
        </w:rPr>
      </w:pPr>
      <w:r w:rsidRPr="00092171">
        <w:rPr>
          <w:szCs w:val="24"/>
          <w:lang w:eastAsia="en-US"/>
        </w:rPr>
        <w:t xml:space="preserve">Do celów niniejszego rozporządzenia </w:t>
      </w:r>
      <w:r w:rsidRPr="00092171">
        <w:rPr>
          <w:strike/>
          <w:szCs w:val="24"/>
          <w:lang w:eastAsia="en-US"/>
        </w:rPr>
        <w:t>importera lub dystrybutora</w:t>
      </w:r>
      <w:r w:rsidRPr="00092171">
        <w:rPr>
          <w:b/>
          <w:i/>
          <w:szCs w:val="24"/>
          <w:lang w:eastAsia="en-US"/>
        </w:rPr>
        <w:t>osobę fizyczną lub prawną</w:t>
      </w:r>
      <w:r w:rsidRPr="00092171">
        <w:rPr>
          <w:szCs w:val="24"/>
          <w:lang w:eastAsia="en-US"/>
        </w:rPr>
        <w:t xml:space="preserve"> uważa się za producenta i przyjmuje </w:t>
      </w:r>
      <w:r w:rsidRPr="00092171">
        <w:rPr>
          <w:strike/>
          <w:szCs w:val="24"/>
          <w:lang w:eastAsia="en-US"/>
        </w:rPr>
        <w:t>on</w:t>
      </w:r>
      <w:r w:rsidRPr="00092171">
        <w:rPr>
          <w:b/>
          <w:i/>
          <w:szCs w:val="24"/>
          <w:lang w:eastAsia="en-US"/>
        </w:rPr>
        <w:t>ona</w:t>
      </w:r>
      <w:r w:rsidRPr="00092171">
        <w:rPr>
          <w:szCs w:val="24"/>
          <w:lang w:eastAsia="en-US"/>
        </w:rPr>
        <w:t xml:space="preserve"> na siebie obowiązki producenta zgodnie z art. 7, jeżeli </w:t>
      </w:r>
      <w:r w:rsidRPr="00092171">
        <w:rPr>
          <w:b/>
          <w:i/>
          <w:szCs w:val="24"/>
          <w:lang w:eastAsia="en-US"/>
        </w:rPr>
        <w:t xml:space="preserve">osoba fizyczna lub prawna </w:t>
      </w:r>
      <w:r w:rsidRPr="00092171">
        <w:rPr>
          <w:szCs w:val="24"/>
          <w:lang w:eastAsia="en-US"/>
        </w:rPr>
        <w:t>wprowadza</w:t>
      </w:r>
      <w:r w:rsidRPr="00092171">
        <w:rPr>
          <w:strike/>
          <w:szCs w:val="24"/>
          <w:lang w:eastAsia="en-US"/>
        </w:rPr>
        <w:t xml:space="preserve"> on</w:t>
      </w:r>
      <w:r w:rsidRPr="00092171">
        <w:rPr>
          <w:szCs w:val="24"/>
          <w:lang w:eastAsia="en-US"/>
        </w:rPr>
        <w:t xml:space="preserve"> zabawkę do obrotu pod własną nazwą lub znakiem towarowym lub zmienia zabawkę już wprowadzoną na rynek w taki sposób, że może to mieć wpływ na zgodność z wymaganiami określonymi w niniejszym rozporządzeniu.</w:t>
      </w:r>
      <w:r w:rsidR="00234E17">
        <w:rPr>
          <w:b/>
          <w:szCs w:val="24"/>
          <w:lang w:eastAsia="en-US"/>
        </w:rPr>
        <w:t xml:space="preserve"> [Popr. 115]</w:t>
      </w:r>
    </w:p>
    <w:p w:rsidR="00092171" w:rsidRPr="00092171" w:rsidRDefault="00092171" w:rsidP="00092171">
      <w:pPr>
        <w:spacing w:before="120" w:after="120" w:line="360" w:lineRule="auto"/>
        <w:jc w:val="center"/>
        <w:rPr>
          <w:szCs w:val="24"/>
          <w:lang w:eastAsia="en-US"/>
        </w:rPr>
      </w:pPr>
      <w:r w:rsidRPr="00092171">
        <w:rPr>
          <w:szCs w:val="24"/>
          <w:lang w:eastAsia="en-US"/>
        </w:rPr>
        <w:t>Artykuł 12</w:t>
      </w:r>
      <w:r w:rsidRPr="00092171">
        <w:rPr>
          <w:szCs w:val="24"/>
          <w:lang w:eastAsia="en-US"/>
        </w:rPr>
        <w:br/>
        <w:t>Identyfikacja podmiotów gospodarczych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Na żądanie organów nadzoru rynku, podmioty gospodarcze wskazują:</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każdy podmiot gospodarczy, który dostarczył im zabawkę;</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każdy podmiot gospodarczy, któremu dostarczyły zabawkę.</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Podmioty gospodarcze są w stanie przedstawić informacje, o których mowa w ust. 1 przez okres 10 lat po wprowadzeniu zabawki do obrotu w przypadku producenta i przez okres 10 lat po otrzymaniu dostawy zabawki w przypadku innych podmiotów gospodarczych.</w:t>
      </w:r>
    </w:p>
    <w:p w:rsidR="00234E17" w:rsidRDefault="00234E17">
      <w:pPr>
        <w:widowControl/>
        <w:rPr>
          <w:b/>
          <w:i/>
          <w:szCs w:val="24"/>
          <w:lang w:eastAsia="en-US"/>
        </w:rPr>
      </w:pPr>
      <w:r>
        <w:rPr>
          <w:b/>
          <w:i/>
          <w:szCs w:val="24"/>
          <w:lang w:eastAsia="en-US"/>
        </w:rPr>
        <w:br w:type="page"/>
      </w:r>
    </w:p>
    <w:p w:rsidR="00092171" w:rsidRPr="00092171" w:rsidRDefault="00092171" w:rsidP="00092171">
      <w:pPr>
        <w:spacing w:before="120" w:after="120" w:line="360" w:lineRule="auto"/>
        <w:jc w:val="center"/>
        <w:rPr>
          <w:szCs w:val="24"/>
          <w:lang w:eastAsia="en-US"/>
        </w:rPr>
      </w:pPr>
      <w:r w:rsidRPr="00092171">
        <w:rPr>
          <w:b/>
          <w:i/>
          <w:szCs w:val="24"/>
          <w:lang w:eastAsia="en-US"/>
        </w:rPr>
        <w:lastRenderedPageBreak/>
        <w:t>Rozdział IIa</w:t>
      </w:r>
      <w:r w:rsidRPr="00092171">
        <w:rPr>
          <w:szCs w:val="24"/>
          <w:lang w:eastAsia="en-US"/>
        </w:rPr>
        <w:br/>
      </w:r>
      <w:r w:rsidRPr="00092171">
        <w:rPr>
          <w:b/>
          <w:i/>
          <w:szCs w:val="24"/>
          <w:lang w:eastAsia="en-US"/>
        </w:rPr>
        <w:t>Obowiązki internetowych platform handlowych</w:t>
      </w:r>
    </w:p>
    <w:p w:rsidR="00092171" w:rsidRPr="00092171" w:rsidRDefault="00092171" w:rsidP="00092171">
      <w:pPr>
        <w:spacing w:before="120" w:after="120" w:line="360" w:lineRule="auto"/>
        <w:jc w:val="center"/>
        <w:rPr>
          <w:szCs w:val="24"/>
          <w:lang w:eastAsia="en-US"/>
        </w:rPr>
      </w:pPr>
      <w:r w:rsidRPr="00092171">
        <w:rPr>
          <w:b/>
          <w:i/>
          <w:szCs w:val="24"/>
          <w:lang w:eastAsia="en-US"/>
        </w:rPr>
        <w:t>Artykuł 12a</w:t>
      </w:r>
    </w:p>
    <w:p w:rsidR="00092171" w:rsidRPr="00234E17" w:rsidRDefault="00092171" w:rsidP="00092171">
      <w:pPr>
        <w:spacing w:before="120" w:after="120" w:line="360" w:lineRule="auto"/>
        <w:rPr>
          <w:b/>
          <w:szCs w:val="24"/>
          <w:lang w:eastAsia="en-US"/>
        </w:rPr>
      </w:pPr>
      <w:r w:rsidRPr="00092171">
        <w:rPr>
          <w:b/>
          <w:i/>
          <w:szCs w:val="24"/>
          <w:lang w:eastAsia="en-US"/>
        </w:rPr>
        <w:t>Do celów niniejszego rozporządzenia dostawcy internetowych platform handlowych spełniają wymogi określone w art. 22 rozporządzenia (UE) 2023/988.</w:t>
      </w:r>
      <w:r w:rsidR="00234E17">
        <w:rPr>
          <w:b/>
          <w:szCs w:val="24"/>
          <w:lang w:eastAsia="en-US"/>
        </w:rPr>
        <w:t xml:space="preserve"> [Popr. 116]</w:t>
      </w:r>
    </w:p>
    <w:p w:rsidR="00092171" w:rsidRPr="00092171" w:rsidRDefault="00092171" w:rsidP="00092171">
      <w:pPr>
        <w:spacing w:before="120" w:after="120" w:line="360" w:lineRule="auto"/>
        <w:jc w:val="center"/>
        <w:rPr>
          <w:szCs w:val="24"/>
          <w:lang w:eastAsia="en-US"/>
        </w:rPr>
      </w:pPr>
      <w:r w:rsidRPr="00092171">
        <w:rPr>
          <w:szCs w:val="24"/>
          <w:lang w:eastAsia="en-US"/>
        </w:rPr>
        <w:t xml:space="preserve">ROZDZIAŁ III </w:t>
      </w:r>
      <w:r w:rsidRPr="00092171">
        <w:rPr>
          <w:szCs w:val="24"/>
          <w:lang w:eastAsia="en-US"/>
        </w:rPr>
        <w:br/>
        <w:t xml:space="preserve">ZGODNOŚĆ ZABAWEK </w:t>
      </w:r>
    </w:p>
    <w:p w:rsidR="00092171" w:rsidRPr="00234E17" w:rsidRDefault="00092171" w:rsidP="00092171">
      <w:pPr>
        <w:spacing w:before="120" w:after="120" w:line="360" w:lineRule="auto"/>
        <w:jc w:val="center"/>
        <w:rPr>
          <w:b/>
          <w:szCs w:val="24"/>
          <w:lang w:eastAsia="en-US"/>
        </w:rPr>
      </w:pPr>
      <w:r w:rsidRPr="00092171">
        <w:rPr>
          <w:szCs w:val="24"/>
          <w:lang w:eastAsia="en-US"/>
        </w:rPr>
        <w:t>Artykuł 13</w:t>
      </w:r>
      <w:r w:rsidRPr="00092171">
        <w:rPr>
          <w:szCs w:val="24"/>
          <w:lang w:eastAsia="en-US"/>
        </w:rPr>
        <w:br/>
        <w:t>Domniemanie zgodności</w:t>
      </w:r>
      <w:r w:rsidRPr="00092171">
        <w:rPr>
          <w:b/>
          <w:i/>
          <w:szCs w:val="24"/>
          <w:lang w:eastAsia="en-US"/>
        </w:rPr>
        <w:t xml:space="preserve"> zabawek</w:t>
      </w:r>
      <w:r w:rsidR="00234E17">
        <w:rPr>
          <w:b/>
          <w:szCs w:val="24"/>
          <w:lang w:eastAsia="en-US"/>
        </w:rPr>
        <w:t xml:space="preserve"> [Popr. 117]</w:t>
      </w:r>
    </w:p>
    <w:p w:rsidR="00092171" w:rsidRPr="00092171" w:rsidRDefault="00092171" w:rsidP="00092171">
      <w:pPr>
        <w:spacing w:before="120" w:after="120" w:line="360" w:lineRule="auto"/>
        <w:rPr>
          <w:szCs w:val="24"/>
          <w:lang w:eastAsia="en-US"/>
        </w:rPr>
      </w:pPr>
      <w:r w:rsidRPr="00092171">
        <w:rPr>
          <w:szCs w:val="24"/>
          <w:lang w:eastAsia="en-US"/>
        </w:rPr>
        <w:t xml:space="preserve">W przypadku zabawek spełniających całkowicie lub częściowo normy zharmonizowane, do których odniesienie opublikowano w </w:t>
      </w:r>
      <w:r w:rsidR="00FD7FCD" w:rsidRPr="00FD7FCD">
        <w:rPr>
          <w:i/>
          <w:szCs w:val="24"/>
          <w:lang w:eastAsia="en-US"/>
        </w:rPr>
        <w:t>Dzienniku Urzędowym Unii Europejskiej</w:t>
      </w:r>
      <w:r w:rsidRPr="00092171">
        <w:rPr>
          <w:szCs w:val="24"/>
          <w:lang w:eastAsia="en-US"/>
        </w:rPr>
        <w:t>, domniemywa się, że spełniają one zasadnicze wymagania bezpieczeństwa w stopniu, w jakim wymaganie te są objęte tymi normami lub ich częścią.</w:t>
      </w:r>
    </w:p>
    <w:p w:rsidR="00234E17" w:rsidRDefault="00234E17">
      <w:pPr>
        <w:widowControl/>
        <w:rPr>
          <w:szCs w:val="24"/>
          <w:lang w:eastAsia="en-US"/>
        </w:rPr>
      </w:pPr>
      <w:r>
        <w:rPr>
          <w:szCs w:val="24"/>
          <w:lang w:eastAsia="en-US"/>
        </w:rPr>
        <w:br w:type="page"/>
      </w:r>
    </w:p>
    <w:p w:rsidR="00046627" w:rsidRDefault="00046627">
      <w:pPr>
        <w:widowControl/>
        <w:rPr>
          <w:szCs w:val="24"/>
          <w:lang w:eastAsia="en-US"/>
        </w:rPr>
      </w:pPr>
    </w:p>
    <w:p w:rsidR="00092171" w:rsidRPr="00092171" w:rsidRDefault="00092171" w:rsidP="00092171">
      <w:pPr>
        <w:spacing w:before="120" w:after="120" w:line="360" w:lineRule="auto"/>
        <w:jc w:val="center"/>
        <w:rPr>
          <w:szCs w:val="24"/>
          <w:lang w:eastAsia="en-US"/>
        </w:rPr>
      </w:pPr>
      <w:r w:rsidRPr="00092171">
        <w:rPr>
          <w:szCs w:val="24"/>
          <w:lang w:eastAsia="en-US"/>
        </w:rPr>
        <w:t>Artykuł 14</w:t>
      </w:r>
      <w:r w:rsidRPr="00092171">
        <w:rPr>
          <w:szCs w:val="24"/>
          <w:lang w:eastAsia="en-US"/>
        </w:rPr>
        <w:br/>
        <w:t>Wspólne specyfikacje</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W przypadku zabawek spełniających całkowicie lub częściowo wspólne specyfikacje, o których mowa w ust. 2 niniejszego artykułu, domniemywa się, że spełniają one zasadnicze wymagania bezpieczeństwa w stopniu, w jakim wymagania te są objęte tymi wspólnymi specyfikacjami lub ich częścią.</w:t>
      </w:r>
    </w:p>
    <w:p w:rsidR="00092171" w:rsidRPr="00046627" w:rsidRDefault="00092171" w:rsidP="00092171">
      <w:pPr>
        <w:spacing w:before="120" w:after="120" w:line="360" w:lineRule="auto"/>
        <w:ind w:left="850" w:hanging="850"/>
        <w:rPr>
          <w:b/>
          <w:szCs w:val="24"/>
          <w:lang w:eastAsia="en-US"/>
        </w:rPr>
      </w:pPr>
      <w:r w:rsidRPr="00092171">
        <w:rPr>
          <w:szCs w:val="24"/>
          <w:lang w:eastAsia="en-US"/>
        </w:rPr>
        <w:t>2.</w:t>
      </w:r>
      <w:r w:rsidRPr="00092171">
        <w:rPr>
          <w:szCs w:val="24"/>
          <w:lang w:eastAsia="en-US"/>
        </w:rPr>
        <w:tab/>
        <w:t xml:space="preserve">Komisja może – w drodze aktów </w:t>
      </w:r>
      <w:r w:rsidRPr="00092171">
        <w:rPr>
          <w:strike/>
          <w:szCs w:val="24"/>
          <w:lang w:eastAsia="en-US"/>
        </w:rPr>
        <w:t>wykonawczych</w:t>
      </w:r>
      <w:r w:rsidRPr="00092171">
        <w:rPr>
          <w:b/>
          <w:i/>
          <w:szCs w:val="24"/>
          <w:lang w:eastAsia="en-US"/>
        </w:rPr>
        <w:t>delegowanych, które uzupełniają niniejsze rozporządzenie</w:t>
      </w:r>
      <w:r w:rsidRPr="00092171">
        <w:rPr>
          <w:szCs w:val="24"/>
          <w:lang w:eastAsia="en-US"/>
        </w:rPr>
        <w:t xml:space="preserve"> – ustanowić wspólne specyfikacje w odniesieniu do zasadniczych wymagań bezpieczeństwa, </w:t>
      </w:r>
      <w:r w:rsidRPr="00092171">
        <w:rPr>
          <w:b/>
          <w:i/>
          <w:szCs w:val="24"/>
          <w:lang w:eastAsia="en-US"/>
        </w:rPr>
        <w:t xml:space="preserve">tylko </w:t>
      </w:r>
      <w:r w:rsidRPr="00092171">
        <w:rPr>
          <w:szCs w:val="24"/>
          <w:lang w:eastAsia="en-US"/>
        </w:rPr>
        <w:t>jeżeli spełnione są następujące warunki:</w:t>
      </w:r>
      <w:r w:rsidR="00046627">
        <w:rPr>
          <w:b/>
          <w:szCs w:val="24"/>
          <w:lang w:eastAsia="en-US"/>
        </w:rPr>
        <w:t xml:space="preserve"> [Popr. 118]</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r>
      <w:r w:rsidRPr="00092171">
        <w:rPr>
          <w:strike/>
          <w:szCs w:val="24"/>
          <w:lang w:eastAsia="en-US"/>
        </w:rPr>
        <w:t>nie istnieje żadna norma zharmonizowana obejmująca te wymagania, do której odniesienie opublikowano w Dzienniku Urzędowym Unii</w:t>
      </w:r>
      <w:r w:rsidRPr="00092171">
        <w:rPr>
          <w:b/>
          <w:i/>
          <w:szCs w:val="24"/>
          <w:lang w:eastAsia="en-US"/>
        </w:rPr>
        <w:t xml:space="preserve">zgodnie z art. 10 ust. 1 rozporządzenia </w:t>
      </w:r>
      <w:r w:rsidR="00843637">
        <w:rPr>
          <w:b/>
          <w:i/>
          <w:szCs w:val="24"/>
          <w:lang w:eastAsia="en-US"/>
        </w:rPr>
        <w:t xml:space="preserve">(UE) </w:t>
      </w:r>
      <w:r w:rsidRPr="00092171">
        <w:rPr>
          <w:b/>
          <w:i/>
          <w:szCs w:val="24"/>
          <w:lang w:eastAsia="en-US"/>
        </w:rPr>
        <w:t>nr 1025/2012 Komisja zwróciła się do co najmniej jednej</w:t>
      </w:r>
      <w:r w:rsidRPr="00092171">
        <w:rPr>
          <w:szCs w:val="24"/>
          <w:lang w:eastAsia="en-US"/>
        </w:rPr>
        <w:t xml:space="preserve"> europejskiej</w:t>
      </w:r>
      <w:r w:rsidRPr="00092171">
        <w:rPr>
          <w:strike/>
          <w:szCs w:val="24"/>
          <w:lang w:eastAsia="en-US"/>
        </w:rPr>
        <w:t>, lub taka norma nie spełnia</w:t>
      </w:r>
      <w:r w:rsidRPr="00092171">
        <w:rPr>
          <w:b/>
          <w:i/>
          <w:szCs w:val="24"/>
          <w:lang w:eastAsia="en-US"/>
        </w:rPr>
        <w:t xml:space="preserve"> organizacji normalizacyjnej z wnioskiem o przygotowanie lub przegląd norm europejskich w odniesieniu do tych</w:t>
      </w:r>
      <w:r w:rsidRPr="00092171">
        <w:rPr>
          <w:szCs w:val="24"/>
          <w:lang w:eastAsia="en-US"/>
        </w:rPr>
        <w:t xml:space="preserve"> wymagań</w:t>
      </w:r>
      <w:r w:rsidRPr="00092171">
        <w:rPr>
          <w:strike/>
          <w:szCs w:val="24"/>
          <w:lang w:eastAsia="en-US"/>
        </w:rPr>
        <w:t>, które ma obejmować;</w:t>
      </w:r>
      <w:r w:rsidRPr="00092171">
        <w:rPr>
          <w:b/>
          <w:i/>
          <w:szCs w:val="24"/>
          <w:lang w:eastAsia="en-US"/>
        </w:rPr>
        <w:t xml:space="preserve"> oraz:</w:t>
      </w:r>
    </w:p>
    <w:p w:rsidR="00092171" w:rsidRPr="00092171" w:rsidRDefault="00092171" w:rsidP="00092171">
      <w:pPr>
        <w:spacing w:before="120" w:after="120" w:line="360" w:lineRule="auto"/>
        <w:ind w:left="1982" w:hanging="566"/>
        <w:rPr>
          <w:szCs w:val="24"/>
          <w:lang w:eastAsia="en-US"/>
        </w:rPr>
      </w:pPr>
      <w:r w:rsidRPr="00092171">
        <w:rPr>
          <w:b/>
          <w:i/>
          <w:szCs w:val="24"/>
          <w:lang w:eastAsia="en-US"/>
        </w:rPr>
        <w:t>(i)</w:t>
      </w:r>
      <w:r w:rsidRPr="00092171">
        <w:rPr>
          <w:szCs w:val="24"/>
          <w:lang w:eastAsia="en-US"/>
        </w:rPr>
        <w:tab/>
      </w:r>
      <w:r w:rsidRPr="00092171">
        <w:rPr>
          <w:b/>
          <w:i/>
          <w:szCs w:val="24"/>
          <w:lang w:eastAsia="en-US"/>
        </w:rPr>
        <w:t>wniosek ten nie został przyjęty; lub</w:t>
      </w:r>
    </w:p>
    <w:p w:rsidR="00046627" w:rsidRDefault="00046627">
      <w:pPr>
        <w:widowControl/>
        <w:rPr>
          <w:b/>
          <w:i/>
          <w:szCs w:val="24"/>
          <w:lang w:eastAsia="en-US"/>
        </w:rPr>
      </w:pPr>
      <w:r>
        <w:rPr>
          <w:b/>
          <w:i/>
          <w:szCs w:val="24"/>
          <w:lang w:eastAsia="en-US"/>
        </w:rPr>
        <w:br w:type="page"/>
      </w:r>
    </w:p>
    <w:p w:rsidR="00092171" w:rsidRPr="00092171" w:rsidRDefault="00092171" w:rsidP="00092171">
      <w:pPr>
        <w:spacing w:before="120" w:after="120" w:line="360" w:lineRule="auto"/>
        <w:ind w:left="1982" w:hanging="566"/>
        <w:rPr>
          <w:szCs w:val="24"/>
          <w:lang w:eastAsia="en-US"/>
        </w:rPr>
      </w:pPr>
      <w:r w:rsidRPr="00092171">
        <w:rPr>
          <w:b/>
          <w:i/>
          <w:szCs w:val="24"/>
          <w:lang w:eastAsia="en-US"/>
        </w:rPr>
        <w:lastRenderedPageBreak/>
        <w:t>(ii)</w:t>
      </w:r>
      <w:r w:rsidRPr="00092171">
        <w:rPr>
          <w:szCs w:val="24"/>
          <w:lang w:eastAsia="en-US"/>
        </w:rPr>
        <w:tab/>
      </w:r>
      <w:r w:rsidRPr="00092171">
        <w:rPr>
          <w:b/>
          <w:i/>
          <w:szCs w:val="24"/>
          <w:lang w:eastAsia="en-US"/>
        </w:rPr>
        <w:t>normy zharmonizowane stanowiące odpowiedź na ten wniosek nie zostały dostarczone w terminie określonym zgodnie z art. 10 ust. 1 rozporządzenia (UE) nr 1025/2012; lub</w:t>
      </w:r>
    </w:p>
    <w:p w:rsidR="00092171" w:rsidRPr="00046627" w:rsidRDefault="00092171" w:rsidP="00092171">
      <w:pPr>
        <w:spacing w:before="120" w:after="120" w:line="360" w:lineRule="auto"/>
        <w:ind w:left="1982" w:hanging="566"/>
        <w:rPr>
          <w:b/>
          <w:szCs w:val="24"/>
          <w:lang w:eastAsia="en-US"/>
        </w:rPr>
      </w:pPr>
      <w:r w:rsidRPr="00092171">
        <w:rPr>
          <w:b/>
          <w:i/>
          <w:szCs w:val="24"/>
          <w:lang w:eastAsia="en-US"/>
        </w:rPr>
        <w:t>(iii)</w:t>
      </w:r>
      <w:r w:rsidRPr="00092171">
        <w:rPr>
          <w:szCs w:val="24"/>
          <w:lang w:eastAsia="en-US"/>
        </w:rPr>
        <w:tab/>
      </w:r>
      <w:r w:rsidRPr="00092171">
        <w:rPr>
          <w:b/>
          <w:i/>
          <w:szCs w:val="24"/>
          <w:lang w:eastAsia="en-US"/>
        </w:rPr>
        <w:t>normy zharmonizowane nie są zgodne z wnioskiem; oraz</w:t>
      </w:r>
      <w:r w:rsidR="00046627">
        <w:rPr>
          <w:b/>
          <w:szCs w:val="24"/>
          <w:lang w:eastAsia="en-US"/>
        </w:rPr>
        <w:t xml:space="preserve"> [Popr. 119]</w:t>
      </w:r>
    </w:p>
    <w:p w:rsidR="00092171" w:rsidRPr="00046627" w:rsidRDefault="00092171" w:rsidP="00092171">
      <w:pPr>
        <w:spacing w:before="120" w:after="120" w:line="360" w:lineRule="auto"/>
        <w:ind w:left="1416" w:hanging="566"/>
        <w:rPr>
          <w:b/>
          <w:szCs w:val="24"/>
          <w:lang w:eastAsia="en-US"/>
        </w:rPr>
      </w:pPr>
      <w:r w:rsidRPr="00092171">
        <w:rPr>
          <w:szCs w:val="24"/>
          <w:lang w:eastAsia="en-US"/>
        </w:rPr>
        <w:t>b)</w:t>
      </w:r>
      <w:r w:rsidRPr="00092171">
        <w:rPr>
          <w:szCs w:val="24"/>
          <w:lang w:eastAsia="en-US"/>
        </w:rPr>
        <w:tab/>
      </w:r>
      <w:r w:rsidRPr="00092171">
        <w:rPr>
          <w:b/>
          <w:i/>
          <w:szCs w:val="24"/>
          <w:lang w:eastAsia="en-US"/>
        </w:rPr>
        <w:t xml:space="preserve">w </w:t>
      </w:r>
      <w:r w:rsidR="00FD7FCD" w:rsidRPr="00FD7FCD">
        <w:rPr>
          <w:b/>
          <w:i/>
          <w:szCs w:val="24"/>
          <w:lang w:eastAsia="en-US"/>
        </w:rPr>
        <w:t>Dzienniku Urzędowym Unii Europejskiej</w:t>
      </w:r>
      <w:r w:rsidRPr="00092171">
        <w:rPr>
          <w:b/>
          <w:i/>
          <w:szCs w:val="24"/>
          <w:lang w:eastAsia="en-US"/>
        </w:rPr>
        <w:t xml:space="preserve"> nie opublikowano odniesienia do norm zharmonizowanych obejmujących wymogi dotyczące produktu </w:t>
      </w:r>
      <w:r w:rsidRPr="00092171">
        <w:rPr>
          <w:szCs w:val="24"/>
          <w:lang w:eastAsia="en-US"/>
        </w:rPr>
        <w:t xml:space="preserve">zgodnie z </w:t>
      </w:r>
      <w:r w:rsidRPr="00092171">
        <w:rPr>
          <w:strike/>
          <w:szCs w:val="24"/>
          <w:lang w:eastAsia="en-US"/>
        </w:rPr>
        <w:t>art. 10 ust. 1</w:t>
      </w:r>
      <w:r w:rsidRPr="00092171">
        <w:rPr>
          <w:b/>
          <w:i/>
          <w:szCs w:val="24"/>
          <w:lang w:eastAsia="en-US"/>
        </w:rPr>
        <w:t>przepisami</w:t>
      </w:r>
      <w:r w:rsidRPr="00092171">
        <w:rPr>
          <w:szCs w:val="24"/>
          <w:lang w:eastAsia="en-US"/>
        </w:rPr>
        <w:t xml:space="preserve"> rozporządzenia </w:t>
      </w:r>
      <w:r w:rsidRPr="00092171">
        <w:rPr>
          <w:b/>
          <w:i/>
          <w:szCs w:val="24"/>
          <w:lang w:eastAsia="en-US"/>
        </w:rPr>
        <w:t xml:space="preserve">(UE) </w:t>
      </w:r>
      <w:r w:rsidRPr="00092171">
        <w:rPr>
          <w:szCs w:val="24"/>
          <w:lang w:eastAsia="en-US"/>
        </w:rPr>
        <w:t xml:space="preserve">nr 1025/2012 </w:t>
      </w:r>
      <w:r w:rsidRPr="00092171">
        <w:rPr>
          <w:strike/>
          <w:szCs w:val="24"/>
          <w:lang w:eastAsia="en-US"/>
        </w:rPr>
        <w:t>Komisja zwróciła się do co najmniej jednej europejskiej organizacji normalizacyjnej z wnioskiem o przygotowanie lub przegląd norm europejskich w odniesieniu do tych wymagań oraz spełniony jest jeden z poniższych warunków:</w:t>
      </w:r>
      <w:r w:rsidRPr="00092171">
        <w:rPr>
          <w:b/>
          <w:i/>
          <w:szCs w:val="24"/>
          <w:lang w:eastAsia="en-US"/>
        </w:rPr>
        <w:t>i nie przewiduje się opublikowania takiego odniesienia w rozsądnym terminie.</w:t>
      </w:r>
      <w:r w:rsidR="00046627">
        <w:rPr>
          <w:b/>
          <w:szCs w:val="24"/>
          <w:lang w:eastAsia="en-US"/>
        </w:rPr>
        <w:t xml:space="preserve"> [Popr. 120]</w:t>
      </w:r>
    </w:p>
    <w:p w:rsidR="00092171" w:rsidRPr="00046627" w:rsidRDefault="00092171" w:rsidP="00092171">
      <w:pPr>
        <w:spacing w:before="120" w:after="120" w:line="360" w:lineRule="auto"/>
        <w:ind w:left="1982" w:hanging="566"/>
        <w:rPr>
          <w:b/>
          <w:szCs w:val="24"/>
          <w:lang w:eastAsia="en-US"/>
        </w:rPr>
      </w:pPr>
      <w:r w:rsidRPr="00092171">
        <w:rPr>
          <w:strike/>
          <w:szCs w:val="24"/>
          <w:lang w:eastAsia="en-US"/>
        </w:rPr>
        <w:t>1)</w:t>
      </w:r>
      <w:r w:rsidRPr="00092171">
        <w:rPr>
          <w:szCs w:val="24"/>
          <w:lang w:eastAsia="en-US"/>
        </w:rPr>
        <w:tab/>
      </w:r>
      <w:r w:rsidRPr="00092171">
        <w:rPr>
          <w:strike/>
          <w:szCs w:val="24"/>
          <w:lang w:eastAsia="en-US"/>
        </w:rPr>
        <w:t>wniosku tego nie rozpatrzyła pozytywnie żadna z europejskich organizacji normalizacyjnych będących jego adresatami;</w:t>
      </w:r>
      <w:r w:rsidR="00046627">
        <w:rPr>
          <w:b/>
          <w:szCs w:val="24"/>
          <w:lang w:eastAsia="en-US"/>
        </w:rPr>
        <w:t xml:space="preserve"> [Popr. 121]</w:t>
      </w:r>
    </w:p>
    <w:p w:rsidR="00046627" w:rsidRDefault="00046627">
      <w:pPr>
        <w:widowControl/>
        <w:rPr>
          <w:strike/>
          <w:szCs w:val="24"/>
          <w:lang w:eastAsia="en-US"/>
        </w:rPr>
      </w:pPr>
      <w:r>
        <w:rPr>
          <w:strike/>
          <w:szCs w:val="24"/>
          <w:lang w:eastAsia="en-US"/>
        </w:rPr>
        <w:br w:type="page"/>
      </w:r>
    </w:p>
    <w:p w:rsidR="00092171" w:rsidRPr="00092171" w:rsidRDefault="00092171" w:rsidP="00092171">
      <w:pPr>
        <w:spacing w:before="120" w:after="120" w:line="360" w:lineRule="auto"/>
        <w:ind w:left="1982" w:hanging="566"/>
        <w:rPr>
          <w:szCs w:val="24"/>
          <w:lang w:eastAsia="en-US"/>
        </w:rPr>
      </w:pPr>
      <w:r w:rsidRPr="00092171">
        <w:rPr>
          <w:strike/>
          <w:szCs w:val="24"/>
          <w:lang w:eastAsia="en-US"/>
        </w:rPr>
        <w:lastRenderedPageBreak/>
        <w:t>2)</w:t>
      </w:r>
      <w:r w:rsidRPr="00092171">
        <w:rPr>
          <w:szCs w:val="24"/>
          <w:lang w:eastAsia="en-US"/>
        </w:rPr>
        <w:tab/>
      </w:r>
      <w:r w:rsidRPr="00092171">
        <w:rPr>
          <w:strike/>
          <w:szCs w:val="24"/>
          <w:lang w:eastAsia="en-US"/>
        </w:rPr>
        <w:t>wniosek ten został rozpatrzony pozytywnie przez co najmniej jedną z europejskich organizacji normalizacyjnych będących jego adresatami, ale normy europejskie stanowiące przedmiot wniosku:</w:t>
      </w:r>
    </w:p>
    <w:p w:rsidR="00092171" w:rsidRPr="00092171" w:rsidRDefault="00092171" w:rsidP="00092171">
      <w:pPr>
        <w:spacing w:before="120" w:after="120" w:line="360" w:lineRule="auto"/>
        <w:ind w:left="2548" w:hanging="566"/>
        <w:rPr>
          <w:szCs w:val="24"/>
          <w:lang w:eastAsia="en-US"/>
        </w:rPr>
      </w:pPr>
      <w:r w:rsidRPr="00092171">
        <w:rPr>
          <w:strike/>
          <w:szCs w:val="24"/>
          <w:lang w:eastAsia="en-US"/>
        </w:rPr>
        <w:t>a)</w:t>
      </w:r>
      <w:r w:rsidRPr="00092171">
        <w:rPr>
          <w:szCs w:val="24"/>
          <w:lang w:eastAsia="en-US"/>
        </w:rPr>
        <w:tab/>
      </w:r>
      <w:r w:rsidRPr="00092171">
        <w:rPr>
          <w:strike/>
          <w:szCs w:val="24"/>
          <w:lang w:eastAsia="en-US"/>
        </w:rPr>
        <w:t>nie zostały przyjęte w terminie określonym we wniosku;</w:t>
      </w:r>
    </w:p>
    <w:p w:rsidR="00092171" w:rsidRPr="00092171" w:rsidRDefault="00092171" w:rsidP="00092171">
      <w:pPr>
        <w:spacing w:before="120" w:after="120" w:line="360" w:lineRule="auto"/>
        <w:ind w:left="2548" w:hanging="566"/>
        <w:rPr>
          <w:szCs w:val="24"/>
          <w:lang w:eastAsia="en-US"/>
        </w:rPr>
      </w:pPr>
      <w:r w:rsidRPr="00092171">
        <w:rPr>
          <w:strike/>
          <w:szCs w:val="24"/>
          <w:lang w:eastAsia="en-US"/>
        </w:rPr>
        <w:t>b)</w:t>
      </w:r>
      <w:r w:rsidRPr="00092171">
        <w:rPr>
          <w:szCs w:val="24"/>
          <w:lang w:eastAsia="en-US"/>
        </w:rPr>
        <w:tab/>
      </w:r>
      <w:r w:rsidRPr="00092171">
        <w:rPr>
          <w:strike/>
          <w:szCs w:val="24"/>
          <w:lang w:eastAsia="en-US"/>
        </w:rPr>
        <w:t>nie są zgodne z wnioskiem; lub</w:t>
      </w:r>
    </w:p>
    <w:p w:rsidR="00092171" w:rsidRPr="00046627" w:rsidRDefault="00092171" w:rsidP="00092171">
      <w:pPr>
        <w:spacing w:before="120" w:after="120" w:line="360" w:lineRule="auto"/>
        <w:ind w:left="2548" w:hanging="566"/>
        <w:rPr>
          <w:b/>
          <w:szCs w:val="24"/>
          <w:lang w:eastAsia="en-US"/>
        </w:rPr>
      </w:pPr>
      <w:r w:rsidRPr="00092171">
        <w:rPr>
          <w:strike/>
          <w:szCs w:val="24"/>
          <w:lang w:eastAsia="en-US"/>
        </w:rPr>
        <w:t>c)</w:t>
      </w:r>
      <w:r w:rsidRPr="00092171">
        <w:rPr>
          <w:szCs w:val="24"/>
          <w:lang w:eastAsia="en-US"/>
        </w:rPr>
        <w:tab/>
      </w:r>
      <w:r w:rsidRPr="00092171">
        <w:rPr>
          <w:strike/>
          <w:szCs w:val="24"/>
          <w:lang w:eastAsia="en-US"/>
        </w:rPr>
        <w:t>nie spełniają wymagań, które mają obejmować.</w:t>
      </w:r>
      <w:r w:rsidR="00046627">
        <w:rPr>
          <w:b/>
          <w:szCs w:val="24"/>
          <w:lang w:eastAsia="en-US"/>
        </w:rPr>
        <w:t xml:space="preserve"> [Popr. 122]</w:t>
      </w:r>
    </w:p>
    <w:p w:rsidR="00092171" w:rsidRPr="00046627" w:rsidRDefault="00092171" w:rsidP="00092171">
      <w:pPr>
        <w:spacing w:before="120" w:after="120" w:line="360" w:lineRule="auto"/>
        <w:ind w:left="850"/>
        <w:rPr>
          <w:b/>
          <w:szCs w:val="24"/>
          <w:lang w:eastAsia="en-US"/>
        </w:rPr>
      </w:pPr>
      <w:r w:rsidRPr="00092171">
        <w:rPr>
          <w:strike/>
          <w:szCs w:val="24"/>
          <w:lang w:eastAsia="en-US"/>
        </w:rPr>
        <w:t>Te akty wykonawcze przyjmuje się zgodnie z procedurą sprawdzającą, o której mowa w art. 50 ust. 3.</w:t>
      </w:r>
      <w:r w:rsidR="00046627">
        <w:rPr>
          <w:b/>
          <w:szCs w:val="24"/>
          <w:lang w:eastAsia="en-US"/>
        </w:rPr>
        <w:t xml:space="preserve"> [Popr. 123]</w:t>
      </w:r>
    </w:p>
    <w:p w:rsidR="00092171" w:rsidRPr="00046627" w:rsidRDefault="00092171" w:rsidP="00092171">
      <w:pPr>
        <w:spacing w:before="120" w:after="120" w:line="360" w:lineRule="auto"/>
        <w:ind w:left="850" w:hanging="850"/>
        <w:rPr>
          <w:b/>
          <w:szCs w:val="24"/>
          <w:lang w:eastAsia="en-US"/>
        </w:rPr>
      </w:pPr>
      <w:r w:rsidRPr="00092171">
        <w:rPr>
          <w:b/>
          <w:i/>
          <w:szCs w:val="24"/>
          <w:lang w:eastAsia="en-US"/>
        </w:rPr>
        <w:t>2a.</w:t>
      </w:r>
      <w:r w:rsidRPr="00092171">
        <w:rPr>
          <w:szCs w:val="24"/>
          <w:lang w:eastAsia="en-US"/>
        </w:rPr>
        <w:tab/>
      </w:r>
      <w:r w:rsidRPr="00092171">
        <w:rPr>
          <w:b/>
          <w:i/>
          <w:szCs w:val="24"/>
          <w:lang w:eastAsia="en-US"/>
        </w:rPr>
        <w:t>Przygotowując akt delegowany, o którym mowa w ust. 2, Komisja uwzględnia opinie odpowiednich organów i grup eksperckich.</w:t>
      </w:r>
      <w:r w:rsidR="00046627">
        <w:rPr>
          <w:b/>
          <w:szCs w:val="24"/>
          <w:lang w:eastAsia="en-US"/>
        </w:rPr>
        <w:t xml:space="preserve"> [Popr. 124]</w:t>
      </w:r>
    </w:p>
    <w:p w:rsidR="00092171" w:rsidRPr="00046627" w:rsidRDefault="00092171" w:rsidP="00092171">
      <w:pPr>
        <w:spacing w:before="120" w:after="120" w:line="360" w:lineRule="auto"/>
        <w:ind w:left="850" w:hanging="850"/>
        <w:rPr>
          <w:b/>
          <w:szCs w:val="24"/>
          <w:lang w:eastAsia="en-US"/>
        </w:rPr>
      </w:pPr>
      <w:r w:rsidRPr="00092171">
        <w:rPr>
          <w:szCs w:val="24"/>
          <w:lang w:eastAsia="en-US"/>
        </w:rPr>
        <w:t>3.</w:t>
      </w:r>
      <w:r w:rsidRPr="00092171">
        <w:rPr>
          <w:szCs w:val="24"/>
          <w:lang w:eastAsia="en-US"/>
        </w:rPr>
        <w:tab/>
        <w:t xml:space="preserve">Jeżeli odniesienia do normy zharmonizowanej zostają opublikowane w </w:t>
      </w:r>
      <w:r w:rsidR="00FD7FCD" w:rsidRPr="00FD7FCD">
        <w:rPr>
          <w:i/>
          <w:szCs w:val="24"/>
          <w:lang w:eastAsia="en-US"/>
        </w:rPr>
        <w:t>Dzienniku Urzędowym Unii Europejskiej</w:t>
      </w:r>
      <w:r w:rsidRPr="00092171">
        <w:rPr>
          <w:szCs w:val="24"/>
          <w:lang w:eastAsia="en-US"/>
        </w:rPr>
        <w:t xml:space="preserve">, Komisja ocenia, czy akty </w:t>
      </w:r>
      <w:r w:rsidRPr="00092171">
        <w:rPr>
          <w:strike/>
          <w:szCs w:val="24"/>
          <w:lang w:eastAsia="en-US"/>
        </w:rPr>
        <w:t>wykonawcze</w:t>
      </w:r>
      <w:r w:rsidRPr="00092171">
        <w:rPr>
          <w:b/>
          <w:i/>
          <w:szCs w:val="24"/>
          <w:lang w:eastAsia="en-US"/>
        </w:rPr>
        <w:t>delegowane</w:t>
      </w:r>
      <w:r w:rsidRPr="00092171">
        <w:rPr>
          <w:szCs w:val="24"/>
          <w:lang w:eastAsia="en-US"/>
        </w:rPr>
        <w:t>, o których mowa w ust. 2 niniejszego artykułu i które obejmują to samo zasadnicze wymaganie bezpieczeństwa, należy uchylić lub zmienić.</w:t>
      </w:r>
      <w:r w:rsidR="00046627">
        <w:rPr>
          <w:b/>
          <w:szCs w:val="24"/>
          <w:lang w:eastAsia="en-US"/>
        </w:rPr>
        <w:t xml:space="preserve"> [Popr. 125]</w:t>
      </w:r>
    </w:p>
    <w:p w:rsidR="00046627" w:rsidRDefault="00046627">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15</w:t>
      </w:r>
      <w:r w:rsidRPr="00092171">
        <w:rPr>
          <w:szCs w:val="24"/>
          <w:lang w:eastAsia="en-US"/>
        </w:rPr>
        <w:br/>
        <w:t>Ogólne zasady dotyczące oznakowania CE</w:t>
      </w:r>
    </w:p>
    <w:p w:rsidR="00092171" w:rsidRPr="00092171" w:rsidRDefault="00092171" w:rsidP="00092171">
      <w:pPr>
        <w:spacing w:before="120" w:after="120" w:line="360" w:lineRule="auto"/>
        <w:rPr>
          <w:szCs w:val="24"/>
          <w:lang w:eastAsia="en-US"/>
        </w:rPr>
      </w:pPr>
      <w:r w:rsidRPr="00092171">
        <w:rPr>
          <w:szCs w:val="24"/>
          <w:lang w:eastAsia="en-US"/>
        </w:rPr>
        <w:t>Zabawki udostępniane na rynku są opatrzone oznakowaniem CE.</w:t>
      </w:r>
    </w:p>
    <w:p w:rsidR="00092171" w:rsidRPr="00092171" w:rsidRDefault="00092171" w:rsidP="00092171">
      <w:pPr>
        <w:spacing w:before="120" w:after="120" w:line="360" w:lineRule="auto"/>
        <w:rPr>
          <w:szCs w:val="24"/>
          <w:lang w:eastAsia="en-US"/>
        </w:rPr>
      </w:pPr>
      <w:r w:rsidRPr="00092171">
        <w:rPr>
          <w:szCs w:val="24"/>
          <w:lang w:eastAsia="en-US"/>
        </w:rPr>
        <w:t>Oznakowanie CE podlega ogólnym zasadom określonym w art. 30 rozporządzenia (WE) nr 765/2008.</w:t>
      </w:r>
    </w:p>
    <w:p w:rsidR="00092171" w:rsidRPr="00092171" w:rsidRDefault="00092171" w:rsidP="00092171">
      <w:pPr>
        <w:spacing w:before="120" w:after="120" w:line="360" w:lineRule="auto"/>
        <w:jc w:val="center"/>
        <w:rPr>
          <w:szCs w:val="24"/>
          <w:lang w:eastAsia="en-US"/>
        </w:rPr>
      </w:pPr>
      <w:r w:rsidRPr="00092171">
        <w:rPr>
          <w:szCs w:val="24"/>
          <w:lang w:eastAsia="en-US"/>
        </w:rPr>
        <w:t>Artykuł 16</w:t>
      </w:r>
      <w:r w:rsidRPr="00092171">
        <w:rPr>
          <w:szCs w:val="24"/>
          <w:lang w:eastAsia="en-US"/>
        </w:rPr>
        <w:br/>
        <w:t xml:space="preserve">Reguły i warunki dotyczące umieszczania oznakowania CE </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Oznakowanie CE umieszcza się w sposób widoczny, czytelny i trwały na zabawce, na etykiecie przytwierdzonej do zabawki lub na opakowaniu zabawki.</w:t>
      </w:r>
    </w:p>
    <w:p w:rsidR="00092171" w:rsidRPr="00092171" w:rsidRDefault="00092171" w:rsidP="00092171">
      <w:pPr>
        <w:spacing w:before="120" w:after="120" w:line="360" w:lineRule="auto"/>
        <w:ind w:left="850"/>
        <w:rPr>
          <w:szCs w:val="24"/>
          <w:lang w:eastAsia="en-US"/>
        </w:rPr>
      </w:pPr>
      <w:r w:rsidRPr="00092171">
        <w:rPr>
          <w:szCs w:val="24"/>
          <w:lang w:eastAsia="en-US"/>
        </w:rPr>
        <w:t>Na zasadzie odstępstwa od akapitu pierwszego w przypadku małych zabawek lub zabawek złożonych z małych części oznakowanie CE może również być umieszczone na ulotce załączonej do zabawki.</w:t>
      </w:r>
    </w:p>
    <w:p w:rsidR="00046627" w:rsidRDefault="00046627">
      <w:pPr>
        <w:widowControl/>
        <w:rPr>
          <w:szCs w:val="24"/>
          <w:lang w:eastAsia="en-US"/>
        </w:rPr>
      </w:pPr>
      <w:r>
        <w:rPr>
          <w:szCs w:val="24"/>
          <w:lang w:eastAsia="en-US"/>
        </w:rPr>
        <w:br w:type="page"/>
      </w:r>
    </w:p>
    <w:p w:rsidR="00092171" w:rsidRPr="00092171" w:rsidRDefault="00092171" w:rsidP="00092171">
      <w:pPr>
        <w:spacing w:before="120" w:after="120" w:line="360" w:lineRule="auto"/>
        <w:ind w:left="850"/>
        <w:rPr>
          <w:szCs w:val="24"/>
          <w:lang w:eastAsia="en-US"/>
        </w:rPr>
      </w:pPr>
      <w:r w:rsidRPr="00092171">
        <w:rPr>
          <w:szCs w:val="24"/>
          <w:lang w:eastAsia="en-US"/>
        </w:rPr>
        <w:lastRenderedPageBreak/>
        <w:t>Na zasadzie odstępstwa od akapitu pierwszego w przypadku zabawek umieszczanych w ekspozytorach, w przypadku których umieszczenie oznakowania CE na każdej poszczególnej zabawce jest technicznie niemożliwe, oznakowanie CE można umieścić na ekspozytorze, pod warunkiem że ekspozytor był pierwotnie wykorzystany jako opakowanie zabawek.</w:t>
      </w:r>
    </w:p>
    <w:p w:rsidR="00092171" w:rsidRPr="00092171" w:rsidRDefault="00092171" w:rsidP="00092171">
      <w:pPr>
        <w:spacing w:before="120" w:after="120" w:line="360" w:lineRule="auto"/>
        <w:ind w:left="850"/>
        <w:rPr>
          <w:szCs w:val="24"/>
          <w:lang w:eastAsia="en-US"/>
        </w:rPr>
      </w:pPr>
      <w:r w:rsidRPr="00092171">
        <w:rPr>
          <w:szCs w:val="24"/>
          <w:lang w:eastAsia="en-US"/>
        </w:rPr>
        <w:t>Jeśli oznakowanie CE umieszczone na zabawce jest niewidoczne przez opakowanie, to powinno ono być umieszczone również na opakowaniu.</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Oznakowanie CE umieszcza się przed wprowadzeniem zabawki do obrotu.</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W stosownych przypadkach zgodnie z art. 6 za oznakowaniem CE umieszcza się piktogram lub innego rodzaju ostrzeżenie wskazujące na szczególne ryzyko lub zastosowanie.</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Państwa członkowskie korzystają z istniejących mechanizmów, aby zapewnić prawidłowe stosowanie systemu oznakowania CE, oraz podejmują odpowiednie działania w przypadku jego niewłaściwego wykorzystania.</w:t>
      </w:r>
    </w:p>
    <w:p w:rsidR="00046627" w:rsidRDefault="00046627">
      <w:pPr>
        <w:widowControl/>
        <w:rPr>
          <w:szCs w:val="24"/>
          <w:lang w:eastAsia="en-US"/>
        </w:rPr>
      </w:pPr>
      <w:r>
        <w:rPr>
          <w:szCs w:val="24"/>
          <w:lang w:eastAsia="en-US"/>
        </w:rPr>
        <w:br w:type="page"/>
      </w:r>
    </w:p>
    <w:p w:rsidR="00092171" w:rsidRPr="00046627" w:rsidRDefault="00092171" w:rsidP="00092171">
      <w:pPr>
        <w:spacing w:before="120" w:after="120" w:line="360" w:lineRule="auto"/>
        <w:jc w:val="center"/>
        <w:rPr>
          <w:b/>
          <w:szCs w:val="24"/>
          <w:lang w:eastAsia="en-US"/>
        </w:rPr>
      </w:pPr>
      <w:r w:rsidRPr="00092171">
        <w:rPr>
          <w:szCs w:val="24"/>
          <w:lang w:eastAsia="en-US"/>
        </w:rPr>
        <w:lastRenderedPageBreak/>
        <w:t xml:space="preserve">ROZDZIAŁ IV </w:t>
      </w:r>
      <w:r w:rsidRPr="00092171">
        <w:rPr>
          <w:szCs w:val="24"/>
          <w:lang w:eastAsia="en-US"/>
        </w:rPr>
        <w:br/>
      </w:r>
      <w:r w:rsidRPr="00092171">
        <w:rPr>
          <w:b/>
          <w:i/>
          <w:szCs w:val="24"/>
          <w:lang w:eastAsia="en-US"/>
        </w:rPr>
        <w:t xml:space="preserve">CYFROWY </w:t>
      </w:r>
      <w:r w:rsidRPr="00092171">
        <w:rPr>
          <w:szCs w:val="24"/>
          <w:lang w:eastAsia="en-US"/>
        </w:rPr>
        <w:t>PASZPORT PRODUKTU</w:t>
      </w:r>
      <w:r w:rsidR="00046627">
        <w:rPr>
          <w:b/>
          <w:szCs w:val="24"/>
          <w:lang w:eastAsia="en-US"/>
        </w:rPr>
        <w:t xml:space="preserve"> [Popr. 126]</w:t>
      </w:r>
    </w:p>
    <w:p w:rsidR="00092171" w:rsidRPr="00046627" w:rsidRDefault="00092171" w:rsidP="00092171">
      <w:pPr>
        <w:spacing w:before="120" w:after="120" w:line="360" w:lineRule="auto"/>
        <w:jc w:val="center"/>
        <w:rPr>
          <w:b/>
          <w:szCs w:val="24"/>
          <w:lang w:eastAsia="en-US"/>
        </w:rPr>
      </w:pPr>
      <w:r w:rsidRPr="00092171">
        <w:rPr>
          <w:szCs w:val="24"/>
          <w:lang w:eastAsia="en-US"/>
        </w:rPr>
        <w:t>Artykuł 17</w:t>
      </w:r>
      <w:r w:rsidRPr="00092171">
        <w:rPr>
          <w:szCs w:val="24"/>
          <w:lang w:eastAsia="en-US"/>
        </w:rPr>
        <w:br/>
      </w:r>
      <w:r w:rsidRPr="00092171">
        <w:rPr>
          <w:b/>
          <w:i/>
          <w:szCs w:val="24"/>
          <w:lang w:eastAsia="en-US"/>
        </w:rPr>
        <w:t xml:space="preserve">Cyfrowy </w:t>
      </w:r>
      <w:r w:rsidRPr="00092171">
        <w:rPr>
          <w:szCs w:val="24"/>
          <w:lang w:eastAsia="en-US"/>
        </w:rPr>
        <w:t>paszport produktu</w:t>
      </w:r>
      <w:r w:rsidR="00046627">
        <w:rPr>
          <w:b/>
          <w:szCs w:val="24"/>
          <w:lang w:eastAsia="en-US"/>
        </w:rPr>
        <w:t xml:space="preserve"> [Popr. 127]</w:t>
      </w:r>
    </w:p>
    <w:p w:rsidR="00092171" w:rsidRPr="00046627"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 xml:space="preserve">Przed wprowadzeniem zabawki do obrotu producenci </w:t>
      </w:r>
      <w:r w:rsidRPr="00092171">
        <w:rPr>
          <w:strike/>
          <w:szCs w:val="24"/>
          <w:lang w:eastAsia="en-US"/>
        </w:rPr>
        <w:t>sporządzają</w:t>
      </w:r>
      <w:r w:rsidRPr="00092171">
        <w:rPr>
          <w:b/>
          <w:i/>
          <w:szCs w:val="24"/>
          <w:lang w:eastAsia="en-US"/>
        </w:rPr>
        <w:t>przygotowują cyfrowy</w:t>
      </w:r>
      <w:r w:rsidRPr="00092171">
        <w:rPr>
          <w:szCs w:val="24"/>
          <w:lang w:eastAsia="en-US"/>
        </w:rPr>
        <w:t xml:space="preserve"> paszport produktu w odniesieniu do tej zabawki.</w:t>
      </w:r>
      <w:r w:rsidRPr="00092171">
        <w:rPr>
          <w:b/>
          <w:i/>
          <w:szCs w:val="24"/>
          <w:lang w:eastAsia="en-US"/>
        </w:rPr>
        <w:t xml:space="preserve"> Cyfrowy</w:t>
      </w:r>
      <w:r w:rsidRPr="00092171">
        <w:rPr>
          <w:szCs w:val="24"/>
          <w:lang w:eastAsia="en-US"/>
        </w:rPr>
        <w:t xml:space="preserve"> paszport produktu musi spełniać wymogi określone w niniejszym artykule i art. 18</w:t>
      </w:r>
      <w:r w:rsidRPr="00092171">
        <w:rPr>
          <w:b/>
          <w:i/>
          <w:szCs w:val="24"/>
          <w:lang w:eastAsia="en-US"/>
        </w:rPr>
        <w:t xml:space="preserve"> oraz w innych odpowiednich zharmonizowanych przepisach Unii wymagających deklaracji zgodności UE i zastępuje wszystkie wymagane deklaracje zgodności UE</w:t>
      </w:r>
      <w:r w:rsidRPr="00092171">
        <w:rPr>
          <w:szCs w:val="24"/>
          <w:lang w:eastAsia="en-US"/>
        </w:rPr>
        <w:t>.</w:t>
      </w:r>
      <w:r w:rsidR="00046627">
        <w:rPr>
          <w:b/>
          <w:szCs w:val="24"/>
          <w:lang w:eastAsia="en-US"/>
        </w:rPr>
        <w:t xml:space="preserve"> [Popr. 128]</w:t>
      </w:r>
    </w:p>
    <w:p w:rsidR="00092171" w:rsidRPr="00046627" w:rsidRDefault="00092171" w:rsidP="00092171">
      <w:pPr>
        <w:spacing w:before="120" w:after="120" w:line="360" w:lineRule="auto"/>
        <w:ind w:left="850" w:hanging="850"/>
        <w:rPr>
          <w:b/>
          <w:szCs w:val="24"/>
          <w:lang w:eastAsia="en-US"/>
        </w:rPr>
      </w:pPr>
      <w:r w:rsidRPr="00092171">
        <w:rPr>
          <w:szCs w:val="24"/>
          <w:lang w:eastAsia="en-US"/>
        </w:rPr>
        <w:t>2.</w:t>
      </w:r>
      <w:r w:rsidRPr="00092171">
        <w:rPr>
          <w:szCs w:val="24"/>
          <w:lang w:eastAsia="en-US"/>
        </w:rPr>
        <w:tab/>
      </w:r>
      <w:r w:rsidRPr="00092171">
        <w:rPr>
          <w:b/>
          <w:i/>
          <w:szCs w:val="24"/>
          <w:lang w:eastAsia="en-US"/>
        </w:rPr>
        <w:t xml:space="preserve">Cyfrowy </w:t>
      </w:r>
      <w:r w:rsidRPr="00092171">
        <w:rPr>
          <w:szCs w:val="24"/>
          <w:lang w:eastAsia="en-US"/>
        </w:rPr>
        <w:t>paszport produktu musi:</w:t>
      </w:r>
      <w:r w:rsidR="00046627">
        <w:rPr>
          <w:b/>
          <w:szCs w:val="24"/>
          <w:lang w:eastAsia="en-US"/>
        </w:rPr>
        <w:t xml:space="preserve"> [Popr. 129]</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odpowiadać konkretnemu modelowi zabawki;</w:t>
      </w:r>
    </w:p>
    <w:p w:rsidR="00092171" w:rsidRPr="00046627" w:rsidRDefault="00092171" w:rsidP="00092171">
      <w:pPr>
        <w:spacing w:before="120" w:after="120" w:line="360" w:lineRule="auto"/>
        <w:ind w:left="1416" w:hanging="566"/>
        <w:rPr>
          <w:b/>
          <w:szCs w:val="24"/>
          <w:lang w:eastAsia="en-US"/>
        </w:rPr>
      </w:pPr>
      <w:r w:rsidRPr="00092171">
        <w:rPr>
          <w:szCs w:val="24"/>
          <w:lang w:eastAsia="en-US"/>
        </w:rPr>
        <w:t>b)</w:t>
      </w:r>
      <w:r w:rsidRPr="00092171">
        <w:rPr>
          <w:szCs w:val="24"/>
          <w:lang w:eastAsia="en-US"/>
        </w:rPr>
        <w:tab/>
        <w:t>zawierać stwierdzenie, że wykazano zgodność zabawki z wymogami określonymi w niniejszym rozporządzeniu</w:t>
      </w:r>
      <w:r w:rsidRPr="00092171">
        <w:rPr>
          <w:b/>
          <w:i/>
          <w:szCs w:val="24"/>
          <w:lang w:eastAsia="en-US"/>
        </w:rPr>
        <w:t xml:space="preserve"> i w innych zharmonizowanych przepisach Unii wymagających deklaracji zgodności UE</w:t>
      </w:r>
      <w:r w:rsidRPr="00092171">
        <w:rPr>
          <w:szCs w:val="24"/>
          <w:lang w:eastAsia="en-US"/>
        </w:rPr>
        <w:t>, oraz, w szczególności, z zasadniczymi wymaganiami bezpieczeństwa;</w:t>
      </w:r>
      <w:r w:rsidR="00046627">
        <w:rPr>
          <w:b/>
          <w:szCs w:val="24"/>
          <w:lang w:eastAsia="en-US"/>
        </w:rPr>
        <w:t xml:space="preserve"> [Popr. 130]</w:t>
      </w:r>
    </w:p>
    <w:p w:rsidR="00046627" w:rsidRDefault="00046627">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c)</w:t>
      </w:r>
      <w:r w:rsidRPr="00092171">
        <w:rPr>
          <w:szCs w:val="24"/>
          <w:lang w:eastAsia="en-US"/>
        </w:rPr>
        <w:tab/>
        <w:t>zawierać co najmniej informacje określone w części I załącznika VI;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być aktualny;</w:t>
      </w:r>
    </w:p>
    <w:p w:rsidR="00092171" w:rsidRPr="00092171" w:rsidRDefault="00092171" w:rsidP="00092171">
      <w:pPr>
        <w:spacing w:before="120" w:after="120" w:line="360" w:lineRule="auto"/>
        <w:ind w:left="1416" w:hanging="566"/>
        <w:rPr>
          <w:szCs w:val="24"/>
          <w:lang w:eastAsia="en-US"/>
        </w:rPr>
      </w:pPr>
      <w:r w:rsidRPr="00092171">
        <w:rPr>
          <w:szCs w:val="24"/>
          <w:lang w:eastAsia="en-US"/>
        </w:rPr>
        <w:t>e)</w:t>
      </w:r>
      <w:r w:rsidRPr="00092171">
        <w:rPr>
          <w:szCs w:val="24"/>
          <w:lang w:eastAsia="en-US"/>
        </w:rPr>
        <w:tab/>
        <w:t>być dostępny w języku lub językach wymaganych przez państwo członkowskie, w którym zabawkę udostępnia się na rynku;</w:t>
      </w:r>
    </w:p>
    <w:p w:rsidR="00092171" w:rsidRPr="00046627" w:rsidRDefault="00092171" w:rsidP="00092171">
      <w:pPr>
        <w:spacing w:before="120" w:after="120" w:line="360" w:lineRule="auto"/>
        <w:ind w:left="1416" w:hanging="566"/>
        <w:rPr>
          <w:b/>
          <w:szCs w:val="24"/>
          <w:lang w:eastAsia="en-US"/>
        </w:rPr>
      </w:pPr>
      <w:r w:rsidRPr="00092171">
        <w:rPr>
          <w:szCs w:val="24"/>
          <w:lang w:eastAsia="en-US"/>
        </w:rPr>
        <w:t>f)</w:t>
      </w:r>
      <w:r w:rsidRPr="00092171">
        <w:rPr>
          <w:szCs w:val="24"/>
          <w:lang w:eastAsia="en-US"/>
        </w:rPr>
        <w:tab/>
      </w:r>
      <w:r w:rsidRPr="00092171">
        <w:rPr>
          <w:b/>
          <w:i/>
          <w:szCs w:val="24"/>
          <w:lang w:eastAsia="en-US"/>
        </w:rPr>
        <w:t xml:space="preserve">zależnie od uprawnień </w:t>
      </w:r>
      <w:r w:rsidRPr="00092171">
        <w:rPr>
          <w:szCs w:val="24"/>
          <w:lang w:eastAsia="en-US"/>
        </w:rPr>
        <w:t>być dostępny dla konsumentów lub innych użytkowników końcowych, organów nadzoru rynku, organów celnych, jednostek notyfikowanych, Komisji i innych podmiotów gospodarczych</w:t>
      </w:r>
      <w:r w:rsidRPr="00092171">
        <w:rPr>
          <w:b/>
          <w:i/>
          <w:szCs w:val="24"/>
          <w:lang w:eastAsia="en-US"/>
        </w:rPr>
        <w:t xml:space="preserve"> zgodnie z ust. 2a oraz z uwzględnieniem konieczności ochrony poufnych informacji handlowych i tajemnic przedsiębiorstwa zgodnie z dyrektywą (UE) 2016/943</w:t>
      </w:r>
      <w:r w:rsidRPr="00092171">
        <w:rPr>
          <w:szCs w:val="24"/>
          <w:lang w:eastAsia="en-US"/>
        </w:rPr>
        <w:t>;</w:t>
      </w:r>
      <w:r w:rsidR="00046627">
        <w:rPr>
          <w:b/>
          <w:szCs w:val="24"/>
          <w:lang w:eastAsia="en-US"/>
        </w:rPr>
        <w:t xml:space="preserve"> [Popr. 131]</w:t>
      </w:r>
    </w:p>
    <w:p w:rsidR="00092171" w:rsidRPr="00046627" w:rsidRDefault="00092171" w:rsidP="00092171">
      <w:pPr>
        <w:spacing w:before="120" w:after="120" w:line="360" w:lineRule="auto"/>
        <w:ind w:left="1416" w:hanging="566"/>
        <w:rPr>
          <w:b/>
          <w:szCs w:val="24"/>
          <w:lang w:eastAsia="en-US"/>
        </w:rPr>
      </w:pPr>
      <w:r w:rsidRPr="00092171">
        <w:rPr>
          <w:szCs w:val="24"/>
          <w:lang w:eastAsia="en-US"/>
        </w:rPr>
        <w:t>g)</w:t>
      </w:r>
      <w:r w:rsidRPr="00092171">
        <w:rPr>
          <w:szCs w:val="24"/>
          <w:lang w:eastAsia="en-US"/>
        </w:rPr>
        <w:tab/>
        <w:t>być dostępny przez 10 lat od chwili wprowadzenia</w:t>
      </w:r>
      <w:r w:rsidRPr="00092171">
        <w:rPr>
          <w:b/>
          <w:i/>
          <w:szCs w:val="24"/>
          <w:lang w:eastAsia="en-US"/>
        </w:rPr>
        <w:t xml:space="preserve"> ostatniego egzemplarza modelu</w:t>
      </w:r>
      <w:r w:rsidRPr="00092171">
        <w:rPr>
          <w:szCs w:val="24"/>
          <w:lang w:eastAsia="en-US"/>
        </w:rPr>
        <w:t xml:space="preserve"> zabawki do obrotu, również w przypadku niewypłacalności lub likwidacji podmiotu gospodarczego, który utworzył </w:t>
      </w:r>
      <w:r w:rsidRPr="00092171">
        <w:rPr>
          <w:b/>
          <w:i/>
          <w:szCs w:val="24"/>
          <w:lang w:eastAsia="en-US"/>
        </w:rPr>
        <w:t xml:space="preserve">cyfrowy </w:t>
      </w:r>
      <w:r w:rsidRPr="00092171">
        <w:rPr>
          <w:szCs w:val="24"/>
          <w:lang w:eastAsia="en-US"/>
        </w:rPr>
        <w:t>paszport produktu, lub zaprzestania przez ten podmiot działalności w Unii;</w:t>
      </w:r>
      <w:r w:rsidR="00046627">
        <w:rPr>
          <w:b/>
          <w:szCs w:val="24"/>
          <w:lang w:eastAsia="en-US"/>
        </w:rPr>
        <w:t xml:space="preserve"> [Popr. 132]</w:t>
      </w:r>
    </w:p>
    <w:p w:rsidR="00092171" w:rsidRPr="00092171" w:rsidRDefault="00092171" w:rsidP="00092171">
      <w:pPr>
        <w:spacing w:before="120" w:after="120" w:line="360" w:lineRule="auto"/>
        <w:ind w:left="1416" w:hanging="566"/>
        <w:rPr>
          <w:szCs w:val="24"/>
          <w:lang w:eastAsia="en-US"/>
        </w:rPr>
      </w:pPr>
      <w:r w:rsidRPr="00092171">
        <w:rPr>
          <w:szCs w:val="24"/>
          <w:lang w:eastAsia="en-US"/>
        </w:rPr>
        <w:t>h)</w:t>
      </w:r>
      <w:r w:rsidRPr="00092171">
        <w:rPr>
          <w:szCs w:val="24"/>
          <w:lang w:eastAsia="en-US"/>
        </w:rPr>
        <w:tab/>
        <w:t>być dostępny za pośrednictwem nośnika danych;</w:t>
      </w:r>
    </w:p>
    <w:p w:rsidR="00046627" w:rsidRDefault="00046627">
      <w:pPr>
        <w:widowControl/>
        <w:rPr>
          <w:szCs w:val="24"/>
          <w:lang w:eastAsia="en-US"/>
        </w:rPr>
      </w:pPr>
      <w:r>
        <w:rPr>
          <w:szCs w:val="24"/>
          <w:lang w:eastAsia="en-US"/>
        </w:rPr>
        <w:br w:type="page"/>
      </w:r>
    </w:p>
    <w:p w:rsidR="00092171" w:rsidRPr="00046627" w:rsidRDefault="00092171" w:rsidP="00092171">
      <w:pPr>
        <w:spacing w:before="120" w:after="120" w:line="360" w:lineRule="auto"/>
        <w:ind w:left="1416" w:hanging="566"/>
        <w:rPr>
          <w:b/>
          <w:szCs w:val="24"/>
          <w:lang w:eastAsia="en-US"/>
        </w:rPr>
      </w:pPr>
      <w:r w:rsidRPr="00092171">
        <w:rPr>
          <w:szCs w:val="24"/>
          <w:lang w:eastAsia="en-US"/>
        </w:rPr>
        <w:lastRenderedPageBreak/>
        <w:t>i)</w:t>
      </w:r>
      <w:r w:rsidRPr="00092171">
        <w:rPr>
          <w:szCs w:val="24"/>
          <w:lang w:eastAsia="en-US"/>
        </w:rPr>
        <w:tab/>
        <w:t>spełniać wymogi szczegółowe i techniczne określone na podstawie ust. 10</w:t>
      </w:r>
      <w:r w:rsidRPr="00092171">
        <w:rPr>
          <w:b/>
          <w:i/>
          <w:szCs w:val="24"/>
          <w:lang w:eastAsia="en-US"/>
        </w:rPr>
        <w:t>, aby ułatwić weryfikację zgodności produktu przez właściwe organy krajowe</w:t>
      </w:r>
      <w:r w:rsidRPr="00092171">
        <w:rPr>
          <w:szCs w:val="24"/>
          <w:lang w:eastAsia="en-US"/>
        </w:rPr>
        <w:t>.</w:t>
      </w:r>
      <w:r w:rsidR="00046627">
        <w:rPr>
          <w:b/>
          <w:szCs w:val="24"/>
          <w:lang w:eastAsia="en-US"/>
        </w:rPr>
        <w:t xml:space="preserve"> [Popr. 133]</w:t>
      </w:r>
    </w:p>
    <w:p w:rsidR="00092171" w:rsidRPr="00092171" w:rsidRDefault="00092171" w:rsidP="00092171">
      <w:pPr>
        <w:spacing w:before="120" w:after="120" w:line="360" w:lineRule="auto"/>
        <w:ind w:left="850" w:hanging="850"/>
        <w:rPr>
          <w:szCs w:val="24"/>
          <w:lang w:eastAsia="en-US"/>
        </w:rPr>
      </w:pPr>
      <w:r w:rsidRPr="00092171">
        <w:rPr>
          <w:b/>
          <w:i/>
          <w:szCs w:val="24"/>
          <w:lang w:eastAsia="en-US"/>
        </w:rPr>
        <w:t>2a.</w:t>
      </w:r>
      <w:r w:rsidRPr="00092171">
        <w:rPr>
          <w:szCs w:val="24"/>
          <w:lang w:eastAsia="en-US"/>
        </w:rPr>
        <w:tab/>
      </w:r>
      <w:r w:rsidRPr="00092171">
        <w:rPr>
          <w:b/>
          <w:i/>
          <w:szCs w:val="24"/>
          <w:lang w:eastAsia="en-US"/>
        </w:rPr>
        <w:t>Uprawnienia, o których mowa w ust. 2 lit. f) niniejszego artykułu, obejmują:</w:t>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t>a)</w:t>
      </w:r>
      <w:r w:rsidRPr="00092171">
        <w:rPr>
          <w:szCs w:val="24"/>
          <w:lang w:eastAsia="en-US"/>
        </w:rPr>
        <w:tab/>
      </w:r>
      <w:r w:rsidRPr="00092171">
        <w:rPr>
          <w:b/>
          <w:i/>
          <w:szCs w:val="24"/>
          <w:lang w:eastAsia="en-US"/>
        </w:rPr>
        <w:t>informacje dostępne konsumentom lub innym użytkownikom końcowym wymienionym w załączniku VI część I lit. c), d), i), j), ja), jb) i jc) oraz, w stosownych przypadkach, w załączniku VI część II lit. a) i b);</w:t>
      </w:r>
    </w:p>
    <w:p w:rsidR="00092171" w:rsidRPr="00046627" w:rsidRDefault="00092171" w:rsidP="00092171">
      <w:pPr>
        <w:spacing w:before="120" w:after="120" w:line="360" w:lineRule="auto"/>
        <w:ind w:left="1416" w:hanging="566"/>
        <w:rPr>
          <w:b/>
          <w:szCs w:val="24"/>
          <w:lang w:eastAsia="en-US"/>
        </w:rPr>
      </w:pPr>
      <w:r w:rsidRPr="00092171">
        <w:rPr>
          <w:b/>
          <w:i/>
          <w:szCs w:val="24"/>
          <w:lang w:eastAsia="en-US"/>
        </w:rPr>
        <w:t>b)</w:t>
      </w:r>
      <w:r w:rsidRPr="00092171">
        <w:rPr>
          <w:szCs w:val="24"/>
          <w:lang w:eastAsia="en-US"/>
        </w:rPr>
        <w:tab/>
      </w:r>
      <w:r w:rsidRPr="00092171">
        <w:rPr>
          <w:b/>
          <w:i/>
          <w:szCs w:val="24"/>
          <w:lang w:eastAsia="en-US"/>
        </w:rPr>
        <w:t>informacje dostępne wyłącznie organom nadzoru rynku, organom celnym, jednostkom notyfikowanym i Komisji wymienionym w załączniku VI część I lit. a)–j) oraz, w stosownych przypadkach, w załączniku VI część II lit. a) i b).</w:t>
      </w:r>
      <w:r w:rsidR="00046627">
        <w:rPr>
          <w:b/>
          <w:szCs w:val="24"/>
          <w:lang w:eastAsia="en-US"/>
        </w:rPr>
        <w:t xml:space="preserve"> [Popr. 134]</w:t>
      </w:r>
    </w:p>
    <w:p w:rsidR="00092171" w:rsidRPr="00046627" w:rsidRDefault="00092171" w:rsidP="00092171">
      <w:pPr>
        <w:spacing w:before="120" w:after="120" w:line="360" w:lineRule="auto"/>
        <w:ind w:left="850" w:hanging="850"/>
        <w:rPr>
          <w:b/>
          <w:szCs w:val="24"/>
          <w:lang w:eastAsia="en-US"/>
        </w:rPr>
      </w:pPr>
      <w:r w:rsidRPr="00092171">
        <w:rPr>
          <w:szCs w:val="24"/>
          <w:lang w:eastAsia="en-US"/>
        </w:rPr>
        <w:t>3.</w:t>
      </w:r>
      <w:r w:rsidRPr="00092171">
        <w:rPr>
          <w:szCs w:val="24"/>
          <w:lang w:eastAsia="en-US"/>
        </w:rPr>
        <w:tab/>
        <w:t>Oprócz informacji, o których mowa w ust. 2,</w:t>
      </w:r>
      <w:r w:rsidRPr="00092171">
        <w:rPr>
          <w:b/>
          <w:i/>
          <w:szCs w:val="24"/>
          <w:lang w:eastAsia="en-US"/>
        </w:rPr>
        <w:t xml:space="preserve"> cyfrowy</w:t>
      </w:r>
      <w:r w:rsidRPr="00092171">
        <w:rPr>
          <w:szCs w:val="24"/>
          <w:lang w:eastAsia="en-US"/>
        </w:rPr>
        <w:t xml:space="preserve"> paszport produktu może zawierać informacje określone w części II załącznika VI.</w:t>
      </w:r>
      <w:r w:rsidR="00046627">
        <w:rPr>
          <w:b/>
          <w:szCs w:val="24"/>
          <w:lang w:eastAsia="en-US"/>
        </w:rPr>
        <w:t xml:space="preserve"> [Popr. 135]</w:t>
      </w:r>
    </w:p>
    <w:p w:rsidR="00046627" w:rsidRDefault="00046627">
      <w:pPr>
        <w:widowControl/>
        <w:rPr>
          <w:szCs w:val="24"/>
          <w:lang w:eastAsia="en-US"/>
        </w:rPr>
      </w:pPr>
      <w:r>
        <w:rPr>
          <w:szCs w:val="24"/>
          <w:lang w:eastAsia="en-US"/>
        </w:rPr>
        <w:br w:type="page"/>
      </w:r>
    </w:p>
    <w:p w:rsidR="00092171" w:rsidRPr="00046627" w:rsidRDefault="00092171" w:rsidP="00092171">
      <w:pPr>
        <w:spacing w:before="120" w:after="120" w:line="360" w:lineRule="auto"/>
        <w:ind w:left="850" w:hanging="850"/>
        <w:rPr>
          <w:b/>
          <w:szCs w:val="24"/>
          <w:lang w:eastAsia="en-US"/>
        </w:rPr>
      </w:pPr>
      <w:r w:rsidRPr="00092171">
        <w:rPr>
          <w:szCs w:val="24"/>
          <w:lang w:eastAsia="en-US"/>
        </w:rPr>
        <w:lastRenderedPageBreak/>
        <w:t>4.</w:t>
      </w:r>
      <w:r w:rsidRPr="00092171">
        <w:rPr>
          <w:szCs w:val="24"/>
          <w:lang w:eastAsia="en-US"/>
        </w:rPr>
        <w:tab/>
        <w:t>Tworząc</w:t>
      </w:r>
      <w:r w:rsidRPr="00092171">
        <w:rPr>
          <w:b/>
          <w:i/>
          <w:szCs w:val="24"/>
          <w:lang w:eastAsia="en-US"/>
        </w:rPr>
        <w:t xml:space="preserve"> cyfrowy</w:t>
      </w:r>
      <w:r w:rsidRPr="00092171">
        <w:rPr>
          <w:szCs w:val="24"/>
          <w:lang w:eastAsia="en-US"/>
        </w:rPr>
        <w:t xml:space="preserve"> paszport produktu, producent przyjmuje na siebie odpowiedzialność za zapewnienie zgodności zabawki z niniejszym rozporządzeniem</w:t>
      </w:r>
      <w:r w:rsidRPr="00092171">
        <w:rPr>
          <w:b/>
          <w:i/>
          <w:szCs w:val="24"/>
          <w:lang w:eastAsia="en-US"/>
        </w:rPr>
        <w:t xml:space="preserve"> i wszelkimi innymi przepisami Unii mającymi zastosowanie do zabawek</w:t>
      </w:r>
      <w:r w:rsidRPr="00092171">
        <w:rPr>
          <w:szCs w:val="24"/>
          <w:lang w:eastAsia="en-US"/>
        </w:rPr>
        <w:t>.</w:t>
      </w:r>
      <w:r w:rsidR="00046627">
        <w:rPr>
          <w:b/>
          <w:szCs w:val="24"/>
          <w:lang w:eastAsia="en-US"/>
        </w:rPr>
        <w:t xml:space="preserve"> [Popr. 136]</w:t>
      </w:r>
    </w:p>
    <w:p w:rsidR="00092171" w:rsidRPr="00046627" w:rsidRDefault="00092171" w:rsidP="00092171">
      <w:pPr>
        <w:spacing w:before="120" w:after="120" w:line="360" w:lineRule="auto"/>
        <w:ind w:left="850" w:hanging="850"/>
        <w:rPr>
          <w:b/>
          <w:szCs w:val="24"/>
          <w:lang w:eastAsia="en-US"/>
        </w:rPr>
      </w:pPr>
      <w:r w:rsidRPr="00092171">
        <w:rPr>
          <w:szCs w:val="24"/>
          <w:lang w:eastAsia="en-US"/>
        </w:rPr>
        <w:t>5.</w:t>
      </w:r>
      <w:r w:rsidRPr="00092171">
        <w:rPr>
          <w:szCs w:val="24"/>
          <w:lang w:eastAsia="en-US"/>
        </w:rPr>
        <w:tab/>
        <w:t xml:space="preserve">Nośnik danych musi być fizycznie obecny na zabawce lub na etykiecie, którą zabawka jest opatrzona, zgodnie z aktem wykonawczym przyjętym zgodnie z ust. 10. W przypadku małych zabawek lub zabawek złożonych z małych części nośnik danych </w:t>
      </w:r>
      <w:r w:rsidRPr="00092171">
        <w:rPr>
          <w:strike/>
          <w:szCs w:val="24"/>
          <w:lang w:eastAsia="en-US"/>
        </w:rPr>
        <w:t>może również być umieszczony</w:t>
      </w:r>
      <w:r w:rsidRPr="00092171">
        <w:rPr>
          <w:b/>
          <w:i/>
          <w:szCs w:val="24"/>
          <w:lang w:eastAsia="en-US"/>
        </w:rPr>
        <w:t>umieszcza się</w:t>
      </w:r>
      <w:r w:rsidRPr="00092171">
        <w:rPr>
          <w:szCs w:val="24"/>
          <w:lang w:eastAsia="en-US"/>
        </w:rPr>
        <w:t xml:space="preserve"> na opakowaniu zabawki. Nośnik danych musi być wyraźnie widoczny dla konsumenta przed każdym zakupem oraz dla organów nadzoru rynku, w tym gdy zabawka jest udostępniana w ramach sprzedaży na odległość.</w:t>
      </w:r>
      <w:r w:rsidR="00046627">
        <w:rPr>
          <w:b/>
          <w:szCs w:val="24"/>
          <w:lang w:eastAsia="en-US"/>
        </w:rPr>
        <w:t xml:space="preserve"> [Popr. 137]</w:t>
      </w:r>
    </w:p>
    <w:p w:rsidR="00092171" w:rsidRPr="00092171" w:rsidRDefault="00092171" w:rsidP="00092171">
      <w:pPr>
        <w:spacing w:before="120" w:after="120" w:line="360" w:lineRule="auto"/>
        <w:ind w:left="850" w:hanging="850"/>
        <w:rPr>
          <w:szCs w:val="24"/>
          <w:lang w:eastAsia="en-US"/>
        </w:rPr>
      </w:pPr>
      <w:r w:rsidRPr="00092171">
        <w:rPr>
          <w:szCs w:val="24"/>
          <w:lang w:eastAsia="en-US"/>
        </w:rPr>
        <w:t>6.</w:t>
      </w:r>
      <w:r w:rsidRPr="00092171">
        <w:rPr>
          <w:szCs w:val="24"/>
          <w:lang w:eastAsia="en-US"/>
        </w:rPr>
        <w:tab/>
        <w:t>Jeżeli inne przepisy Unii zawierają wymóg udostępnienia informacji dotyczących zabawki za pośrednictwem nośnika danych, do celów dostarczenia informacji wymaganych na mocy niniejszego rozporządzenia i innych tego rodzaju przepisów Unii stosuje się jeden nośnik danych.</w:t>
      </w:r>
    </w:p>
    <w:p w:rsidR="00092171" w:rsidRPr="00046627" w:rsidRDefault="00092171" w:rsidP="00092171">
      <w:pPr>
        <w:spacing w:before="120" w:after="120" w:line="360" w:lineRule="auto"/>
        <w:ind w:left="850" w:hanging="850"/>
        <w:rPr>
          <w:b/>
          <w:szCs w:val="24"/>
          <w:lang w:eastAsia="en-US"/>
        </w:rPr>
      </w:pPr>
      <w:r w:rsidRPr="00092171">
        <w:rPr>
          <w:szCs w:val="24"/>
          <w:lang w:eastAsia="en-US"/>
        </w:rPr>
        <w:t>7.</w:t>
      </w:r>
      <w:r w:rsidRPr="00092171">
        <w:rPr>
          <w:szCs w:val="24"/>
          <w:lang w:eastAsia="en-US"/>
        </w:rPr>
        <w:tab/>
        <w:t xml:space="preserve">W przypadku gdy inne przepisy Unii mające zastosowanie do zabawek zawierają wymóg sporządzenia </w:t>
      </w:r>
      <w:r w:rsidRPr="00092171">
        <w:rPr>
          <w:b/>
          <w:i/>
          <w:szCs w:val="24"/>
          <w:lang w:eastAsia="en-US"/>
        </w:rPr>
        <w:t xml:space="preserve">cyfrowego </w:t>
      </w:r>
      <w:r w:rsidRPr="00092171">
        <w:rPr>
          <w:szCs w:val="24"/>
          <w:lang w:eastAsia="en-US"/>
        </w:rPr>
        <w:t>paszportu produktu, w odniesieniu do zabawek tworzy się jeden</w:t>
      </w:r>
      <w:r w:rsidRPr="00092171">
        <w:rPr>
          <w:b/>
          <w:i/>
          <w:szCs w:val="24"/>
          <w:lang w:eastAsia="en-US"/>
        </w:rPr>
        <w:t xml:space="preserve"> cyfrowy</w:t>
      </w:r>
      <w:r w:rsidRPr="00092171">
        <w:rPr>
          <w:szCs w:val="24"/>
          <w:lang w:eastAsia="en-US"/>
        </w:rPr>
        <w:t xml:space="preserve"> paszport produktu zawierający informacje, których podania wymaga się w niniejszym rozporządzeniu, jak również wszelkie inne informacje wymagane w odniesieniu do </w:t>
      </w:r>
      <w:r w:rsidRPr="00092171">
        <w:rPr>
          <w:b/>
          <w:i/>
          <w:szCs w:val="24"/>
          <w:lang w:eastAsia="en-US"/>
        </w:rPr>
        <w:t xml:space="preserve">cyfrowego </w:t>
      </w:r>
      <w:r w:rsidRPr="00092171">
        <w:rPr>
          <w:szCs w:val="24"/>
          <w:lang w:eastAsia="en-US"/>
        </w:rPr>
        <w:t>paszportu produktu na mocy tych innych przepisów Unii.</w:t>
      </w:r>
      <w:r w:rsidR="00046627">
        <w:rPr>
          <w:b/>
          <w:szCs w:val="24"/>
          <w:lang w:eastAsia="en-US"/>
        </w:rPr>
        <w:t xml:space="preserve"> [Popr. 138]</w:t>
      </w:r>
    </w:p>
    <w:p w:rsidR="00046627" w:rsidRDefault="00046627">
      <w:pPr>
        <w:widowControl/>
        <w:rPr>
          <w:strike/>
          <w:szCs w:val="24"/>
          <w:lang w:eastAsia="en-US"/>
        </w:rPr>
      </w:pPr>
      <w:r>
        <w:rPr>
          <w:strike/>
          <w:szCs w:val="24"/>
          <w:lang w:eastAsia="en-US"/>
        </w:rPr>
        <w:br w:type="page"/>
      </w:r>
    </w:p>
    <w:p w:rsidR="00092171" w:rsidRPr="00046627" w:rsidRDefault="00092171" w:rsidP="00092171">
      <w:pPr>
        <w:spacing w:before="120" w:after="120" w:line="360" w:lineRule="auto"/>
        <w:ind w:left="850" w:hanging="850"/>
        <w:rPr>
          <w:b/>
          <w:szCs w:val="24"/>
          <w:lang w:eastAsia="en-US"/>
        </w:rPr>
      </w:pPr>
      <w:r w:rsidRPr="00092171">
        <w:rPr>
          <w:strike/>
          <w:szCs w:val="24"/>
          <w:lang w:eastAsia="en-US"/>
        </w:rPr>
        <w:lastRenderedPageBreak/>
        <w:t>8.</w:t>
      </w:r>
      <w:r w:rsidRPr="00092171">
        <w:rPr>
          <w:szCs w:val="24"/>
          <w:lang w:eastAsia="en-US"/>
        </w:rPr>
        <w:tab/>
      </w:r>
      <w:r w:rsidRPr="00092171">
        <w:rPr>
          <w:strike/>
          <w:szCs w:val="24"/>
          <w:lang w:eastAsia="en-US"/>
        </w:rPr>
        <w:t>Na zasadzie odstępstwa od ust. 2 lit. c), w przypadku gdy wymogi informacyjne dotyczące substancji potencjalnie niebezpiecznych zawartych w zabawkach ustanowiono w akcie delegowanym przyjętym zgodnie z art. 4 rozporządzenia …/… [Urząd Publikacji: proszę wstawić: rozporządzenie w sprawie ekoprojektu dla zrównoważonych produktów], informacje, o których mowa w części I lit. k) załącznika VI do niniejszego rozporządzenia, nie są już wymagane.</w:t>
      </w:r>
      <w:r w:rsidR="00046627">
        <w:rPr>
          <w:b/>
          <w:szCs w:val="24"/>
          <w:lang w:eastAsia="en-US"/>
        </w:rPr>
        <w:t xml:space="preserve"> [Popr. 139]</w:t>
      </w:r>
    </w:p>
    <w:p w:rsidR="00092171" w:rsidRPr="00092171" w:rsidRDefault="00092171" w:rsidP="00092171">
      <w:pPr>
        <w:spacing w:before="120" w:after="120" w:line="360" w:lineRule="auto"/>
        <w:ind w:left="850" w:hanging="850"/>
        <w:rPr>
          <w:szCs w:val="24"/>
          <w:lang w:eastAsia="en-US"/>
        </w:rPr>
      </w:pPr>
      <w:r w:rsidRPr="00092171">
        <w:rPr>
          <w:szCs w:val="24"/>
          <w:lang w:eastAsia="en-US"/>
        </w:rPr>
        <w:t>9.</w:t>
      </w:r>
      <w:r w:rsidRPr="00092171">
        <w:rPr>
          <w:szCs w:val="24"/>
          <w:lang w:eastAsia="en-US"/>
        </w:rPr>
        <w:tab/>
        <w:t>Oprócz informacji, o których mowa w ust. 6 i 7, podmioty gospodarcze mogą udostępnić inne informacje za pośrednictwem nośnika danych, o którym mowa w ust. 5. W takim przypadku informacje te muszą być wyraźnie oddzielone od informacji wymaganych na mocy niniejszego rozporządzenia i, w stosownych przypadkach, na mocy innych przepisów Unii.</w:t>
      </w:r>
    </w:p>
    <w:p w:rsidR="00092171" w:rsidRPr="00FD7D0D" w:rsidRDefault="00092171" w:rsidP="00092171">
      <w:pPr>
        <w:spacing w:before="120" w:after="120" w:line="360" w:lineRule="auto"/>
        <w:ind w:left="850" w:hanging="850"/>
        <w:rPr>
          <w:b/>
          <w:szCs w:val="24"/>
          <w:lang w:eastAsia="en-US"/>
        </w:rPr>
      </w:pPr>
      <w:r w:rsidRPr="00092171">
        <w:rPr>
          <w:szCs w:val="24"/>
          <w:lang w:eastAsia="en-US"/>
        </w:rPr>
        <w:t>10.</w:t>
      </w:r>
      <w:r w:rsidRPr="00092171">
        <w:rPr>
          <w:szCs w:val="24"/>
          <w:lang w:eastAsia="en-US"/>
        </w:rPr>
        <w:tab/>
        <w:t xml:space="preserve">Komisja </w:t>
      </w:r>
      <w:r w:rsidRPr="00092171">
        <w:rPr>
          <w:strike/>
          <w:szCs w:val="24"/>
          <w:lang w:eastAsia="en-US"/>
        </w:rPr>
        <w:t>przyjmuje akty wykonawcze, w których określa się wymogi szczegółowe i techniczne związane z</w:t>
      </w:r>
      <w:r w:rsidRPr="00092171">
        <w:rPr>
          <w:b/>
          <w:i/>
          <w:szCs w:val="24"/>
          <w:lang w:eastAsia="en-US"/>
        </w:rPr>
        <w:t>jest uprawniona do przyjmowania aktów delegowanych zgodnie z art. 47 w celu uzupełnienia niniejszego rozporządzenia przez określenie podstawowych wymogów technicznych związanych z cyfrowym</w:t>
      </w:r>
      <w:r w:rsidRPr="00092171">
        <w:rPr>
          <w:szCs w:val="24"/>
          <w:lang w:eastAsia="en-US"/>
        </w:rPr>
        <w:t xml:space="preserve"> paszportem produktu w odniesieniu do zabawek</w:t>
      </w:r>
      <w:r w:rsidRPr="00092171">
        <w:rPr>
          <w:b/>
          <w:i/>
          <w:szCs w:val="24"/>
          <w:lang w:eastAsia="en-US"/>
        </w:rPr>
        <w:t xml:space="preserve"> do ..... [12 miesięcy po wejściu w życie niniejszego rozporządzenia] r</w:t>
      </w:r>
      <w:r w:rsidRPr="00092171">
        <w:rPr>
          <w:szCs w:val="24"/>
          <w:lang w:eastAsia="en-US"/>
        </w:rPr>
        <w:t>. W ramach tych wymogów określa się co najmniej następujące elementy:</w:t>
      </w:r>
      <w:r w:rsidR="00FD7D0D">
        <w:rPr>
          <w:b/>
          <w:szCs w:val="24"/>
          <w:lang w:eastAsia="en-US"/>
        </w:rPr>
        <w:t xml:space="preserve"> [Popr. 140]</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rodzaje nośników danych, z których należy korzystać;</w:t>
      </w:r>
    </w:p>
    <w:p w:rsidR="00FD7D0D" w:rsidRDefault="00FD7D0D">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b)</w:t>
      </w:r>
      <w:r w:rsidRPr="00092171">
        <w:rPr>
          <w:szCs w:val="24"/>
          <w:lang w:eastAsia="en-US"/>
        </w:rPr>
        <w:tab/>
        <w:t>układ, w jakim należy przedstawić nośnik danych, oraz jego umiejscowienie;</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elementy techniczne paszportu, w odniesieniu do których należy stosować określone normy europejskie lub międzynarodowe;</w:t>
      </w:r>
    </w:p>
    <w:p w:rsidR="00092171" w:rsidRPr="00FD7D0D" w:rsidRDefault="00092171" w:rsidP="00092171">
      <w:pPr>
        <w:spacing w:before="120" w:after="120" w:line="360" w:lineRule="auto"/>
        <w:ind w:left="1416" w:hanging="566"/>
        <w:rPr>
          <w:b/>
          <w:szCs w:val="24"/>
          <w:lang w:eastAsia="en-US"/>
        </w:rPr>
      </w:pPr>
      <w:r w:rsidRPr="00092171">
        <w:rPr>
          <w:szCs w:val="24"/>
          <w:lang w:eastAsia="en-US"/>
        </w:rPr>
        <w:t>d)</w:t>
      </w:r>
      <w:r w:rsidRPr="00092171">
        <w:rPr>
          <w:szCs w:val="24"/>
          <w:lang w:eastAsia="en-US"/>
        </w:rPr>
        <w:tab/>
        <w:t>podmioty, które mogą wprowadzać informacje do</w:t>
      </w:r>
      <w:r w:rsidRPr="00092171">
        <w:rPr>
          <w:b/>
          <w:i/>
          <w:szCs w:val="24"/>
          <w:lang w:eastAsia="en-US"/>
        </w:rPr>
        <w:t xml:space="preserve"> cyfrowego</w:t>
      </w:r>
      <w:r w:rsidRPr="00092171">
        <w:rPr>
          <w:szCs w:val="24"/>
          <w:lang w:eastAsia="en-US"/>
        </w:rPr>
        <w:t xml:space="preserve"> paszportu produktu lub je aktualizować, w tym w przypadku konieczności stworzenia nowego paszportu, z uwzględnieniem producentów, jednostek notyfikowanych, właściwych organów krajowych i Komisji lub jakiejkolwiek organizacji działającej w ich imieniu, a także rodzaje informacji, które mogą wprowadzać lub aktualizować.</w:t>
      </w:r>
      <w:r w:rsidR="00FD7D0D">
        <w:rPr>
          <w:b/>
          <w:szCs w:val="24"/>
          <w:lang w:eastAsia="en-US"/>
        </w:rPr>
        <w:t xml:space="preserve"> [Popr. 141]</w:t>
      </w:r>
    </w:p>
    <w:p w:rsidR="00092171" w:rsidRPr="00FD7D0D" w:rsidRDefault="00092171" w:rsidP="00092171">
      <w:pPr>
        <w:spacing w:before="120" w:after="120" w:line="360" w:lineRule="auto"/>
        <w:ind w:left="850"/>
        <w:rPr>
          <w:b/>
          <w:szCs w:val="24"/>
          <w:lang w:eastAsia="en-US"/>
        </w:rPr>
      </w:pPr>
      <w:r w:rsidRPr="00092171">
        <w:rPr>
          <w:szCs w:val="24"/>
          <w:lang w:eastAsia="en-US"/>
        </w:rPr>
        <w:t xml:space="preserve">Te akty </w:t>
      </w:r>
      <w:r w:rsidRPr="00092171">
        <w:rPr>
          <w:strike/>
          <w:szCs w:val="24"/>
          <w:lang w:eastAsia="en-US"/>
        </w:rPr>
        <w:t>wykonawcze</w:t>
      </w:r>
      <w:r w:rsidRPr="00092171">
        <w:rPr>
          <w:b/>
          <w:i/>
          <w:szCs w:val="24"/>
          <w:lang w:eastAsia="en-US"/>
        </w:rPr>
        <w:t>delegowane</w:t>
      </w:r>
      <w:r w:rsidRPr="00092171">
        <w:rPr>
          <w:szCs w:val="24"/>
          <w:lang w:eastAsia="en-US"/>
        </w:rPr>
        <w:t xml:space="preserve"> przyjmuje się zgodnie z procedurą, o której mowa w art. </w:t>
      </w:r>
      <w:r w:rsidRPr="00092171">
        <w:rPr>
          <w:strike/>
          <w:szCs w:val="24"/>
          <w:lang w:eastAsia="en-US"/>
        </w:rPr>
        <w:t>50 ust. 3</w:t>
      </w:r>
      <w:r w:rsidRPr="00092171">
        <w:rPr>
          <w:b/>
          <w:i/>
          <w:szCs w:val="24"/>
          <w:lang w:eastAsia="en-US"/>
        </w:rPr>
        <w:t>46 ust. 2</w:t>
      </w:r>
      <w:r w:rsidRPr="00092171">
        <w:rPr>
          <w:szCs w:val="24"/>
          <w:lang w:eastAsia="en-US"/>
        </w:rPr>
        <w:t>.</w:t>
      </w:r>
      <w:r w:rsidR="00FD7D0D">
        <w:rPr>
          <w:b/>
          <w:szCs w:val="24"/>
          <w:lang w:eastAsia="en-US"/>
        </w:rPr>
        <w:t xml:space="preserve"> [Popr. 142]</w:t>
      </w:r>
    </w:p>
    <w:p w:rsidR="00092171" w:rsidRPr="00FD7D0D" w:rsidRDefault="00092171" w:rsidP="00092171">
      <w:pPr>
        <w:spacing w:before="120" w:after="120" w:line="360" w:lineRule="auto"/>
        <w:jc w:val="center"/>
        <w:rPr>
          <w:b/>
          <w:szCs w:val="24"/>
          <w:lang w:eastAsia="en-US"/>
        </w:rPr>
      </w:pPr>
      <w:r w:rsidRPr="00092171">
        <w:rPr>
          <w:szCs w:val="24"/>
          <w:lang w:eastAsia="en-US"/>
        </w:rPr>
        <w:t>Artykuł 18</w:t>
      </w:r>
      <w:r w:rsidRPr="00092171">
        <w:rPr>
          <w:szCs w:val="24"/>
          <w:lang w:eastAsia="en-US"/>
        </w:rPr>
        <w:br/>
        <w:t xml:space="preserve">Projekt techniczny i funkcjonowanie </w:t>
      </w:r>
      <w:r w:rsidRPr="00092171">
        <w:rPr>
          <w:b/>
          <w:i/>
          <w:szCs w:val="24"/>
          <w:lang w:eastAsia="en-US"/>
        </w:rPr>
        <w:t xml:space="preserve">cyfrowego </w:t>
      </w:r>
      <w:r w:rsidRPr="00092171">
        <w:rPr>
          <w:szCs w:val="24"/>
          <w:lang w:eastAsia="en-US"/>
        </w:rPr>
        <w:t xml:space="preserve">paszportu produktu </w:t>
      </w:r>
      <w:r w:rsidR="00FD7D0D">
        <w:rPr>
          <w:b/>
          <w:szCs w:val="24"/>
          <w:lang w:eastAsia="en-US"/>
        </w:rPr>
        <w:t xml:space="preserve"> [Popr. 143]</w:t>
      </w:r>
    </w:p>
    <w:p w:rsidR="00092171" w:rsidRPr="00FD7D0D"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r>
      <w:r w:rsidRPr="00092171">
        <w:rPr>
          <w:b/>
          <w:i/>
          <w:szCs w:val="24"/>
          <w:lang w:eastAsia="en-US"/>
        </w:rPr>
        <w:t xml:space="preserve">Cyfrowe </w:t>
      </w:r>
      <w:r w:rsidRPr="00092171">
        <w:rPr>
          <w:szCs w:val="24"/>
          <w:lang w:eastAsia="en-US"/>
        </w:rPr>
        <w:t>paszporty produktów muszą być w pełni interoperacyjne z</w:t>
      </w:r>
      <w:r w:rsidRPr="00092171">
        <w:rPr>
          <w:b/>
          <w:i/>
          <w:szCs w:val="24"/>
          <w:lang w:eastAsia="en-US"/>
        </w:rPr>
        <w:t xml:space="preserve"> cyfrowymi</w:t>
      </w:r>
      <w:r w:rsidRPr="00092171">
        <w:rPr>
          <w:szCs w:val="24"/>
          <w:lang w:eastAsia="en-US"/>
        </w:rPr>
        <w:t xml:space="preserve"> paszportami produktów wymaganymi na mocy innych przepisów Unii w odniesieniu do technicznych, semantycznych i organizacyjnych aspektów łączności typu koniec-koniec i przekazywania danych.</w:t>
      </w:r>
      <w:r w:rsidR="00FD7D0D">
        <w:rPr>
          <w:b/>
          <w:szCs w:val="24"/>
          <w:lang w:eastAsia="en-US"/>
        </w:rPr>
        <w:t xml:space="preserve"> [Popr. 144]</w:t>
      </w:r>
    </w:p>
    <w:p w:rsidR="00FD7D0D" w:rsidRDefault="00FD7D0D">
      <w:pPr>
        <w:widowControl/>
        <w:rPr>
          <w:szCs w:val="24"/>
          <w:lang w:eastAsia="en-US"/>
        </w:rPr>
      </w:pPr>
      <w:r>
        <w:rPr>
          <w:szCs w:val="24"/>
          <w:lang w:eastAsia="en-US"/>
        </w:rPr>
        <w:br w:type="page"/>
      </w:r>
    </w:p>
    <w:p w:rsidR="00092171" w:rsidRPr="00FD7D0D" w:rsidRDefault="00092171" w:rsidP="00092171">
      <w:pPr>
        <w:spacing w:before="120" w:after="120" w:line="360" w:lineRule="auto"/>
        <w:ind w:left="850" w:hanging="850"/>
        <w:rPr>
          <w:b/>
          <w:szCs w:val="24"/>
          <w:lang w:eastAsia="en-US"/>
        </w:rPr>
      </w:pPr>
      <w:r w:rsidRPr="00092171">
        <w:rPr>
          <w:szCs w:val="24"/>
          <w:lang w:eastAsia="en-US"/>
        </w:rPr>
        <w:lastRenderedPageBreak/>
        <w:t>2.</w:t>
      </w:r>
      <w:r w:rsidRPr="00092171">
        <w:rPr>
          <w:szCs w:val="24"/>
          <w:lang w:eastAsia="en-US"/>
        </w:rPr>
        <w:tab/>
        <w:t>Wszystkie informacje zawarte w</w:t>
      </w:r>
      <w:r w:rsidRPr="00092171">
        <w:rPr>
          <w:b/>
          <w:i/>
          <w:szCs w:val="24"/>
          <w:lang w:eastAsia="en-US"/>
        </w:rPr>
        <w:t xml:space="preserve"> cyfrowym</w:t>
      </w:r>
      <w:r w:rsidRPr="00092171">
        <w:rPr>
          <w:szCs w:val="24"/>
          <w:lang w:eastAsia="en-US"/>
        </w:rPr>
        <w:t xml:space="preserve"> paszporcie produktu muszą opierać się na standardach otwartych opracowanych w formie zapewniającej interoperacyjność</w:t>
      </w:r>
      <w:r w:rsidRPr="00092171">
        <w:rPr>
          <w:b/>
          <w:i/>
          <w:szCs w:val="24"/>
          <w:lang w:eastAsia="en-US"/>
        </w:rPr>
        <w:t xml:space="preserve">, w tym do celów przekazywania informacji za pośrednictwem portalu Safety Business Gateway i portalu Safety Gate, o których mowa w art. 27 i 34 rozporządzenia </w:t>
      </w:r>
      <w:r w:rsidR="00843637">
        <w:rPr>
          <w:b/>
          <w:i/>
          <w:szCs w:val="24"/>
          <w:lang w:eastAsia="en-US"/>
        </w:rPr>
        <w:t xml:space="preserve">(UE) </w:t>
      </w:r>
      <w:r w:rsidRPr="00092171">
        <w:rPr>
          <w:b/>
          <w:i/>
          <w:szCs w:val="24"/>
          <w:lang w:eastAsia="en-US"/>
        </w:rPr>
        <w:t>2023/988.</w:t>
      </w:r>
      <w:r w:rsidRPr="00092171">
        <w:rPr>
          <w:strike/>
          <w:szCs w:val="24"/>
          <w:lang w:eastAsia="en-US"/>
        </w:rPr>
        <w:t xml:space="preserve"> i</w:t>
      </w:r>
      <w:r w:rsidRPr="00092171">
        <w:rPr>
          <w:szCs w:val="24"/>
          <w:lang w:eastAsia="en-US"/>
        </w:rPr>
        <w:t xml:space="preserve"> Muszą nadawać się do odczytu maszynowego, mieć odpowiednią strukturę i muszą być możliwe do wyszukania</w:t>
      </w:r>
      <w:r w:rsidRPr="00092171">
        <w:rPr>
          <w:b/>
          <w:i/>
          <w:szCs w:val="24"/>
          <w:lang w:eastAsia="en-US"/>
        </w:rPr>
        <w:t xml:space="preserve"> zgodnie z zasadniczymi wymogami określonymi w rozporządzeniu</w:t>
      </w:r>
      <w:r w:rsidRPr="00092171">
        <w:rPr>
          <w:szCs w:val="24"/>
          <w:lang w:eastAsia="en-US"/>
        </w:rPr>
        <w:t>.</w:t>
      </w:r>
      <w:r w:rsidRPr="00092171">
        <w:rPr>
          <w:b/>
          <w:i/>
          <w:szCs w:val="24"/>
          <w:lang w:eastAsia="en-US"/>
        </w:rPr>
        <w:t>../... [rozporządzenie w sprawie ekoprojektu dla zrównoważonych produktów]. Cyfrowy paszport produktu musi być zaprojektowany i obsługiwany w przystępny sposób oraz uwzględniać zasadę bezpieczeństwa i prywatności już w fazie projektowania.</w:t>
      </w:r>
      <w:r w:rsidR="00FD7D0D">
        <w:rPr>
          <w:b/>
          <w:szCs w:val="24"/>
          <w:lang w:eastAsia="en-US"/>
        </w:rPr>
        <w:t xml:space="preserve"> [Popr. 145]</w:t>
      </w:r>
    </w:p>
    <w:p w:rsidR="00092171" w:rsidRPr="00FD7D0D" w:rsidRDefault="00092171" w:rsidP="00092171">
      <w:pPr>
        <w:spacing w:before="120" w:after="120" w:line="360" w:lineRule="auto"/>
        <w:ind w:left="850" w:hanging="850"/>
        <w:rPr>
          <w:b/>
          <w:szCs w:val="24"/>
          <w:lang w:eastAsia="en-US"/>
        </w:rPr>
      </w:pPr>
      <w:r w:rsidRPr="00092171">
        <w:rPr>
          <w:szCs w:val="24"/>
          <w:lang w:eastAsia="en-US"/>
        </w:rPr>
        <w:t>3.</w:t>
      </w:r>
      <w:r w:rsidRPr="00092171">
        <w:rPr>
          <w:szCs w:val="24"/>
          <w:lang w:eastAsia="en-US"/>
        </w:rPr>
        <w:tab/>
        <w:t xml:space="preserve">Konsumenci lub użytkownicy końcowi, podmioty gospodarcze i inne właściwe podmioty muszą mieć bezpłatny dostęp </w:t>
      </w:r>
      <w:r w:rsidRPr="00092171">
        <w:rPr>
          <w:b/>
          <w:i/>
          <w:szCs w:val="24"/>
          <w:lang w:eastAsia="en-US"/>
        </w:rPr>
        <w:t>– zależnie od przysługujących im uprawnień i zgodnie z unijnymi przepisami – do cyfrowego</w:t>
      </w:r>
      <w:r w:rsidRPr="00092171">
        <w:rPr>
          <w:strike/>
          <w:szCs w:val="24"/>
          <w:lang w:eastAsia="en-US"/>
        </w:rPr>
        <w:t>do</w:t>
      </w:r>
      <w:r w:rsidRPr="00092171">
        <w:rPr>
          <w:szCs w:val="24"/>
          <w:lang w:eastAsia="en-US"/>
        </w:rPr>
        <w:t xml:space="preserve"> paszportu produktu.</w:t>
      </w:r>
      <w:r w:rsidR="00FD7D0D">
        <w:rPr>
          <w:b/>
          <w:szCs w:val="24"/>
          <w:lang w:eastAsia="en-US"/>
        </w:rPr>
        <w:t xml:space="preserve"> [Popr. 146]</w:t>
      </w:r>
    </w:p>
    <w:p w:rsidR="00092171" w:rsidRPr="00FD7D0D" w:rsidRDefault="00092171" w:rsidP="00092171">
      <w:pPr>
        <w:spacing w:before="120" w:after="120" w:line="360" w:lineRule="auto"/>
        <w:ind w:left="850" w:hanging="850"/>
        <w:rPr>
          <w:b/>
          <w:szCs w:val="24"/>
          <w:lang w:eastAsia="en-US"/>
        </w:rPr>
      </w:pPr>
      <w:r w:rsidRPr="00092171">
        <w:rPr>
          <w:b/>
          <w:i/>
          <w:szCs w:val="24"/>
          <w:lang w:eastAsia="en-US"/>
        </w:rPr>
        <w:t>3a.</w:t>
      </w:r>
      <w:r w:rsidRPr="00092171">
        <w:rPr>
          <w:szCs w:val="24"/>
          <w:lang w:eastAsia="en-US"/>
        </w:rPr>
        <w:tab/>
      </w:r>
      <w:r w:rsidRPr="00092171">
        <w:rPr>
          <w:b/>
          <w:i/>
          <w:szCs w:val="24"/>
          <w:lang w:eastAsia="en-US"/>
        </w:rPr>
        <w:t>Od konsumentów nie wymaga się pobierania i instalowania oprogramowania, ani rejestrowania i podawania hasła, aby uzyskać dostęp do cyfrowego paszportu produktu</w:t>
      </w:r>
      <w:r w:rsidR="00FD7D0D">
        <w:rPr>
          <w:b/>
          <w:szCs w:val="24"/>
          <w:lang w:eastAsia="en-US"/>
        </w:rPr>
        <w:t xml:space="preserve"> [Popr. 147]</w:t>
      </w:r>
    </w:p>
    <w:p w:rsidR="00FD7D0D" w:rsidRDefault="00FD7D0D">
      <w:pPr>
        <w:widowControl/>
        <w:rPr>
          <w:szCs w:val="24"/>
          <w:lang w:eastAsia="en-US"/>
        </w:rPr>
      </w:pPr>
      <w:r>
        <w:rPr>
          <w:szCs w:val="24"/>
          <w:lang w:eastAsia="en-US"/>
        </w:rPr>
        <w:br w:type="page"/>
      </w:r>
    </w:p>
    <w:p w:rsidR="00092171" w:rsidRPr="00FD7D0D" w:rsidRDefault="00092171" w:rsidP="00092171">
      <w:pPr>
        <w:spacing w:before="120" w:after="120" w:line="360" w:lineRule="auto"/>
        <w:ind w:left="850" w:hanging="850"/>
        <w:rPr>
          <w:b/>
          <w:szCs w:val="24"/>
          <w:lang w:eastAsia="en-US"/>
        </w:rPr>
      </w:pPr>
      <w:r w:rsidRPr="00092171">
        <w:rPr>
          <w:szCs w:val="24"/>
          <w:lang w:eastAsia="en-US"/>
        </w:rPr>
        <w:lastRenderedPageBreak/>
        <w:t>4.</w:t>
      </w:r>
      <w:r w:rsidRPr="00092171">
        <w:rPr>
          <w:szCs w:val="24"/>
          <w:lang w:eastAsia="en-US"/>
        </w:rPr>
        <w:tab/>
        <w:t>Dane zawarte w</w:t>
      </w:r>
      <w:r w:rsidRPr="00092171">
        <w:rPr>
          <w:b/>
          <w:i/>
          <w:szCs w:val="24"/>
          <w:lang w:eastAsia="en-US"/>
        </w:rPr>
        <w:t xml:space="preserve"> cyfrowym</w:t>
      </w:r>
      <w:r w:rsidRPr="00092171">
        <w:rPr>
          <w:szCs w:val="24"/>
          <w:lang w:eastAsia="en-US"/>
        </w:rPr>
        <w:t xml:space="preserve"> paszporcie produktu muszą być przechowywane przez podmiot gospodarczy odpowiedzialny za stworzenie paszportu produktu lub podmioty upoważnione do działania w jego imieniu.</w:t>
      </w:r>
      <w:r w:rsidR="00FD7D0D">
        <w:rPr>
          <w:b/>
          <w:szCs w:val="24"/>
          <w:lang w:eastAsia="en-US"/>
        </w:rPr>
        <w:t xml:space="preserve"> [Popr. 148]</w:t>
      </w:r>
    </w:p>
    <w:p w:rsidR="00092171" w:rsidRPr="00FD7D0D" w:rsidRDefault="00092171" w:rsidP="00092171">
      <w:pPr>
        <w:spacing w:before="120" w:after="120" w:line="360" w:lineRule="auto"/>
        <w:ind w:left="850" w:hanging="850"/>
        <w:rPr>
          <w:b/>
          <w:szCs w:val="24"/>
          <w:lang w:eastAsia="en-US"/>
        </w:rPr>
      </w:pPr>
      <w:r w:rsidRPr="00092171">
        <w:rPr>
          <w:szCs w:val="24"/>
          <w:lang w:eastAsia="en-US"/>
        </w:rPr>
        <w:t>5.</w:t>
      </w:r>
      <w:r w:rsidRPr="00092171">
        <w:rPr>
          <w:szCs w:val="24"/>
          <w:lang w:eastAsia="en-US"/>
        </w:rPr>
        <w:tab/>
        <w:t>Jeżeli dane zawarte w</w:t>
      </w:r>
      <w:r w:rsidRPr="00092171">
        <w:rPr>
          <w:b/>
          <w:i/>
          <w:szCs w:val="24"/>
          <w:lang w:eastAsia="en-US"/>
        </w:rPr>
        <w:t xml:space="preserve"> cyfrowym</w:t>
      </w:r>
      <w:r w:rsidRPr="00092171">
        <w:rPr>
          <w:szCs w:val="24"/>
          <w:lang w:eastAsia="en-US"/>
        </w:rPr>
        <w:t xml:space="preserve"> paszporcie produktu są przechowywane lub w inny sposób przetwarzane przez podmioty upoważnione do działania w imieniu podmiotów gospodarczych wprowadzających zabawkę do obrotu, taki inny podmiot nie może sprzedawać, ponownie wykorzystywać ani przetwarzać takich danych, w całości ani w części, w zakresie wykraczającym poza to, co jest konieczne do świadczenia odpowiednich usług w zakresie przechowywania lub przetwarzania.</w:t>
      </w:r>
      <w:r w:rsidR="00FD7D0D">
        <w:rPr>
          <w:b/>
          <w:szCs w:val="24"/>
          <w:lang w:eastAsia="en-US"/>
        </w:rPr>
        <w:t xml:space="preserve"> [Popr. 149]</w:t>
      </w:r>
    </w:p>
    <w:p w:rsidR="00092171" w:rsidRPr="00FD7D0D" w:rsidRDefault="00092171" w:rsidP="00092171">
      <w:pPr>
        <w:spacing w:before="120" w:after="120" w:line="360" w:lineRule="auto"/>
        <w:ind w:left="850" w:hanging="850"/>
        <w:rPr>
          <w:b/>
          <w:szCs w:val="24"/>
          <w:lang w:eastAsia="en-US"/>
        </w:rPr>
      </w:pPr>
      <w:r w:rsidRPr="00092171">
        <w:rPr>
          <w:szCs w:val="24"/>
          <w:lang w:eastAsia="en-US"/>
        </w:rPr>
        <w:t>6.</w:t>
      </w:r>
      <w:r w:rsidRPr="00092171">
        <w:rPr>
          <w:szCs w:val="24"/>
          <w:lang w:eastAsia="en-US"/>
        </w:rPr>
        <w:tab/>
        <w:t xml:space="preserve">Podmioty gospodarcze nie </w:t>
      </w:r>
      <w:r w:rsidRPr="00092171">
        <w:rPr>
          <w:strike/>
          <w:szCs w:val="24"/>
          <w:lang w:eastAsia="en-US"/>
        </w:rPr>
        <w:t>mogą śledzić, analizować ani wykorzystywać</w:t>
      </w:r>
      <w:r w:rsidRPr="00092171">
        <w:rPr>
          <w:b/>
          <w:i/>
          <w:szCs w:val="24"/>
          <w:lang w:eastAsia="en-US"/>
        </w:rPr>
        <w:t>śledzą, nie analizują ani nie wykorzystują</w:t>
      </w:r>
      <w:r w:rsidRPr="00092171">
        <w:rPr>
          <w:szCs w:val="24"/>
          <w:lang w:eastAsia="en-US"/>
        </w:rPr>
        <w:t xml:space="preserve"> żadnych informacji o użytkowaniu do celów innych niż absolutnie niezbędne do dostarczania informacji zawartych w </w:t>
      </w:r>
      <w:r w:rsidRPr="00092171">
        <w:rPr>
          <w:b/>
          <w:i/>
          <w:szCs w:val="24"/>
          <w:lang w:eastAsia="en-US"/>
        </w:rPr>
        <w:t xml:space="preserve">cyfrowym </w:t>
      </w:r>
      <w:r w:rsidRPr="00092171">
        <w:rPr>
          <w:szCs w:val="24"/>
          <w:lang w:eastAsia="en-US"/>
        </w:rPr>
        <w:t>paszporcie produktu online.</w:t>
      </w:r>
      <w:r w:rsidR="00FD7D0D">
        <w:rPr>
          <w:b/>
          <w:szCs w:val="24"/>
          <w:lang w:eastAsia="en-US"/>
        </w:rPr>
        <w:t xml:space="preserve"> [Popr. 150]</w:t>
      </w:r>
    </w:p>
    <w:p w:rsidR="00FD7D0D" w:rsidRDefault="00FD7D0D">
      <w:pPr>
        <w:widowControl/>
        <w:rPr>
          <w:szCs w:val="24"/>
          <w:lang w:eastAsia="en-US"/>
        </w:rPr>
      </w:pPr>
      <w:r>
        <w:rPr>
          <w:szCs w:val="24"/>
          <w:lang w:eastAsia="en-US"/>
        </w:rPr>
        <w:br w:type="page"/>
      </w:r>
    </w:p>
    <w:p w:rsidR="00092171" w:rsidRPr="00FD7D0D" w:rsidRDefault="00092171" w:rsidP="00092171">
      <w:pPr>
        <w:spacing w:before="120" w:after="120" w:line="360" w:lineRule="auto"/>
        <w:jc w:val="center"/>
        <w:rPr>
          <w:b/>
          <w:szCs w:val="24"/>
          <w:lang w:eastAsia="en-US"/>
        </w:rPr>
      </w:pPr>
      <w:r w:rsidRPr="00092171">
        <w:rPr>
          <w:szCs w:val="24"/>
          <w:lang w:eastAsia="en-US"/>
        </w:rPr>
        <w:lastRenderedPageBreak/>
        <w:t>Artykuł 19</w:t>
      </w:r>
      <w:r w:rsidRPr="00092171">
        <w:rPr>
          <w:szCs w:val="24"/>
          <w:lang w:eastAsia="en-US"/>
        </w:rPr>
        <w:br/>
      </w:r>
      <w:r w:rsidRPr="00092171">
        <w:rPr>
          <w:b/>
          <w:i/>
          <w:szCs w:val="24"/>
          <w:lang w:eastAsia="en-US"/>
        </w:rPr>
        <w:t xml:space="preserve">Cyfrowy </w:t>
      </w:r>
      <w:r w:rsidRPr="00092171">
        <w:rPr>
          <w:szCs w:val="24"/>
          <w:lang w:eastAsia="en-US"/>
        </w:rPr>
        <w:t>rejestr paszportów produktów</w:t>
      </w:r>
      <w:r w:rsidR="00FD7D0D">
        <w:rPr>
          <w:b/>
          <w:szCs w:val="24"/>
          <w:lang w:eastAsia="en-US"/>
        </w:rPr>
        <w:t xml:space="preserve"> [Popr. 151]</w:t>
      </w:r>
    </w:p>
    <w:p w:rsidR="00092171" w:rsidRPr="00FD7D0D"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Przed wprowadzeniem zabawki do obrotu</w:t>
      </w:r>
      <w:r w:rsidRPr="00092171">
        <w:rPr>
          <w:b/>
          <w:i/>
          <w:szCs w:val="24"/>
          <w:lang w:eastAsia="en-US"/>
        </w:rPr>
        <w:t xml:space="preserve"> – i po przyjęciu aktów delegowanych zgodnie z art. 17 ust. 10 niniejszego rozporządzenia –</w:t>
      </w:r>
      <w:r w:rsidRPr="00092171">
        <w:rPr>
          <w:szCs w:val="24"/>
          <w:lang w:eastAsia="en-US"/>
        </w:rPr>
        <w:t xml:space="preserve"> podmioty gospodarcze umieszczają w rejestrze ustanowionym na podstawie art. 12 ust. 1 rozporządzenia (UE) .../... [</w:t>
      </w:r>
      <w:r w:rsidRPr="00092171">
        <w:rPr>
          <w:strike/>
          <w:szCs w:val="24"/>
          <w:lang w:eastAsia="en-US"/>
        </w:rPr>
        <w:t>Urząd Publikacji</w:t>
      </w:r>
      <w:r w:rsidRPr="00092171">
        <w:rPr>
          <w:b/>
          <w:i/>
          <w:szCs w:val="24"/>
          <w:lang w:eastAsia="en-US"/>
        </w:rPr>
        <w:t>Dz.U.</w:t>
      </w:r>
      <w:r w:rsidRPr="00092171">
        <w:rPr>
          <w:szCs w:val="24"/>
          <w:lang w:eastAsia="en-US"/>
        </w:rPr>
        <w:t>: proszę wstawić numer porządkowy rozporządzenia w sprawie wymogów dotyczących ekoprojektu dla zrównoważonych produktów] („rejestr”) unikatowy identyfikator produktu i unikatowy identyfikator podmiotu w odniesieniu do tej zabawki.</w:t>
      </w:r>
      <w:r w:rsidR="00FD7D0D">
        <w:rPr>
          <w:b/>
          <w:szCs w:val="24"/>
          <w:lang w:eastAsia="en-US"/>
        </w:rPr>
        <w:t xml:space="preserve"> [Popr. 152]</w:t>
      </w:r>
    </w:p>
    <w:p w:rsidR="00092171" w:rsidRPr="00FD7D0D" w:rsidRDefault="00092171" w:rsidP="00092171">
      <w:pPr>
        <w:spacing w:before="120" w:after="120" w:line="360" w:lineRule="auto"/>
        <w:ind w:left="850" w:hanging="850"/>
        <w:rPr>
          <w:b/>
          <w:szCs w:val="24"/>
          <w:lang w:eastAsia="en-US"/>
        </w:rPr>
      </w:pPr>
      <w:r w:rsidRPr="00092171">
        <w:rPr>
          <w:szCs w:val="24"/>
          <w:lang w:eastAsia="en-US"/>
        </w:rPr>
        <w:t>2.</w:t>
      </w:r>
      <w:r w:rsidRPr="00092171">
        <w:rPr>
          <w:szCs w:val="24"/>
          <w:lang w:eastAsia="en-US"/>
        </w:rPr>
        <w:tab/>
        <w:t>Komisja, organy nadzoru rynku i organy celne mają</w:t>
      </w:r>
      <w:r w:rsidRPr="00092171">
        <w:rPr>
          <w:b/>
          <w:i/>
          <w:szCs w:val="24"/>
          <w:lang w:eastAsia="en-US"/>
        </w:rPr>
        <w:t xml:space="preserve"> łatwy</w:t>
      </w:r>
      <w:r w:rsidRPr="00092171">
        <w:rPr>
          <w:szCs w:val="24"/>
          <w:lang w:eastAsia="en-US"/>
        </w:rPr>
        <w:t xml:space="preserve"> dostęp do informacji przechowywanych w rejestrze, o którym mowa w ust. 1, do celów wykonywania swoich obowiązków na podstawie niniejszego rozporządzenia.</w:t>
      </w:r>
      <w:r w:rsidR="00FD7D0D">
        <w:rPr>
          <w:b/>
          <w:szCs w:val="24"/>
          <w:lang w:eastAsia="en-US"/>
        </w:rPr>
        <w:t xml:space="preserve"> [Popr. 153]</w:t>
      </w:r>
    </w:p>
    <w:p w:rsidR="00092171" w:rsidRPr="00FD7D0D" w:rsidRDefault="00092171" w:rsidP="00092171">
      <w:pPr>
        <w:spacing w:before="120" w:after="120" w:line="360" w:lineRule="auto"/>
        <w:jc w:val="center"/>
        <w:rPr>
          <w:b/>
          <w:szCs w:val="24"/>
          <w:lang w:eastAsia="en-US"/>
        </w:rPr>
      </w:pPr>
      <w:r w:rsidRPr="00092171">
        <w:rPr>
          <w:szCs w:val="24"/>
          <w:lang w:eastAsia="en-US"/>
        </w:rPr>
        <w:t>Artykuł 20</w:t>
      </w:r>
      <w:r w:rsidRPr="00092171">
        <w:rPr>
          <w:szCs w:val="24"/>
          <w:lang w:eastAsia="en-US"/>
        </w:rPr>
        <w:br/>
        <w:t xml:space="preserve">Kontrole celne związane z </w:t>
      </w:r>
      <w:r w:rsidRPr="00092171">
        <w:rPr>
          <w:b/>
          <w:i/>
          <w:szCs w:val="24"/>
          <w:lang w:eastAsia="en-US"/>
        </w:rPr>
        <w:t xml:space="preserve">cyfrowym </w:t>
      </w:r>
      <w:r w:rsidRPr="00092171">
        <w:rPr>
          <w:szCs w:val="24"/>
          <w:lang w:eastAsia="en-US"/>
        </w:rPr>
        <w:t>paszportem produktu</w:t>
      </w:r>
      <w:r w:rsidR="00FD7D0D">
        <w:rPr>
          <w:b/>
          <w:szCs w:val="24"/>
          <w:lang w:eastAsia="en-US"/>
        </w:rPr>
        <w:t xml:space="preserve"> [Popr. 154]</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Zabawki wprowadzane na rynek Unii podlegają weryfikacji i innym środkom określonym w niniejszym artykule.</w:t>
      </w:r>
    </w:p>
    <w:p w:rsidR="00FD7D0D" w:rsidRDefault="00FD7D0D">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Zgłaszający, zgodnie z definicją podaną w art. 5 pkt 15 rozporządzenia (UE) nr 952/2013, uwzględniają unikatowy identyfikator produktu w zgłoszeniu celnym do dopuszczenia do obrotu każdej zabawki.</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Organy celne weryfikują zgodność unikatowego identyfikatora produktu wskazanego przez zgłaszającego zgodnie z ust. 2 niniejszego artykułu z unikatowym identyfikatorem produktu wpisanym do rejestru zgodnie z art. 19 ust. 1.</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Oprócz weryfikacji, o której mowa w ust. 3 niniejszego artykułu, organy celne sprawdzają spójność informacji udostępnionych organom celnym przez zgłaszających z innymi informacjami przechowywanymi w rejestrze i wymienionymi w akcie delegowanym, o którym mowa w art. 46 ust. 3.</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Weryfikację, o której mowa w ust. 3 i 4 niniejszego artykułu, przeprowadza się elektronicznie i automatycznie z wykorzystaniem wzajemnego połączenia między rejestrem, o którym mowa w art. 19 ust. 1, a unijnym systemem jednego okienka w dziedzinie ceł służącego do wymiany świadectw, o którym mowa w [art. 13 [Urząd Publikacji: proszę wstawić numer porządkowy rozporządzenia (UE) .../... w sprawie wymogów dotyczących ekoprojektu dla zrównoważonych produktów]].</w:t>
      </w:r>
    </w:p>
    <w:p w:rsidR="00FD7D0D" w:rsidRDefault="00FD7D0D">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6.</w:t>
      </w:r>
      <w:r w:rsidRPr="00092171">
        <w:rPr>
          <w:szCs w:val="24"/>
          <w:lang w:eastAsia="en-US"/>
        </w:rPr>
        <w:tab/>
        <w:t>Ust. 3, 4 i 5 niniejszego artykułu stosuje się od dnia rozpoczęcia funkcjonowania wzajemnego połączenia między rejestrem a unijnym systemem jednego okienka w dziedzinie ceł służącego do wymiany świadectw, o którym mowa w [art. 13 [Urząd Publikacji: proszę wstawić numer porządkowy rozporządzenia (UE) .../... w sprawie wymogów dotyczących ekoprojektu dla zrównoważonych produktów]].</w:t>
      </w:r>
    </w:p>
    <w:p w:rsidR="00092171" w:rsidRPr="00092171" w:rsidRDefault="00092171" w:rsidP="00092171">
      <w:pPr>
        <w:spacing w:before="120" w:after="120" w:line="360" w:lineRule="auto"/>
        <w:ind w:left="850"/>
        <w:rPr>
          <w:szCs w:val="24"/>
          <w:lang w:eastAsia="en-US"/>
        </w:rPr>
      </w:pPr>
      <w:r w:rsidRPr="00092171">
        <w:rPr>
          <w:szCs w:val="24"/>
          <w:lang w:eastAsia="en-US"/>
        </w:rPr>
        <w:t xml:space="preserve">Komisja publikuje w tym celu zawiadomienie w </w:t>
      </w:r>
      <w:r w:rsidR="00FD7FCD" w:rsidRPr="00FD7FCD">
        <w:rPr>
          <w:i/>
          <w:szCs w:val="24"/>
          <w:lang w:eastAsia="en-US"/>
        </w:rPr>
        <w:t>Dzienniku Urzędowym Unii Europejskiej</w:t>
      </w:r>
      <w:r w:rsidRPr="00092171">
        <w:rPr>
          <w:szCs w:val="24"/>
          <w:lang w:eastAsia="en-US"/>
        </w:rPr>
        <w:t>, wskazując datę rozpoczęcia funkcjonowania wzajemnego połączenia.</w:t>
      </w:r>
    </w:p>
    <w:p w:rsidR="00092171" w:rsidRPr="00FD7D0D" w:rsidRDefault="00092171" w:rsidP="00092171">
      <w:pPr>
        <w:spacing w:before="120" w:after="120" w:line="360" w:lineRule="auto"/>
        <w:ind w:left="850" w:hanging="850"/>
        <w:rPr>
          <w:b/>
          <w:szCs w:val="24"/>
          <w:lang w:eastAsia="en-US"/>
        </w:rPr>
      </w:pPr>
      <w:r w:rsidRPr="00092171">
        <w:rPr>
          <w:szCs w:val="24"/>
          <w:lang w:eastAsia="en-US"/>
        </w:rPr>
        <w:t>7.</w:t>
      </w:r>
      <w:r w:rsidRPr="00092171">
        <w:rPr>
          <w:szCs w:val="24"/>
          <w:lang w:eastAsia="en-US"/>
        </w:rPr>
        <w:tab/>
        <w:t>Organy celne mają możliwość wyszukiwania i wykorzystywania informacji dotyczących zabawek, zawartych w</w:t>
      </w:r>
      <w:r w:rsidRPr="00092171">
        <w:rPr>
          <w:b/>
          <w:i/>
          <w:szCs w:val="24"/>
          <w:lang w:eastAsia="en-US"/>
        </w:rPr>
        <w:t xml:space="preserve"> cyfrowym</w:t>
      </w:r>
      <w:r w:rsidRPr="00092171">
        <w:rPr>
          <w:szCs w:val="24"/>
          <w:lang w:eastAsia="en-US"/>
        </w:rPr>
        <w:t xml:space="preserve"> paszporcie produktu i rejestrze do wykonywania swoich obowiązków na podstawie przepisów Unii, w tym do zarządzania ryzykiem zgodnie z art. 46 i 47 rozporządzenia (UE) nr 952/2013.</w:t>
      </w:r>
      <w:r w:rsidR="00FD7D0D">
        <w:rPr>
          <w:b/>
          <w:szCs w:val="24"/>
          <w:lang w:eastAsia="en-US"/>
        </w:rPr>
        <w:t xml:space="preserve"> [Popr. 155]</w:t>
      </w:r>
    </w:p>
    <w:p w:rsidR="00092171" w:rsidRPr="00092171" w:rsidRDefault="00092171" w:rsidP="00092171">
      <w:pPr>
        <w:spacing w:before="120" w:after="120" w:line="360" w:lineRule="auto"/>
        <w:ind w:left="850" w:hanging="850"/>
        <w:rPr>
          <w:szCs w:val="24"/>
          <w:lang w:eastAsia="en-US"/>
        </w:rPr>
      </w:pPr>
      <w:r w:rsidRPr="00092171">
        <w:rPr>
          <w:szCs w:val="24"/>
          <w:lang w:eastAsia="en-US"/>
        </w:rPr>
        <w:t>8.</w:t>
      </w:r>
      <w:r w:rsidRPr="00092171">
        <w:rPr>
          <w:szCs w:val="24"/>
          <w:lang w:eastAsia="en-US"/>
        </w:rPr>
        <w:tab/>
        <w:t>Weryfikacje i inne środki określone w niniejszym artykule przeprowadza się na podstawie wykazu kodów towarów i opisów produktów przedstawionych w załączniku VII.</w:t>
      </w:r>
    </w:p>
    <w:p w:rsidR="00FD7D0D" w:rsidRDefault="00FD7D0D">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9.</w:t>
      </w:r>
      <w:r w:rsidRPr="00092171">
        <w:rPr>
          <w:szCs w:val="24"/>
          <w:lang w:eastAsia="en-US"/>
        </w:rPr>
        <w:tab/>
        <w:t>Weryfikacje i środki określone w niniejszym artykule nie mają wpływu na stosowanie innych aktów prawnych Unii regulujących dopuszczenie produktów do obrotu, w tym art. 46, 47 i 134 rozporządzenia (UE) nr 952/2013, ani na kontrole, o których mowa w rozdziale VII rozporządzenia (UE) 2019/1020.</w:t>
      </w:r>
    </w:p>
    <w:p w:rsidR="00092171" w:rsidRPr="00092171" w:rsidRDefault="00092171" w:rsidP="00092171">
      <w:pPr>
        <w:spacing w:before="120" w:after="120" w:line="360" w:lineRule="auto"/>
        <w:jc w:val="center"/>
        <w:rPr>
          <w:szCs w:val="24"/>
          <w:lang w:eastAsia="en-US"/>
        </w:rPr>
      </w:pPr>
      <w:r w:rsidRPr="00092171">
        <w:rPr>
          <w:b/>
          <w:i/>
          <w:szCs w:val="24"/>
          <w:lang w:eastAsia="en-US"/>
        </w:rPr>
        <w:t>Artykuł 20a</w:t>
      </w:r>
      <w:r w:rsidRPr="00092171">
        <w:rPr>
          <w:szCs w:val="24"/>
          <w:lang w:eastAsia="en-US"/>
        </w:rPr>
        <w:br/>
      </w:r>
      <w:r w:rsidRPr="00092171">
        <w:rPr>
          <w:b/>
          <w:i/>
          <w:szCs w:val="24"/>
          <w:lang w:eastAsia="en-US"/>
        </w:rPr>
        <w:t>Pomoc dla MŚP</w:t>
      </w:r>
    </w:p>
    <w:p w:rsidR="00092171" w:rsidRPr="00092171" w:rsidRDefault="00092171" w:rsidP="00092171">
      <w:pPr>
        <w:spacing w:before="120" w:after="120" w:line="360" w:lineRule="auto"/>
        <w:ind w:left="850" w:hanging="850"/>
        <w:rPr>
          <w:szCs w:val="24"/>
          <w:lang w:eastAsia="en-US"/>
        </w:rPr>
      </w:pPr>
      <w:r w:rsidRPr="00092171">
        <w:rPr>
          <w:b/>
          <w:i/>
          <w:szCs w:val="24"/>
          <w:lang w:eastAsia="en-US"/>
        </w:rPr>
        <w:t>1.</w:t>
      </w:r>
      <w:r w:rsidRPr="00092171">
        <w:rPr>
          <w:szCs w:val="24"/>
          <w:lang w:eastAsia="en-US"/>
        </w:rPr>
        <w:tab/>
      </w:r>
      <w:r w:rsidRPr="00092171">
        <w:rPr>
          <w:b/>
          <w:i/>
          <w:szCs w:val="24"/>
          <w:lang w:eastAsia="en-US"/>
        </w:rPr>
        <w:t>Komisja, we współpracy z odpowiednimi organami krajowymi, udziela kompleksowej pomocy MŚP, które są zobowiązane do ustanowienia cyfrowego paszportu produktu dla zabawek, i zapewnia im dostosowane do potrzeb wytyczne dotyczące skutecznego tworzenia i obsługi cyfrowego paszportu produktu dla zabawek oraz narzędzia do automatycznego tłumaczenia na języki, o których mowa w art. 17 ust. 2 lit. e).</w:t>
      </w:r>
    </w:p>
    <w:p w:rsidR="00092171" w:rsidRPr="00092171" w:rsidRDefault="00092171" w:rsidP="00092171">
      <w:pPr>
        <w:spacing w:before="120" w:after="120" w:line="360" w:lineRule="auto"/>
        <w:ind w:left="850"/>
        <w:rPr>
          <w:szCs w:val="24"/>
          <w:lang w:eastAsia="en-US"/>
        </w:rPr>
      </w:pPr>
      <w:r w:rsidRPr="00092171">
        <w:rPr>
          <w:b/>
          <w:i/>
          <w:szCs w:val="24"/>
          <w:lang w:eastAsia="en-US"/>
        </w:rPr>
        <w:t>Pomocy, o której mowa w akapicie pierwszym, udziela się nie później niż ... [12 miesięcy po wejściu w życie niniejszego rozporządzenia] r.</w:t>
      </w:r>
    </w:p>
    <w:p w:rsidR="00092171" w:rsidRPr="00FD7D0D" w:rsidRDefault="00092171" w:rsidP="00092171">
      <w:pPr>
        <w:spacing w:before="120" w:after="120" w:line="360" w:lineRule="auto"/>
        <w:ind w:left="850" w:hanging="850"/>
        <w:rPr>
          <w:b/>
          <w:szCs w:val="24"/>
          <w:lang w:eastAsia="en-US"/>
        </w:rPr>
      </w:pPr>
      <w:r w:rsidRPr="00092171">
        <w:rPr>
          <w:b/>
          <w:i/>
          <w:szCs w:val="24"/>
          <w:lang w:eastAsia="en-US"/>
        </w:rPr>
        <w:t>2.</w:t>
      </w:r>
      <w:r w:rsidRPr="00092171">
        <w:rPr>
          <w:szCs w:val="24"/>
          <w:lang w:eastAsia="en-US"/>
        </w:rPr>
        <w:tab/>
      </w:r>
      <w:r w:rsidRPr="00092171">
        <w:rPr>
          <w:b/>
          <w:i/>
          <w:szCs w:val="24"/>
          <w:lang w:eastAsia="en-US"/>
        </w:rPr>
        <w:t>Komisja oceni możliwość utworzenia narzędzia online, które zapewni MŚP podstawowe informacje i funkcje niezbędne do ustanowienia cyfrowego paszportu dla ich produktów.</w:t>
      </w:r>
      <w:r w:rsidR="00FD7D0D">
        <w:rPr>
          <w:b/>
          <w:szCs w:val="24"/>
          <w:lang w:eastAsia="en-US"/>
        </w:rPr>
        <w:t xml:space="preserve"> [Popr. 156]</w:t>
      </w:r>
    </w:p>
    <w:p w:rsidR="00FD7D0D" w:rsidRDefault="00FD7D0D">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 xml:space="preserve">ROZDZIAŁ V </w:t>
      </w:r>
      <w:r w:rsidRPr="00092171">
        <w:rPr>
          <w:szCs w:val="24"/>
          <w:lang w:eastAsia="en-US"/>
        </w:rPr>
        <w:br/>
        <w:t xml:space="preserve">OCENA ZGODNOŚCI </w:t>
      </w:r>
    </w:p>
    <w:p w:rsidR="00092171" w:rsidRPr="00092171" w:rsidRDefault="00092171" w:rsidP="00092171">
      <w:pPr>
        <w:spacing w:before="120" w:after="120" w:line="360" w:lineRule="auto"/>
        <w:jc w:val="center"/>
        <w:rPr>
          <w:szCs w:val="24"/>
          <w:lang w:eastAsia="en-US"/>
        </w:rPr>
      </w:pPr>
      <w:r w:rsidRPr="00092171">
        <w:rPr>
          <w:szCs w:val="24"/>
          <w:lang w:eastAsia="en-US"/>
        </w:rPr>
        <w:t>Artykuł 21</w:t>
      </w:r>
      <w:r w:rsidRPr="00092171">
        <w:rPr>
          <w:szCs w:val="24"/>
          <w:lang w:eastAsia="en-US"/>
        </w:rPr>
        <w:br/>
        <w:t>Ocena bezpieczeństwa</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 xml:space="preserve">Aby wykazać, że zabawka spełnia zasadnicze wymagania bezpieczeństwa, przed wprowadzeniem zabawki do obrotu producenci przeprowadzają ocenę bezpieczeństwa, </w:t>
      </w:r>
      <w:r w:rsidRPr="00092171">
        <w:rPr>
          <w:strike/>
          <w:szCs w:val="24"/>
          <w:lang w:eastAsia="en-US"/>
        </w:rPr>
        <w:t>w tym analizę zagrożeń, które zabawka może stwarzać, a także ocenę ewentualnego narażenia na takie zagrożenia.</w:t>
      </w:r>
      <w:r w:rsidRPr="00092171">
        <w:rPr>
          <w:b/>
          <w:i/>
          <w:szCs w:val="24"/>
          <w:lang w:eastAsia="en-US"/>
        </w:rPr>
        <w:t>która powinna przynajmniej:</w:t>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t>a)</w:t>
      </w:r>
      <w:r w:rsidRPr="00092171">
        <w:rPr>
          <w:szCs w:val="24"/>
          <w:lang w:eastAsia="en-US"/>
        </w:rPr>
        <w:tab/>
      </w:r>
      <w:r w:rsidRPr="00092171">
        <w:rPr>
          <w:b/>
          <w:i/>
          <w:szCs w:val="24"/>
          <w:lang w:eastAsia="en-US"/>
        </w:rPr>
        <w:t>obejmować wszystkie zagrożenia chemiczne, fizyczne, mechaniczne, elektryczne, związane z palnością, higieną i radioaktywnością oraz ewentualne narażenie na takie zagrożenia;</w:t>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t>b)</w:t>
      </w:r>
      <w:r w:rsidRPr="00092171">
        <w:rPr>
          <w:szCs w:val="24"/>
          <w:lang w:eastAsia="en-US"/>
        </w:rPr>
        <w:tab/>
      </w:r>
      <w:r w:rsidRPr="00092171">
        <w:rPr>
          <w:b/>
          <w:i/>
          <w:szCs w:val="24"/>
          <w:lang w:eastAsia="en-US"/>
        </w:rPr>
        <w:t>w przypadku zagrożeń chemicznych uwzględniać ewentualne narażenie na działanie poszczególnych substancji chemicznych oraz wszelkie znane dodatkowe zagrożenia związane z łącznym narażeniem na działanie kilku różnych substancji chemicznych występujących w zabawce, z uwzględnieniem obowiązków na mocy rozporządzenia (WE) nr 1907/2006 oraz warunków w nim ustanowionych;</w:t>
      </w:r>
    </w:p>
    <w:p w:rsidR="00FD7D0D" w:rsidRDefault="00FD7D0D">
      <w:pPr>
        <w:widowControl/>
        <w:rPr>
          <w:b/>
          <w:i/>
          <w:szCs w:val="24"/>
          <w:lang w:eastAsia="en-US"/>
        </w:rPr>
      </w:pPr>
      <w:r>
        <w:rPr>
          <w:b/>
          <w:i/>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lastRenderedPageBreak/>
        <w:t>c)</w:t>
      </w:r>
      <w:r w:rsidRPr="00092171">
        <w:rPr>
          <w:szCs w:val="24"/>
          <w:lang w:eastAsia="en-US"/>
        </w:rPr>
        <w:tab/>
      </w:r>
      <w:r w:rsidRPr="00092171">
        <w:rPr>
          <w:b/>
          <w:i/>
          <w:szCs w:val="24"/>
          <w:lang w:eastAsia="en-US"/>
        </w:rPr>
        <w:t>być aktualizowana każdorazowo, gdy pojawiają się dodatkowe istotne informacje.</w:t>
      </w:r>
    </w:p>
    <w:p w:rsidR="00092171" w:rsidRPr="00FD7D0D" w:rsidRDefault="00092171" w:rsidP="00092171">
      <w:pPr>
        <w:spacing w:before="120" w:after="120" w:line="360" w:lineRule="auto"/>
        <w:ind w:left="850"/>
        <w:rPr>
          <w:b/>
          <w:szCs w:val="24"/>
          <w:lang w:eastAsia="en-US"/>
        </w:rPr>
      </w:pPr>
      <w:r w:rsidRPr="00092171">
        <w:rPr>
          <w:b/>
          <w:i/>
          <w:szCs w:val="24"/>
          <w:lang w:eastAsia="en-US"/>
        </w:rPr>
        <w:t>Ocena bezpieczeństwa zostaje uwzględniona w dokumentacji technicznej, o której mowa w art. 23.</w:t>
      </w:r>
      <w:r w:rsidR="00FD7D0D">
        <w:rPr>
          <w:b/>
          <w:szCs w:val="24"/>
          <w:lang w:eastAsia="en-US"/>
        </w:rPr>
        <w:t xml:space="preserve"> [Popr. 157]</w:t>
      </w:r>
    </w:p>
    <w:p w:rsidR="00092171" w:rsidRPr="00092171" w:rsidRDefault="00092171" w:rsidP="00092171">
      <w:pPr>
        <w:spacing w:before="120" w:after="120" w:line="360" w:lineRule="auto"/>
        <w:ind w:left="850" w:hanging="850"/>
        <w:rPr>
          <w:szCs w:val="24"/>
          <w:lang w:eastAsia="en-US"/>
        </w:rPr>
      </w:pPr>
      <w:r w:rsidRPr="00092171">
        <w:rPr>
          <w:strike/>
          <w:szCs w:val="24"/>
          <w:lang w:eastAsia="en-US"/>
        </w:rPr>
        <w:t>2.</w:t>
      </w:r>
      <w:r w:rsidRPr="00092171">
        <w:rPr>
          <w:szCs w:val="24"/>
          <w:lang w:eastAsia="en-US"/>
        </w:rPr>
        <w:tab/>
      </w:r>
      <w:r w:rsidRPr="00092171">
        <w:rPr>
          <w:strike/>
          <w:szCs w:val="24"/>
          <w:lang w:eastAsia="en-US"/>
        </w:rPr>
        <w:t>Ocena bezpieczeństwa musi w szczególności:</w:t>
      </w:r>
    </w:p>
    <w:p w:rsidR="00092171" w:rsidRPr="00092171" w:rsidRDefault="00092171" w:rsidP="00092171">
      <w:pPr>
        <w:spacing w:before="120" w:after="120" w:line="360" w:lineRule="auto"/>
        <w:ind w:left="1416" w:hanging="566"/>
        <w:rPr>
          <w:szCs w:val="24"/>
          <w:lang w:eastAsia="en-US"/>
        </w:rPr>
      </w:pPr>
      <w:r w:rsidRPr="00092171">
        <w:rPr>
          <w:strike/>
          <w:szCs w:val="24"/>
          <w:lang w:eastAsia="en-US"/>
        </w:rPr>
        <w:t>a)</w:t>
      </w:r>
      <w:r w:rsidRPr="00092171">
        <w:rPr>
          <w:szCs w:val="24"/>
          <w:lang w:eastAsia="en-US"/>
        </w:rPr>
        <w:tab/>
      </w:r>
      <w:r w:rsidRPr="00092171">
        <w:rPr>
          <w:strike/>
          <w:szCs w:val="24"/>
          <w:lang w:eastAsia="en-US"/>
        </w:rPr>
        <w:t>obejmować wszystkie zagrożenia chemiczne, fizyczne, mechaniczne, elektryczne, związane z palnością, higieną i radioaktywnością oraz ewentualne narażenie na takie zagrożenia;</w:t>
      </w:r>
    </w:p>
    <w:p w:rsidR="00092171" w:rsidRPr="00092171" w:rsidRDefault="00092171" w:rsidP="00092171">
      <w:pPr>
        <w:spacing w:before="120" w:after="120" w:line="360" w:lineRule="auto"/>
        <w:ind w:left="1416" w:hanging="566"/>
        <w:rPr>
          <w:szCs w:val="24"/>
          <w:lang w:eastAsia="en-US"/>
        </w:rPr>
      </w:pPr>
      <w:r w:rsidRPr="00092171">
        <w:rPr>
          <w:strike/>
          <w:szCs w:val="24"/>
          <w:lang w:eastAsia="en-US"/>
        </w:rPr>
        <w:t>b)</w:t>
      </w:r>
      <w:r w:rsidRPr="00092171">
        <w:rPr>
          <w:szCs w:val="24"/>
          <w:lang w:eastAsia="en-US"/>
        </w:rPr>
        <w:tab/>
      </w:r>
      <w:r w:rsidRPr="00092171">
        <w:rPr>
          <w:strike/>
          <w:szCs w:val="24"/>
          <w:lang w:eastAsia="en-US"/>
        </w:rPr>
        <w:t>w przypadku zagrożeń chemicznych uwzględniać ewentualne narażenie na działanie poszczególnych substancji chemicznych oraz wszelkie znane dodatkowe zagrożenia związane z łącznym narażeniem na działanie kilku różnych substancji chemicznych występujących w zabawce, z uwzględnieniem obowiązków na mocy rozporządzenia (WE) nr 1907/2006 oraz warunków w nim ustanowionych;</w:t>
      </w:r>
    </w:p>
    <w:p w:rsidR="00092171" w:rsidRPr="00092171" w:rsidRDefault="00092171" w:rsidP="00092171">
      <w:pPr>
        <w:spacing w:before="120" w:after="120" w:line="360" w:lineRule="auto"/>
        <w:ind w:left="1416" w:hanging="566"/>
        <w:rPr>
          <w:szCs w:val="24"/>
          <w:lang w:eastAsia="en-US"/>
        </w:rPr>
      </w:pPr>
      <w:r w:rsidRPr="00092171">
        <w:rPr>
          <w:strike/>
          <w:szCs w:val="24"/>
          <w:lang w:eastAsia="en-US"/>
        </w:rPr>
        <w:t>c)</w:t>
      </w:r>
      <w:r w:rsidRPr="00092171">
        <w:rPr>
          <w:szCs w:val="24"/>
          <w:lang w:eastAsia="en-US"/>
        </w:rPr>
        <w:tab/>
      </w:r>
      <w:r w:rsidRPr="00092171">
        <w:rPr>
          <w:strike/>
          <w:szCs w:val="24"/>
          <w:lang w:eastAsia="en-US"/>
        </w:rPr>
        <w:t>być aktualizowana każdorazowo, gdy pojawiają się dodatkowe istotne informacje.</w:t>
      </w:r>
    </w:p>
    <w:p w:rsidR="00092171" w:rsidRPr="00FD7D0D" w:rsidRDefault="00092171" w:rsidP="00092171">
      <w:pPr>
        <w:spacing w:before="120" w:after="120" w:line="360" w:lineRule="auto"/>
        <w:ind w:left="850"/>
        <w:rPr>
          <w:b/>
          <w:szCs w:val="24"/>
          <w:lang w:eastAsia="en-US"/>
        </w:rPr>
      </w:pPr>
      <w:r w:rsidRPr="00092171">
        <w:rPr>
          <w:strike/>
          <w:szCs w:val="24"/>
          <w:lang w:eastAsia="en-US"/>
        </w:rPr>
        <w:t>Ocena bezpieczeństwa zostaje uwzględniona w dokumentacji technicznej, o której mowa w art. 23.</w:t>
      </w:r>
      <w:r w:rsidR="00FD7D0D">
        <w:rPr>
          <w:b/>
          <w:szCs w:val="24"/>
          <w:lang w:eastAsia="en-US"/>
        </w:rPr>
        <w:t xml:space="preserve"> [Popr. 158]</w:t>
      </w:r>
    </w:p>
    <w:p w:rsidR="00FD7D0D" w:rsidRDefault="00FD7D0D">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22</w:t>
      </w:r>
      <w:r w:rsidRPr="00092171">
        <w:rPr>
          <w:szCs w:val="24"/>
          <w:lang w:eastAsia="en-US"/>
        </w:rPr>
        <w:br/>
        <w:t>Procedury oceny zgodności</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Producenci stosują procedury oceny zgodności, o których mowa w ust. 2 i 3.</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 xml:space="preserve">Jeśli producent zastosował normy zharmonizowane, do których odniesienie zostało opublikowane w </w:t>
      </w:r>
      <w:r w:rsidR="00FD7FCD" w:rsidRPr="00FD7FCD">
        <w:rPr>
          <w:i/>
          <w:szCs w:val="24"/>
          <w:lang w:eastAsia="en-US"/>
        </w:rPr>
        <w:t>Dzienniku Urzędowym Unii Europejskiej</w:t>
      </w:r>
      <w:r w:rsidRPr="00092171">
        <w:rPr>
          <w:szCs w:val="24"/>
          <w:lang w:eastAsia="en-US"/>
        </w:rPr>
        <w:t>, lub wspólne specyfikacje obejmujące wszelkie odpowiednie wymagania bezpieczeństwa wobec danej zabawki, stosuje on procedurę wewnętrznej kontroli produkcji określoną w części I załącznika IV.</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W następujących przypadkach producent stosuje procedurę badania typu UE określoną w części II załącznika IV wraz z procedurą zgodności typu określoną w części III tego załącznika:</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 xml:space="preserve">jeśli normy zharmonizowane, do których odniesienie zostało opublikowane w </w:t>
      </w:r>
      <w:r w:rsidR="00FD7FCD" w:rsidRPr="00FD7FCD">
        <w:rPr>
          <w:i/>
          <w:szCs w:val="24"/>
          <w:lang w:eastAsia="en-US"/>
        </w:rPr>
        <w:t>Dzienniku Urzędowym Unii Europejskiej</w:t>
      </w:r>
      <w:r w:rsidRPr="00092171">
        <w:rPr>
          <w:szCs w:val="24"/>
          <w:lang w:eastAsia="en-US"/>
        </w:rPr>
        <w:t>, lub wspólne specyfikacje obejmujące wszelkie istotne wymagania bezpieczeństwa wobec danej zabawki, nie istnieją;</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b)</w:t>
      </w:r>
      <w:r w:rsidRPr="00092171">
        <w:rPr>
          <w:szCs w:val="24"/>
          <w:lang w:eastAsia="en-US"/>
        </w:rPr>
        <w:tab/>
        <w:t>jeśli normy zharmonizowane lub wspólne specyfikacje, o których mowa w lit. a), istnieją, ale producent nie zastosował się do nich lub zastosował je jedynie częściowo;</w:t>
      </w:r>
    </w:p>
    <w:p w:rsidR="00092171" w:rsidRPr="00134763" w:rsidRDefault="00092171" w:rsidP="00092171">
      <w:pPr>
        <w:spacing w:before="120" w:after="120" w:line="360" w:lineRule="auto"/>
        <w:ind w:left="1416" w:hanging="566"/>
        <w:rPr>
          <w:b/>
          <w:szCs w:val="24"/>
          <w:lang w:eastAsia="en-US"/>
        </w:rPr>
      </w:pPr>
      <w:r w:rsidRPr="00092171">
        <w:rPr>
          <w:szCs w:val="24"/>
          <w:lang w:eastAsia="en-US"/>
        </w:rPr>
        <w:t>c)</w:t>
      </w:r>
      <w:r w:rsidRPr="00092171">
        <w:rPr>
          <w:szCs w:val="24"/>
          <w:lang w:eastAsia="en-US"/>
        </w:rPr>
        <w:tab/>
        <w:t>jeśli co najmniej jedna norma zharmonizowana, o której mowa w lit. a), została opublikowana z ograniczeniem</w:t>
      </w:r>
      <w:r w:rsidRPr="00092171">
        <w:rPr>
          <w:b/>
          <w:i/>
          <w:szCs w:val="24"/>
          <w:lang w:eastAsia="en-US"/>
        </w:rPr>
        <w:t>, pod warunkiem że ograniczenie jest istotne w przypadku danej zabawki</w:t>
      </w:r>
      <w:r w:rsidRPr="00092171">
        <w:rPr>
          <w:szCs w:val="24"/>
          <w:lang w:eastAsia="en-US"/>
        </w:rPr>
        <w:t>;</w:t>
      </w:r>
      <w:r w:rsidR="00134763">
        <w:rPr>
          <w:b/>
          <w:szCs w:val="24"/>
          <w:lang w:eastAsia="en-US"/>
        </w:rPr>
        <w:t xml:space="preserve"> [Popr. 159]</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jeśli producent uważa, że charakter, projekt, konstrukcja lub zastosowanie zabawki wymagają weryfikacji przez stronę trzecią.</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Zawsze, gdy jest to niezbędne, dokonuje się przeglądu certyfikatu badania typu UE wydanego zgodnie z częścią II pkt 6 załącznika IV, zwłaszcza w przypadku zmiany procesu produkcji, zmiany stosowanych surowców lub składników zabawki, a w każdym razie raz na pięć lat.</w:t>
      </w:r>
    </w:p>
    <w:p w:rsidR="00092171" w:rsidRPr="00092171" w:rsidRDefault="00092171" w:rsidP="00092171">
      <w:pPr>
        <w:spacing w:before="120" w:after="120" w:line="360" w:lineRule="auto"/>
        <w:jc w:val="center"/>
        <w:rPr>
          <w:szCs w:val="24"/>
          <w:lang w:eastAsia="en-US"/>
        </w:rPr>
      </w:pPr>
      <w:r w:rsidRPr="00092171">
        <w:rPr>
          <w:szCs w:val="24"/>
          <w:lang w:eastAsia="en-US"/>
        </w:rPr>
        <w:t>Artykuł 23</w:t>
      </w:r>
      <w:r w:rsidRPr="00092171">
        <w:rPr>
          <w:szCs w:val="24"/>
          <w:lang w:eastAsia="en-US"/>
        </w:rPr>
        <w:br/>
        <w:t>Dokumentacja techniczna</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Dokumentacja techniczna zawiera wszystkie istotne dane lub informacje dotyczące środków zastosowanych przez producenta, aby zapewnić zgodność zabawki z zasadniczymi wymaganiami bezpieczeństwa. Musi ona w szczególności zawierać dokumenty wymienione w załączniku V.</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Dokumentację techniczną sporządza się w jednym z języków urzędowych Unii.</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Na uzasadnione żądanie organu nadzoru rynku państwa członkowskiego producent dostarcza tłumaczenia odpowiednich części dokumentacji technicznej na język tego państwa członkowskiego.</w:t>
      </w:r>
    </w:p>
    <w:p w:rsidR="00092171" w:rsidRPr="00092171" w:rsidRDefault="00092171" w:rsidP="00092171">
      <w:pPr>
        <w:spacing w:before="120" w:after="120" w:line="360" w:lineRule="auto"/>
        <w:ind w:left="850"/>
        <w:rPr>
          <w:szCs w:val="24"/>
          <w:lang w:eastAsia="en-US"/>
        </w:rPr>
      </w:pPr>
      <w:r w:rsidRPr="00092171">
        <w:rPr>
          <w:szCs w:val="24"/>
          <w:lang w:eastAsia="en-US"/>
        </w:rPr>
        <w:t>Jeśli organ nadzoru rynku wymaga od producenta dokumentacji technicznej lub tłumaczenia jej części, organ ten może ustalić termin ich dostarczenia, wynoszący 30 dni, chyba że, w celu zapobieżenia poważnemu i bezpośredniemu ryzyku dla zdrowia i bezpieczeństwa, jest uzasadnione wprowadzenie krótszego terminu.</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Jeśli producent nie zastosuje się do obowiązków przewidzianych w ust. 1, 2 i 3, organ nadzoru rynku może wymagać od niego zlecenia przeprowadzenia badania przez jednostkę notyfikowaną, na koszt producenta, w określonym czasie, aby sprawdzić zgodność z zasadniczymi wymaganiami bezpieczeństwa.</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 xml:space="preserve">ROZDZIAŁ VI </w:t>
      </w:r>
      <w:r w:rsidRPr="00092171">
        <w:rPr>
          <w:szCs w:val="24"/>
          <w:lang w:eastAsia="en-US"/>
        </w:rPr>
        <w:br/>
        <w:t xml:space="preserve">NOTYFIKOWANIE JEDNOSTEK OCENIAJĄCYCH ZGODNOŚĆ </w:t>
      </w:r>
    </w:p>
    <w:p w:rsidR="00092171" w:rsidRPr="00092171" w:rsidRDefault="00092171" w:rsidP="00092171">
      <w:pPr>
        <w:spacing w:before="120" w:after="120" w:line="360" w:lineRule="auto"/>
        <w:jc w:val="center"/>
        <w:rPr>
          <w:szCs w:val="24"/>
          <w:lang w:eastAsia="en-US"/>
        </w:rPr>
      </w:pPr>
      <w:r w:rsidRPr="00092171">
        <w:rPr>
          <w:szCs w:val="24"/>
          <w:lang w:eastAsia="en-US"/>
        </w:rPr>
        <w:t>Artykuł 24</w:t>
      </w:r>
      <w:r w:rsidRPr="00092171">
        <w:rPr>
          <w:szCs w:val="24"/>
          <w:lang w:eastAsia="en-US"/>
        </w:rPr>
        <w:br/>
        <w:t>Notyfikacje</w:t>
      </w:r>
    </w:p>
    <w:p w:rsidR="00092171" w:rsidRPr="00092171" w:rsidRDefault="00092171" w:rsidP="00092171">
      <w:pPr>
        <w:spacing w:before="120" w:after="120" w:line="360" w:lineRule="auto"/>
        <w:rPr>
          <w:szCs w:val="24"/>
          <w:lang w:eastAsia="en-US"/>
        </w:rPr>
      </w:pPr>
      <w:r w:rsidRPr="00092171">
        <w:rPr>
          <w:szCs w:val="24"/>
          <w:lang w:eastAsia="en-US"/>
        </w:rPr>
        <w:t>Państwa członkowskie zgłaszają Komisji i pozostałym państwom członkowskim organy uprawnione do wykonywania zadań w zakresie oceny zgodności na mocy niniejszego rozporządzenia.</w:t>
      </w:r>
    </w:p>
    <w:p w:rsidR="00092171" w:rsidRPr="00092171" w:rsidRDefault="00092171" w:rsidP="00092171">
      <w:pPr>
        <w:spacing w:before="120" w:after="120" w:line="360" w:lineRule="auto"/>
        <w:jc w:val="center"/>
        <w:rPr>
          <w:szCs w:val="24"/>
          <w:lang w:eastAsia="en-US"/>
        </w:rPr>
      </w:pPr>
      <w:r w:rsidRPr="00092171">
        <w:rPr>
          <w:szCs w:val="24"/>
          <w:lang w:eastAsia="en-US"/>
        </w:rPr>
        <w:t>Artykuł 25</w:t>
      </w:r>
      <w:r w:rsidRPr="00092171">
        <w:rPr>
          <w:szCs w:val="24"/>
          <w:lang w:eastAsia="en-US"/>
        </w:rPr>
        <w:br/>
        <w:t>Organy notyfikujące</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Państwa członkowskie wyznaczają organ notyfikujący, który odpowiada za opracowanie i stosowanie procedur koniecznych do oceny i notyfikowania jednostek oceniających zgodność, do celów niniejszego rozporządzenia oraz za monitorowanie jednostek notyfikowanych, w tym w odniesieniu do zgodności z art. 30.</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Państwa członkowskie mogą zdecydować, że ocena oraz monitorowanie, o których mowa w ust. 1, są przeprowadzane przez krajową jednostkę akredytującą w rozumieniu przepisów rozporządzenia (WE) nr 765/2008 oraz zgodnie z nim.</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W przypadku gdy organ notyfikujący przekazuje lub w inny sposób powierza ocenę, notyfikację lub monitorowanie, o których mowa w ust. 1 niniejszego artykułu podmiotowi, który nie jest instytucją rządową, podmiot ten posiada status osoby prawnej oraz spełnia odpowiednio wymagania określone w art. 26. Ponadto podmiot ten jest przygotowany na pokrycie zobowiązań wynikających z działalności, którą prowadzi.</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Organ notyfikujący ponosi pełną odpowiedzialność za zadania wykonywane przez podmiot, o którym mowa w ust. 3.</w:t>
      </w:r>
    </w:p>
    <w:p w:rsidR="00092171" w:rsidRPr="00092171" w:rsidRDefault="00092171" w:rsidP="00092171">
      <w:pPr>
        <w:spacing w:before="120" w:after="120" w:line="360" w:lineRule="auto"/>
        <w:jc w:val="center"/>
        <w:rPr>
          <w:szCs w:val="24"/>
          <w:lang w:eastAsia="en-US"/>
        </w:rPr>
      </w:pPr>
      <w:r w:rsidRPr="00092171">
        <w:rPr>
          <w:szCs w:val="24"/>
          <w:lang w:eastAsia="en-US"/>
        </w:rPr>
        <w:t>Artykuł 26</w:t>
      </w:r>
      <w:r w:rsidRPr="00092171">
        <w:rPr>
          <w:szCs w:val="24"/>
          <w:lang w:eastAsia="en-US"/>
        </w:rPr>
        <w:br/>
        <w:t>Wymagania dotyczące organów notyfikujących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Organ notyfikujący jest ustanawiany w sposób niepowodujący konfliktu interesów między organem notyfikującym a jednostką oceniającą zgodność.</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Sposób organizacji i funkcjonowania organu notyfikującego zapewnia bezstronność i neutralność jego działalności.</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Organ notyfikujący jest tak zorganizowany, aby każda decyzja dotycząca notyfikowania jednostki oceniającej zgodność była podejmowana przez kompetentne osoby spoza grona osób przeprowadzających ocenę.</w:t>
      </w:r>
    </w:p>
    <w:p w:rsidR="00134763" w:rsidRDefault="00134763">
      <w:pPr>
        <w:widowControl/>
        <w:rPr>
          <w:szCs w:val="24"/>
          <w:lang w:eastAsia="en-US"/>
        </w:rPr>
      </w:pPr>
      <w:r>
        <w:rPr>
          <w:szCs w:val="24"/>
          <w:lang w:eastAsia="en-US"/>
        </w:rPr>
        <w:br w:type="page"/>
      </w:r>
    </w:p>
    <w:p w:rsidR="00092171" w:rsidRPr="00134763" w:rsidRDefault="00092171" w:rsidP="00092171">
      <w:pPr>
        <w:spacing w:before="120" w:after="120" w:line="360" w:lineRule="auto"/>
        <w:ind w:left="850" w:hanging="850"/>
        <w:rPr>
          <w:b/>
          <w:szCs w:val="24"/>
          <w:lang w:eastAsia="en-US"/>
        </w:rPr>
      </w:pPr>
      <w:r w:rsidRPr="00092171">
        <w:rPr>
          <w:szCs w:val="24"/>
          <w:lang w:eastAsia="en-US"/>
        </w:rPr>
        <w:lastRenderedPageBreak/>
        <w:t>4.</w:t>
      </w:r>
      <w:r w:rsidRPr="00092171">
        <w:rPr>
          <w:szCs w:val="24"/>
          <w:lang w:eastAsia="en-US"/>
        </w:rPr>
        <w:tab/>
        <w:t>Organ notyfikujący nie może oferować ani realizować żadnych działań pozostających w gestii jednostek oceniających zgodność ani świadczyć usług w zakresie konsultacji na zasadach komercyjnych lub konkurencyjnych</w:t>
      </w:r>
      <w:r w:rsidRPr="00092171">
        <w:rPr>
          <w:b/>
          <w:i/>
          <w:szCs w:val="24"/>
          <w:lang w:eastAsia="en-US"/>
        </w:rPr>
        <w:t>, jednak na żądanie organ notyfikujący udziela podmiotom gospodarczym informacji o procedurach oceny i jednostkach oceniających zgodność</w:t>
      </w:r>
      <w:r w:rsidRPr="00092171">
        <w:rPr>
          <w:szCs w:val="24"/>
          <w:lang w:eastAsia="en-US"/>
        </w:rPr>
        <w:t>.</w:t>
      </w:r>
      <w:r w:rsidR="00134763">
        <w:rPr>
          <w:b/>
          <w:szCs w:val="24"/>
          <w:lang w:eastAsia="en-US"/>
        </w:rPr>
        <w:t xml:space="preserve"> [Popr. 160]</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Organ notyfikujący zapewnia poufność informacji, które otrzymuje.</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6.</w:t>
      </w:r>
      <w:r w:rsidRPr="00092171">
        <w:rPr>
          <w:szCs w:val="24"/>
          <w:lang w:eastAsia="en-US"/>
        </w:rPr>
        <w:tab/>
        <w:t xml:space="preserve">Organ notyfikujący dysponuje odpowiednią liczbą </w:t>
      </w:r>
      <w:r w:rsidRPr="00092171">
        <w:rPr>
          <w:b/>
          <w:i/>
          <w:szCs w:val="24"/>
          <w:lang w:eastAsia="en-US"/>
        </w:rPr>
        <w:t xml:space="preserve">kompetentnych </w:t>
      </w:r>
      <w:r w:rsidRPr="00092171">
        <w:rPr>
          <w:szCs w:val="24"/>
          <w:lang w:eastAsia="en-US"/>
        </w:rPr>
        <w:t xml:space="preserve">pracowników </w:t>
      </w:r>
      <w:r w:rsidRPr="00092171">
        <w:rPr>
          <w:strike/>
          <w:szCs w:val="24"/>
          <w:lang w:eastAsia="en-US"/>
        </w:rPr>
        <w:t>posiadających kompetencje do właściwego</w:t>
      </w:r>
      <w:r w:rsidRPr="00092171">
        <w:rPr>
          <w:b/>
          <w:i/>
          <w:szCs w:val="24"/>
          <w:lang w:eastAsia="en-US"/>
        </w:rPr>
        <w:t>i wystarczającymi zasobami do skutecznego</w:t>
      </w:r>
      <w:r w:rsidRPr="00092171">
        <w:rPr>
          <w:szCs w:val="24"/>
          <w:lang w:eastAsia="en-US"/>
        </w:rPr>
        <w:t xml:space="preserve"> wykonywania swoich zadań.</w:t>
      </w:r>
      <w:r w:rsidR="00134763">
        <w:rPr>
          <w:b/>
          <w:szCs w:val="24"/>
          <w:lang w:eastAsia="en-US"/>
        </w:rPr>
        <w:t xml:space="preserve"> [Popr. 161]</w:t>
      </w:r>
    </w:p>
    <w:p w:rsidR="00092171" w:rsidRPr="00092171" w:rsidRDefault="00092171" w:rsidP="00092171">
      <w:pPr>
        <w:spacing w:before="120" w:after="120" w:line="360" w:lineRule="auto"/>
        <w:ind w:left="850" w:hanging="850"/>
        <w:rPr>
          <w:szCs w:val="24"/>
          <w:lang w:eastAsia="en-US"/>
        </w:rPr>
      </w:pPr>
      <w:r w:rsidRPr="00092171">
        <w:rPr>
          <w:szCs w:val="24"/>
          <w:lang w:eastAsia="en-US"/>
        </w:rPr>
        <w:t>7.</w:t>
      </w:r>
      <w:r w:rsidRPr="00092171">
        <w:rPr>
          <w:szCs w:val="24"/>
          <w:lang w:eastAsia="en-US"/>
        </w:rPr>
        <w:tab/>
        <w:t>Organ notyfikujący monitoruje charakter i liczbę zadań wykonywanych przez jednostki zależne lub podwykonawców jednostek notyfikowanych zgodnie z art. 30.</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27</w:t>
      </w:r>
      <w:r w:rsidRPr="00092171">
        <w:rPr>
          <w:szCs w:val="24"/>
          <w:lang w:eastAsia="en-US"/>
        </w:rPr>
        <w:br/>
        <w:t>Obowiązki organów notyfikujących w zakresie informowania</w:t>
      </w:r>
    </w:p>
    <w:p w:rsidR="00092171" w:rsidRPr="00092171" w:rsidRDefault="00092171" w:rsidP="00092171">
      <w:pPr>
        <w:spacing w:before="120" w:after="120" w:line="360" w:lineRule="auto"/>
        <w:rPr>
          <w:szCs w:val="24"/>
          <w:lang w:eastAsia="en-US"/>
        </w:rPr>
      </w:pPr>
      <w:r w:rsidRPr="00092171">
        <w:rPr>
          <w:szCs w:val="24"/>
          <w:lang w:eastAsia="en-US"/>
        </w:rPr>
        <w:t>Państwa członkowskie informują Komisję o swoich procedurach oceny i notyfikowania jednostek oceniających zgodność i monitorowania jednostek notyfikowanych oraz o wszelkich zmianach w tym zakresie.</w:t>
      </w:r>
    </w:p>
    <w:p w:rsidR="00092171" w:rsidRPr="00092171" w:rsidRDefault="00092171" w:rsidP="00092171">
      <w:pPr>
        <w:spacing w:before="120" w:after="120" w:line="360" w:lineRule="auto"/>
        <w:rPr>
          <w:szCs w:val="24"/>
          <w:lang w:eastAsia="en-US"/>
        </w:rPr>
      </w:pPr>
      <w:r w:rsidRPr="00092171">
        <w:rPr>
          <w:szCs w:val="24"/>
          <w:lang w:eastAsia="en-US"/>
        </w:rPr>
        <w:t>Komisja udostępnia te informacje do wiadomości publicznej.</w:t>
      </w:r>
    </w:p>
    <w:p w:rsidR="00092171" w:rsidRPr="00092171" w:rsidRDefault="00092171" w:rsidP="00092171">
      <w:pPr>
        <w:spacing w:before="120" w:after="120" w:line="360" w:lineRule="auto"/>
        <w:jc w:val="center"/>
        <w:rPr>
          <w:szCs w:val="24"/>
          <w:lang w:eastAsia="en-US"/>
        </w:rPr>
      </w:pPr>
      <w:r w:rsidRPr="00092171">
        <w:rPr>
          <w:szCs w:val="24"/>
          <w:lang w:eastAsia="en-US"/>
        </w:rPr>
        <w:t>Artykuł 28</w:t>
      </w:r>
      <w:r w:rsidRPr="00092171">
        <w:rPr>
          <w:szCs w:val="24"/>
          <w:lang w:eastAsia="en-US"/>
        </w:rPr>
        <w:br/>
        <w:t>Wymagania dotyczące jednostek notyfikowanych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Do celów notyfikacji przewidzianej niniejszym rozporządzeniem jednostka oceniająca zgodność spełnia wymagania określone w ust. 2 do 11. Jednostka ta jest akredytowana zgodnie z przepisami rozporządzenia (WE) nr 765/2008.</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Jednostki oceniające zgodność są powoływane zgodnie z prawem krajowym danego państwa członkowskiego i posiadają osobowość prawną.</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Jednostka oceniająca zgodność jest stroną trzecią, niezależną od organizacji lub zabawki, którą ocenia.</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rPr>
          <w:szCs w:val="24"/>
          <w:lang w:eastAsia="en-US"/>
        </w:rPr>
      </w:pPr>
      <w:r w:rsidRPr="00092171">
        <w:rPr>
          <w:szCs w:val="24"/>
          <w:lang w:eastAsia="en-US"/>
        </w:rPr>
        <w:lastRenderedPageBreak/>
        <w:t>Jednostkę należącą do stowarzyszenia przedsiębiorców lub zrzeszenia zawodowego reprezentującego przedsiębiorstwa zaangażowane w projektowanie, produkcję, dostarczanie, montowanie, wykorzystywanie lub konserwację zabawek, które ocenia, można uznać za taką jednostkę będącą stroną trzecią do celów akapitu pierwszego, pod warunkiem że wykazano jej niezależność i brak jakiegokolwiek konfliktu interesów.</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Jednostka oceniająca zgodność, jej ścisłe kierownictwo oraz pracownicy odpowiedzialni za realizację zadań związanych z oceną zgodności nie mogą być projektantami, producentami, dostawcami, instalatorami, nabywcami, właścicielami, użytkownikami ani konserwatorami zabawek, które oceniają, ani upoważnionymi przedstawicielami wymienionych stron. Nie wyklucza to wykorzystywania ocenianych zabawek, które są niezbędne do prowadzenia działalności jednostki oceniającej zgodność, ani wykorzystywania tych zabawek do celów osobistych.</w:t>
      </w:r>
    </w:p>
    <w:p w:rsidR="00092171" w:rsidRPr="00092171" w:rsidRDefault="00092171" w:rsidP="00092171">
      <w:pPr>
        <w:spacing w:before="120" w:after="120" w:line="360" w:lineRule="auto"/>
        <w:ind w:left="850"/>
        <w:rPr>
          <w:szCs w:val="24"/>
          <w:lang w:eastAsia="en-US"/>
        </w:rPr>
      </w:pPr>
      <w:r w:rsidRPr="00092171">
        <w:rPr>
          <w:szCs w:val="24"/>
          <w:lang w:eastAsia="en-US"/>
        </w:rPr>
        <w:t>Jednostka oceniająca zgodność, jej ścisłe kierownictwo oraz pracownicy odpowiedzialni za realizację zadań związanych z oceną zgodności nie angażują się bezpośrednio w projektowanie lub produkcję, wprowadzanie do obrotu, instalację, użytkowanie lub konserwację tych zabawek ani nie reprezentują stron zaangażowanych w taką działalność. Nie angażują się one w żadną działalność, która może zagrozić niezależności ich osądów i wiarygodności w związku z działalnością w zakresie oceny zgodności, do której zostali notyfikowani. Dotyczy to w szczególności usług konsultingowych.</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rPr>
          <w:szCs w:val="24"/>
          <w:lang w:eastAsia="en-US"/>
        </w:rPr>
      </w:pPr>
      <w:r w:rsidRPr="00092171">
        <w:rPr>
          <w:szCs w:val="24"/>
          <w:lang w:eastAsia="en-US"/>
        </w:rPr>
        <w:lastRenderedPageBreak/>
        <w:t>Jednostki oceniające zgodność zapewniają, by działalność ich podwykonawców lub spółek zależnych nie wpływała na poufność, obiektywizm i bezstronność ich działalności związanej z oceną zgodności.</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Jednostki oceniające zgodność i ich pracownicy realizują zadania związane z oceną zgodności, wykazując najwyższy stopień uczciwości zawodowej i technicznej kompetencji w danej dziedzinie, oraz nie podlegają żadnym naciskom czy motywacji, zwłaszcza finansowej, mogącym wpływać na ich opinię lub wyniki oceny zgodności, szczególnie ze strony osób lub grup osób posiadających interes w wynikach danej działalności.</w:t>
      </w:r>
    </w:p>
    <w:p w:rsidR="00092171" w:rsidRPr="00092171" w:rsidRDefault="00092171" w:rsidP="00092171">
      <w:pPr>
        <w:spacing w:before="120" w:after="120" w:line="360" w:lineRule="auto"/>
        <w:ind w:left="850" w:hanging="850"/>
        <w:rPr>
          <w:szCs w:val="24"/>
          <w:lang w:eastAsia="en-US"/>
        </w:rPr>
      </w:pPr>
      <w:r w:rsidRPr="00092171">
        <w:rPr>
          <w:szCs w:val="24"/>
          <w:lang w:eastAsia="en-US"/>
        </w:rPr>
        <w:t>6.</w:t>
      </w:r>
      <w:r w:rsidRPr="00092171">
        <w:rPr>
          <w:szCs w:val="24"/>
          <w:lang w:eastAsia="en-US"/>
        </w:rPr>
        <w:tab/>
        <w:t>Jednostka oceniająca zgodność jest zdolna do realizacji zadań związanych z oceną zgodności, przydzielonych jej w załączniku IV i w odniesieniu do których została notyfikowana, niezależnie od tego, czy dana jednostka oceniająca zgodność wykonuje wspomniane zadania samodzielnie, czy są one realizowane w jej imieniu i na jej odpowiedzialność.</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rPr>
          <w:szCs w:val="24"/>
          <w:lang w:eastAsia="en-US"/>
        </w:rPr>
      </w:pPr>
      <w:r w:rsidRPr="00092171">
        <w:rPr>
          <w:szCs w:val="24"/>
          <w:lang w:eastAsia="en-US"/>
        </w:rPr>
        <w:lastRenderedPageBreak/>
        <w:t>Przez cały czas, dla każdej procedury oceny zgodności oraz dla każdego rodzaju lub każdej kategorii zabawek będących przedmiotem notyfikacji dana jednostka oceniająca zgodność dysponuje:</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pracownikami posiadającymi wiedzę techniczną oraz wystarczające doświadczenie, odpowiednie do realizacji zadań związanych z oceną zgodności;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opisami procedur, zgodnie z którymi przeprowadza się ocenę zgodności, w celu zagwarantowania przejrzystości i powtarzalności tych procedur;</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odpowiednią polityką i stosownymi procedurami, dzięki którym możliwe jest odróżnienie zadań wykonywanych w charakterze jednostki notyfikowanej od innej działalności;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procedurami służącymi prowadzeniu działalności przy uwzględnieniu wielkości, sektora, struktury przedsiębiorstw, stopnia złożoności technologii wytwarzania danego produktu oraz masowego lub seryjnego charakteru procesu produkcyjnego.</w:t>
      </w:r>
    </w:p>
    <w:p w:rsidR="00134763" w:rsidRDefault="00134763">
      <w:pPr>
        <w:widowControl/>
        <w:rPr>
          <w:szCs w:val="24"/>
          <w:lang w:eastAsia="en-US"/>
        </w:rPr>
      </w:pPr>
      <w:r>
        <w:rPr>
          <w:szCs w:val="24"/>
          <w:lang w:eastAsia="en-US"/>
        </w:rPr>
        <w:br w:type="page"/>
      </w:r>
    </w:p>
    <w:p w:rsidR="00092171" w:rsidRPr="00134763" w:rsidRDefault="00092171" w:rsidP="00092171">
      <w:pPr>
        <w:spacing w:before="120" w:after="120" w:line="360" w:lineRule="auto"/>
        <w:ind w:left="850"/>
        <w:rPr>
          <w:b/>
          <w:szCs w:val="24"/>
          <w:lang w:eastAsia="en-US"/>
        </w:rPr>
      </w:pPr>
      <w:r w:rsidRPr="00092171">
        <w:rPr>
          <w:szCs w:val="24"/>
          <w:lang w:eastAsia="en-US"/>
        </w:rPr>
        <w:lastRenderedPageBreak/>
        <w:t xml:space="preserve">Jednostka oceniająca zgodność posiada </w:t>
      </w:r>
      <w:r w:rsidRPr="00092171">
        <w:rPr>
          <w:strike/>
          <w:szCs w:val="24"/>
          <w:lang w:eastAsia="en-US"/>
        </w:rPr>
        <w:t>środki</w:t>
      </w:r>
      <w:r w:rsidRPr="00092171">
        <w:rPr>
          <w:b/>
          <w:i/>
          <w:szCs w:val="24"/>
          <w:lang w:eastAsia="en-US"/>
        </w:rPr>
        <w:t>zasoby</w:t>
      </w:r>
      <w:r w:rsidRPr="00092171">
        <w:rPr>
          <w:szCs w:val="24"/>
          <w:lang w:eastAsia="en-US"/>
        </w:rPr>
        <w:t xml:space="preserve"> niezbędne do </w:t>
      </w:r>
      <w:r w:rsidRPr="00092171">
        <w:rPr>
          <w:strike/>
          <w:szCs w:val="24"/>
          <w:lang w:eastAsia="en-US"/>
        </w:rPr>
        <w:t>prawidłowej</w:t>
      </w:r>
      <w:r w:rsidRPr="00092171">
        <w:rPr>
          <w:b/>
          <w:i/>
          <w:szCs w:val="24"/>
          <w:lang w:eastAsia="en-US"/>
        </w:rPr>
        <w:t>skutecznej</w:t>
      </w:r>
      <w:r w:rsidRPr="00092171">
        <w:rPr>
          <w:szCs w:val="24"/>
          <w:lang w:eastAsia="en-US"/>
        </w:rPr>
        <w:t xml:space="preserve"> realizacji zadań o charakterze technicznym i administracyjnym związanych z oceną zgodności oraz ma dostęp do wszystkich niezbędnych urządzeń lub obiektów.</w:t>
      </w:r>
      <w:r w:rsidR="00134763">
        <w:rPr>
          <w:b/>
          <w:szCs w:val="24"/>
          <w:lang w:eastAsia="en-US"/>
        </w:rPr>
        <w:t xml:space="preserve"> [Popr. 162]</w:t>
      </w:r>
    </w:p>
    <w:p w:rsidR="00092171" w:rsidRPr="00092171" w:rsidRDefault="00092171" w:rsidP="00092171">
      <w:pPr>
        <w:spacing w:before="120" w:after="120" w:line="360" w:lineRule="auto"/>
        <w:ind w:left="850" w:hanging="850"/>
        <w:rPr>
          <w:szCs w:val="24"/>
          <w:lang w:eastAsia="en-US"/>
        </w:rPr>
      </w:pPr>
      <w:r w:rsidRPr="00092171">
        <w:rPr>
          <w:szCs w:val="24"/>
          <w:lang w:eastAsia="en-US"/>
        </w:rPr>
        <w:t>7.</w:t>
      </w:r>
      <w:r w:rsidRPr="00092171">
        <w:rPr>
          <w:szCs w:val="24"/>
          <w:lang w:eastAsia="en-US"/>
        </w:rPr>
        <w:tab/>
        <w:t>Pracownicy odpowiedzialni za realizację zadań związanych z oceną zgodności („pracownicy wykonujący ocenę”) posiadają:</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gruntowne wykształcenie techniczne i zawodowe, obejmujące całą działalność związaną z oceną zgodności w zakresie będącym przedmiotem notyfikacji jednostki oceniającej zgodność;</w:t>
      </w:r>
    </w:p>
    <w:p w:rsidR="00092171" w:rsidRPr="00134763" w:rsidRDefault="00092171" w:rsidP="00092171">
      <w:pPr>
        <w:spacing w:before="120" w:after="120" w:line="360" w:lineRule="auto"/>
        <w:ind w:left="1416" w:hanging="566"/>
        <w:rPr>
          <w:b/>
          <w:szCs w:val="24"/>
          <w:lang w:eastAsia="en-US"/>
        </w:rPr>
      </w:pPr>
      <w:r w:rsidRPr="00092171">
        <w:rPr>
          <w:szCs w:val="24"/>
          <w:lang w:eastAsia="en-US"/>
        </w:rPr>
        <w:t>b)</w:t>
      </w:r>
      <w:r w:rsidRPr="00092171">
        <w:rPr>
          <w:szCs w:val="24"/>
          <w:lang w:eastAsia="en-US"/>
        </w:rPr>
        <w:tab/>
      </w:r>
      <w:r w:rsidRPr="00092171">
        <w:rPr>
          <w:strike/>
          <w:szCs w:val="24"/>
          <w:lang w:eastAsia="en-US"/>
        </w:rPr>
        <w:t>dostateczną</w:t>
      </w:r>
      <w:r w:rsidRPr="00092171">
        <w:rPr>
          <w:b/>
          <w:i/>
          <w:szCs w:val="24"/>
          <w:lang w:eastAsia="en-US"/>
        </w:rPr>
        <w:t>dogłębną</w:t>
      </w:r>
      <w:r w:rsidRPr="00092171">
        <w:rPr>
          <w:szCs w:val="24"/>
          <w:lang w:eastAsia="en-US"/>
        </w:rPr>
        <w:t xml:space="preserve"> znajomość wymagań dotyczących ocen, które wykonują, oraz odpowiednie uprawnienia do dokonywania takich ocen;</w:t>
      </w:r>
      <w:r w:rsidR="00134763">
        <w:rPr>
          <w:b/>
          <w:szCs w:val="24"/>
          <w:lang w:eastAsia="en-US"/>
        </w:rPr>
        <w:t xml:space="preserve"> [Popr. 163]</w:t>
      </w:r>
    </w:p>
    <w:p w:rsidR="00092171" w:rsidRPr="00134763" w:rsidRDefault="00092171" w:rsidP="00092171">
      <w:pPr>
        <w:spacing w:before="120" w:after="120" w:line="360" w:lineRule="auto"/>
        <w:ind w:left="1416" w:hanging="566"/>
        <w:rPr>
          <w:b/>
          <w:szCs w:val="24"/>
          <w:lang w:eastAsia="en-US"/>
        </w:rPr>
      </w:pPr>
      <w:r w:rsidRPr="00092171">
        <w:rPr>
          <w:szCs w:val="24"/>
          <w:lang w:eastAsia="en-US"/>
        </w:rPr>
        <w:t>c)</w:t>
      </w:r>
      <w:r w:rsidRPr="00092171">
        <w:rPr>
          <w:szCs w:val="24"/>
          <w:lang w:eastAsia="en-US"/>
        </w:rPr>
        <w:tab/>
      </w:r>
      <w:r w:rsidRPr="00092171">
        <w:rPr>
          <w:strike/>
          <w:szCs w:val="24"/>
          <w:lang w:eastAsia="en-US"/>
        </w:rPr>
        <w:t>odpowiednią</w:t>
      </w:r>
      <w:r w:rsidRPr="00092171">
        <w:rPr>
          <w:b/>
          <w:i/>
          <w:szCs w:val="24"/>
          <w:lang w:eastAsia="en-US"/>
        </w:rPr>
        <w:t>dogłębną</w:t>
      </w:r>
      <w:r w:rsidRPr="00092171">
        <w:rPr>
          <w:szCs w:val="24"/>
          <w:lang w:eastAsia="en-US"/>
        </w:rPr>
        <w:t xml:space="preserve"> znajomość i odpowiednie zrozumienie wymagań określonych w niniejszym rozporządzeniu, obowiązujących norm zharmonizowanych, o których mowa w art. 13 niniejszego rozporządzenia, oraz wspólnych specyfikacji, o których mowa w art. 14 niniejszego rozporządzenia;</w:t>
      </w:r>
      <w:r w:rsidR="00134763">
        <w:rPr>
          <w:b/>
          <w:szCs w:val="24"/>
          <w:lang w:eastAsia="en-US"/>
        </w:rPr>
        <w:t xml:space="preserve"> [Popr. 164]</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umiejętności wymagane do sporządzania certyfikatów, zapisów i sprawozdań dokumentujących wykonanie ocen.</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8.</w:t>
      </w:r>
      <w:r w:rsidRPr="00092171">
        <w:rPr>
          <w:szCs w:val="24"/>
          <w:lang w:eastAsia="en-US"/>
        </w:rPr>
        <w:tab/>
        <w:t>Zapewnia się bezstronność jednostek oceniających zgodność, ich ścisłego kierownictwa i pracowników wykonujących ocenę.</w:t>
      </w:r>
    </w:p>
    <w:p w:rsidR="00092171" w:rsidRPr="00092171" w:rsidRDefault="00092171" w:rsidP="00092171">
      <w:pPr>
        <w:spacing w:before="120" w:after="120" w:line="360" w:lineRule="auto"/>
        <w:ind w:left="850"/>
        <w:rPr>
          <w:szCs w:val="24"/>
          <w:lang w:eastAsia="en-US"/>
        </w:rPr>
      </w:pPr>
      <w:r w:rsidRPr="00092171">
        <w:rPr>
          <w:szCs w:val="24"/>
          <w:lang w:eastAsia="en-US"/>
        </w:rPr>
        <w:t>Wynagrodzenie ścisłego kierownictwa jednostki oceniającej zgodność oraz jej pracowników wykonujących ocenę nie zależy od liczby wykonanych ocen ani od wyników tych ocen.</w:t>
      </w:r>
    </w:p>
    <w:p w:rsidR="00092171" w:rsidRPr="00092171" w:rsidRDefault="00092171" w:rsidP="00092171">
      <w:pPr>
        <w:spacing w:before="120" w:after="120" w:line="360" w:lineRule="auto"/>
        <w:ind w:left="850" w:hanging="850"/>
        <w:rPr>
          <w:szCs w:val="24"/>
          <w:lang w:eastAsia="en-US"/>
        </w:rPr>
      </w:pPr>
      <w:r w:rsidRPr="00092171">
        <w:rPr>
          <w:szCs w:val="24"/>
          <w:lang w:eastAsia="en-US"/>
        </w:rPr>
        <w:t>9.</w:t>
      </w:r>
      <w:r w:rsidRPr="00092171">
        <w:rPr>
          <w:szCs w:val="24"/>
          <w:lang w:eastAsia="en-US"/>
        </w:rPr>
        <w:tab/>
        <w:t>Jednostki oceniające zgodność wykupują ubezpieczenie od odpowiedzialności, chyba że na mocy prawa krajowego odpowiedzialność spoczywa na państwie członkowskim lub za ocenę zgodności bezpośrednio odpowiada samo państwo członkowskie.</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10.</w:t>
      </w:r>
      <w:r w:rsidRPr="00092171">
        <w:rPr>
          <w:szCs w:val="24"/>
          <w:lang w:eastAsia="en-US"/>
        </w:rPr>
        <w:tab/>
        <w:t xml:space="preserve">Pracownicy jednostki oceniającej zgodność </w:t>
      </w:r>
      <w:r w:rsidRPr="00092171">
        <w:rPr>
          <w:strike/>
          <w:szCs w:val="24"/>
          <w:lang w:eastAsia="en-US"/>
        </w:rPr>
        <w:t>dochowują tajemnicy zawodowej</w:t>
      </w:r>
      <w:r w:rsidRPr="00092171">
        <w:rPr>
          <w:b/>
          <w:i/>
          <w:szCs w:val="24"/>
          <w:lang w:eastAsia="en-US"/>
        </w:rPr>
        <w:t>zachowują tajemnicę zawodową</w:t>
      </w:r>
      <w:r w:rsidRPr="00092171">
        <w:rPr>
          <w:szCs w:val="24"/>
          <w:lang w:eastAsia="en-US"/>
        </w:rPr>
        <w:t xml:space="preserve"> w odniesieniu do wszystkich informacji, które uzyskują w trakcie wykonywania swoich zadań na podstawie załącznika IV, z wyjątkiem </w:t>
      </w:r>
      <w:r w:rsidRPr="00092171">
        <w:rPr>
          <w:strike/>
          <w:szCs w:val="24"/>
          <w:lang w:eastAsia="en-US"/>
        </w:rPr>
        <w:t>dochowania</w:t>
      </w:r>
      <w:r w:rsidRPr="00092171">
        <w:rPr>
          <w:b/>
          <w:i/>
          <w:szCs w:val="24"/>
          <w:lang w:eastAsia="en-US"/>
        </w:rPr>
        <w:t>zachowania</w:t>
      </w:r>
      <w:r w:rsidRPr="00092171">
        <w:rPr>
          <w:szCs w:val="24"/>
          <w:lang w:eastAsia="en-US"/>
        </w:rPr>
        <w:t xml:space="preserve"> tajemnicy wobec właściwych organów państwa członkowskiego, w którym realizowane są zadania. Prawa własności intelektualnej </w:t>
      </w:r>
      <w:r w:rsidRPr="00092171">
        <w:rPr>
          <w:b/>
          <w:i/>
          <w:szCs w:val="24"/>
          <w:lang w:eastAsia="en-US"/>
        </w:rPr>
        <w:t xml:space="preserve">i tajemnice przedsiębiorstwa, zgodnie z dyrektywą (UE) 2016/943, </w:t>
      </w:r>
      <w:r w:rsidRPr="00092171">
        <w:rPr>
          <w:szCs w:val="24"/>
          <w:lang w:eastAsia="en-US"/>
        </w:rPr>
        <w:t>podlegają ochronie.</w:t>
      </w:r>
      <w:r w:rsidR="00134763">
        <w:rPr>
          <w:b/>
          <w:szCs w:val="24"/>
          <w:lang w:eastAsia="en-US"/>
        </w:rPr>
        <w:t xml:space="preserve"> [Popr. 165]</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11.</w:t>
      </w:r>
      <w:r w:rsidRPr="00092171">
        <w:rPr>
          <w:szCs w:val="24"/>
          <w:lang w:eastAsia="en-US"/>
        </w:rPr>
        <w:tab/>
        <w:t>Jednostki oceniające zgodność biorą udział w stosownej działalności normalizacyjnej i w działalności grupy koordynującej jednostki notyfikowanej, powołanej na podstawie art. 40, lub zapewniają informowanie o takiej działalności swoich pracowników wykonujących ocenę, natomiast decyzje administracyjne i dokumenty opracowane w wyniku prac takiej grupy traktuje jak ogólne wytyczne.</w:t>
      </w:r>
    </w:p>
    <w:p w:rsidR="00092171" w:rsidRPr="00092171" w:rsidRDefault="00092171" w:rsidP="00092171">
      <w:pPr>
        <w:spacing w:before="120" w:after="120" w:line="360" w:lineRule="auto"/>
        <w:jc w:val="center"/>
        <w:rPr>
          <w:szCs w:val="24"/>
          <w:lang w:eastAsia="en-US"/>
        </w:rPr>
      </w:pPr>
      <w:r w:rsidRPr="00092171">
        <w:rPr>
          <w:szCs w:val="24"/>
          <w:lang w:eastAsia="en-US"/>
        </w:rPr>
        <w:t>Artykuł 29</w:t>
      </w:r>
      <w:r w:rsidRPr="00092171">
        <w:rPr>
          <w:szCs w:val="24"/>
          <w:lang w:eastAsia="en-US"/>
        </w:rPr>
        <w:br/>
        <w:t>Domniemanie spełnienia wymagań przez jednostki notyfikowane</w:t>
      </w:r>
    </w:p>
    <w:p w:rsidR="00092171" w:rsidRPr="00092171" w:rsidRDefault="00092171" w:rsidP="00092171">
      <w:pPr>
        <w:spacing w:before="120" w:after="120" w:line="360" w:lineRule="auto"/>
        <w:rPr>
          <w:szCs w:val="24"/>
          <w:lang w:eastAsia="en-US"/>
        </w:rPr>
      </w:pPr>
      <w:r w:rsidRPr="00092171">
        <w:rPr>
          <w:szCs w:val="24"/>
          <w:lang w:eastAsia="en-US"/>
        </w:rPr>
        <w:t xml:space="preserve">Jeżeli jednostka oceniająca zgodność wykaże, że spełnia kryteria ustanowione w odpowiednich normach zharmonizowanych lub ich częściach, do których odniesienia opublikowano w </w:t>
      </w:r>
      <w:r w:rsidR="00FD7FCD" w:rsidRPr="00FD7FCD">
        <w:rPr>
          <w:i/>
          <w:szCs w:val="24"/>
          <w:lang w:eastAsia="en-US"/>
        </w:rPr>
        <w:t>Dzienniku Urzędowym Unii Europejskiej</w:t>
      </w:r>
      <w:r w:rsidRPr="00092171">
        <w:rPr>
          <w:szCs w:val="24"/>
          <w:lang w:eastAsia="en-US"/>
        </w:rPr>
        <w:t>, to domniemywa się, że jednostka ta spełnia wymagania określone w art. 28, pod warunkiem że obowiązujące zharmonizowane normy obejmują te wymagania.</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30</w:t>
      </w:r>
      <w:r w:rsidRPr="00092171">
        <w:rPr>
          <w:szCs w:val="24"/>
          <w:lang w:eastAsia="en-US"/>
        </w:rPr>
        <w:br/>
        <w:t>Spółki zależne jednostek notyfikowanych i podwykonawstwo na zlecenie jednostek notyfikowanych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W przypadku gdy jednostka notyfikowana podzleca określone zadania związane z oceną zgodności lub korzysta z usług spółki zależnej, zapewnia ona, aby podwykonawca lub spółka zależna spełniały wymagania określone w art. 28, oraz odpowiednio informuje organ notyfikujący.</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Jednostki notyfikowane ponoszą pełną odpowiedzialność za zadania wykonywane przez podwykonawców lub spółki zależne, niezależnie od tego, gdzie mają one siedzibę.</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Jednostki notyfikowane muszą mieć możliwość sprawdzenia wszystkich elementów zadań wykonywanych przez podwykonawców lub spółki zależne.</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Działalność może być podzlecana lub wykonywana przez spółkę zależną wyłącznie za zgodą klienta.</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Jednostki notyfikowane przechowują do dyspozycji organu notyfikującego odpowiednie dokumenty dotyczące oceny kompetencji podwykonawcy lub spółki zależnej oraz prac wykonywanych przez nie na podstawie załącznika IV.</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31</w:t>
      </w:r>
      <w:r w:rsidRPr="00092171">
        <w:rPr>
          <w:szCs w:val="24"/>
          <w:lang w:eastAsia="en-US"/>
        </w:rPr>
        <w:br/>
        <w:t>Wniosek o notyfikację</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Jednostka oceniająca zgodność przedkłada wniosek o notyfikację przewidzianą w niniejszym rozporządzeniu organowi notyfikującemu państwa członkowskiego, w którym ma swoją siedzibę.</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Do wniosku, o którym mowa w ust. 1, załącza się opis działalności związanej z oceną zgodności oraz zabawki, w odniesieniu do których dana jednostka uważa się za kompetentną, jak również certyfikat akredytacji wydany przez krajową jednostkę akredytującą, potwierdzający, że dana jednostka oceniająca zgodność spełnia wymagania ustanowione w art. 28.</w:t>
      </w:r>
    </w:p>
    <w:p w:rsidR="00092171" w:rsidRPr="00092171" w:rsidRDefault="00092171" w:rsidP="00092171">
      <w:pPr>
        <w:spacing w:before="120" w:after="120" w:line="360" w:lineRule="auto"/>
        <w:jc w:val="center"/>
        <w:rPr>
          <w:szCs w:val="24"/>
          <w:lang w:eastAsia="en-US"/>
        </w:rPr>
      </w:pPr>
      <w:r w:rsidRPr="00092171">
        <w:rPr>
          <w:szCs w:val="24"/>
          <w:lang w:eastAsia="en-US"/>
        </w:rPr>
        <w:t>Artykuł 32</w:t>
      </w:r>
      <w:r w:rsidRPr="00092171">
        <w:rPr>
          <w:szCs w:val="24"/>
          <w:lang w:eastAsia="en-US"/>
        </w:rPr>
        <w:br/>
        <w:t>Procedura notyfikacji</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Organy notyfikujące mogą notyfikować wyłącznie jednostki oceniające zgodność, które spełniają wymagania ustanowione w art. 28.</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Organy notyfikujące notyfikują jednostki oceniające zgodność Komisji i pozostałym państwom członkowskim, stosując do tego celu specjalne narzędzie elektroniczne, opracowane i zarządzane przez Komisję.</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Do notyfikacji załącza się wszystkie szczegółowe informacje dotyczące działalności związanej z oceną zgodności oraz stosowny certyfikat akredytacji. Notyfikacja obejmuje również informacje dotyczące wszelkich zadań wykonywanych przez spółki zależne i podwykonawców.</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Dana jednostka może prowadzić działalność jednostki notyfikowanej wyłącznie pod warunkiem, że Komisja lub pozostałe państwa członkowskie nie zgłosiły zastrzeżeń w terminie dwóch miesięcy od notyfikacji.</w:t>
      </w:r>
    </w:p>
    <w:p w:rsidR="00092171" w:rsidRPr="00092171" w:rsidRDefault="00092171" w:rsidP="00092171">
      <w:pPr>
        <w:spacing w:before="120" w:after="120" w:line="360" w:lineRule="auto"/>
        <w:ind w:left="850"/>
        <w:rPr>
          <w:szCs w:val="24"/>
          <w:lang w:eastAsia="en-US"/>
        </w:rPr>
      </w:pPr>
      <w:r w:rsidRPr="00092171">
        <w:rPr>
          <w:szCs w:val="24"/>
          <w:lang w:eastAsia="en-US"/>
        </w:rPr>
        <w:t>Wyłącznie taką jednostkę uznaje się za jednostkę notyfikowaną na potrzeby niniejszego rozporządzenia.</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Organ notyfikujący powiadamia Komisję i pozostałe państwa członkowskie o wszelkich późniejszych zmianach w notyfikacji.</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33</w:t>
      </w:r>
      <w:r w:rsidRPr="00092171">
        <w:rPr>
          <w:szCs w:val="24"/>
          <w:lang w:eastAsia="en-US"/>
        </w:rPr>
        <w:br/>
        <w:t>Numery identyfikacyjne i wykazy jednostek notyfikowanych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Komisja przydziela każdej jednostce notyfikowanej numer identyfikacyjny.</w:t>
      </w:r>
    </w:p>
    <w:p w:rsidR="00092171" w:rsidRPr="00092171" w:rsidRDefault="00092171" w:rsidP="00092171">
      <w:pPr>
        <w:spacing w:before="120" w:after="120" w:line="360" w:lineRule="auto"/>
        <w:ind w:left="850"/>
        <w:rPr>
          <w:szCs w:val="24"/>
          <w:lang w:eastAsia="en-US"/>
        </w:rPr>
      </w:pPr>
      <w:r w:rsidRPr="00092171">
        <w:rPr>
          <w:szCs w:val="24"/>
          <w:lang w:eastAsia="en-US"/>
        </w:rPr>
        <w:t>Wydaje jeden numer identyfikacyjny, nawet w przypadku gdy ten sama jednostka jest notyfikowana na mocy różnych unijnych aktów prawnych.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Komisja udostępnia do wiadomości publicznej wykaz jednostek notyfikowanych na mocy niniejszego rozporządzenia, włącznie z numerami identyfikacyjnymi, które im wydano, oraz informacją na temat rodzaju działalności będącej przedmiotem notyfikacji.</w:t>
      </w:r>
    </w:p>
    <w:p w:rsidR="00092171" w:rsidRPr="00092171" w:rsidRDefault="00092171" w:rsidP="00092171">
      <w:pPr>
        <w:spacing w:before="120" w:after="120" w:line="360" w:lineRule="auto"/>
        <w:ind w:left="850"/>
        <w:rPr>
          <w:szCs w:val="24"/>
          <w:lang w:eastAsia="en-US"/>
        </w:rPr>
      </w:pPr>
      <w:r w:rsidRPr="00092171">
        <w:rPr>
          <w:szCs w:val="24"/>
          <w:lang w:eastAsia="en-US"/>
        </w:rPr>
        <w:t>Komisja zapewnia stałą aktualizację tego wykazu.</w:t>
      </w:r>
    </w:p>
    <w:p w:rsidR="00092171" w:rsidRPr="00092171" w:rsidRDefault="00092171" w:rsidP="00092171">
      <w:pPr>
        <w:spacing w:before="120" w:after="120" w:line="360" w:lineRule="auto"/>
        <w:jc w:val="center"/>
        <w:rPr>
          <w:szCs w:val="24"/>
          <w:lang w:eastAsia="en-US"/>
        </w:rPr>
      </w:pPr>
      <w:r w:rsidRPr="00092171">
        <w:rPr>
          <w:szCs w:val="24"/>
          <w:lang w:eastAsia="en-US"/>
        </w:rPr>
        <w:t>Artykuł 34</w:t>
      </w:r>
      <w:r w:rsidRPr="00092171">
        <w:rPr>
          <w:szCs w:val="24"/>
          <w:lang w:eastAsia="en-US"/>
        </w:rPr>
        <w:br/>
        <w:t>Zmiany w notyfikacji</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W przypadku gdy organ notyfikujący stwierdza lub otrzymuje informację, że jednostka notyfikowana przestała spełniać wymagania określone w art. 28 lub nie wypełnia swoich obowiązków, organ notyfikujący ogranicza, zawiesza lub wycofuje notyfikację, zależnie od sytuacji oraz w zależności od wagi niespełnienia wymagań lub niewypełnienia obowiązków. Niezwłocznie informuje o tym Komisję i pozostałe państwa członkowskie.</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W razie ograniczenia, zawieszenia lub wycofania notyfikacji albo w przypadku zaprzestania działalności przez jednostkę notyfikowaną, notyfikujące państwo członkowskie podejmuje właściwe środki w celu zapewnienia, aby aktami zajęła się inna jednostka notyfikowana lub żeby były one dostępne na odpowiedzialnych organów notyfikujących i organów nadzoru rynku.</w:t>
      </w:r>
    </w:p>
    <w:p w:rsidR="00092171" w:rsidRPr="00092171" w:rsidRDefault="00092171" w:rsidP="00092171">
      <w:pPr>
        <w:spacing w:before="120" w:after="120" w:line="360" w:lineRule="auto"/>
        <w:jc w:val="center"/>
        <w:rPr>
          <w:szCs w:val="24"/>
          <w:lang w:eastAsia="en-US"/>
        </w:rPr>
      </w:pPr>
      <w:r w:rsidRPr="00092171">
        <w:rPr>
          <w:szCs w:val="24"/>
          <w:lang w:eastAsia="en-US"/>
        </w:rPr>
        <w:t>Artykuł 35</w:t>
      </w:r>
      <w:r w:rsidRPr="00092171">
        <w:rPr>
          <w:szCs w:val="24"/>
          <w:lang w:eastAsia="en-US"/>
        </w:rPr>
        <w:br/>
        <w:t>Kwestionowanie kompetencji jednostek notyfikowanych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Komisja bada wszystkie przypadki, w których ma wątpliwości lub otrzymuje informację o wątpliwościach co do kompetencji jednostki notyfikowanej lub dalszego wywiązywania się przez tę jednostkę z nałożonych na nią obowiązków i zachowania zgodności z wymaganiami.</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Na żądanie Komisji organ notyfikujący udziela jej wszelkich informacji dotyczących podstawy notyfikacji lub utrzymania kompetencji danej jednostki.</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Komisja zapewnia utrzymanie w tajemnicy wszystkich wrażliwych informacji uzyskanych w trakcie dochodzenia.</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4.</w:t>
      </w:r>
      <w:r w:rsidRPr="00092171">
        <w:rPr>
          <w:szCs w:val="24"/>
          <w:lang w:eastAsia="en-US"/>
        </w:rPr>
        <w:tab/>
        <w:t>W przypadku gdy Komisja stwierdza, że jednostka notyfikowana nie spełnia wymagań notyfikacji, zwraca się do organu notyfikującego – w drodze aktu wykonawczego – o wprowadzenie koniecznych środków naprawczych, włącznie z wycofaniem notyfikacji, jeżeli zachodzi taka potrzeba.</w:t>
      </w:r>
    </w:p>
    <w:p w:rsidR="00092171" w:rsidRPr="00092171" w:rsidRDefault="00092171" w:rsidP="00092171">
      <w:pPr>
        <w:spacing w:before="120" w:after="120" w:line="360" w:lineRule="auto"/>
        <w:jc w:val="center"/>
        <w:rPr>
          <w:szCs w:val="24"/>
          <w:lang w:eastAsia="en-US"/>
        </w:rPr>
      </w:pPr>
      <w:r w:rsidRPr="00092171">
        <w:rPr>
          <w:szCs w:val="24"/>
          <w:lang w:eastAsia="en-US"/>
        </w:rPr>
        <w:t>Artykuł 36</w:t>
      </w:r>
      <w:r w:rsidRPr="00092171">
        <w:rPr>
          <w:szCs w:val="24"/>
          <w:lang w:eastAsia="en-US"/>
        </w:rPr>
        <w:br/>
        <w:t>Obowiązki jednostek notyfikowanych w zakresie dotyczącym ich działalności</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Jednostki notyfikowane przeprowadzają oceny zgodności według procedury oceny zgodności określonej w załączniku IV.</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Jednostki notyfikowane prowadzą działalność związaną z oceną zgodności określoną w niniejszym rozporządzeniu z zachowaniem odpowiednich proporcji, unikając przy tym zbędnych obciążeń dla podmiotów gospodarczych. Wykonują one swe zadania wynikające z niniejszego rozporządzenia, należycie uwzględniając wielkość, sektor i strukturę zaangażowanych przedsiębiorstw, stopień złożoności technologii wykorzystywanych przy produkcji danej zabawki oraz masowy lub seryjny charakter procesu produkcyjnego.</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rPr>
          <w:szCs w:val="24"/>
          <w:lang w:eastAsia="en-US"/>
        </w:rPr>
      </w:pPr>
      <w:r w:rsidRPr="00092171">
        <w:rPr>
          <w:szCs w:val="24"/>
          <w:lang w:eastAsia="en-US"/>
        </w:rPr>
        <w:lastRenderedPageBreak/>
        <w:t>Wykonując swoje zadania, jednostki notyfikowane przestrzegają stopnia rygoryzmu i poziomu ochrony wymaganych dla zgodności zabawki z niniejszym rozporządzeniem.</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Jeżeli jednostka notyfikowana stwierdza, że zabawka nie spełnia zasadniczych wymagań bezpieczeństwa, wymagań określonych w odpowiednich normach zharmonizowanych, jeżeli stosuje się takie normy, lub wymagań w odpowiednich wspólnych specyfikacjach, o których mowa w art. 14, jeżeli stosuje się takie specyfikacje, zobowiązuje ona producenta do wprowadzenia stosownych środków naprawczych i nie wydaje certyfikatu badania typu UE, o którym mowa w części II pkt 6 załącznika IV.</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W przypadku gdy w trakcie monitorowania zgodności w następstwie wydania certyfikatu badania typu UE jednostka notyfikowana stwierdza, że zabawka przestała spełniać wymagania, zobowiązuje ona producenta do wprowadzenia stosownych środków naprawczych i zawiesza lub wycofuje wydany certyfikat badania typu UE, jeżeli zachodzi taka konieczność.</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W razie niewprowadzenia środków naprawczych lub jeżeli środki te nie przynoszą wymaganych skutków, jednostka notyfikowana ogranicza, zawiesza lub wycofuje wszystkie certyfikaty badania typu UE, stosownie do sytuacji.</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6.</w:t>
      </w:r>
      <w:r w:rsidRPr="00092171">
        <w:rPr>
          <w:szCs w:val="24"/>
          <w:lang w:eastAsia="en-US"/>
        </w:rPr>
        <w:tab/>
        <w:t>Jeżeli organ nadzoru rynku informuje jednostkę notyfikowaną, że zabawka, w odniesieniu do której ta jednostka notyfikowana wydała certyfikat badania typu UE, nie spełnia zasadniczych wymagań bezpieczeństwa, to ta jednostka notyfikowana wycofuje certyfikat badania typu UE w odniesieniu do takiej zabawki.</w:t>
      </w:r>
    </w:p>
    <w:p w:rsidR="00092171" w:rsidRPr="00092171" w:rsidRDefault="00092171" w:rsidP="00092171">
      <w:pPr>
        <w:spacing w:before="120" w:after="120" w:line="360" w:lineRule="auto"/>
        <w:jc w:val="center"/>
        <w:rPr>
          <w:szCs w:val="24"/>
          <w:lang w:eastAsia="en-US"/>
        </w:rPr>
      </w:pPr>
      <w:r w:rsidRPr="00092171">
        <w:rPr>
          <w:szCs w:val="24"/>
          <w:lang w:eastAsia="en-US"/>
        </w:rPr>
        <w:t>Artykuł 37</w:t>
      </w:r>
      <w:r w:rsidRPr="00092171">
        <w:rPr>
          <w:szCs w:val="24"/>
          <w:lang w:eastAsia="en-US"/>
        </w:rPr>
        <w:br/>
        <w:t xml:space="preserve">Odwołania od decyzji jednostek notyfikowanych </w:t>
      </w:r>
    </w:p>
    <w:p w:rsidR="00092171" w:rsidRPr="00092171" w:rsidRDefault="00092171" w:rsidP="00092171">
      <w:pPr>
        <w:spacing w:before="120" w:after="120" w:line="360" w:lineRule="auto"/>
        <w:rPr>
          <w:szCs w:val="24"/>
          <w:lang w:eastAsia="en-US"/>
        </w:rPr>
      </w:pPr>
      <w:r w:rsidRPr="00092171">
        <w:rPr>
          <w:szCs w:val="24"/>
          <w:lang w:eastAsia="en-US"/>
        </w:rPr>
        <w:t>Jednostka notyfikowana zapewnia przejrzystą i dostępną procedurę odwoławczą od jej decyzji.</w:t>
      </w:r>
    </w:p>
    <w:p w:rsidR="00092171" w:rsidRPr="00092171" w:rsidRDefault="00092171" w:rsidP="00092171">
      <w:pPr>
        <w:spacing w:before="120" w:after="120" w:line="360" w:lineRule="auto"/>
        <w:jc w:val="center"/>
        <w:rPr>
          <w:szCs w:val="24"/>
          <w:lang w:eastAsia="en-US"/>
        </w:rPr>
      </w:pPr>
      <w:r w:rsidRPr="00092171">
        <w:rPr>
          <w:szCs w:val="24"/>
          <w:lang w:eastAsia="en-US"/>
        </w:rPr>
        <w:t>Artykuł 38</w:t>
      </w:r>
      <w:r w:rsidRPr="00092171">
        <w:rPr>
          <w:szCs w:val="24"/>
          <w:lang w:eastAsia="en-US"/>
        </w:rPr>
        <w:br/>
        <w:t>Obowiązki jednostek notyfikowanych w zakresie informowania</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Jednostki notyfikowane informują organ notyfikujący:</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o każdym przypadku odmowy, ograniczenia, zawieszenia lub wycofania certyfikatu badania typu UE;</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o wszelkich okolicznościach, które mogą mieć negatywny wpływ na zakres i warunki ich notyfikacji;</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c)</w:t>
      </w:r>
      <w:r w:rsidRPr="00092171">
        <w:rPr>
          <w:szCs w:val="24"/>
          <w:lang w:eastAsia="en-US"/>
        </w:rPr>
        <w:tab/>
        <w:t>o każdym przypadku żądania przez organy nadzoru rynku informacji o działaniach związanych z oceną zgodności;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na żądanie, o podejmowanych działaniach związanych z oceną zgodności będących przedmiotem ich notyfikacji oraz o innych realizowanych zadaniach, w tym o działalności transgranicznej i podwykonawstwie.</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Jednostki notyfikowane przekazują pozostałym jednostkom notyfikowanym na mocy niniejszego rozporządzenia, prowadzącym podobną działalność w zakresie oceny zgodności obejmującą te same zabawki, informacje na temat kwestii związanych z negatywnymi, a na żądanie, również pozytywnymi rezultatami oceny zgodności.</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Na uzasadnione żądanie organu nadzoru rynku jednostki notyfikowane przekazują mu wszelkie informacje i dokumenty dotyczące każdego wydanego przez nie lub wycofanego certyfikatu badania typu UE lub każdego przypadku odmowy wydania takiego certyfikatu, włącznie ze sprawozdaniami z badań oraz dokumentacją techniczną, o której mowa w art. 23.</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39</w:t>
      </w:r>
      <w:r w:rsidRPr="00092171">
        <w:rPr>
          <w:szCs w:val="24"/>
          <w:lang w:eastAsia="en-US"/>
        </w:rPr>
        <w:br/>
        <w:t>Wymiana doświadczeń</w:t>
      </w:r>
    </w:p>
    <w:p w:rsidR="00092171" w:rsidRPr="00092171" w:rsidRDefault="00092171" w:rsidP="00092171">
      <w:pPr>
        <w:spacing w:before="120" w:after="120" w:line="360" w:lineRule="auto"/>
        <w:rPr>
          <w:szCs w:val="24"/>
          <w:lang w:eastAsia="en-US"/>
        </w:rPr>
      </w:pPr>
      <w:r w:rsidRPr="00092171">
        <w:rPr>
          <w:szCs w:val="24"/>
          <w:lang w:eastAsia="en-US"/>
        </w:rPr>
        <w:t>Komisja zapewnia organizację wymiany doświadczeń między krajowymi organami państw członkowskich odpowiedzialnymi za politykę w obszarze notyfikowania.</w:t>
      </w:r>
    </w:p>
    <w:p w:rsidR="00092171" w:rsidRPr="00092171" w:rsidRDefault="00092171" w:rsidP="00092171">
      <w:pPr>
        <w:spacing w:before="120" w:after="120" w:line="360" w:lineRule="auto"/>
        <w:jc w:val="center"/>
        <w:rPr>
          <w:szCs w:val="24"/>
          <w:lang w:eastAsia="en-US"/>
        </w:rPr>
      </w:pPr>
      <w:r w:rsidRPr="00092171">
        <w:rPr>
          <w:szCs w:val="24"/>
          <w:lang w:eastAsia="en-US"/>
        </w:rPr>
        <w:t>Artykuł 40</w:t>
      </w:r>
      <w:r w:rsidRPr="00092171">
        <w:rPr>
          <w:szCs w:val="24"/>
          <w:lang w:eastAsia="en-US"/>
        </w:rPr>
        <w:br/>
        <w:t>Koordynacja jednostek notyfikowanych</w:t>
      </w:r>
    </w:p>
    <w:p w:rsidR="00092171" w:rsidRPr="00092171" w:rsidRDefault="00092171" w:rsidP="00092171">
      <w:pPr>
        <w:spacing w:before="120" w:after="120" w:line="360" w:lineRule="auto"/>
        <w:rPr>
          <w:szCs w:val="24"/>
          <w:lang w:eastAsia="en-US"/>
        </w:rPr>
      </w:pPr>
      <w:r w:rsidRPr="00092171">
        <w:rPr>
          <w:szCs w:val="24"/>
          <w:lang w:eastAsia="en-US"/>
        </w:rPr>
        <w:t>Komisja zapewnia wprowadzenie i właściwą realizację koordynacji i współpracy organów notyfikowanych na mocy niniejszego rozporządzenia, w formie sektorowego zespołu lub zespołów jednostek notyfikowanych.</w:t>
      </w:r>
    </w:p>
    <w:p w:rsidR="00092171" w:rsidRPr="00092171" w:rsidRDefault="00092171" w:rsidP="00092171">
      <w:pPr>
        <w:spacing w:before="120" w:after="120" w:line="360" w:lineRule="auto"/>
        <w:rPr>
          <w:szCs w:val="24"/>
          <w:lang w:eastAsia="en-US"/>
        </w:rPr>
      </w:pPr>
      <w:r w:rsidRPr="00092171">
        <w:rPr>
          <w:szCs w:val="24"/>
          <w:lang w:eastAsia="en-US"/>
        </w:rPr>
        <w:t>Jednostki notyfikowane uczestniczą w pracach tego zespołu lub tych zespołów bezpośrednio lub poprzez wyznaczonych przedstawicieli.</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 xml:space="preserve">ROZDZIAŁ VII </w:t>
      </w:r>
      <w:r w:rsidRPr="00092171">
        <w:rPr>
          <w:szCs w:val="24"/>
          <w:lang w:eastAsia="en-US"/>
        </w:rPr>
        <w:br/>
        <w:t>NADZÓR RYNKU</w:t>
      </w:r>
    </w:p>
    <w:p w:rsidR="00092171" w:rsidRPr="00134763" w:rsidRDefault="00092171" w:rsidP="00092171">
      <w:pPr>
        <w:spacing w:before="120" w:after="120" w:line="360" w:lineRule="auto"/>
        <w:jc w:val="center"/>
        <w:rPr>
          <w:b/>
          <w:szCs w:val="24"/>
          <w:lang w:eastAsia="en-US"/>
        </w:rPr>
      </w:pPr>
      <w:r w:rsidRPr="00092171">
        <w:rPr>
          <w:szCs w:val="24"/>
          <w:lang w:eastAsia="en-US"/>
        </w:rPr>
        <w:t>Artykuł 41</w:t>
      </w:r>
      <w:r w:rsidRPr="00092171">
        <w:rPr>
          <w:szCs w:val="24"/>
          <w:lang w:eastAsia="en-US"/>
        </w:rPr>
        <w:br/>
      </w:r>
      <w:r w:rsidRPr="00092171">
        <w:rPr>
          <w:strike/>
          <w:szCs w:val="24"/>
          <w:lang w:eastAsia="en-US"/>
        </w:rPr>
        <w:t>Procedura postępowania w przypadku</w:t>
      </w:r>
      <w:r w:rsidRPr="00092171">
        <w:rPr>
          <w:b/>
          <w:i/>
          <w:szCs w:val="24"/>
          <w:lang w:eastAsia="en-US"/>
        </w:rPr>
        <w:t>Środki krajowe dotyczące</w:t>
      </w:r>
      <w:r w:rsidRPr="00092171">
        <w:rPr>
          <w:szCs w:val="24"/>
          <w:lang w:eastAsia="en-US"/>
        </w:rPr>
        <w:t xml:space="preserve"> zabawek</w:t>
      </w:r>
      <w:r w:rsidRPr="00092171">
        <w:rPr>
          <w:strike/>
          <w:szCs w:val="24"/>
          <w:lang w:eastAsia="en-US"/>
        </w:rPr>
        <w:t xml:space="preserve"> stwarzających ryzyko na poziomie krajowym</w:t>
      </w:r>
      <w:r w:rsidRPr="00092171">
        <w:rPr>
          <w:b/>
          <w:i/>
          <w:szCs w:val="24"/>
          <w:lang w:eastAsia="en-US"/>
        </w:rPr>
        <w:t>, które nie są zgodne ze szczegółowymi wymaganiami bezpieczeństwa</w:t>
      </w:r>
      <w:r w:rsidR="00134763">
        <w:rPr>
          <w:b/>
          <w:szCs w:val="24"/>
          <w:lang w:eastAsia="en-US"/>
        </w:rPr>
        <w:t xml:space="preserve"> [Popr. 166]</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 xml:space="preserve">W przypadku gdy organy nadzoru rynku jednego państwa członkowskiego mają wystarczające powody, by sądzić, że dana zabawka objęta niniejszym rozporządzeniem stwarza ryzyko dla zdrowia lub bezpieczeństwa </w:t>
      </w:r>
      <w:r w:rsidRPr="00092171">
        <w:rPr>
          <w:strike/>
          <w:szCs w:val="24"/>
          <w:lang w:eastAsia="en-US"/>
        </w:rPr>
        <w:t>osób</w:t>
      </w:r>
      <w:r w:rsidRPr="00092171">
        <w:rPr>
          <w:b/>
          <w:i/>
          <w:szCs w:val="24"/>
          <w:lang w:eastAsia="en-US"/>
        </w:rPr>
        <w:t>dzieci</w:t>
      </w:r>
      <w:r w:rsidRPr="00092171">
        <w:rPr>
          <w:szCs w:val="24"/>
          <w:lang w:eastAsia="en-US"/>
        </w:rPr>
        <w:t xml:space="preserve">, dokonują one oceny tej zabawki pod kątem spełnienia wszystkich wymagań określonych w niniejszym rozporządzeniu. </w:t>
      </w:r>
      <w:r w:rsidRPr="00092171">
        <w:rPr>
          <w:b/>
          <w:i/>
          <w:szCs w:val="24"/>
          <w:lang w:eastAsia="en-US"/>
        </w:rPr>
        <w:t xml:space="preserve">Niezwłocznie informują odpowiedni podmiot gospodarczy, zgodnie z art. 4 ust. 1 i 2 rozporządzenia (UE) 2019/1020, o wszczętej procedurze oraz o możliwym ryzyku, jakie zidentyfikowały w zabawce, oraz dają podmiotowi gospodarczemu czas na reakcję. </w:t>
      </w:r>
      <w:r w:rsidRPr="00092171">
        <w:rPr>
          <w:szCs w:val="24"/>
          <w:lang w:eastAsia="en-US"/>
        </w:rPr>
        <w:t>W tym celu odpowiednie podmioty gospodarcze współpracują, o ile to konieczne, z organami nadzoru rynku.</w:t>
      </w:r>
      <w:r w:rsidR="00134763">
        <w:rPr>
          <w:b/>
          <w:szCs w:val="24"/>
          <w:lang w:eastAsia="en-US"/>
        </w:rPr>
        <w:t xml:space="preserve"> [Popr. 167]</w:t>
      </w:r>
    </w:p>
    <w:p w:rsidR="00092171" w:rsidRPr="00092171" w:rsidRDefault="00092171" w:rsidP="00092171">
      <w:pPr>
        <w:spacing w:before="120" w:after="120" w:line="360" w:lineRule="auto"/>
        <w:ind w:left="850"/>
        <w:rPr>
          <w:szCs w:val="24"/>
          <w:lang w:eastAsia="en-US"/>
        </w:rPr>
      </w:pPr>
      <w:r w:rsidRPr="00092171">
        <w:rPr>
          <w:szCs w:val="24"/>
          <w:lang w:eastAsia="en-US"/>
        </w:rPr>
        <w:t>Jeśli w toku tej oceny organ nadzoru rynku stwierdzi, że dana zabawka nie spełnia wymagań określonych w niniejszym rozporządzeniu, żąda on niezwłocznie od zainteresowanego podmiotu gospodarczego podjęcia odpowiednich działań naprawczych zgodnie z art. 16 ust. 3 rozporządzenia (UE) 2019/1020 w rozsądnym terminie wyznaczonym przez organ nadzoru rynku z uwzględnieniem charakteru ryzyka.</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rPr>
          <w:szCs w:val="24"/>
          <w:lang w:eastAsia="en-US"/>
        </w:rPr>
      </w:pPr>
      <w:r w:rsidRPr="00092171">
        <w:rPr>
          <w:szCs w:val="24"/>
          <w:lang w:eastAsia="en-US"/>
        </w:rPr>
        <w:lastRenderedPageBreak/>
        <w:t>Organy nadzoru rynku powiadamiają odpowiednią jednostkę notyfikowaną.</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W przypadku gdy organy nadzoru rynku uznają, że niezgodność nie ogranicza się wyłącznie do terytorium kraju, w którym prowadzą nadzór, informują one Komisję oraz pozostałe państwa członkowskie o wynikach oceny oraz działaniach, których podjęcia zażądały od danego podmiotu gospodarczego.</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Dany podmiot gospodarczy zapewnia podjęcie działań naprawczych w odniesieniu do wszystkich odnośnych zabawek, które podmiot gospodarczy udostępnił na rynku w Unii.</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W przypadku gdy zainteresowany podmiot gospodarczy nie podejmuje odpowiednich działań naprawczych w terminie, o którym mowa w ust. 1 akapit drugi, organy nadzoru rynku podejmują odpowiednie środki tymczasowe w celu zakazania lub ograniczenia udostępniania zabawki na ich rynkach krajowych, wycofania zabawki z obrotu lub jej odzyskania.</w:t>
      </w:r>
    </w:p>
    <w:p w:rsidR="00092171" w:rsidRPr="00092171" w:rsidRDefault="00092171" w:rsidP="00092171">
      <w:pPr>
        <w:spacing w:before="120" w:after="120" w:line="360" w:lineRule="auto"/>
        <w:ind w:left="850"/>
        <w:rPr>
          <w:szCs w:val="24"/>
          <w:lang w:eastAsia="en-US"/>
        </w:rPr>
      </w:pPr>
      <w:r w:rsidRPr="00092171">
        <w:rPr>
          <w:szCs w:val="24"/>
          <w:lang w:eastAsia="en-US"/>
        </w:rPr>
        <w:t>Organy nadzoru rynku niezwłocznie informują o tych środkach Komisję i pozostałe państwa członkowskie.</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5.</w:t>
      </w:r>
      <w:r w:rsidRPr="00092171">
        <w:rPr>
          <w:szCs w:val="24"/>
          <w:lang w:eastAsia="en-US"/>
        </w:rPr>
        <w:tab/>
        <w:t>Informacje, o których mowa w ust. 4 akapit drugi, zawierają wszelkie dostępne szczegóły, przede wszystkim dane umożliwiające identyfikację zabawki niespełniającej warunków zgodności, w tym unikatowy identyfikator produktu, informacje na temat pochodzenia zabawki, charakteru zarzucanej niezgodności i związanego z tym ryzyka oraz rodzaju i okresu obowiązywania przyjętych środków krajowych, a także stanowisko przedstawione przez zainteresowany podmiot gospodarczy. W szczególności organy nadzoru rynku wskazują, czy niezgodność wynika z którejkolwiek z następujących przyczyn:</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niespełnienia przez zabawkę zasadniczych wymagań bezpieczeństwa;</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uchybień w normach zharmonizowanych, o których mowa w art. 13;</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uchybień we wspólnych specyfikacjach, o których mowa w art. 14.</w:t>
      </w:r>
    </w:p>
    <w:p w:rsidR="00092171" w:rsidRPr="00092171" w:rsidRDefault="00092171" w:rsidP="00092171">
      <w:pPr>
        <w:spacing w:before="120" w:after="120" w:line="360" w:lineRule="auto"/>
        <w:ind w:left="850" w:hanging="850"/>
        <w:rPr>
          <w:szCs w:val="24"/>
          <w:lang w:eastAsia="en-US"/>
        </w:rPr>
      </w:pPr>
      <w:r w:rsidRPr="00092171">
        <w:rPr>
          <w:szCs w:val="24"/>
          <w:lang w:eastAsia="en-US"/>
        </w:rPr>
        <w:t>6.</w:t>
      </w:r>
      <w:r w:rsidRPr="00092171">
        <w:rPr>
          <w:szCs w:val="24"/>
          <w:lang w:eastAsia="en-US"/>
        </w:rPr>
        <w:tab/>
        <w:t>Organy nadzoru rynku państw członkowskich innych niż państwo członkowskie, które wszczęło procedurę określoną w niniejszym artykule, niezwłocznie informują Komisję i pozostałe państwa członkowskie o wszystkich przyjętych środkach i przekazują wszystkie dodatkowe informacje dotyczące niezgodności danej zabawki, którymi dysponują, a w przypadku sprzeciwu wobec notyfikowanego środka krajowego, przedstawiają swoje zastrzeżenia.</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7.</w:t>
      </w:r>
      <w:r w:rsidRPr="00092171">
        <w:rPr>
          <w:szCs w:val="24"/>
          <w:lang w:eastAsia="en-US"/>
        </w:rPr>
        <w:tab/>
        <w:t>W przypadku gdy w terminie 3 miesięcy od otrzymania informacji, o których mowa w ust. 4 akapit drugi, ani żaden organ nadzoru rynku dowolnego państwa członkowskiego, ani Komisja nie zgłosiły sprzeciwu wobec środka tymczasowego przyjętego przez dane państwo członkowskie, środek ten uznaje się za uzasadniony.</w:t>
      </w:r>
    </w:p>
    <w:p w:rsidR="00092171" w:rsidRPr="00092171" w:rsidRDefault="00092171" w:rsidP="00092171">
      <w:pPr>
        <w:spacing w:before="120" w:after="120" w:line="360" w:lineRule="auto"/>
        <w:ind w:left="850" w:hanging="850"/>
        <w:rPr>
          <w:szCs w:val="24"/>
          <w:lang w:eastAsia="en-US"/>
        </w:rPr>
      </w:pPr>
      <w:r w:rsidRPr="00092171">
        <w:rPr>
          <w:szCs w:val="24"/>
          <w:lang w:eastAsia="en-US"/>
        </w:rPr>
        <w:t>8.</w:t>
      </w:r>
      <w:r w:rsidRPr="00092171">
        <w:rPr>
          <w:szCs w:val="24"/>
          <w:lang w:eastAsia="en-US"/>
        </w:rPr>
        <w:tab/>
        <w:t>Organy nadzoru rynku pozostałych państw członkowskich zapewniają niezwłoczne wprowadzenie właściwych środków ograniczających w odniesieniu do danej zabawki, np. wycofanie zabawki z obrotu, oraz informują o tych środkach Komisję i pozostałe państwa członkowskie.</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9.</w:t>
      </w:r>
      <w:r w:rsidRPr="00092171">
        <w:rPr>
          <w:szCs w:val="24"/>
          <w:lang w:eastAsia="en-US"/>
        </w:rPr>
        <w:tab/>
        <w:t>Informacje, o których mowa w ust. 2, 4, 6 i 8 niniejszego artykułu, przekazuje się za pośrednictwem systemu informacyjnego i komunikacyjnego, o którym mowa w art. 34 rozporządzenia (UE) 2019/1020. Komunikacja ta nie ma wpływu na zobowiązanie organów nadzoru rynku do notyfikacji środków wprowadzonych wobec produktów stwarzających poważne ryzyko zgodnie z art. 20 rozporządzenia (UE) 2019/1020</w:t>
      </w:r>
      <w:r w:rsidRPr="00092171">
        <w:rPr>
          <w:b/>
          <w:i/>
          <w:szCs w:val="24"/>
          <w:lang w:eastAsia="en-US"/>
        </w:rPr>
        <w:t xml:space="preserve"> i ścisłego egzekwowania art</w:t>
      </w:r>
      <w:r w:rsidRPr="00092171">
        <w:rPr>
          <w:szCs w:val="24"/>
          <w:lang w:eastAsia="en-US"/>
        </w:rPr>
        <w:t>.</w:t>
      </w:r>
      <w:r w:rsidRPr="00092171">
        <w:rPr>
          <w:b/>
          <w:i/>
          <w:szCs w:val="24"/>
          <w:lang w:eastAsia="en-US"/>
        </w:rPr>
        <w:t xml:space="preserve"> 19 tego rozporządzenia ze względu na wrażliwość dzieci na ryzyko stwarzane przez produkty wadliwe, niebezpieczne lub podrobione.</w:t>
      </w:r>
      <w:r w:rsidR="00134763">
        <w:rPr>
          <w:b/>
          <w:szCs w:val="24"/>
          <w:lang w:eastAsia="en-US"/>
        </w:rPr>
        <w:t xml:space="preserve"> [Popr. 168]</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42</w:t>
      </w:r>
      <w:r w:rsidRPr="00092171">
        <w:rPr>
          <w:szCs w:val="24"/>
          <w:lang w:eastAsia="en-US"/>
        </w:rPr>
        <w:br/>
        <w:t>Procedura w sprawie środków ochronnych na poziomie Unii</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W przypadku gdy po ukończeniu procedury określonej w art. 41 ust. 3 i 4 zgłaszane są zastrzeżenia wobec krajowego środka państwa członkowskiego lub jeżeli Komisja ma powody, aby uważać, że środek krajowy jest sprzeczny z przepisami Unii, Komisja niezwłocznie rozpoczyna konsultacje z państwami członkowskimi i zainteresowanym podmiotem gospodarczym (zainteresowanymi podmiotami gospodarczymi) oraz ocenia ten środek krajowy.</w:t>
      </w:r>
    </w:p>
    <w:p w:rsidR="00092171" w:rsidRPr="00092171" w:rsidRDefault="00092171" w:rsidP="00092171">
      <w:pPr>
        <w:spacing w:before="120" w:after="120" w:line="360" w:lineRule="auto"/>
        <w:ind w:left="850"/>
        <w:rPr>
          <w:szCs w:val="24"/>
          <w:lang w:eastAsia="en-US"/>
        </w:rPr>
      </w:pPr>
      <w:r w:rsidRPr="00092171">
        <w:rPr>
          <w:szCs w:val="24"/>
          <w:lang w:eastAsia="en-US"/>
        </w:rPr>
        <w:t>Na podstawie wyników tej oceny Komisja przyjmuje akt wykonawczy rozstrzygający, czy dany środek krajowy jest uzasadniony.</w:t>
      </w:r>
    </w:p>
    <w:p w:rsidR="00092171" w:rsidRPr="00092171" w:rsidRDefault="00092171" w:rsidP="00092171">
      <w:pPr>
        <w:spacing w:before="120" w:after="120" w:line="360" w:lineRule="auto"/>
        <w:ind w:left="850"/>
        <w:rPr>
          <w:szCs w:val="24"/>
          <w:lang w:eastAsia="en-US"/>
        </w:rPr>
      </w:pPr>
      <w:r w:rsidRPr="00092171">
        <w:rPr>
          <w:szCs w:val="24"/>
          <w:lang w:eastAsia="en-US"/>
        </w:rPr>
        <w:t>Komisja kieruje swoją decyzję do wszystkich państw członkowskich i niezwłocznie informuje o niej państwa członkowskie i dany podmiot gospodarczy (dane podmioty gospodarcze).</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W razie uznania krajowego środka za uzasadniony wszystkie państwa członkowskie wprowadzają środki konieczne do zapewnienia wycofania lub odzyskania z ich rynku zabawki niespełniającej wymagań i informują o nich Komisję.</w:t>
      </w:r>
    </w:p>
    <w:p w:rsidR="00092171" w:rsidRPr="00092171" w:rsidRDefault="00092171" w:rsidP="00092171">
      <w:pPr>
        <w:spacing w:before="120" w:after="120" w:line="360" w:lineRule="auto"/>
        <w:ind w:left="850"/>
        <w:rPr>
          <w:szCs w:val="24"/>
          <w:lang w:eastAsia="en-US"/>
        </w:rPr>
      </w:pPr>
      <w:r w:rsidRPr="00092171">
        <w:rPr>
          <w:szCs w:val="24"/>
          <w:lang w:eastAsia="en-US"/>
        </w:rPr>
        <w:t>W przypadku uznania krajowego środka za nieuzasadniony państwo członkowskie zobowiązane jest uchylić go.</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W przypadku uznania środka krajowego za uzasadniony i stwierdzenia, że niezgodność zabawki z wymaganiami wynika z uchybień w normach zharmonizowanych, o których mowa w art. 13 niniejszego rozporządzenia, lub we wspólnych specyfikacjach, o których mowa w art. 14 niniejszego rozporządzenia, Komisja stosuje procedurę przewidzianą w art. 11 rozporządzenia (UE) nr 1025/2012 lub, w stosownych przypadkach, zmienia wspólne specyfikacje.</w:t>
      </w:r>
    </w:p>
    <w:p w:rsidR="00092171" w:rsidRPr="00092171" w:rsidRDefault="00092171" w:rsidP="00092171">
      <w:pPr>
        <w:spacing w:before="120" w:after="120" w:line="360" w:lineRule="auto"/>
        <w:jc w:val="center"/>
        <w:rPr>
          <w:szCs w:val="24"/>
          <w:lang w:eastAsia="en-US"/>
        </w:rPr>
      </w:pPr>
      <w:r w:rsidRPr="00092171">
        <w:rPr>
          <w:szCs w:val="24"/>
          <w:lang w:eastAsia="en-US"/>
        </w:rPr>
        <w:t>Artykuł 43</w:t>
      </w:r>
      <w:r w:rsidRPr="00092171">
        <w:rPr>
          <w:szCs w:val="24"/>
          <w:lang w:eastAsia="en-US"/>
        </w:rPr>
        <w:br/>
        <w:t>Brak zgodności pod względem formalnym</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Bez uszczerbku dla art. 41, w przypadku gdy organ nadzoru rynku dokona jednego z poniższych ustaleń dotyczących danej zabawki, zobowiązuje on właściwy podmiot gospodarczy do usunięcia występującej niezgodności: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oznakowanie CE zostało umieszczone z pogwałceniem art. 15 lub 16;</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nie umieszczono oznakowania CE;</w:t>
      </w:r>
    </w:p>
    <w:p w:rsidR="00092171" w:rsidRPr="00134763" w:rsidRDefault="00092171" w:rsidP="00092171">
      <w:pPr>
        <w:spacing w:before="120" w:after="120" w:line="360" w:lineRule="auto"/>
        <w:ind w:left="1416" w:hanging="566"/>
        <w:rPr>
          <w:b/>
          <w:szCs w:val="24"/>
          <w:lang w:eastAsia="en-US"/>
        </w:rPr>
      </w:pPr>
      <w:r w:rsidRPr="00092171">
        <w:rPr>
          <w:szCs w:val="24"/>
          <w:lang w:eastAsia="en-US"/>
        </w:rPr>
        <w:t>c)</w:t>
      </w:r>
      <w:r w:rsidRPr="00092171">
        <w:rPr>
          <w:szCs w:val="24"/>
          <w:lang w:eastAsia="en-US"/>
        </w:rPr>
        <w:tab/>
        <w:t>nie sporządzono</w:t>
      </w:r>
      <w:r w:rsidRPr="00092171">
        <w:rPr>
          <w:b/>
          <w:i/>
          <w:szCs w:val="24"/>
          <w:lang w:eastAsia="en-US"/>
        </w:rPr>
        <w:t xml:space="preserve"> cyfrowego</w:t>
      </w:r>
      <w:r w:rsidRPr="00092171">
        <w:rPr>
          <w:szCs w:val="24"/>
          <w:lang w:eastAsia="en-US"/>
        </w:rPr>
        <w:t xml:space="preserve"> paszportu produktu zgodnie z art. 17;</w:t>
      </w:r>
      <w:r w:rsidR="00134763">
        <w:rPr>
          <w:b/>
          <w:szCs w:val="24"/>
          <w:lang w:eastAsia="en-US"/>
        </w:rPr>
        <w:t xml:space="preserve"> [Popr. 169]</w:t>
      </w:r>
    </w:p>
    <w:p w:rsidR="00092171" w:rsidRPr="00134763" w:rsidRDefault="00092171" w:rsidP="00092171">
      <w:pPr>
        <w:spacing w:before="120" w:after="120" w:line="360" w:lineRule="auto"/>
        <w:ind w:left="1416" w:hanging="566"/>
        <w:rPr>
          <w:b/>
          <w:szCs w:val="24"/>
          <w:lang w:eastAsia="en-US"/>
        </w:rPr>
      </w:pPr>
      <w:r w:rsidRPr="00092171">
        <w:rPr>
          <w:szCs w:val="24"/>
          <w:lang w:eastAsia="en-US"/>
        </w:rPr>
        <w:t>d)</w:t>
      </w:r>
      <w:r w:rsidRPr="00092171">
        <w:rPr>
          <w:szCs w:val="24"/>
          <w:lang w:eastAsia="en-US"/>
        </w:rPr>
        <w:tab/>
        <w:t xml:space="preserve">nie umieszczono nośnika danych, za pomocą którego udostępnia się </w:t>
      </w:r>
      <w:r w:rsidRPr="00092171">
        <w:rPr>
          <w:b/>
          <w:i/>
          <w:szCs w:val="24"/>
          <w:lang w:eastAsia="en-US"/>
        </w:rPr>
        <w:t xml:space="preserve">cyfrowy </w:t>
      </w:r>
      <w:r w:rsidRPr="00092171">
        <w:rPr>
          <w:szCs w:val="24"/>
          <w:lang w:eastAsia="en-US"/>
        </w:rPr>
        <w:t>paszport produktu, zgodnie z art. 17 ust. 5;</w:t>
      </w:r>
      <w:r w:rsidR="00134763">
        <w:rPr>
          <w:b/>
          <w:szCs w:val="24"/>
          <w:lang w:eastAsia="en-US"/>
        </w:rPr>
        <w:t xml:space="preserve"> [Popr. 170]</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e)</w:t>
      </w:r>
      <w:r w:rsidRPr="00092171">
        <w:rPr>
          <w:szCs w:val="24"/>
          <w:lang w:eastAsia="en-US"/>
        </w:rPr>
        <w:tab/>
        <w:t>dokumentacja techniczna, o której mowa w art. 23, jest niedostępna albo niekompletna.</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W przypadku gdy niezgodność, o której mowa w ust. 1, nadal utrzymuje się, dany organ nadzoru rynku jest zobowiązany wprowadzić odpowiednie środki w celu ograniczenia lub zakazania udostępniania zabawki na rynku, lub zapewnić, aby została ona wycofana z obrotu lub odzyskana.</w:t>
      </w:r>
    </w:p>
    <w:p w:rsidR="00092171" w:rsidRPr="00092171" w:rsidRDefault="00092171" w:rsidP="00092171">
      <w:pPr>
        <w:spacing w:before="120" w:after="120" w:line="360" w:lineRule="auto"/>
        <w:jc w:val="center"/>
        <w:rPr>
          <w:szCs w:val="24"/>
          <w:lang w:eastAsia="en-US"/>
        </w:rPr>
      </w:pPr>
      <w:r w:rsidRPr="00092171">
        <w:rPr>
          <w:szCs w:val="24"/>
          <w:lang w:eastAsia="en-US"/>
        </w:rPr>
        <w:t>Artykuł 44</w:t>
      </w:r>
      <w:r w:rsidRPr="00092171">
        <w:rPr>
          <w:szCs w:val="24"/>
          <w:lang w:eastAsia="en-US"/>
        </w:rPr>
        <w:br/>
        <w:t>Środki krajowe dotyczące zabawek, które stwarzają ryzyko, mimo że są zgodne ze szczegółowymi wymaganiami bezpieczeństwa</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W przypadku gdy po przeprowadzeniu oceny na podstawie art. 41 ust. 1 organ nadzoru rynku stwierdzi, że udostępniana na rynku zabawka spełniająca szczegółowe wymagania bezpieczeństwa mimo to stwarza ryzyko dla zdrowia i bezpieczeństwa osób, wzywa on zainteresowany podmiot gospodarczy do wprowadzenia wszelkich odpowiednich środków – w rozsądnym terminie określonym przez organ nadzoru rynku z uwzględnieniem charakteru ryzyka – w celu zapewnienia, aby udostępniana na rynku zabawka nie stwarzała tego ryzyka, lub w celu wycofania jej z rynku lub jej odzyskania.</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Dany podmiot gospodarczy zapewnia podjęcie działań naprawczych w odniesieniu do wszystkich odnośnych zabawek, które podmiot gospodarczy udostępnił na rynku w Unii.</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Organ nadzoru rynku danego państwa członkowskiego niezwłocznie informuje Komisję i pozostałe państwa członkowskie o swoich ustaleniach i wszelkich działaniach podjętych w ich wyniku przez podmiot gospodarczy. Informacje te obejmują wszelkie dostępne szczegóły, przede wszystkim dane konieczne do identyfikacji danej zabawki, w tym unikatowy identyfikator produktu, informacje na temat jej pochodzenia i łańcucha dostaw, charakteru występującego ryzyka oraz rodzaju i okresu obowiązywania wprowadzonych środków krajowych.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Komisja niezwłocznie rozpoczyna konsultacje z państwami członkowskimi i zainteresowanym podmiotem gospodarczym (zainteresowanymi podmiotami gospodarczymi) oraz ocenia ten środek krajowy. Na podstawie wyników tej oceny Komisja przyjmuje akt wykonawczy rozstrzygający, czy dany środek krajowy jest uzasadniony, i – w stosownych przypadkach – proponuje odpowiednie środki.</w:t>
      </w:r>
    </w:p>
    <w:p w:rsidR="00092171" w:rsidRPr="00092171" w:rsidRDefault="00092171" w:rsidP="00092171">
      <w:pPr>
        <w:spacing w:before="120" w:after="120" w:line="360" w:lineRule="auto"/>
        <w:ind w:left="850"/>
        <w:rPr>
          <w:szCs w:val="24"/>
          <w:lang w:eastAsia="en-US"/>
        </w:rPr>
      </w:pPr>
      <w:r w:rsidRPr="00092171">
        <w:rPr>
          <w:szCs w:val="24"/>
          <w:lang w:eastAsia="en-US"/>
        </w:rPr>
        <w:t>Komisja kieruje swoją decyzję do wszystkich państw członkowskich i niezwłocznie informuje o niej państwa członkowskie i dany podmiot gospodarczy (dane podmioty gospodarcze).</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5.</w:t>
      </w:r>
      <w:r w:rsidRPr="00092171">
        <w:rPr>
          <w:szCs w:val="24"/>
          <w:lang w:eastAsia="en-US"/>
        </w:rPr>
        <w:tab/>
        <w:t>Informacje, o których mowa w ust. 3 niniejszego artykułu, przekazuje się za pośrednictwem systemu informacyjnego i komunikacyjnego, o którym mowa w art. 34 rozporządzenia (UE) 2019/1020. Komunikacja ta nie ma wpływu na zobowiązanie organów nadzoru rynku do notyfikacji środków wprowadzonych wobec produktów stwarzających poważne ryzyko zgodnie z art. 20 rozporządzenia (UE) 2019/1020.</w:t>
      </w:r>
    </w:p>
    <w:p w:rsidR="00092171" w:rsidRPr="00092171" w:rsidRDefault="00092171" w:rsidP="00092171">
      <w:pPr>
        <w:spacing w:before="120" w:after="120" w:line="360" w:lineRule="auto"/>
        <w:jc w:val="center"/>
        <w:rPr>
          <w:szCs w:val="24"/>
          <w:lang w:eastAsia="en-US"/>
        </w:rPr>
      </w:pPr>
      <w:r w:rsidRPr="00092171">
        <w:rPr>
          <w:szCs w:val="24"/>
          <w:lang w:eastAsia="en-US"/>
        </w:rPr>
        <w:t>Artykuł 45</w:t>
      </w:r>
      <w:r w:rsidRPr="00092171">
        <w:rPr>
          <w:szCs w:val="24"/>
          <w:lang w:eastAsia="en-US"/>
        </w:rPr>
        <w:br/>
        <w:t xml:space="preserve">Działania podejmowane przez Komisję wobec zabawek stwarzających ryzyko </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W przypadku gdy Komisja dowiaduje się o udostępnianiu na rynku zabawki lub konkretnej kategorii zabawek, która stwarza ryzyko dla zdrowia i bezpieczeństwa osób, a mimo to jest zgodna z szczegółowymi wymaganiami bezpieczeństwa albo jej zgodność z tymi wymaganiami budzi wątpliwości, to wówczas Komisja jest uprawniona do przyjęcia aktów wykonawczych określających środki mające zapewnić, aby dana zabawka lub kategoria zabawek udostępniana na rynku nie stwarzała tego ryzyka lub aby ją wycofano z rynku lub ją odzyskano, w przypadku gdy spełnione są wszystkie następujące warunki: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z wcześniejszych konsultacji z organami nadzoru rynku wynika, że poszczególne organy nadzoru rynku przyjmują odmienne postępowanie w przypadku danego ryzyka;</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b)</w:t>
      </w:r>
      <w:r w:rsidRPr="00092171">
        <w:rPr>
          <w:szCs w:val="24"/>
          <w:lang w:eastAsia="en-US"/>
        </w:rPr>
        <w:tab/>
        <w:t>ze względu na charakter ryzyka nie można wobec niego zastosować innych procedur określonych w niniejszym rozporządzeniu.</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Te akty wykonawcze przyjmuje się zgodnie z procedurą sprawdzającą, o której mowa w art. 50 ust. 3. W przypadku należycie uzasadnionej szczególnie pilnej potrzeby związanej z ochroną zdrowia i bezpieczeństwa osób Komisja jest uprawniona do przyjęcia aktu wykonawczego mającego natychmiastowe zastosowanie zgodnie z procedurą, o której mowa w art. 50 ust. 4.</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ROZDZIAŁ VIII</w:t>
      </w:r>
      <w:r w:rsidRPr="00092171">
        <w:rPr>
          <w:szCs w:val="24"/>
          <w:lang w:eastAsia="en-US"/>
        </w:rPr>
        <w:br/>
        <w:t xml:space="preserve">PRZEKAZANE UPRAWNIENIA I PROCEDURA KOMITETOWA </w:t>
      </w:r>
    </w:p>
    <w:p w:rsidR="00092171" w:rsidRPr="00092171" w:rsidRDefault="00092171" w:rsidP="00092171">
      <w:pPr>
        <w:spacing w:before="120" w:after="120" w:line="360" w:lineRule="auto"/>
        <w:jc w:val="center"/>
        <w:rPr>
          <w:szCs w:val="24"/>
          <w:lang w:eastAsia="en-US"/>
        </w:rPr>
      </w:pPr>
      <w:r w:rsidRPr="00092171">
        <w:rPr>
          <w:szCs w:val="24"/>
          <w:lang w:eastAsia="en-US"/>
        </w:rPr>
        <w:t>Artykuł 46</w:t>
      </w:r>
      <w:r w:rsidRPr="00092171">
        <w:rPr>
          <w:szCs w:val="24"/>
          <w:lang w:eastAsia="en-US"/>
        </w:rPr>
        <w:br/>
        <w:t>Przekazane uprawnienia</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Komisja jest uprawniona do przyjmowania aktów delegowanych zgodnie z art. 47 w celu zmiany załącznika VI w odniesieniu do informacji, które należy uwzględnić w</w:t>
      </w:r>
      <w:r w:rsidRPr="00092171">
        <w:rPr>
          <w:b/>
          <w:i/>
          <w:szCs w:val="24"/>
          <w:lang w:eastAsia="en-US"/>
        </w:rPr>
        <w:t xml:space="preserve"> cyfrowym</w:t>
      </w:r>
      <w:r w:rsidRPr="00092171">
        <w:rPr>
          <w:szCs w:val="24"/>
          <w:lang w:eastAsia="en-US"/>
        </w:rPr>
        <w:t xml:space="preserve"> paszporcie produktu, aby dostosować go do postępu technicznego i naukowego oraz do poziomu gotowości cyfrowej organów nadzoru rynku i użytkowników i ich opiekunów.</w:t>
      </w:r>
      <w:r w:rsidR="00134763">
        <w:rPr>
          <w:b/>
          <w:szCs w:val="24"/>
          <w:lang w:eastAsia="en-US"/>
        </w:rPr>
        <w:t xml:space="preserve"> [Popr. 171]</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Komisja jest uprawniona do przyjmowania aktów delegowanych zgodnie z art. 47 w celu zmiany art. 19 ust. 1 przez wprowadzenie wymogu przechowywania w rejestrze dodatkowych informacji wśród informacji wymienionych w załączniku VI lub informacji dotyczących niespełnienia wymagań przez zabawkę w przypadku wprowadzenia środków zgodnie z art. 41 ust. 2 lub 4 i art. 44 ust. 1.</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rPr>
          <w:szCs w:val="24"/>
          <w:lang w:eastAsia="en-US"/>
        </w:rPr>
      </w:pPr>
      <w:r w:rsidRPr="00092171">
        <w:rPr>
          <w:szCs w:val="24"/>
          <w:lang w:eastAsia="en-US"/>
        </w:rPr>
        <w:lastRenderedPageBreak/>
        <w:t>Przyjmując akty delegowane zgodnie z akapitem pierwszym, Komisja bierze pod uwagę następujące kryteria:</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w stosownych przypadkach spójność z innymi właściwymi aktami Unii;</w:t>
      </w:r>
    </w:p>
    <w:p w:rsidR="00092171" w:rsidRPr="00134763" w:rsidRDefault="00092171" w:rsidP="00092171">
      <w:pPr>
        <w:spacing w:before="120" w:after="120" w:line="360" w:lineRule="auto"/>
        <w:ind w:left="1416" w:hanging="566"/>
        <w:rPr>
          <w:b/>
          <w:szCs w:val="24"/>
          <w:lang w:eastAsia="en-US"/>
        </w:rPr>
      </w:pPr>
      <w:r w:rsidRPr="00092171">
        <w:rPr>
          <w:szCs w:val="24"/>
          <w:lang w:eastAsia="en-US"/>
        </w:rPr>
        <w:t>b)</w:t>
      </w:r>
      <w:r w:rsidRPr="00092171">
        <w:rPr>
          <w:szCs w:val="24"/>
          <w:lang w:eastAsia="en-US"/>
        </w:rPr>
        <w:tab/>
        <w:t xml:space="preserve">konieczność umożliwienia weryfikacji, czy </w:t>
      </w:r>
      <w:r w:rsidRPr="00092171">
        <w:rPr>
          <w:b/>
          <w:i/>
          <w:szCs w:val="24"/>
          <w:lang w:eastAsia="en-US"/>
        </w:rPr>
        <w:t xml:space="preserve">cyfrowy </w:t>
      </w:r>
      <w:r w:rsidRPr="00092171">
        <w:rPr>
          <w:szCs w:val="24"/>
          <w:lang w:eastAsia="en-US"/>
        </w:rPr>
        <w:t>paszport produktu jest autentyczny;</w:t>
      </w:r>
      <w:r w:rsidR="00134763">
        <w:rPr>
          <w:b/>
          <w:szCs w:val="24"/>
          <w:lang w:eastAsia="en-US"/>
        </w:rPr>
        <w:t xml:space="preserve"> [Popr. 172]</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znaczenie danych informacji dla poprawy wydajności i skuteczności kontroli w ramach nadzoru rynku oraz kontroli celnych zabawek;</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konieczność uniknięcia nieproporcjonalnych obciążeń administracyjnych dla podmiotów gospodarczych.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Komisja jest uprawniona do przyjmowania aktów delegowanych zgodnie z art. 47 w celu uzupełnienia niniejszego rozporządzenia w drodze określenia informacji przechowywanych w rejestrze, nad którymi kontrolę mają sprawować organy celne, oprócz informacji określonych w art. 20 ust. 3.</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4.</w:t>
      </w:r>
      <w:r w:rsidRPr="00092171">
        <w:rPr>
          <w:szCs w:val="24"/>
          <w:lang w:eastAsia="en-US"/>
        </w:rPr>
        <w:tab/>
        <w:t>Komisja jest uprawniona zgodnie z art. 47 do przyjęcia aktów delegowanych zmieniających załącznik VII do niniejszego rozporządzenia w celu dostosowania wykazu kodów towarów i opisów produktów wykorzystywanych do celów art. 20 ust. 8. Dostosowań tych dokonuje się na podstawie wykazu zawartego w załączniku I do rozporządzenia (EWG) nr 2658/87.</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Komisja jest uprawniona do przyjmowania zgodnie z art. 47 aktów delegowanych zmieniających załącznik III w celu dostosowania go do postępu technicznego i naukowego.</w:t>
      </w:r>
    </w:p>
    <w:p w:rsidR="00134763" w:rsidRDefault="00134763">
      <w:pPr>
        <w:widowControl/>
        <w:rPr>
          <w:szCs w:val="24"/>
          <w:lang w:eastAsia="en-US"/>
        </w:rPr>
      </w:pPr>
      <w:r>
        <w:rPr>
          <w:szCs w:val="24"/>
          <w:lang w:eastAsia="en-US"/>
        </w:rPr>
        <w:br w:type="page"/>
      </w:r>
    </w:p>
    <w:p w:rsidR="00092171" w:rsidRPr="00134763" w:rsidRDefault="00092171" w:rsidP="00092171">
      <w:pPr>
        <w:spacing w:before="120" w:after="120" w:line="360" w:lineRule="auto"/>
        <w:ind w:left="850" w:hanging="850"/>
        <w:rPr>
          <w:b/>
          <w:szCs w:val="24"/>
          <w:lang w:eastAsia="en-US"/>
        </w:rPr>
      </w:pPr>
      <w:r w:rsidRPr="00092171">
        <w:rPr>
          <w:szCs w:val="24"/>
          <w:lang w:eastAsia="en-US"/>
        </w:rPr>
        <w:lastRenderedPageBreak/>
        <w:t>6.</w:t>
      </w:r>
      <w:r w:rsidRPr="00092171">
        <w:rPr>
          <w:szCs w:val="24"/>
          <w:lang w:eastAsia="en-US"/>
        </w:rPr>
        <w:tab/>
        <w:t>Komisja jest uprawniona do przyjmowania zgodnie z art. 47 aktów delegowanych zmieniających część C dodatku do załącznika II w celu dopuszczenia</w:t>
      </w:r>
      <w:r w:rsidRPr="00092171">
        <w:rPr>
          <w:b/>
          <w:i/>
          <w:szCs w:val="24"/>
          <w:lang w:eastAsia="en-US"/>
        </w:rPr>
        <w:t xml:space="preserve"> na ustalony czas</w:t>
      </w:r>
      <w:r w:rsidRPr="00092171">
        <w:rPr>
          <w:szCs w:val="24"/>
          <w:lang w:eastAsia="en-US"/>
        </w:rPr>
        <w:t xml:space="preserve"> określonego zastosowania w zabawkach konkretnej substancji lub mieszaniny zakazanej w części III pkt 4 załącznika II lub w celu ograniczenia określonego zastosowania, które zostało dopuszczone.</w:t>
      </w:r>
      <w:r w:rsidRPr="00092171">
        <w:rPr>
          <w:b/>
          <w:i/>
          <w:szCs w:val="24"/>
          <w:lang w:eastAsia="en-US"/>
        </w:rPr>
        <w:t xml:space="preserve"> Oceniając wnioski o odstępstwo i okres jego obowiązywania, Komisja bierze pod uwagę dostępność rozwiązań alternatywnych i wszelkie potencjalne niekorzystne skutki dla innowacji. W stosownych przypadkach do oceny ogólnego wpływu odstępstwa stosuje się koncepcję cyklu życia. Sześć miesięcy po wejściu w życie niniejszego rozporządzenia Komisja przyjmuje akty delegowane zgodnie z art. 47 w celu zmiany części C dodatku do załącznika II w odniesieniu do niklu, aby wyznaczyć okres ważności odstępstwa od ogólnego zakazu na mocy części III pkt 4 załącznika II dla danej substancji. Komisja uzasadnia wszelkie przyznane odstępstwa i podaje je do wiadomości publicznej w łatwo dostępny i przyjazny użytkownikom sposób.</w:t>
      </w:r>
      <w:r w:rsidR="00134763">
        <w:rPr>
          <w:b/>
          <w:szCs w:val="24"/>
          <w:lang w:eastAsia="en-US"/>
        </w:rPr>
        <w:t xml:space="preserve"> [Popr. 251]</w:t>
      </w:r>
    </w:p>
    <w:p w:rsidR="00134763" w:rsidRDefault="00134763">
      <w:pPr>
        <w:widowControl/>
        <w:rPr>
          <w:szCs w:val="24"/>
          <w:lang w:eastAsia="en-US"/>
        </w:rPr>
      </w:pPr>
      <w:r>
        <w:rPr>
          <w:szCs w:val="24"/>
          <w:lang w:eastAsia="en-US"/>
        </w:rPr>
        <w:br w:type="page"/>
      </w:r>
    </w:p>
    <w:p w:rsidR="00092171" w:rsidRPr="00134763" w:rsidRDefault="00092171" w:rsidP="00092171">
      <w:pPr>
        <w:spacing w:before="120" w:after="120" w:line="360" w:lineRule="auto"/>
        <w:ind w:left="850" w:hanging="850"/>
        <w:rPr>
          <w:b/>
          <w:szCs w:val="24"/>
          <w:lang w:eastAsia="en-US"/>
        </w:rPr>
      </w:pPr>
      <w:r w:rsidRPr="00092171">
        <w:rPr>
          <w:szCs w:val="24"/>
          <w:lang w:eastAsia="en-US"/>
        </w:rPr>
        <w:lastRenderedPageBreak/>
        <w:t>7.</w:t>
      </w:r>
      <w:r w:rsidRPr="00092171">
        <w:rPr>
          <w:szCs w:val="24"/>
          <w:lang w:eastAsia="en-US"/>
        </w:rPr>
        <w:tab/>
        <w:t xml:space="preserve">Dopuszczenie zastosowania w zabawkach substancji lub mieszaniny zakazanej w części III pkt 4 </w:t>
      </w:r>
      <w:r w:rsidRPr="00092171">
        <w:rPr>
          <w:b/>
          <w:i/>
          <w:szCs w:val="24"/>
          <w:lang w:eastAsia="en-US"/>
        </w:rPr>
        <w:t xml:space="preserve">lit. a), b), db), dc), dd) i de) </w:t>
      </w:r>
      <w:r w:rsidRPr="00092171">
        <w:rPr>
          <w:szCs w:val="24"/>
          <w:lang w:eastAsia="en-US"/>
        </w:rPr>
        <w:t xml:space="preserve">załącznika II </w:t>
      </w:r>
      <w:r w:rsidRPr="00092171">
        <w:rPr>
          <w:b/>
          <w:i/>
          <w:szCs w:val="24"/>
          <w:lang w:eastAsia="en-US"/>
        </w:rPr>
        <w:t xml:space="preserve">nie </w:t>
      </w:r>
      <w:r w:rsidRPr="00092171">
        <w:rPr>
          <w:szCs w:val="24"/>
          <w:lang w:eastAsia="en-US"/>
        </w:rPr>
        <w:t>jest możliwe</w:t>
      </w:r>
      <w:r w:rsidRPr="00092171">
        <w:rPr>
          <w:strike/>
          <w:szCs w:val="24"/>
          <w:lang w:eastAsia="en-US"/>
        </w:rPr>
        <w:t xml:space="preserve"> wyłącznie wówczas, gdy</w:t>
      </w:r>
      <w:r w:rsidRPr="00092171">
        <w:rPr>
          <w:b/>
          <w:i/>
          <w:szCs w:val="24"/>
          <w:lang w:eastAsia="en-US"/>
        </w:rPr>
        <w:t>, chyba że</w:t>
      </w:r>
      <w:r w:rsidRPr="00092171">
        <w:rPr>
          <w:szCs w:val="24"/>
          <w:lang w:eastAsia="en-US"/>
        </w:rPr>
        <w:t xml:space="preserve"> spełnione są wszystkie poniższe warunki:</w:t>
      </w:r>
      <w:r w:rsidR="00134763">
        <w:rPr>
          <w:b/>
          <w:szCs w:val="24"/>
          <w:lang w:eastAsia="en-US"/>
        </w:rPr>
        <w:t xml:space="preserve"> [Popr. 174]</w:t>
      </w:r>
    </w:p>
    <w:p w:rsidR="00092171" w:rsidRPr="00134763" w:rsidRDefault="00092171" w:rsidP="00092171">
      <w:pPr>
        <w:spacing w:before="120" w:after="120" w:line="360" w:lineRule="auto"/>
        <w:ind w:left="1416" w:hanging="566"/>
        <w:rPr>
          <w:b/>
          <w:szCs w:val="24"/>
          <w:lang w:eastAsia="en-US"/>
        </w:rPr>
      </w:pPr>
      <w:r w:rsidRPr="00092171">
        <w:rPr>
          <w:szCs w:val="24"/>
          <w:lang w:eastAsia="en-US"/>
        </w:rPr>
        <w:t>a)</w:t>
      </w:r>
      <w:r w:rsidRPr="00092171">
        <w:rPr>
          <w:szCs w:val="24"/>
          <w:lang w:eastAsia="en-US"/>
        </w:rPr>
        <w:tab/>
        <w:t>Europejska Agencja Chemikaliów (ECHA) uznała dane zastosowanie za bezpieczne</w:t>
      </w:r>
      <w:r w:rsidRPr="00092171">
        <w:rPr>
          <w:strike/>
          <w:szCs w:val="24"/>
          <w:lang w:eastAsia="en-US"/>
        </w:rPr>
        <w:t>, w szczególności pod względem narażenia, w tym całego</w:t>
      </w:r>
      <w:r w:rsidRPr="00092171">
        <w:rPr>
          <w:b/>
          <w:i/>
          <w:szCs w:val="24"/>
          <w:lang w:eastAsia="en-US"/>
        </w:rPr>
        <w:t xml:space="preserve"> z uwagi na brak prawdopodobieństwa</w:t>
      </w:r>
      <w:r w:rsidRPr="00092171">
        <w:rPr>
          <w:szCs w:val="24"/>
          <w:lang w:eastAsia="en-US"/>
        </w:rPr>
        <w:t xml:space="preserve"> narażenia </w:t>
      </w:r>
      <w:r w:rsidRPr="00092171">
        <w:rPr>
          <w:b/>
          <w:i/>
          <w:szCs w:val="24"/>
          <w:lang w:eastAsia="en-US"/>
        </w:rPr>
        <w:t>w racjonalnie przewidywalnych warunkach użytkowania zgodnie z art. 5 ust. 2 akapit pierwszy,</w:t>
      </w:r>
      <w:r w:rsidRPr="00092171">
        <w:rPr>
          <w:strike/>
          <w:szCs w:val="24"/>
          <w:lang w:eastAsia="en-US"/>
        </w:rPr>
        <w:t>z innych źródeł, oraz</w:t>
      </w:r>
      <w:r w:rsidRPr="00092171">
        <w:rPr>
          <w:szCs w:val="24"/>
          <w:lang w:eastAsia="en-US"/>
        </w:rPr>
        <w:t xml:space="preserve"> uwzględniając wrażliwość dzieci;</w:t>
      </w:r>
      <w:r w:rsidR="00134763">
        <w:rPr>
          <w:b/>
          <w:szCs w:val="24"/>
          <w:lang w:eastAsia="en-US"/>
        </w:rPr>
        <w:t xml:space="preserve"> [Popr. 175]</w:t>
      </w:r>
    </w:p>
    <w:p w:rsidR="00092171" w:rsidRPr="00134763" w:rsidRDefault="00092171" w:rsidP="00092171">
      <w:pPr>
        <w:spacing w:before="120" w:after="120" w:line="360" w:lineRule="auto"/>
        <w:ind w:left="1416" w:hanging="566"/>
        <w:rPr>
          <w:b/>
          <w:szCs w:val="24"/>
          <w:lang w:eastAsia="en-US"/>
        </w:rPr>
      </w:pPr>
      <w:r w:rsidRPr="00092171">
        <w:rPr>
          <w:b/>
          <w:i/>
          <w:szCs w:val="24"/>
          <w:lang w:eastAsia="en-US"/>
        </w:rPr>
        <w:t>aa)</w:t>
      </w:r>
      <w:r w:rsidR="00134763">
        <w:rPr>
          <w:szCs w:val="24"/>
          <w:lang w:eastAsia="en-US"/>
        </w:rPr>
        <w:tab/>
      </w:r>
      <w:r w:rsidRPr="00092171">
        <w:rPr>
          <w:b/>
          <w:i/>
          <w:szCs w:val="24"/>
          <w:lang w:eastAsia="en-US"/>
        </w:rPr>
        <w:t xml:space="preserve"> wyeliminowanie lub zastąpienie poprzez zmiany konstrukcyjne lub użycie innych materiałów lub części składowych niezawierających takich substancji lub mieszanin nie jest technicznie możliwe;</w:t>
      </w:r>
      <w:r w:rsidR="00134763">
        <w:rPr>
          <w:b/>
          <w:szCs w:val="24"/>
          <w:lang w:eastAsia="en-US"/>
        </w:rPr>
        <w:t xml:space="preserve"> [Popr. 176]</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nie istnieją odpowiednie substancje ani mieszaniny alternatywne, co zostało ustalone przez ECHA na podstawie analizy rozwiązań alternatywnych;</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nie jest zabronione stosowanie substancji lub mieszaniny w artykułach konsumpcyjnych na mocy rozporządzenia (WE) nr 1907/2006.</w:t>
      </w:r>
    </w:p>
    <w:p w:rsidR="00134763" w:rsidRDefault="00134763">
      <w:pPr>
        <w:widowControl/>
        <w:rPr>
          <w:b/>
          <w:i/>
          <w:szCs w:val="24"/>
          <w:lang w:eastAsia="en-US"/>
        </w:rPr>
      </w:pPr>
      <w:r>
        <w:rPr>
          <w:b/>
          <w:i/>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b/>
          <w:i/>
          <w:szCs w:val="24"/>
          <w:lang w:eastAsia="en-US"/>
        </w:rPr>
        <w:lastRenderedPageBreak/>
        <w:t>7a.</w:t>
      </w:r>
      <w:r w:rsidRPr="00092171">
        <w:rPr>
          <w:szCs w:val="24"/>
          <w:lang w:eastAsia="en-US"/>
        </w:rPr>
        <w:tab/>
      </w:r>
      <w:r w:rsidRPr="00092171">
        <w:rPr>
          <w:b/>
          <w:i/>
          <w:szCs w:val="24"/>
          <w:lang w:eastAsia="en-US"/>
        </w:rPr>
        <w:t>Dopuszczenie zastosowania w zabawkach substancji lub mieszaniny zakazanej w części III pkt 4 lit. c) i d) załącznika II jest możliwe wyłącznie wówczas, gdy spełnione są wszystkie poniższe warunki:</w:t>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t>a)</w:t>
      </w:r>
      <w:r w:rsidRPr="00092171">
        <w:rPr>
          <w:szCs w:val="24"/>
          <w:lang w:eastAsia="en-US"/>
        </w:rPr>
        <w:tab/>
      </w:r>
      <w:r w:rsidRPr="00092171">
        <w:rPr>
          <w:b/>
          <w:i/>
          <w:szCs w:val="24"/>
          <w:lang w:eastAsia="en-US"/>
        </w:rPr>
        <w:t>ECHA uznała dane zastosowanie za bezpieczne, w szczególności pod względem narażenia, w tym ogólnego narażenia ze wszystkich potencjalnych źródeł, jak również wszelkich znanych dodatkowych zagrożeń związanych z narażeniem łącznym na działanie kilku substancji i mieszanin występujących w zabawce, oraz uwzględniając w szczególności wrażliwość dzieci;</w:t>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t>b)</w:t>
      </w:r>
      <w:r w:rsidRPr="00092171">
        <w:rPr>
          <w:szCs w:val="24"/>
          <w:lang w:eastAsia="en-US"/>
        </w:rPr>
        <w:tab/>
      </w:r>
      <w:r w:rsidRPr="00092171">
        <w:rPr>
          <w:b/>
          <w:i/>
          <w:szCs w:val="24"/>
          <w:lang w:eastAsia="en-US"/>
        </w:rPr>
        <w:t>wyeliminowanie lub zastąpienie poprzez zmiany konstrukcyjne lub użycie innych materiałów lub części składowych niezawierających takich substancji lub mieszanin nie jest technicznie możliwe;</w:t>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t>c)</w:t>
      </w:r>
      <w:r w:rsidRPr="00092171">
        <w:rPr>
          <w:szCs w:val="24"/>
          <w:lang w:eastAsia="en-US"/>
        </w:rPr>
        <w:tab/>
      </w:r>
      <w:r w:rsidRPr="00092171">
        <w:rPr>
          <w:b/>
          <w:i/>
          <w:szCs w:val="24"/>
          <w:lang w:eastAsia="en-US"/>
        </w:rPr>
        <w:t>nie istnieją odpowiednie substancje ani mieszaniny alternatywne, co zostało ustalone przez ECHA na podstawie analizy rozwiązań alternatywnych;</w:t>
      </w:r>
    </w:p>
    <w:p w:rsidR="00092171" w:rsidRPr="00134763" w:rsidRDefault="00092171" w:rsidP="00092171">
      <w:pPr>
        <w:spacing w:before="120" w:after="120" w:line="360" w:lineRule="auto"/>
        <w:ind w:left="1416" w:hanging="566"/>
        <w:rPr>
          <w:b/>
          <w:szCs w:val="24"/>
          <w:lang w:eastAsia="en-US"/>
        </w:rPr>
      </w:pPr>
      <w:r w:rsidRPr="00092171">
        <w:rPr>
          <w:b/>
          <w:i/>
          <w:szCs w:val="24"/>
          <w:lang w:eastAsia="en-US"/>
        </w:rPr>
        <w:t>d)</w:t>
      </w:r>
      <w:r w:rsidRPr="00092171">
        <w:rPr>
          <w:szCs w:val="24"/>
          <w:lang w:eastAsia="en-US"/>
        </w:rPr>
        <w:tab/>
      </w:r>
      <w:r w:rsidRPr="00092171">
        <w:rPr>
          <w:b/>
          <w:i/>
          <w:szCs w:val="24"/>
          <w:lang w:eastAsia="en-US"/>
        </w:rPr>
        <w:t>stosowanie substancji lub mieszaniny w artykułach konsumpcyjnych nie jest zabronione na mocy rozporządzenia (WE) nr 1907/2006.</w:t>
      </w:r>
      <w:r w:rsidR="00134763">
        <w:rPr>
          <w:b/>
          <w:szCs w:val="24"/>
          <w:lang w:eastAsia="en-US"/>
        </w:rPr>
        <w:t xml:space="preserve"> [Popr. 177]</w:t>
      </w:r>
    </w:p>
    <w:p w:rsidR="00134763" w:rsidRDefault="00134763">
      <w:pPr>
        <w:widowControl/>
        <w:rPr>
          <w:b/>
          <w:i/>
          <w:szCs w:val="24"/>
          <w:lang w:eastAsia="en-US"/>
        </w:rPr>
      </w:pPr>
      <w:r>
        <w:rPr>
          <w:b/>
          <w:i/>
          <w:szCs w:val="24"/>
          <w:lang w:eastAsia="en-US"/>
        </w:rPr>
        <w:br w:type="page"/>
      </w:r>
    </w:p>
    <w:p w:rsidR="00092171" w:rsidRPr="00134763" w:rsidRDefault="00092171" w:rsidP="00092171">
      <w:pPr>
        <w:spacing w:before="120" w:after="120" w:line="360" w:lineRule="auto"/>
        <w:ind w:left="850" w:hanging="850"/>
        <w:rPr>
          <w:b/>
          <w:szCs w:val="24"/>
          <w:lang w:eastAsia="en-US"/>
        </w:rPr>
      </w:pPr>
      <w:r w:rsidRPr="00092171">
        <w:rPr>
          <w:b/>
          <w:i/>
          <w:szCs w:val="24"/>
          <w:lang w:eastAsia="en-US"/>
        </w:rPr>
        <w:lastRenderedPageBreak/>
        <w:t>7b.</w:t>
      </w:r>
      <w:r w:rsidRPr="00092171">
        <w:rPr>
          <w:szCs w:val="24"/>
          <w:lang w:eastAsia="en-US"/>
        </w:rPr>
        <w:tab/>
      </w:r>
      <w:r w:rsidRPr="00092171">
        <w:rPr>
          <w:b/>
          <w:i/>
          <w:szCs w:val="24"/>
          <w:lang w:eastAsia="en-US"/>
        </w:rPr>
        <w:t>Odstępstwa od ogólnego zakazu zgodnie z ust. 7 i 7a są ograniczone w czasie. Okres ważności każdego odstępstwa podlega ocenie i może zostać przedłużony indywidualnie dla każdej substancji lub mieszaniny.</w:t>
      </w:r>
      <w:r w:rsidR="00134763">
        <w:rPr>
          <w:b/>
          <w:szCs w:val="24"/>
          <w:lang w:eastAsia="en-US"/>
        </w:rPr>
        <w:t xml:space="preserve"> [Popr. 252]</w:t>
      </w:r>
    </w:p>
    <w:p w:rsidR="00092171" w:rsidRPr="00092171" w:rsidRDefault="00092171" w:rsidP="00092171">
      <w:pPr>
        <w:spacing w:before="120" w:after="120" w:line="360" w:lineRule="auto"/>
        <w:ind w:left="850" w:hanging="850"/>
        <w:rPr>
          <w:szCs w:val="24"/>
          <w:lang w:eastAsia="en-US"/>
        </w:rPr>
      </w:pPr>
      <w:r w:rsidRPr="00092171">
        <w:rPr>
          <w:szCs w:val="24"/>
          <w:lang w:eastAsia="en-US"/>
        </w:rPr>
        <w:t>8.</w:t>
      </w:r>
      <w:r w:rsidRPr="00092171">
        <w:rPr>
          <w:szCs w:val="24"/>
          <w:lang w:eastAsia="en-US"/>
        </w:rPr>
        <w:tab/>
        <w:t>Komisja jest uprawniona do przyjmowania zgodnie z art. 47 aktów delegowanych zmieniających części A i B dodatku do załącznika II w celu dostosowania ich do postępu technicznego i naukowego przez:</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wprowadzanie warunków dotyczących występowania substancji lub mieszanin w zabawkach oraz, w szczególności, wartości granicznych w odniesieniu do konkretnych substancji lub mieszanin w zabawkach, w tym wartości granicznych w odniesieniu do śladowych ilości zakazanych substancji lub mieszanin, o których mowa w części III pkt 4 załącznika II;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zmianę warunków lub wartości granicznych dotyczących zawartości substancji i mieszanin w zabawkach.</w:t>
      </w:r>
    </w:p>
    <w:p w:rsidR="00134763" w:rsidRDefault="00134763">
      <w:pPr>
        <w:widowControl/>
        <w:rPr>
          <w:szCs w:val="24"/>
          <w:lang w:eastAsia="en-US"/>
        </w:rPr>
      </w:pPr>
      <w:r>
        <w:rPr>
          <w:szCs w:val="24"/>
          <w:lang w:eastAsia="en-US"/>
        </w:rPr>
        <w:br w:type="page"/>
      </w:r>
    </w:p>
    <w:p w:rsidR="00092171" w:rsidRPr="00134763" w:rsidRDefault="00092171" w:rsidP="00092171">
      <w:pPr>
        <w:spacing w:before="120" w:after="120" w:line="360" w:lineRule="auto"/>
        <w:ind w:left="850" w:hanging="850"/>
        <w:rPr>
          <w:b/>
          <w:szCs w:val="24"/>
          <w:lang w:eastAsia="en-US"/>
        </w:rPr>
      </w:pPr>
      <w:r w:rsidRPr="00092171">
        <w:rPr>
          <w:szCs w:val="24"/>
          <w:lang w:eastAsia="en-US"/>
        </w:rPr>
        <w:lastRenderedPageBreak/>
        <w:t>9.</w:t>
      </w:r>
      <w:r w:rsidRPr="00092171">
        <w:rPr>
          <w:szCs w:val="24"/>
          <w:lang w:eastAsia="en-US"/>
        </w:rPr>
        <w:tab/>
        <w:t>Do celów ust. 6</w:t>
      </w:r>
      <w:r w:rsidRPr="00092171">
        <w:rPr>
          <w:strike/>
          <w:szCs w:val="24"/>
          <w:lang w:eastAsia="en-US"/>
        </w:rPr>
        <w:t xml:space="preserve"> i 7</w:t>
      </w:r>
      <w:r w:rsidRPr="00092171">
        <w:rPr>
          <w:b/>
          <w:i/>
          <w:szCs w:val="24"/>
          <w:lang w:eastAsia="en-US"/>
        </w:rPr>
        <w:t>-8</w:t>
      </w:r>
      <w:r w:rsidRPr="00092171">
        <w:rPr>
          <w:szCs w:val="24"/>
          <w:lang w:eastAsia="en-US"/>
        </w:rPr>
        <w:t xml:space="preserve"> Komisja dokonuje systematycznej i regularnej oceny występowania substancji lub mieszanin stwarzających zagrożenie w zabawkach. W takich ocenach Komisja uwzględnia sprawozdania organów nadzoru rynku oraz dowody naukowe przedstawione przez państwa członkowskie i zainteresowane strony.</w:t>
      </w:r>
      <w:r w:rsidR="00134763">
        <w:rPr>
          <w:b/>
          <w:szCs w:val="24"/>
          <w:lang w:eastAsia="en-US"/>
        </w:rPr>
        <w:t xml:space="preserve"> [Popr. 178]</w:t>
      </w:r>
    </w:p>
    <w:p w:rsidR="00092171" w:rsidRPr="00092171" w:rsidRDefault="00092171" w:rsidP="00092171">
      <w:pPr>
        <w:spacing w:before="120" w:after="120" w:line="360" w:lineRule="auto"/>
        <w:jc w:val="center"/>
        <w:rPr>
          <w:szCs w:val="24"/>
          <w:lang w:eastAsia="en-US"/>
        </w:rPr>
      </w:pPr>
      <w:r w:rsidRPr="00092171">
        <w:rPr>
          <w:szCs w:val="24"/>
          <w:lang w:eastAsia="en-US"/>
        </w:rPr>
        <w:t>Artykuł 47</w:t>
      </w:r>
      <w:r w:rsidRPr="00092171">
        <w:rPr>
          <w:szCs w:val="24"/>
          <w:lang w:eastAsia="en-US"/>
        </w:rPr>
        <w:br/>
        <w:t xml:space="preserve">Wykonywanie przekazanych uprawnień </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Powierzenie Komisji uprawnień do przyjmowania aktów delegowanych podlega warunkom określonym w niniejszym artykule.</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2.</w:t>
      </w:r>
      <w:r w:rsidRPr="00092171">
        <w:rPr>
          <w:szCs w:val="24"/>
          <w:lang w:eastAsia="en-US"/>
        </w:rPr>
        <w:tab/>
        <w:t xml:space="preserve">Uprawnienia do przyjęcia aktów delegowanych, o których mowa w art. 46, powierza się Komisji na </w:t>
      </w:r>
      <w:r w:rsidRPr="00092171">
        <w:rPr>
          <w:strike/>
          <w:szCs w:val="24"/>
          <w:lang w:eastAsia="en-US"/>
        </w:rPr>
        <w:t>czas nieokreślony</w:t>
      </w:r>
      <w:r w:rsidRPr="00092171">
        <w:rPr>
          <w:b/>
          <w:i/>
          <w:szCs w:val="24"/>
          <w:lang w:eastAsia="en-US"/>
        </w:rPr>
        <w:t>pięć lat od [dzień wejścia w życie rozporządzenia]</w:t>
      </w:r>
      <w:r w:rsidRPr="00092171">
        <w:rPr>
          <w:szCs w:val="24"/>
          <w:lang w:eastAsia="en-US"/>
        </w:rPr>
        <w:t>.</w:t>
      </w:r>
      <w:r w:rsidRPr="00092171">
        <w:rPr>
          <w:b/>
          <w:i/>
          <w:szCs w:val="24"/>
          <w:lang w:eastAsia="en-US"/>
        </w:rPr>
        <w:t xml:space="preserve">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r w:rsidR="00134763">
        <w:rPr>
          <w:b/>
          <w:szCs w:val="24"/>
          <w:lang w:eastAsia="en-US"/>
        </w:rPr>
        <w:t xml:space="preserve"> [Popr. 179]</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 xml:space="preserve">Przekazanie uprawnień, o którym mowa w art. 46, może zostać w dowolnym momencie odwołane przez Parlament Europejski lub przez Radę. Decyzja o odwołaniu kończy przekazanie określonych w niej uprawnień. Decyzja o odwołaniu staje się skuteczna następnego dnia po jej opublikowaniu w </w:t>
      </w:r>
      <w:r w:rsidR="00FD7FCD" w:rsidRPr="00FD7FCD">
        <w:rPr>
          <w:i/>
          <w:szCs w:val="24"/>
          <w:lang w:eastAsia="en-US"/>
        </w:rPr>
        <w:t>Dzienniku Urzędowym Unii Europejskiej</w:t>
      </w:r>
      <w:r w:rsidRPr="00092171">
        <w:rPr>
          <w:szCs w:val="24"/>
          <w:lang w:eastAsia="en-US"/>
        </w:rPr>
        <w:t xml:space="preserve"> lub w późniejszym terminie określonym w tej decyzji. Nie wpływa ona na ważność już obowiązujących aktów delegowanych.</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4.</w:t>
      </w:r>
      <w:r w:rsidRPr="00092171">
        <w:rPr>
          <w:szCs w:val="24"/>
          <w:lang w:eastAsia="en-US"/>
        </w:rPr>
        <w:tab/>
        <w:t>Przed przyjęciem aktu delegowanego Komisja konsultuje się z</w:t>
      </w:r>
      <w:r w:rsidRPr="00092171">
        <w:rPr>
          <w:b/>
          <w:i/>
          <w:szCs w:val="24"/>
          <w:lang w:eastAsia="en-US"/>
        </w:rPr>
        <w:t xml:space="preserve"> odpowiednimi zainteresowanymi stronami i</w:t>
      </w:r>
      <w:r w:rsidRPr="00092171">
        <w:rPr>
          <w:szCs w:val="24"/>
          <w:lang w:eastAsia="en-US"/>
        </w:rPr>
        <w:t xml:space="preserve"> ekspertami wyznaczonymi przez każde państwo członkowskie zgodnie z zasadami określonymi w Porozumieniu międzyinstytucjonalnym z dnia 13 kwietnia 2016 r. w sprawie lepszego stanowienia prawa.</w:t>
      </w:r>
      <w:r w:rsidR="00134763">
        <w:rPr>
          <w:b/>
          <w:szCs w:val="24"/>
          <w:lang w:eastAsia="en-US"/>
        </w:rPr>
        <w:t xml:space="preserve"> [Popr. 180]</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Niezwłocznie po przyjęciu aktu delegowanego Komisja przekazuje go równocześnie Parlamentowi Europejskiemu i Radzie.</w:t>
      </w:r>
    </w:p>
    <w:p w:rsidR="00134763" w:rsidRDefault="00134763">
      <w:pPr>
        <w:widowControl/>
        <w:rPr>
          <w:szCs w:val="24"/>
          <w:lang w:eastAsia="en-US"/>
        </w:rPr>
      </w:pPr>
      <w:r>
        <w:rPr>
          <w:szCs w:val="24"/>
          <w:lang w:eastAsia="en-US"/>
        </w:rPr>
        <w:br w:type="page"/>
      </w:r>
    </w:p>
    <w:p w:rsidR="00092171" w:rsidRPr="00134763" w:rsidRDefault="00092171" w:rsidP="00092171">
      <w:pPr>
        <w:spacing w:before="120" w:after="120" w:line="360" w:lineRule="auto"/>
        <w:ind w:left="850" w:hanging="850"/>
        <w:rPr>
          <w:b/>
          <w:szCs w:val="24"/>
          <w:lang w:eastAsia="en-US"/>
        </w:rPr>
      </w:pPr>
      <w:r w:rsidRPr="00092171">
        <w:rPr>
          <w:szCs w:val="24"/>
          <w:lang w:eastAsia="en-US"/>
        </w:rPr>
        <w:lastRenderedPageBreak/>
        <w:t>6.</w:t>
      </w:r>
      <w:r w:rsidRPr="00092171">
        <w:rPr>
          <w:szCs w:val="24"/>
          <w:lang w:eastAsia="en-US"/>
        </w:rPr>
        <w:tab/>
        <w:t xml:space="preserve">Akt delegowany przyjęty na podstawie art. 46 wchodzi w życie tylko wówczas, gdy ani Parlament Europejski, ani Rada nie wyraziły sprzeciwu w terminie </w:t>
      </w:r>
      <w:r w:rsidRPr="00092171">
        <w:rPr>
          <w:strike/>
          <w:szCs w:val="24"/>
          <w:lang w:eastAsia="en-US"/>
        </w:rPr>
        <w:t>dwóch</w:t>
      </w:r>
      <w:r w:rsidRPr="00092171">
        <w:rPr>
          <w:b/>
          <w:i/>
          <w:szCs w:val="24"/>
          <w:lang w:eastAsia="en-US"/>
        </w:rPr>
        <w:t>trzech</w:t>
      </w:r>
      <w:r w:rsidRPr="00092171">
        <w:rPr>
          <w:szCs w:val="24"/>
          <w:lang w:eastAsia="en-US"/>
        </w:rPr>
        <w:t xml:space="preserve"> miesięcy od przekazania tego aktu Parlamentowi Europejskiemu i Radzie, lub gdy, przed upływem tego terminu, zarówno Parlament Europejski, jak i Rada poinformowały Komisję, że nie wniosą sprzeciwu. Termin ten przedłuża się o </w:t>
      </w:r>
      <w:r w:rsidRPr="00092171">
        <w:rPr>
          <w:strike/>
          <w:szCs w:val="24"/>
          <w:lang w:eastAsia="en-US"/>
        </w:rPr>
        <w:t>dwa</w:t>
      </w:r>
      <w:r w:rsidRPr="00092171">
        <w:rPr>
          <w:b/>
          <w:i/>
          <w:szCs w:val="24"/>
          <w:lang w:eastAsia="en-US"/>
        </w:rPr>
        <w:t>trzy</w:t>
      </w:r>
      <w:r w:rsidRPr="00092171">
        <w:rPr>
          <w:szCs w:val="24"/>
          <w:lang w:eastAsia="en-US"/>
        </w:rPr>
        <w:t xml:space="preserve"> miesiące z inicjatywy Parlamentu Europejskiego lub Rady.</w:t>
      </w:r>
      <w:r w:rsidR="00134763">
        <w:rPr>
          <w:b/>
          <w:szCs w:val="24"/>
          <w:lang w:eastAsia="en-US"/>
        </w:rPr>
        <w:t xml:space="preserve"> [Popr. 181]</w:t>
      </w:r>
    </w:p>
    <w:p w:rsidR="00092171" w:rsidRPr="00092171" w:rsidRDefault="00092171" w:rsidP="00092171">
      <w:pPr>
        <w:spacing w:before="120" w:after="120" w:line="360" w:lineRule="auto"/>
        <w:jc w:val="center"/>
        <w:rPr>
          <w:szCs w:val="24"/>
          <w:lang w:eastAsia="en-US"/>
        </w:rPr>
      </w:pPr>
      <w:r w:rsidRPr="00092171">
        <w:rPr>
          <w:szCs w:val="24"/>
          <w:lang w:eastAsia="en-US"/>
        </w:rPr>
        <w:t>Artykuł 48</w:t>
      </w:r>
      <w:r w:rsidRPr="00092171">
        <w:rPr>
          <w:szCs w:val="24"/>
          <w:lang w:eastAsia="en-US"/>
        </w:rPr>
        <w:br/>
        <w:t xml:space="preserve">Wnioski o ocenę do celów art. 46 ust. 6 </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Wnioski o przeprowadzenie oceny substancji lub mieszaniny, która została zakazana w części III pkt 4 załącznika II, do celów art. 46 ust. 6 przedkłada się Europejskiej Agencji Chemikaliów z wykorzystaniem formatu i narzędzi do składania wniosków, o których mowa w ust. 3 niniejszego artykułu.</w:t>
      </w:r>
      <w:r w:rsidRPr="00092171">
        <w:rPr>
          <w:b/>
          <w:i/>
          <w:szCs w:val="24"/>
          <w:lang w:eastAsia="en-US"/>
        </w:rPr>
        <w:t xml:space="preserve"> Wnioski podaje się do wiadomości publicznej w łatwo dostępny i przyjazny użytkownikom sposób.</w:t>
      </w:r>
      <w:r w:rsidR="00134763">
        <w:rPr>
          <w:b/>
          <w:szCs w:val="24"/>
          <w:lang w:eastAsia="en-US"/>
        </w:rPr>
        <w:t xml:space="preserve"> [Popr. 182]</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r>
      <w:r w:rsidRPr="00092171">
        <w:rPr>
          <w:b/>
          <w:i/>
          <w:szCs w:val="24"/>
          <w:lang w:eastAsia="en-US"/>
        </w:rPr>
        <w:t xml:space="preserve">Nie naruszając akapitu drugiego niniejszego ustępu, </w:t>
      </w:r>
      <w:r w:rsidRPr="00092171">
        <w:rPr>
          <w:szCs w:val="24"/>
          <w:lang w:eastAsia="en-US"/>
        </w:rPr>
        <w:t xml:space="preserve">każda osoba przedkładająca wniosek o ocenę przewidziany w ust. 1 może zwrócić się o niepodawanie do wiadomości publicznej określonych </w:t>
      </w:r>
      <w:r w:rsidRPr="00092171">
        <w:rPr>
          <w:b/>
          <w:i/>
          <w:szCs w:val="24"/>
          <w:lang w:eastAsia="en-US"/>
        </w:rPr>
        <w:t xml:space="preserve">poufnych </w:t>
      </w:r>
      <w:r w:rsidRPr="00092171">
        <w:rPr>
          <w:szCs w:val="24"/>
          <w:lang w:eastAsia="en-US"/>
        </w:rPr>
        <w:t>informacji</w:t>
      </w:r>
      <w:r w:rsidRPr="00092171">
        <w:rPr>
          <w:b/>
          <w:i/>
          <w:szCs w:val="24"/>
          <w:lang w:eastAsia="en-US"/>
        </w:rPr>
        <w:t xml:space="preserve"> handlowych zgodnie z odpowiednim prawem Unii</w:t>
      </w:r>
      <w:r w:rsidRPr="00092171">
        <w:rPr>
          <w:szCs w:val="24"/>
          <w:lang w:eastAsia="en-US"/>
        </w:rPr>
        <w:t>. Do wniosku o zachowanie poufności załącza się uzasadnienie powodów, dla których ujawnienie odnośnych informacji może zaszkodzić interesom handlowym osoby składającej wniosek o ocenę lub dowolnej innej zainteresowanej strony.</w:t>
      </w:r>
    </w:p>
    <w:p w:rsidR="00092171" w:rsidRPr="00092171" w:rsidRDefault="00092171" w:rsidP="00092171">
      <w:pPr>
        <w:spacing w:before="120" w:after="120" w:line="360" w:lineRule="auto"/>
        <w:ind w:left="850"/>
        <w:rPr>
          <w:szCs w:val="24"/>
          <w:lang w:eastAsia="en-US"/>
        </w:rPr>
      </w:pPr>
      <w:r w:rsidRPr="00092171">
        <w:rPr>
          <w:b/>
          <w:i/>
          <w:szCs w:val="24"/>
          <w:lang w:eastAsia="en-US"/>
        </w:rPr>
        <w:t>Następujące informacje posiadane przez ECHA podaje się nieodpłatnie do wiadomości publicznej w formacie przyjaznym dla użytkownika:</w:t>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t>a)</w:t>
      </w:r>
      <w:r w:rsidRPr="00092171">
        <w:rPr>
          <w:szCs w:val="24"/>
          <w:lang w:eastAsia="en-US"/>
        </w:rPr>
        <w:tab/>
      </w:r>
      <w:r w:rsidRPr="00092171">
        <w:rPr>
          <w:b/>
          <w:i/>
          <w:szCs w:val="24"/>
          <w:lang w:eastAsia="en-US"/>
        </w:rPr>
        <w:t>nazwa osoby prawnej, która składa wniosek;</w:t>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t>b)</w:t>
      </w:r>
      <w:r w:rsidRPr="00092171">
        <w:rPr>
          <w:szCs w:val="24"/>
          <w:lang w:eastAsia="en-US"/>
        </w:rPr>
        <w:tab/>
      </w:r>
      <w:r w:rsidRPr="00092171">
        <w:rPr>
          <w:b/>
          <w:i/>
          <w:szCs w:val="24"/>
          <w:lang w:eastAsia="en-US"/>
        </w:rPr>
        <w:t>nazwa substancji lub mieszaniny, której dotyczy wniosek o odstępstwo;</w:t>
      </w:r>
    </w:p>
    <w:p w:rsidR="00092171" w:rsidRPr="00092171" w:rsidRDefault="00092171" w:rsidP="00092171">
      <w:pPr>
        <w:spacing w:before="120" w:after="120" w:line="360" w:lineRule="auto"/>
        <w:ind w:left="1416" w:hanging="566"/>
        <w:rPr>
          <w:szCs w:val="24"/>
          <w:lang w:eastAsia="en-US"/>
        </w:rPr>
      </w:pPr>
      <w:r w:rsidRPr="00092171">
        <w:rPr>
          <w:b/>
          <w:i/>
          <w:szCs w:val="24"/>
          <w:lang w:eastAsia="en-US"/>
        </w:rPr>
        <w:t>c)</w:t>
      </w:r>
      <w:r w:rsidRPr="00092171">
        <w:rPr>
          <w:szCs w:val="24"/>
          <w:lang w:eastAsia="en-US"/>
        </w:rPr>
        <w:tab/>
      </w:r>
      <w:r w:rsidRPr="00092171">
        <w:rPr>
          <w:b/>
          <w:i/>
          <w:szCs w:val="24"/>
          <w:lang w:eastAsia="en-US"/>
        </w:rPr>
        <w:t>rodzaj lub część składowa zabawki;</w:t>
      </w:r>
    </w:p>
    <w:p w:rsidR="00092171" w:rsidRPr="00134763" w:rsidRDefault="00092171" w:rsidP="00092171">
      <w:pPr>
        <w:spacing w:before="120" w:after="120" w:line="360" w:lineRule="auto"/>
        <w:ind w:left="1416" w:hanging="566"/>
        <w:rPr>
          <w:b/>
          <w:szCs w:val="24"/>
          <w:lang w:eastAsia="en-US"/>
        </w:rPr>
      </w:pPr>
      <w:r w:rsidRPr="00092171">
        <w:rPr>
          <w:b/>
          <w:i/>
          <w:szCs w:val="24"/>
          <w:lang w:eastAsia="en-US"/>
        </w:rPr>
        <w:t>d)</w:t>
      </w:r>
      <w:r w:rsidRPr="00092171">
        <w:rPr>
          <w:szCs w:val="24"/>
          <w:lang w:eastAsia="en-US"/>
        </w:rPr>
        <w:tab/>
      </w:r>
      <w:r w:rsidRPr="00092171">
        <w:rPr>
          <w:b/>
          <w:i/>
          <w:szCs w:val="24"/>
          <w:lang w:eastAsia="en-US"/>
        </w:rPr>
        <w:t>w stosownych przypadkach plan zastąpienia;</w:t>
      </w:r>
      <w:r w:rsidR="00134763">
        <w:rPr>
          <w:b/>
          <w:szCs w:val="24"/>
          <w:lang w:eastAsia="en-US"/>
        </w:rPr>
        <w:t xml:space="preserve"> [Popr. 183]</w:t>
      </w:r>
    </w:p>
    <w:p w:rsidR="00134763" w:rsidRDefault="00134763">
      <w:pPr>
        <w:widowControl/>
        <w:rPr>
          <w:szCs w:val="24"/>
          <w:lang w:eastAsia="en-US"/>
        </w:rPr>
      </w:pPr>
      <w:r>
        <w:rPr>
          <w:szCs w:val="24"/>
          <w:lang w:eastAsia="en-US"/>
        </w:rPr>
        <w:br w:type="page"/>
      </w:r>
    </w:p>
    <w:p w:rsidR="00092171" w:rsidRPr="00134763" w:rsidRDefault="00092171" w:rsidP="00092171">
      <w:pPr>
        <w:spacing w:before="120" w:after="120" w:line="360" w:lineRule="auto"/>
        <w:ind w:left="850" w:hanging="850"/>
        <w:rPr>
          <w:b/>
          <w:szCs w:val="24"/>
          <w:lang w:eastAsia="en-US"/>
        </w:rPr>
      </w:pPr>
      <w:r w:rsidRPr="00092171">
        <w:rPr>
          <w:szCs w:val="24"/>
          <w:lang w:eastAsia="en-US"/>
        </w:rPr>
        <w:lastRenderedPageBreak/>
        <w:t>3.</w:t>
      </w:r>
      <w:r w:rsidRPr="00092171">
        <w:rPr>
          <w:szCs w:val="24"/>
          <w:lang w:eastAsia="en-US"/>
        </w:rPr>
        <w:tab/>
      </w:r>
      <w:r w:rsidRPr="00092171">
        <w:rPr>
          <w:b/>
          <w:i/>
          <w:szCs w:val="24"/>
          <w:lang w:eastAsia="en-US"/>
        </w:rPr>
        <w:t xml:space="preserve">Przed… [pierwszy dzień miesiąca następującego po upływie 1 miesiąca od dnia wejścia w życie niniejszego rozporządzenia] r. </w:t>
      </w:r>
      <w:r w:rsidRPr="00092171">
        <w:rPr>
          <w:szCs w:val="24"/>
          <w:lang w:eastAsia="en-US"/>
        </w:rPr>
        <w:t>ECHA określa i publicznie udostępnia format i narzędzia do składania wniosków o ocenę, o których mowa w ust. 1, a także wytyczne techniczne i naukowe dotyczące sposobu składania wniosków.</w:t>
      </w:r>
      <w:r w:rsidR="00134763">
        <w:rPr>
          <w:b/>
          <w:szCs w:val="24"/>
          <w:lang w:eastAsia="en-US"/>
        </w:rPr>
        <w:t xml:space="preserve"> [Popr. 184]</w:t>
      </w:r>
    </w:p>
    <w:p w:rsidR="00092171" w:rsidRPr="00092171" w:rsidRDefault="00092171" w:rsidP="00092171">
      <w:pPr>
        <w:spacing w:before="120" w:after="120" w:line="360" w:lineRule="auto"/>
        <w:jc w:val="center"/>
        <w:rPr>
          <w:szCs w:val="24"/>
          <w:lang w:eastAsia="en-US"/>
        </w:rPr>
      </w:pPr>
      <w:r w:rsidRPr="00092171">
        <w:rPr>
          <w:szCs w:val="24"/>
          <w:lang w:eastAsia="en-US"/>
        </w:rPr>
        <w:t>Artykuł 49</w:t>
      </w:r>
      <w:r w:rsidRPr="00092171">
        <w:rPr>
          <w:szCs w:val="24"/>
          <w:lang w:eastAsia="en-US"/>
        </w:rPr>
        <w:br/>
        <w:t>Opinie ECHA</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 xml:space="preserve">Do celów art. 46 ust. 6 na wniosek złożony do ECHA zgodnie z art. 48 ust. 1 ECHA przekazuje Komisji opinie dotyczące zastosowania w zabawkach substancji lub mieszanin zakazanych w części III pkt 4 załącznika II. W swoich opiniach ECHA ocenia, czy kryteria określone w art. 46 ust. </w:t>
      </w:r>
      <w:r w:rsidRPr="00092171">
        <w:rPr>
          <w:strike/>
          <w:szCs w:val="24"/>
          <w:lang w:eastAsia="en-US"/>
        </w:rPr>
        <w:t>6 akapit drugi lit. a) i b)</w:t>
      </w:r>
      <w:r w:rsidRPr="00092171">
        <w:rPr>
          <w:b/>
          <w:i/>
          <w:szCs w:val="24"/>
          <w:lang w:eastAsia="en-US"/>
        </w:rPr>
        <w:t>7 i art. 46 ust. 7a</w:t>
      </w:r>
      <w:r w:rsidRPr="00092171">
        <w:rPr>
          <w:szCs w:val="24"/>
          <w:lang w:eastAsia="en-US"/>
        </w:rPr>
        <w:t xml:space="preserve"> są spełnione w przypadku konkretnego zastosowania.</w:t>
      </w:r>
      <w:r w:rsidR="00134763">
        <w:rPr>
          <w:b/>
          <w:szCs w:val="24"/>
          <w:lang w:eastAsia="en-US"/>
        </w:rPr>
        <w:t xml:space="preserve"> [Popr. 185]</w:t>
      </w:r>
    </w:p>
    <w:p w:rsidR="00134763" w:rsidRDefault="00134763">
      <w:pPr>
        <w:widowControl/>
        <w:rPr>
          <w:b/>
          <w:i/>
          <w:szCs w:val="24"/>
          <w:lang w:eastAsia="en-US"/>
        </w:rPr>
      </w:pPr>
      <w:r>
        <w:rPr>
          <w:b/>
          <w:i/>
          <w:szCs w:val="24"/>
          <w:lang w:eastAsia="en-US"/>
        </w:rPr>
        <w:br w:type="page"/>
      </w:r>
    </w:p>
    <w:p w:rsidR="00092171" w:rsidRPr="00134763" w:rsidRDefault="00092171" w:rsidP="00092171">
      <w:pPr>
        <w:spacing w:before="120" w:after="120" w:line="360" w:lineRule="auto"/>
        <w:ind w:left="850" w:hanging="850"/>
        <w:rPr>
          <w:b/>
          <w:szCs w:val="24"/>
          <w:lang w:eastAsia="en-US"/>
        </w:rPr>
      </w:pPr>
      <w:r w:rsidRPr="00092171">
        <w:rPr>
          <w:b/>
          <w:i/>
          <w:szCs w:val="24"/>
          <w:lang w:eastAsia="en-US"/>
        </w:rPr>
        <w:lastRenderedPageBreak/>
        <w:t>1a.</w:t>
      </w:r>
      <w:r w:rsidRPr="00092171">
        <w:rPr>
          <w:szCs w:val="24"/>
          <w:lang w:eastAsia="en-US"/>
        </w:rPr>
        <w:tab/>
      </w:r>
      <w:r w:rsidRPr="00092171">
        <w:rPr>
          <w:b/>
          <w:i/>
          <w:szCs w:val="24"/>
          <w:lang w:eastAsia="en-US"/>
        </w:rPr>
        <w:t>Komisja wydaje wytyczne dotyczące sposobu przeprowadzania oceny, w szczególności w odniesieniu do dostępności alternatywnych substancji lub mieszanin oraz sposobu uwzględnienia skutków narażenia łącznego zgodnie z niniejszym rozporządzeniem.</w:t>
      </w:r>
      <w:r w:rsidR="00134763">
        <w:rPr>
          <w:b/>
          <w:szCs w:val="24"/>
          <w:lang w:eastAsia="en-US"/>
        </w:rPr>
        <w:t xml:space="preserve"> [Popr. 186]</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2.</w:t>
      </w:r>
      <w:r w:rsidRPr="00092171">
        <w:rPr>
          <w:szCs w:val="24"/>
          <w:lang w:eastAsia="en-US"/>
        </w:rPr>
        <w:tab/>
        <w:t>ECHA może zwrócić się do osoby składającej wniosek o ocenę lub do dowolnej osoby trzeciej o przekazanie dodatkowych informacji w określonym terminie. ECHA bierze pod uwagę wszystkie informacje przedstawione przez osoby trzecie.</w:t>
      </w:r>
      <w:r w:rsidRPr="00092171">
        <w:rPr>
          <w:b/>
          <w:i/>
          <w:szCs w:val="24"/>
          <w:lang w:eastAsia="en-US"/>
        </w:rPr>
        <w:t xml:space="preserve"> Jeżeli ECHA uzna to za konieczne do określenia odpowiedniego okresu obowiązywania odstępstwa, może również zwrócić się do osoby, która składa wniosek o ocenę, o przedłożenie planu zastąpienia.</w:t>
      </w:r>
      <w:r w:rsidR="00134763">
        <w:rPr>
          <w:b/>
          <w:szCs w:val="24"/>
          <w:lang w:eastAsia="en-US"/>
        </w:rPr>
        <w:t xml:space="preserve"> [Popr. 187]</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3.</w:t>
      </w:r>
      <w:r w:rsidRPr="00092171">
        <w:rPr>
          <w:szCs w:val="24"/>
          <w:lang w:eastAsia="en-US"/>
        </w:rPr>
        <w:tab/>
        <w:t xml:space="preserve">Opinie, o których mowa w ust. 1, przesyła się Komisji </w:t>
      </w:r>
      <w:r w:rsidRPr="00092171">
        <w:rPr>
          <w:b/>
          <w:i/>
          <w:szCs w:val="24"/>
          <w:lang w:eastAsia="en-US"/>
        </w:rPr>
        <w:t xml:space="preserve">i podaje do wiadomości publicznej w łatwo dostępny i przyjazny użytkownikom sposób </w:t>
      </w:r>
      <w:r w:rsidRPr="00092171">
        <w:rPr>
          <w:szCs w:val="24"/>
          <w:lang w:eastAsia="en-US"/>
        </w:rPr>
        <w:t>w terminie 12 miesięcy od otrzymania wniosku o ocenę.</w:t>
      </w:r>
      <w:r w:rsidR="00134763">
        <w:rPr>
          <w:b/>
          <w:szCs w:val="24"/>
          <w:lang w:eastAsia="en-US"/>
        </w:rPr>
        <w:t xml:space="preserve"> [Popr. 188]</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Termin ten można przedłużyć maksymalnie o 6 miesięcy, jeżeli ECHA musi zwrócić się o informacje do osoby trzeciej lub jeżeli do ECHA wpływa wiele wniosków o ocenę na podstawie art. 48 ust. 1.</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5.</w:t>
      </w:r>
      <w:r w:rsidRPr="00092171">
        <w:rPr>
          <w:szCs w:val="24"/>
          <w:lang w:eastAsia="en-US"/>
        </w:rPr>
        <w:tab/>
        <w:t>ECHA przeprowadza ponowną ocenę swoich opinii dotyczących zastosowania w zabawkach substancji lub mieszanin wymienionych w części C dodatku do załącznika II przynajmniej co 5 lat począwszy od daty wejścia w życie aktu delegowanego przyjętego zgodnie z art. 46 ust. 6.</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6.</w:t>
      </w:r>
      <w:r w:rsidRPr="00092171">
        <w:rPr>
          <w:szCs w:val="24"/>
          <w:lang w:eastAsia="en-US"/>
        </w:rPr>
        <w:tab/>
        <w:t>Komisja zwraca się do ECHA z wnioskiem o przedstawienie opinii dotyczącej zastosowania w zabawkach substancji lub mieszanin wymienionych w części C dodatku do załącznika II, jak tylko znajdzie się w posiadaniu nowych informacji naukowych</w:t>
      </w:r>
      <w:r w:rsidRPr="00092171">
        <w:rPr>
          <w:b/>
          <w:i/>
          <w:szCs w:val="24"/>
          <w:lang w:eastAsia="en-US"/>
        </w:rPr>
        <w:t xml:space="preserve"> lub nastąpi rozwój techniczny</w:t>
      </w:r>
      <w:r w:rsidRPr="00092171">
        <w:rPr>
          <w:szCs w:val="24"/>
          <w:lang w:eastAsia="en-US"/>
        </w:rPr>
        <w:t>, które mogą mieć wpływ na dozwolone zastosowanie konkretnej substancji lub mieszaniny w zabawkach.</w:t>
      </w:r>
      <w:r w:rsidR="00134763">
        <w:rPr>
          <w:b/>
          <w:szCs w:val="24"/>
          <w:lang w:eastAsia="en-US"/>
        </w:rPr>
        <w:t xml:space="preserve"> [Popr. 189]</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7.</w:t>
      </w:r>
      <w:r w:rsidRPr="00092171">
        <w:rPr>
          <w:szCs w:val="24"/>
          <w:lang w:eastAsia="en-US"/>
        </w:rPr>
        <w:tab/>
        <w:t>Do celów art. 46 ust</w:t>
      </w:r>
      <w:r w:rsidRPr="00092171">
        <w:rPr>
          <w:strike/>
          <w:szCs w:val="24"/>
          <w:lang w:eastAsia="en-US"/>
        </w:rPr>
        <w:t>. 7</w:t>
      </w:r>
      <w:r w:rsidRPr="00092171">
        <w:rPr>
          <w:b/>
          <w:i/>
          <w:szCs w:val="24"/>
          <w:lang w:eastAsia="en-US"/>
        </w:rPr>
        <w:t>.7, 7a i 8</w:t>
      </w:r>
      <w:r w:rsidRPr="00092171">
        <w:rPr>
          <w:szCs w:val="24"/>
          <w:lang w:eastAsia="en-US"/>
        </w:rPr>
        <w:t xml:space="preserve"> Komisja może zwrócić się do ECHA z wnioskiem o przedstawienie opinii dotyczącej bezpieczeństwa konkretnej substancji lub mieszaniny w zabawkach</w:t>
      </w:r>
      <w:r w:rsidRPr="00092171">
        <w:rPr>
          <w:strike/>
          <w:szCs w:val="24"/>
          <w:lang w:eastAsia="en-US"/>
        </w:rPr>
        <w:t>, w której to opinii należy uwzględnić całe narażenie na działanie danej substancji lub mieszaniny z innych źródeł oraz wrażliwość dzieci</w:t>
      </w:r>
      <w:r w:rsidRPr="00092171">
        <w:rPr>
          <w:szCs w:val="24"/>
          <w:lang w:eastAsia="en-US"/>
        </w:rPr>
        <w:t>.</w:t>
      </w:r>
      <w:r w:rsidR="00134763">
        <w:rPr>
          <w:b/>
          <w:szCs w:val="24"/>
          <w:lang w:eastAsia="en-US"/>
        </w:rPr>
        <w:t xml:space="preserve"> [Popr. 190]</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8.</w:t>
      </w:r>
      <w:r w:rsidRPr="00092171">
        <w:rPr>
          <w:szCs w:val="24"/>
          <w:lang w:eastAsia="en-US"/>
        </w:rPr>
        <w:tab/>
        <w:t>Przy sporządzaniu opinii zgodnie z przepisami niniejszego artykułu ECHA podaje do wiadomości publicznej informacje o rozpoczęciu oceny, przyjęciu opinii oraz o wszystkich pośrednich etapach procedury oceny. W szczególności ECHA podaje do wiadomości publicznej projekty opinii i zapewnia możliwość przedstawiania uwag na temat tych opinii przez zainteresowane strony przez okres co najmniej 4 tygodni.</w:t>
      </w:r>
    </w:p>
    <w:p w:rsidR="00092171" w:rsidRPr="00134763" w:rsidRDefault="00092171" w:rsidP="00092171">
      <w:pPr>
        <w:spacing w:before="120" w:after="120" w:line="360" w:lineRule="auto"/>
        <w:ind w:left="850" w:hanging="850"/>
        <w:rPr>
          <w:b/>
          <w:szCs w:val="24"/>
          <w:lang w:eastAsia="en-US"/>
        </w:rPr>
      </w:pPr>
      <w:r w:rsidRPr="00092171">
        <w:rPr>
          <w:b/>
          <w:i/>
          <w:szCs w:val="24"/>
          <w:lang w:eastAsia="en-US"/>
        </w:rPr>
        <w:t>8a.</w:t>
      </w:r>
      <w:r w:rsidRPr="00092171">
        <w:rPr>
          <w:szCs w:val="24"/>
          <w:lang w:eastAsia="en-US"/>
        </w:rPr>
        <w:tab/>
      </w:r>
      <w:r w:rsidRPr="00092171">
        <w:rPr>
          <w:b/>
          <w:i/>
          <w:szCs w:val="24"/>
          <w:lang w:eastAsia="en-US"/>
        </w:rPr>
        <w:t>Należy zapewnić ECHA odpowiednie zasoby w celu wsparcia jej prac.</w:t>
      </w:r>
      <w:r w:rsidR="00134763">
        <w:rPr>
          <w:b/>
          <w:szCs w:val="24"/>
          <w:lang w:eastAsia="en-US"/>
        </w:rPr>
        <w:t xml:space="preserve"> [Popr. 191]</w:t>
      </w:r>
    </w:p>
    <w:p w:rsidR="00092171" w:rsidRPr="00092171" w:rsidRDefault="00092171" w:rsidP="00092171">
      <w:pPr>
        <w:spacing w:before="120" w:after="120" w:line="360" w:lineRule="auto"/>
        <w:jc w:val="center"/>
        <w:rPr>
          <w:szCs w:val="24"/>
          <w:lang w:eastAsia="en-US"/>
        </w:rPr>
      </w:pPr>
      <w:r w:rsidRPr="00092171">
        <w:rPr>
          <w:szCs w:val="24"/>
          <w:lang w:eastAsia="en-US"/>
        </w:rPr>
        <w:t>Artykuł 50</w:t>
      </w:r>
      <w:r w:rsidRPr="00092171">
        <w:rPr>
          <w:szCs w:val="24"/>
          <w:lang w:eastAsia="en-US"/>
        </w:rPr>
        <w:br/>
        <w:t>Procedura komitetowa</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Komisję wspomaga Komitet ds. Bezpieczeństwa Zabawek. Komitet ten jest komitetem w rozumieniu rozporządzenia (UE) nr 182/2011.</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W przypadku odesłania do niniejszego ustępu stosuje się art. 4 rozporządzenia (UE) nr 182/2011.</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W przypadku odesłania do niniejszego ustępu stosuje się art. 5 rozporządzenia (UE) nr 182/2011.</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W przypadku odesłania do niniejszego ustępu stosuje się art. 8 rozporządzenia (UE) nr 182/2011 w związku z jego art. 5.</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ROZDZIAŁ IX</w:t>
      </w:r>
      <w:r w:rsidRPr="00092171">
        <w:rPr>
          <w:szCs w:val="24"/>
          <w:lang w:eastAsia="en-US"/>
        </w:rPr>
        <w:br/>
        <w:t xml:space="preserve">POUFNOŚĆ I SANKCJE </w:t>
      </w:r>
    </w:p>
    <w:p w:rsidR="00092171" w:rsidRPr="00092171" w:rsidRDefault="00092171" w:rsidP="00092171">
      <w:pPr>
        <w:spacing w:before="120" w:after="120" w:line="360" w:lineRule="auto"/>
        <w:jc w:val="center"/>
        <w:rPr>
          <w:szCs w:val="24"/>
          <w:lang w:eastAsia="en-US"/>
        </w:rPr>
      </w:pPr>
      <w:r w:rsidRPr="00092171">
        <w:rPr>
          <w:szCs w:val="24"/>
          <w:lang w:eastAsia="en-US"/>
        </w:rPr>
        <w:t>Artykuł 51</w:t>
      </w:r>
      <w:r w:rsidRPr="00092171">
        <w:rPr>
          <w:szCs w:val="24"/>
          <w:lang w:eastAsia="en-US"/>
        </w:rPr>
        <w:br/>
        <w:t>Poufność</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Właściwe organy krajowe, jednostki notyfikowane</w:t>
      </w:r>
      <w:r w:rsidRPr="00092171">
        <w:rPr>
          <w:b/>
          <w:i/>
          <w:szCs w:val="24"/>
          <w:lang w:eastAsia="en-US"/>
        </w:rPr>
        <w:t>, ECHA</w:t>
      </w:r>
      <w:r w:rsidRPr="00092171">
        <w:rPr>
          <w:szCs w:val="24"/>
          <w:lang w:eastAsia="en-US"/>
        </w:rPr>
        <w:t xml:space="preserve"> i Komisja zachowują poufność następujących informacji i danych uzyskanych podczas wykonywania swoich zadań zgodnie z niniejszym rozporządzeniem:</w:t>
      </w:r>
      <w:r w:rsidR="00134763">
        <w:rPr>
          <w:b/>
          <w:szCs w:val="24"/>
          <w:lang w:eastAsia="en-US"/>
        </w:rPr>
        <w:t xml:space="preserve"> [Popr. 192]</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danych osobowych;</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poufnych informacji handlowych i tajemnic przedsiębiorstwa dotyczących osób fizycznych lub prawnych, w tym praw własności intelektualnej, chyba że za ujawnieniem przemawia interes publiczny.</w:t>
      </w:r>
    </w:p>
    <w:p w:rsidR="00092171" w:rsidRPr="00134763" w:rsidRDefault="00092171" w:rsidP="00092171">
      <w:pPr>
        <w:spacing w:before="120" w:after="120" w:line="360" w:lineRule="auto"/>
        <w:ind w:left="1416" w:hanging="566"/>
        <w:rPr>
          <w:b/>
          <w:szCs w:val="24"/>
          <w:lang w:eastAsia="en-US"/>
        </w:rPr>
      </w:pPr>
      <w:r w:rsidRPr="00092171">
        <w:rPr>
          <w:b/>
          <w:i/>
          <w:szCs w:val="24"/>
          <w:lang w:eastAsia="en-US"/>
        </w:rPr>
        <w:t>ba)</w:t>
      </w:r>
      <w:r w:rsidRPr="00092171">
        <w:rPr>
          <w:szCs w:val="24"/>
          <w:lang w:eastAsia="en-US"/>
        </w:rPr>
        <w:tab/>
      </w:r>
      <w:r w:rsidRPr="00092171">
        <w:rPr>
          <w:b/>
          <w:i/>
          <w:szCs w:val="24"/>
          <w:lang w:eastAsia="en-US"/>
        </w:rPr>
        <w:t>skuteczne wdrożenie niniejszego rozporządzenia, w szczególności do celów postępowań wyjaśniających, inspekcji lub audytów.</w:t>
      </w:r>
      <w:r w:rsidR="00134763">
        <w:rPr>
          <w:b/>
          <w:szCs w:val="24"/>
          <w:lang w:eastAsia="en-US"/>
        </w:rPr>
        <w:t xml:space="preserve"> [Popr. 193]</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Nie naruszając przepisów ust. 1, informacji wymienianych na zasadzie poufności między właściwymi organami krajowymi oraz między właściwymi organami krajowymi a Komisją nie ujawnia się bez uwzględnienia opinii właściwego organu krajowego, od którego informacje te pochodzą.</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Ust. 1 i 2 nie mają wpływu na prawa i obowiązki Komisji, państw członkowskich i jednostek notyfikowanych w odniesieniu do wymiany informacji i upowszechniania ostrzeżeń, ani na obowiązki odpowiednich osób do udzielania informacji zgodnie z przepisami prawa karnego.</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Państwa członkowskie i Komisja mogą wymieniać informacje poufne z organami regulacyjnymi państw trzecich, z którymi zawarły dwustronne lub wielostronne porozumienia dotyczące poufności.</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52</w:t>
      </w:r>
      <w:r w:rsidRPr="00092171">
        <w:rPr>
          <w:szCs w:val="24"/>
          <w:lang w:eastAsia="en-US"/>
        </w:rPr>
        <w:br/>
        <w:t>Kary</w:t>
      </w:r>
    </w:p>
    <w:p w:rsidR="00092171" w:rsidRPr="00092171" w:rsidRDefault="00092171" w:rsidP="00092171">
      <w:pPr>
        <w:spacing w:before="120" w:after="120" w:line="360" w:lineRule="auto"/>
        <w:rPr>
          <w:szCs w:val="24"/>
          <w:lang w:eastAsia="en-US"/>
        </w:rPr>
      </w:pPr>
      <w:r w:rsidRPr="00092171">
        <w:rPr>
          <w:szCs w:val="24"/>
          <w:lang w:eastAsia="en-US"/>
        </w:rPr>
        <w:t>Państwa członkowskie ustanawiają przepisy dotyczące kar mających zastosowanie w przypadku naruszeń przepisów niniejszego rozporządzenia i podejmują wszelkie niezbędne środki w celu zapewnienia ich wykonywania. Przewidziane kary muszą być skuteczne, proporcjonalne i odstraszające. Państwa członkowskie powiadamiają Komisję o tych przepisach do [Urząd Publikacji: proszę wstawić datę przypadającą pierwszego dnia miesiąca następującego po upływie 30 miesięcy od dnia wejścia w życie niniejszego rozporządzenia] i niezwłocznie zgłaszają wszystkie późniejsze zmiany, które ich dotyczą.</w:t>
      </w:r>
    </w:p>
    <w:p w:rsidR="00134763" w:rsidRDefault="00134763">
      <w:pPr>
        <w:widowControl/>
        <w:rPr>
          <w:b/>
          <w:i/>
          <w:szCs w:val="24"/>
          <w:lang w:eastAsia="en-US"/>
        </w:rPr>
      </w:pPr>
      <w:r>
        <w:rPr>
          <w:b/>
          <w:i/>
          <w:szCs w:val="24"/>
          <w:lang w:eastAsia="en-US"/>
        </w:rPr>
        <w:br w:type="page"/>
      </w:r>
    </w:p>
    <w:p w:rsidR="00092171" w:rsidRPr="00092171" w:rsidRDefault="00092171" w:rsidP="00092171">
      <w:pPr>
        <w:spacing w:before="120" w:after="120" w:line="360" w:lineRule="auto"/>
        <w:jc w:val="center"/>
        <w:rPr>
          <w:szCs w:val="24"/>
          <w:lang w:eastAsia="en-US"/>
        </w:rPr>
      </w:pPr>
      <w:r w:rsidRPr="00092171">
        <w:rPr>
          <w:b/>
          <w:i/>
          <w:szCs w:val="24"/>
          <w:lang w:eastAsia="en-US"/>
        </w:rPr>
        <w:lastRenderedPageBreak/>
        <w:t>Rozdział IXa</w:t>
      </w:r>
      <w:r w:rsidRPr="00092171">
        <w:rPr>
          <w:szCs w:val="24"/>
          <w:lang w:eastAsia="en-US"/>
        </w:rPr>
        <w:br/>
      </w:r>
      <w:r w:rsidRPr="00092171">
        <w:rPr>
          <w:b/>
          <w:i/>
          <w:szCs w:val="24"/>
          <w:lang w:eastAsia="en-US"/>
        </w:rPr>
        <w:t>POPRAWKI</w:t>
      </w:r>
    </w:p>
    <w:p w:rsidR="00092171" w:rsidRPr="00092171" w:rsidRDefault="00092171" w:rsidP="00092171">
      <w:pPr>
        <w:spacing w:before="120" w:after="120" w:line="360" w:lineRule="auto"/>
        <w:jc w:val="center"/>
        <w:rPr>
          <w:szCs w:val="24"/>
          <w:lang w:eastAsia="en-US"/>
        </w:rPr>
      </w:pPr>
      <w:r w:rsidRPr="00092171">
        <w:rPr>
          <w:b/>
          <w:i/>
          <w:szCs w:val="24"/>
          <w:lang w:eastAsia="en-US"/>
        </w:rPr>
        <w:t>Artykuł 52a</w:t>
      </w:r>
      <w:r w:rsidRPr="00092171">
        <w:rPr>
          <w:szCs w:val="24"/>
          <w:lang w:eastAsia="en-US"/>
        </w:rPr>
        <w:br/>
      </w:r>
      <w:r w:rsidRPr="00092171">
        <w:rPr>
          <w:b/>
          <w:i/>
          <w:szCs w:val="24"/>
          <w:lang w:eastAsia="en-US"/>
        </w:rPr>
        <w:t>Zmiana dyrektywy 2014/53/UE</w:t>
      </w:r>
    </w:p>
    <w:p w:rsidR="00092171" w:rsidRPr="00092171" w:rsidRDefault="00092171" w:rsidP="00092171">
      <w:pPr>
        <w:spacing w:before="120" w:after="120" w:line="360" w:lineRule="auto"/>
        <w:ind w:left="850" w:hanging="850"/>
        <w:rPr>
          <w:szCs w:val="24"/>
          <w:lang w:eastAsia="en-US"/>
        </w:rPr>
      </w:pPr>
      <w:r w:rsidRPr="00092171">
        <w:rPr>
          <w:b/>
          <w:i/>
          <w:szCs w:val="24"/>
          <w:lang w:eastAsia="en-US"/>
        </w:rPr>
        <w:t>W art. 10 ust. 3 dyrektywy 2014/53/UE dodaje się tekst w brzmieniu:</w:t>
      </w:r>
    </w:p>
    <w:p w:rsidR="00092171" w:rsidRPr="00134763" w:rsidRDefault="00092171" w:rsidP="00134763">
      <w:pPr>
        <w:spacing w:before="120" w:after="120" w:line="360" w:lineRule="auto"/>
        <w:rPr>
          <w:b/>
          <w:szCs w:val="24"/>
          <w:lang w:eastAsia="en-US"/>
        </w:rPr>
      </w:pPr>
      <w:r w:rsidRPr="00092171">
        <w:rPr>
          <w:szCs w:val="24"/>
          <w:lang w:eastAsia="en-US"/>
        </w:rPr>
        <w:t>„</w:t>
      </w:r>
      <w:r w:rsidRPr="00092171">
        <w:rPr>
          <w:b/>
          <w:i/>
          <w:szCs w:val="24"/>
          <w:lang w:eastAsia="en-US"/>
        </w:rPr>
        <w:t>„Jeżeli urządzenie radiowe znajduje się w zabawce, cyfrowy paszport produktu ustanowiony rozporządzeniem Parlamentu Europejskiego i Rady (UE) 2024/... z dnia... w sprawie bezpieczeństwa zabawek zawiera również elementy wymienione w załącznikach VI i VII do niniejszej dyrektywy.”</w:t>
      </w:r>
      <w:r w:rsidRPr="00092171">
        <w:rPr>
          <w:szCs w:val="24"/>
          <w:lang w:eastAsia="en-US"/>
        </w:rPr>
        <w:t>”</w:t>
      </w:r>
      <w:r w:rsidR="00134763">
        <w:rPr>
          <w:b/>
          <w:szCs w:val="24"/>
          <w:lang w:eastAsia="en-US"/>
        </w:rPr>
        <w:t xml:space="preserve"> [Popr. 194]</w:t>
      </w:r>
    </w:p>
    <w:p w:rsidR="00134763" w:rsidRDefault="00134763">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 xml:space="preserve">ROZDZIAŁ X </w:t>
      </w:r>
      <w:r w:rsidRPr="00092171">
        <w:rPr>
          <w:szCs w:val="24"/>
          <w:lang w:eastAsia="en-US"/>
        </w:rPr>
        <w:br/>
        <w:t xml:space="preserve">PRZEPISY KOŃCOWE </w:t>
      </w:r>
    </w:p>
    <w:p w:rsidR="00092171" w:rsidRPr="00092171" w:rsidRDefault="00092171" w:rsidP="00092171">
      <w:pPr>
        <w:spacing w:before="120" w:after="120" w:line="360" w:lineRule="auto"/>
        <w:jc w:val="center"/>
        <w:rPr>
          <w:szCs w:val="24"/>
          <w:lang w:eastAsia="en-US"/>
        </w:rPr>
      </w:pPr>
      <w:r w:rsidRPr="00092171">
        <w:rPr>
          <w:szCs w:val="24"/>
          <w:lang w:eastAsia="en-US"/>
        </w:rPr>
        <w:t>Artykuł 53</w:t>
      </w:r>
      <w:r w:rsidRPr="00092171">
        <w:rPr>
          <w:szCs w:val="24"/>
          <w:lang w:eastAsia="en-US"/>
        </w:rPr>
        <w:br/>
        <w:t xml:space="preserve">Uchylenie </w:t>
      </w:r>
    </w:p>
    <w:p w:rsidR="00092171" w:rsidRPr="00092171" w:rsidRDefault="00092171" w:rsidP="00092171">
      <w:pPr>
        <w:spacing w:before="120" w:after="120" w:line="360" w:lineRule="auto"/>
        <w:rPr>
          <w:szCs w:val="24"/>
          <w:lang w:eastAsia="en-US"/>
        </w:rPr>
      </w:pPr>
      <w:r w:rsidRPr="00092171">
        <w:rPr>
          <w:szCs w:val="24"/>
          <w:lang w:eastAsia="en-US"/>
        </w:rPr>
        <w:t>Dyrektywa 2009/48/WE traci moc ze skutkiem od [Urząd Publikacji: proszę wstawić datę przypadającą pierwszego dnia miesiąca następującego po upływie 30 miesięcy od dnia wejścia w życie niniejszego rozporządzenia] r.</w:t>
      </w:r>
    </w:p>
    <w:p w:rsidR="00092171" w:rsidRPr="00092171" w:rsidRDefault="00092171" w:rsidP="00092171">
      <w:pPr>
        <w:spacing w:before="120" w:after="120" w:line="360" w:lineRule="auto"/>
        <w:rPr>
          <w:szCs w:val="24"/>
          <w:lang w:eastAsia="en-US"/>
        </w:rPr>
      </w:pPr>
      <w:r w:rsidRPr="00092171">
        <w:rPr>
          <w:szCs w:val="24"/>
          <w:lang w:eastAsia="en-US"/>
        </w:rPr>
        <w:t>Odesłania do uchylonej dyrektywy 2009/48/WE traktuje się jako odesłania do niniejszego rozporządzenia zgodnie z tabelą korelacji w załączniku VIII.</w:t>
      </w:r>
    </w:p>
    <w:p w:rsidR="00092171" w:rsidRPr="00092171" w:rsidRDefault="00092171" w:rsidP="00092171">
      <w:pPr>
        <w:spacing w:before="120" w:after="120" w:line="360" w:lineRule="auto"/>
        <w:jc w:val="center"/>
        <w:rPr>
          <w:szCs w:val="24"/>
          <w:lang w:eastAsia="en-US"/>
        </w:rPr>
      </w:pPr>
      <w:r w:rsidRPr="00092171">
        <w:rPr>
          <w:szCs w:val="24"/>
          <w:lang w:eastAsia="en-US"/>
        </w:rPr>
        <w:t>Artykuł 54</w:t>
      </w:r>
      <w:r w:rsidRPr="00092171">
        <w:rPr>
          <w:szCs w:val="24"/>
          <w:lang w:eastAsia="en-US"/>
        </w:rPr>
        <w:br/>
        <w:t>Przepisy przejściowe</w:t>
      </w:r>
    </w:p>
    <w:p w:rsidR="00092171" w:rsidRPr="00134763" w:rsidRDefault="00092171" w:rsidP="00092171">
      <w:pPr>
        <w:spacing w:before="120" w:after="120" w:line="360" w:lineRule="auto"/>
        <w:ind w:left="850" w:hanging="850"/>
        <w:rPr>
          <w:b/>
          <w:szCs w:val="24"/>
          <w:lang w:eastAsia="en-US"/>
        </w:rPr>
      </w:pPr>
      <w:r w:rsidRPr="00092171">
        <w:rPr>
          <w:szCs w:val="24"/>
          <w:lang w:eastAsia="en-US"/>
        </w:rPr>
        <w:t>1.</w:t>
      </w:r>
      <w:r w:rsidRPr="00092171">
        <w:rPr>
          <w:szCs w:val="24"/>
          <w:lang w:eastAsia="en-US"/>
        </w:rPr>
        <w:tab/>
        <w:t xml:space="preserve">Zabawki, które wprowadzono do obrotu zgodnie z dyrektywą 2009/48/WE przed [Urząd Publikacji: proszę wstawić datę przypadającą pierwszego dnia miesiąca następującego po upływie 30 miesięcy od dnia wejścia w życie niniejszego rozporządzenia] r. można nadal udostępniać na rynku do [Urząd Publikacji: proszę wstawić datę przypadającą pierwszego dnia miesiąca następującego po upływie </w:t>
      </w:r>
      <w:r w:rsidRPr="00092171">
        <w:rPr>
          <w:strike/>
          <w:szCs w:val="24"/>
          <w:lang w:eastAsia="en-US"/>
        </w:rPr>
        <w:t>42</w:t>
      </w:r>
      <w:r w:rsidRPr="00092171">
        <w:rPr>
          <w:b/>
          <w:i/>
          <w:szCs w:val="24"/>
          <w:lang w:eastAsia="en-US"/>
        </w:rPr>
        <w:t>50</w:t>
      </w:r>
      <w:r w:rsidRPr="00092171">
        <w:rPr>
          <w:szCs w:val="24"/>
          <w:lang w:eastAsia="en-US"/>
        </w:rPr>
        <w:t xml:space="preserve"> miesięcy od dnia wejścia w życie niniejszego rozporządzenia] r.</w:t>
      </w:r>
      <w:r w:rsidR="00134763">
        <w:rPr>
          <w:b/>
          <w:szCs w:val="24"/>
          <w:lang w:eastAsia="en-US"/>
        </w:rPr>
        <w:t xml:space="preserve"> [Popr. 195]</w:t>
      </w:r>
    </w:p>
    <w:p w:rsidR="00134763" w:rsidRDefault="00134763">
      <w:pPr>
        <w:widowControl/>
        <w:rPr>
          <w:b/>
          <w:i/>
          <w:szCs w:val="24"/>
          <w:lang w:eastAsia="en-US"/>
        </w:rPr>
      </w:pPr>
      <w:r>
        <w:rPr>
          <w:b/>
          <w:i/>
          <w:szCs w:val="24"/>
          <w:lang w:eastAsia="en-US"/>
        </w:rPr>
        <w:br w:type="page"/>
      </w:r>
    </w:p>
    <w:p w:rsidR="00092171" w:rsidRPr="00134763" w:rsidRDefault="00092171" w:rsidP="00092171">
      <w:pPr>
        <w:spacing w:before="120" w:after="120" w:line="360" w:lineRule="auto"/>
        <w:ind w:left="850" w:hanging="850"/>
        <w:rPr>
          <w:b/>
          <w:szCs w:val="24"/>
          <w:lang w:eastAsia="en-US"/>
        </w:rPr>
      </w:pPr>
      <w:r w:rsidRPr="00092171">
        <w:rPr>
          <w:b/>
          <w:i/>
          <w:szCs w:val="24"/>
          <w:lang w:eastAsia="en-US"/>
        </w:rPr>
        <w:lastRenderedPageBreak/>
        <w:t>1a.</w:t>
      </w:r>
      <w:r w:rsidRPr="00092171">
        <w:rPr>
          <w:szCs w:val="24"/>
          <w:lang w:eastAsia="en-US"/>
        </w:rPr>
        <w:tab/>
      </w:r>
      <w:r w:rsidRPr="00092171">
        <w:rPr>
          <w:b/>
          <w:i/>
          <w:szCs w:val="24"/>
          <w:lang w:eastAsia="en-US"/>
        </w:rPr>
        <w:t>Zabawek wprowadzonych do obrotu zgodnie z dyrektywą 2009/48/WE i zgodnych z niniejszym rozporządzeniem nie uznaje się za niespełniające wymogów wyłącznie z powodu braku cyfrowego paszportu produktu, pod warunkiem że te same informacje zawarte w paszporcie zostaną udostępnione przez producenta na wniosek stron uprawnionych do dostępu do cyfrowego paszportu produktu na mocy niniejszego rozporządzenia.</w:t>
      </w:r>
      <w:r w:rsidR="00134763">
        <w:rPr>
          <w:b/>
          <w:szCs w:val="24"/>
          <w:lang w:eastAsia="en-US"/>
        </w:rPr>
        <w:t xml:space="preserve"> [Popr. 196]</w:t>
      </w:r>
    </w:p>
    <w:p w:rsidR="00092171" w:rsidRPr="00040518" w:rsidRDefault="00092171" w:rsidP="00092171">
      <w:pPr>
        <w:spacing w:before="120" w:after="120" w:line="360" w:lineRule="auto"/>
        <w:ind w:left="850" w:hanging="850"/>
        <w:rPr>
          <w:b/>
          <w:szCs w:val="24"/>
          <w:lang w:eastAsia="en-US"/>
        </w:rPr>
      </w:pPr>
      <w:r w:rsidRPr="00092171">
        <w:rPr>
          <w:szCs w:val="24"/>
          <w:lang w:eastAsia="en-US"/>
        </w:rPr>
        <w:t>2.</w:t>
      </w:r>
      <w:r w:rsidRPr="00092171">
        <w:rPr>
          <w:szCs w:val="24"/>
          <w:lang w:eastAsia="en-US"/>
        </w:rPr>
        <w:tab/>
        <w:t>Rozdział VII niniejszego rozporządzenia stosuje się odpowiednio zamiast art. 42, 43 i 45 dyrektywy 2009/48/WE do zabawek, które wprowadzono do obrotu zgodnie z tą dyrektywą przed [Urząd Publikacji: proszę wstawić datę przypadającą pierwszego dnia miesiąca następującego po upływie 30 miesięcy od dnia wejścia w życie niniejszego rozporządzenia] r., w tym do zabawek, w odniesieniu do których wszczęto już procedurę na podstawie art. 42 lub 43 dyrektywy 2009/48/WE przed [</w:t>
      </w:r>
      <w:r w:rsidRPr="00092171">
        <w:rPr>
          <w:strike/>
          <w:szCs w:val="24"/>
          <w:lang w:eastAsia="en-US"/>
        </w:rPr>
        <w:t>Urząd Publikacji: proszę wstawić datę przypadającą pierwszego dnia</w:t>
      </w:r>
      <w:r w:rsidRPr="00092171">
        <w:rPr>
          <w:b/>
          <w:i/>
          <w:szCs w:val="24"/>
          <w:lang w:eastAsia="en-US"/>
        </w:rPr>
        <w:t>pierwszy dzień</w:t>
      </w:r>
      <w:r w:rsidRPr="00092171">
        <w:rPr>
          <w:szCs w:val="24"/>
          <w:lang w:eastAsia="en-US"/>
        </w:rPr>
        <w:t xml:space="preserve"> miesiąca następującego po upływie </w:t>
      </w:r>
      <w:r w:rsidRPr="00092171">
        <w:rPr>
          <w:strike/>
          <w:szCs w:val="24"/>
          <w:lang w:eastAsia="en-US"/>
        </w:rPr>
        <w:t>30</w:t>
      </w:r>
      <w:r w:rsidRPr="00092171">
        <w:rPr>
          <w:b/>
          <w:i/>
          <w:szCs w:val="24"/>
          <w:lang w:eastAsia="en-US"/>
        </w:rPr>
        <w:t>50</w:t>
      </w:r>
      <w:r w:rsidRPr="00092171">
        <w:rPr>
          <w:szCs w:val="24"/>
          <w:lang w:eastAsia="en-US"/>
        </w:rPr>
        <w:t xml:space="preserve"> miesięcy od dnia wejścia w życie niniejszego rozporządzenia] r.</w:t>
      </w:r>
      <w:r w:rsidR="00040518">
        <w:rPr>
          <w:b/>
          <w:szCs w:val="24"/>
          <w:lang w:eastAsia="en-US"/>
        </w:rPr>
        <w:t xml:space="preserve"> [Popr. 197]</w:t>
      </w:r>
    </w:p>
    <w:p w:rsidR="00092171" w:rsidRPr="00040518" w:rsidRDefault="00092171" w:rsidP="00092171">
      <w:pPr>
        <w:spacing w:before="120" w:after="120" w:line="360" w:lineRule="auto"/>
        <w:ind w:left="850" w:hanging="850"/>
        <w:rPr>
          <w:b/>
          <w:szCs w:val="24"/>
          <w:lang w:eastAsia="en-US"/>
        </w:rPr>
      </w:pPr>
      <w:r w:rsidRPr="00092171">
        <w:rPr>
          <w:szCs w:val="24"/>
          <w:lang w:eastAsia="en-US"/>
        </w:rPr>
        <w:t>3.</w:t>
      </w:r>
      <w:r w:rsidRPr="00092171">
        <w:rPr>
          <w:szCs w:val="24"/>
          <w:lang w:eastAsia="en-US"/>
        </w:rPr>
        <w:tab/>
        <w:t xml:space="preserve">Certyfikaty badania typu WE wydane zgodnie z art. 20 dyrektywy 2009/48/WE zachowują ważność do dnia [Urząd Publikacji: proszę wstawić datę przypadającą pierwszego dnia miesiąca następującego po upływie </w:t>
      </w:r>
      <w:r w:rsidRPr="00092171">
        <w:rPr>
          <w:strike/>
          <w:szCs w:val="24"/>
          <w:lang w:eastAsia="en-US"/>
        </w:rPr>
        <w:t>42</w:t>
      </w:r>
      <w:r w:rsidRPr="00092171">
        <w:rPr>
          <w:b/>
          <w:i/>
          <w:szCs w:val="24"/>
          <w:lang w:eastAsia="en-US"/>
        </w:rPr>
        <w:t>24</w:t>
      </w:r>
      <w:r w:rsidRPr="00092171">
        <w:rPr>
          <w:szCs w:val="24"/>
          <w:lang w:eastAsia="en-US"/>
        </w:rPr>
        <w:t xml:space="preserve"> miesięcy od </w:t>
      </w:r>
      <w:r w:rsidRPr="00092171">
        <w:rPr>
          <w:strike/>
          <w:szCs w:val="24"/>
          <w:lang w:eastAsia="en-US"/>
        </w:rPr>
        <w:t>dnia wejścia w życie</w:t>
      </w:r>
      <w:r w:rsidRPr="00092171">
        <w:rPr>
          <w:b/>
          <w:i/>
          <w:szCs w:val="24"/>
          <w:lang w:eastAsia="en-US"/>
        </w:rPr>
        <w:t>daty rozpoczęcia stosowania</w:t>
      </w:r>
      <w:r w:rsidRPr="00092171">
        <w:rPr>
          <w:szCs w:val="24"/>
          <w:lang w:eastAsia="en-US"/>
        </w:rPr>
        <w:t xml:space="preserve"> niniejszego rozporządzenia] r., chyba że tracą one ważność we wcześniejszym terminie.</w:t>
      </w:r>
      <w:r w:rsidR="00040518">
        <w:rPr>
          <w:b/>
          <w:szCs w:val="24"/>
          <w:lang w:eastAsia="en-US"/>
        </w:rPr>
        <w:t xml:space="preserve"> [Popr. 245]</w:t>
      </w:r>
    </w:p>
    <w:p w:rsidR="00040518" w:rsidRDefault="00040518">
      <w:pPr>
        <w:widowControl/>
        <w:rPr>
          <w:szCs w:val="24"/>
          <w:lang w:eastAsia="en-US"/>
        </w:rPr>
      </w:pPr>
      <w:r>
        <w:rPr>
          <w:szCs w:val="24"/>
          <w:lang w:eastAsia="en-US"/>
        </w:rPr>
        <w:br w:type="page"/>
      </w:r>
    </w:p>
    <w:p w:rsidR="00092171" w:rsidRPr="00092171" w:rsidRDefault="00092171" w:rsidP="00092171">
      <w:pPr>
        <w:spacing w:before="120" w:after="120" w:line="360" w:lineRule="auto"/>
        <w:jc w:val="center"/>
        <w:rPr>
          <w:szCs w:val="24"/>
          <w:lang w:eastAsia="en-US"/>
        </w:rPr>
      </w:pPr>
      <w:r w:rsidRPr="00092171">
        <w:rPr>
          <w:szCs w:val="24"/>
          <w:lang w:eastAsia="en-US"/>
        </w:rPr>
        <w:lastRenderedPageBreak/>
        <w:t>Artykuł 55</w:t>
      </w:r>
      <w:r w:rsidRPr="00092171">
        <w:rPr>
          <w:szCs w:val="24"/>
          <w:lang w:eastAsia="en-US"/>
        </w:rPr>
        <w:br/>
        <w:t xml:space="preserve">Ocena i przegląd </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Do [</w:t>
      </w:r>
      <w:r w:rsidRPr="00092171">
        <w:rPr>
          <w:strike/>
          <w:szCs w:val="24"/>
          <w:lang w:eastAsia="en-US"/>
        </w:rPr>
        <w:t>Urząd Publikacji: proszę wstawić datę przypadającą pierwszego dnia</w:t>
      </w:r>
      <w:r w:rsidRPr="00092171">
        <w:rPr>
          <w:b/>
          <w:i/>
          <w:szCs w:val="24"/>
          <w:lang w:eastAsia="en-US"/>
        </w:rPr>
        <w:t>pierwszy dzień</w:t>
      </w:r>
      <w:r w:rsidRPr="00092171">
        <w:rPr>
          <w:szCs w:val="24"/>
          <w:lang w:eastAsia="en-US"/>
        </w:rPr>
        <w:t xml:space="preserve"> miesiąca następującego po upływie </w:t>
      </w:r>
      <w:r w:rsidRPr="00092171">
        <w:rPr>
          <w:strike/>
          <w:szCs w:val="24"/>
          <w:lang w:eastAsia="en-US"/>
        </w:rPr>
        <w:t>60</w:t>
      </w:r>
      <w:r w:rsidRPr="00092171">
        <w:rPr>
          <w:b/>
          <w:i/>
          <w:szCs w:val="24"/>
          <w:lang w:eastAsia="en-US"/>
        </w:rPr>
        <w:t>68</w:t>
      </w:r>
      <w:r w:rsidRPr="00092171">
        <w:rPr>
          <w:szCs w:val="24"/>
          <w:lang w:eastAsia="en-US"/>
        </w:rPr>
        <w:t xml:space="preserve"> miesięcy od dnia wejścia w życie niniejszego rozporządzenia] r., a następnie co 5 lat, Komisja dokonuje oceny wykonania niniejszego rozporządzenia. Komisja przedstawi Parlamentowi Europejskiemu i Radzie sprawozdanie dotyczące głównych ustaleń.</w:t>
      </w:r>
      <w:r w:rsidRPr="00092171">
        <w:rPr>
          <w:b/>
          <w:i/>
          <w:szCs w:val="24"/>
          <w:lang w:eastAsia="en-US"/>
        </w:rPr>
        <w:t xml:space="preserve"> W sprawozdaniu tym ocenia się:</w:t>
      </w:r>
    </w:p>
    <w:p w:rsidR="00092171" w:rsidRPr="00092171" w:rsidRDefault="00040518" w:rsidP="00092171">
      <w:pPr>
        <w:spacing w:before="120" w:after="120" w:line="360" w:lineRule="auto"/>
        <w:ind w:left="1416" w:hanging="566"/>
        <w:rPr>
          <w:szCs w:val="24"/>
          <w:lang w:eastAsia="en-US"/>
        </w:rPr>
      </w:pPr>
      <w:r>
        <w:rPr>
          <w:b/>
          <w:i/>
          <w:szCs w:val="24"/>
          <w:lang w:eastAsia="en-US"/>
        </w:rPr>
        <w:t>1</w:t>
      </w:r>
      <w:r w:rsidR="00092171" w:rsidRPr="00092171">
        <w:rPr>
          <w:b/>
          <w:i/>
          <w:szCs w:val="24"/>
          <w:lang w:eastAsia="en-US"/>
        </w:rPr>
        <w:t>)</w:t>
      </w:r>
      <w:r w:rsidR="00092171" w:rsidRPr="00092171">
        <w:rPr>
          <w:szCs w:val="24"/>
          <w:lang w:eastAsia="en-US"/>
        </w:rPr>
        <w:tab/>
      </w:r>
      <w:r w:rsidR="00092171" w:rsidRPr="00092171">
        <w:rPr>
          <w:b/>
          <w:i/>
          <w:szCs w:val="24"/>
          <w:lang w:eastAsia="en-US"/>
        </w:rPr>
        <w:t>czy niniejsze rozporządzenie, a w szczególności przepisy rozdziału IV, osiągnęły cel, jakim jest wysoki poziom ochrony zdrowia i bezpieczeństwa dzieci, oraz ocenia się możliwość włączenia zabawek adaptacyjnych do zakresu niniejszego rozporządzenia;</w:t>
      </w:r>
    </w:p>
    <w:p w:rsidR="00092171" w:rsidRPr="00092171" w:rsidRDefault="00040518" w:rsidP="00092171">
      <w:pPr>
        <w:spacing w:before="120" w:after="120" w:line="360" w:lineRule="auto"/>
        <w:ind w:left="1416" w:hanging="566"/>
        <w:rPr>
          <w:szCs w:val="24"/>
          <w:lang w:eastAsia="en-US"/>
        </w:rPr>
      </w:pPr>
      <w:r>
        <w:rPr>
          <w:b/>
          <w:i/>
          <w:szCs w:val="24"/>
          <w:lang w:eastAsia="en-US"/>
        </w:rPr>
        <w:t>2</w:t>
      </w:r>
      <w:r w:rsidR="00092171" w:rsidRPr="00092171">
        <w:rPr>
          <w:b/>
          <w:i/>
          <w:szCs w:val="24"/>
          <w:lang w:eastAsia="en-US"/>
        </w:rPr>
        <w:t>)</w:t>
      </w:r>
      <w:r w:rsidR="00092171" w:rsidRPr="00092171">
        <w:rPr>
          <w:szCs w:val="24"/>
          <w:lang w:eastAsia="en-US"/>
        </w:rPr>
        <w:tab/>
      </w:r>
      <w:r w:rsidR="00092171" w:rsidRPr="00092171">
        <w:rPr>
          <w:b/>
          <w:i/>
          <w:szCs w:val="24"/>
          <w:lang w:eastAsia="en-US"/>
        </w:rPr>
        <w:t>wpływ rozporządzenia na bezpieczeństwo użytkowników zabawek i prawidłowe funkcjonowanie rynku wewnętrznego, a także szczegółowe podsumowanie skutków dla przedsiębiorstw, w tym kosztów działalności i konkurencji, w szczególności dla MŚP;</w:t>
      </w:r>
    </w:p>
    <w:p w:rsidR="00040518" w:rsidRDefault="00040518">
      <w:pPr>
        <w:widowControl/>
        <w:rPr>
          <w:b/>
          <w:i/>
          <w:szCs w:val="24"/>
          <w:lang w:eastAsia="en-US"/>
        </w:rPr>
      </w:pPr>
      <w:r>
        <w:rPr>
          <w:b/>
          <w:i/>
          <w:szCs w:val="24"/>
          <w:lang w:eastAsia="en-US"/>
        </w:rPr>
        <w:br w:type="page"/>
      </w:r>
    </w:p>
    <w:p w:rsidR="00092171" w:rsidRPr="00040518" w:rsidRDefault="00040518" w:rsidP="00092171">
      <w:pPr>
        <w:spacing w:before="120" w:after="120" w:line="360" w:lineRule="auto"/>
        <w:ind w:left="1416" w:hanging="566"/>
        <w:rPr>
          <w:b/>
          <w:szCs w:val="24"/>
          <w:lang w:eastAsia="en-US"/>
        </w:rPr>
      </w:pPr>
      <w:r>
        <w:rPr>
          <w:b/>
          <w:i/>
          <w:szCs w:val="24"/>
          <w:lang w:eastAsia="en-US"/>
        </w:rPr>
        <w:lastRenderedPageBreak/>
        <w:t>3</w:t>
      </w:r>
      <w:r w:rsidR="00092171" w:rsidRPr="00092171">
        <w:rPr>
          <w:b/>
          <w:i/>
          <w:szCs w:val="24"/>
          <w:lang w:eastAsia="en-US"/>
        </w:rPr>
        <w:t>)</w:t>
      </w:r>
      <w:r w:rsidR="00092171" w:rsidRPr="00092171">
        <w:rPr>
          <w:szCs w:val="24"/>
          <w:lang w:eastAsia="en-US"/>
        </w:rPr>
        <w:tab/>
      </w:r>
      <w:r w:rsidR="00092171" w:rsidRPr="00092171">
        <w:rPr>
          <w:b/>
          <w:i/>
          <w:szCs w:val="24"/>
          <w:lang w:eastAsia="en-US"/>
        </w:rPr>
        <w:t>obecność chromu, kadmu, rtęci i ołowiu w zabawkach oraz ich wpływ na bezpieczeństwo użytkowników zabawek.</w:t>
      </w:r>
      <w:r>
        <w:rPr>
          <w:b/>
          <w:szCs w:val="24"/>
          <w:lang w:eastAsia="en-US"/>
        </w:rPr>
        <w:t xml:space="preserve"> [Popr. 199]</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Jeżeli Komisja uzna to za stosowne, do sprawozdania dołącza wniosek ustawodawczy dotyczący zmiany odpowiednich przepisów niniejszego rozporządzenia.</w:t>
      </w:r>
    </w:p>
    <w:p w:rsidR="00092171" w:rsidRPr="00092171" w:rsidRDefault="00092171" w:rsidP="00092171">
      <w:pPr>
        <w:spacing w:before="120" w:after="120" w:line="360" w:lineRule="auto"/>
        <w:jc w:val="center"/>
        <w:rPr>
          <w:szCs w:val="24"/>
          <w:lang w:eastAsia="en-US"/>
        </w:rPr>
      </w:pPr>
      <w:r w:rsidRPr="00092171">
        <w:rPr>
          <w:szCs w:val="24"/>
          <w:lang w:eastAsia="en-US"/>
        </w:rPr>
        <w:t>Artykuł 56</w:t>
      </w:r>
      <w:r w:rsidRPr="00092171">
        <w:rPr>
          <w:szCs w:val="24"/>
          <w:lang w:eastAsia="en-US"/>
        </w:rPr>
        <w:br/>
        <w:t>Wejście w życie i stosowanie</w:t>
      </w:r>
    </w:p>
    <w:p w:rsidR="00092171" w:rsidRPr="00092171" w:rsidRDefault="00092171" w:rsidP="00092171">
      <w:pPr>
        <w:spacing w:before="120" w:after="120" w:line="360" w:lineRule="auto"/>
        <w:rPr>
          <w:szCs w:val="24"/>
          <w:lang w:eastAsia="en-US"/>
        </w:rPr>
      </w:pPr>
      <w:r w:rsidRPr="00092171">
        <w:rPr>
          <w:szCs w:val="24"/>
          <w:lang w:eastAsia="en-US"/>
        </w:rPr>
        <w:t xml:space="preserve">Niniejsze rozporządzenie wchodzi w życie dwudziestego dnia po jego opublikowaniu w </w:t>
      </w:r>
      <w:r w:rsidR="00FD7FCD" w:rsidRPr="00FD7FCD">
        <w:rPr>
          <w:i/>
          <w:szCs w:val="24"/>
          <w:lang w:eastAsia="en-US"/>
        </w:rPr>
        <w:t>Dzienniku Urzędowym Unii Europejskiej</w:t>
      </w:r>
      <w:r w:rsidRPr="00092171">
        <w:rPr>
          <w:szCs w:val="24"/>
          <w:lang w:eastAsia="en-US"/>
        </w:rPr>
        <w:t>.</w:t>
      </w:r>
    </w:p>
    <w:p w:rsidR="00092171" w:rsidRPr="00092171" w:rsidRDefault="00092171" w:rsidP="00092171">
      <w:pPr>
        <w:spacing w:before="120" w:after="120" w:line="360" w:lineRule="auto"/>
        <w:rPr>
          <w:szCs w:val="24"/>
          <w:lang w:eastAsia="en-US"/>
        </w:rPr>
      </w:pPr>
      <w:r w:rsidRPr="00092171">
        <w:rPr>
          <w:szCs w:val="24"/>
          <w:lang w:eastAsia="en-US"/>
        </w:rPr>
        <w:t>Niniejsze rozporządzenie stosuje się od [Urząd Publikacji: proszę wstawić datę przypadającą pierwszego dnia miesiąca następującego po upływie 30 miesięcy od dnia wejścia w życie niniejszego rozporządzenia] r.</w:t>
      </w:r>
    </w:p>
    <w:p w:rsidR="00092171" w:rsidRPr="00040518" w:rsidRDefault="00092171" w:rsidP="00092171">
      <w:pPr>
        <w:spacing w:before="120" w:after="120" w:line="360" w:lineRule="auto"/>
        <w:rPr>
          <w:b/>
          <w:szCs w:val="24"/>
          <w:lang w:eastAsia="en-US"/>
        </w:rPr>
      </w:pPr>
      <w:r w:rsidRPr="00092171">
        <w:rPr>
          <w:b/>
          <w:i/>
          <w:szCs w:val="24"/>
          <w:lang w:eastAsia="en-US"/>
        </w:rPr>
        <w:t xml:space="preserve">Art. 2 ust. 3, </w:t>
      </w:r>
      <w:r w:rsidRPr="00092171">
        <w:rPr>
          <w:szCs w:val="24"/>
          <w:lang w:eastAsia="en-US"/>
        </w:rPr>
        <w:t>art. 17 ust. 10, art. 24–40 i 46–52 stosuje się jednak od [</w:t>
      </w:r>
      <w:r w:rsidRPr="00092171">
        <w:rPr>
          <w:strike/>
          <w:szCs w:val="24"/>
          <w:lang w:eastAsia="en-US"/>
        </w:rPr>
        <w:t>Urząd Publikacji: proszę wstawić datę</w:t>
      </w:r>
      <w:r w:rsidRPr="00092171">
        <w:rPr>
          <w:b/>
          <w:i/>
          <w:szCs w:val="24"/>
          <w:lang w:eastAsia="en-US"/>
        </w:rPr>
        <w:t>data</w:t>
      </w:r>
      <w:r w:rsidRPr="00092171">
        <w:rPr>
          <w:szCs w:val="24"/>
          <w:lang w:eastAsia="en-US"/>
        </w:rPr>
        <w:t xml:space="preserve"> wejścia w życie niniejszego rozporządzenia] r.</w:t>
      </w:r>
      <w:r w:rsidR="00040518">
        <w:rPr>
          <w:b/>
          <w:szCs w:val="24"/>
          <w:lang w:eastAsia="en-US"/>
        </w:rPr>
        <w:t xml:space="preserve"> [Popr. 200]</w:t>
      </w:r>
    </w:p>
    <w:p w:rsidR="00092171" w:rsidRPr="00092171" w:rsidRDefault="00092171" w:rsidP="00092171">
      <w:pPr>
        <w:spacing w:before="120" w:after="120" w:line="360" w:lineRule="auto"/>
        <w:rPr>
          <w:szCs w:val="24"/>
          <w:lang w:eastAsia="en-US"/>
        </w:rPr>
      </w:pPr>
      <w:r w:rsidRPr="00092171">
        <w:rPr>
          <w:szCs w:val="24"/>
          <w:lang w:eastAsia="en-US"/>
        </w:rPr>
        <w:t>Niniejsze rozporządzenie wiąże w całości i jest bezpośrednio stosowane we wszystkich państwach członkowskich.</w:t>
      </w:r>
    </w:p>
    <w:p w:rsidR="00092171" w:rsidRPr="00092171" w:rsidRDefault="00092171" w:rsidP="00092171">
      <w:pPr>
        <w:keepNext/>
        <w:widowControl/>
        <w:spacing w:before="120" w:line="360" w:lineRule="auto"/>
        <w:rPr>
          <w:szCs w:val="24"/>
          <w:lang w:eastAsia="en-US"/>
        </w:rPr>
      </w:pPr>
      <w:r w:rsidRPr="00092171">
        <w:rPr>
          <w:szCs w:val="24"/>
          <w:lang w:eastAsia="en-US"/>
        </w:rPr>
        <w:t xml:space="preserve">Sporządzono w </w:t>
      </w:r>
      <w:r w:rsidR="00FD7FCD">
        <w:rPr>
          <w:szCs w:val="24"/>
          <w:lang w:eastAsia="en-US"/>
        </w:rPr>
        <w:t>…</w:t>
      </w:r>
      <w:r w:rsidRPr="00092171">
        <w:rPr>
          <w:szCs w:val="24"/>
          <w:lang w:eastAsia="en-US"/>
        </w:rPr>
        <w:t xml:space="preserve"> dnia […] r.</w:t>
      </w:r>
    </w:p>
    <w:p w:rsidR="00092171" w:rsidRPr="00092171" w:rsidRDefault="00092171" w:rsidP="00092171">
      <w:pPr>
        <w:keepNext/>
        <w:widowControl/>
        <w:tabs>
          <w:tab w:val="left" w:pos="4252"/>
        </w:tabs>
        <w:spacing w:before="720" w:after="100" w:line="360" w:lineRule="auto"/>
        <w:jc w:val="both"/>
        <w:rPr>
          <w:i/>
          <w:szCs w:val="24"/>
          <w:lang w:eastAsia="en-US"/>
        </w:rPr>
      </w:pPr>
      <w:r w:rsidRPr="00092171">
        <w:rPr>
          <w:i/>
          <w:szCs w:val="24"/>
          <w:lang w:eastAsia="en-US"/>
        </w:rPr>
        <w:t>W imieniu Parlamentu Europejskiego</w:t>
      </w:r>
      <w:r w:rsidRPr="00092171">
        <w:rPr>
          <w:i/>
          <w:szCs w:val="24"/>
          <w:lang w:eastAsia="en-US"/>
        </w:rPr>
        <w:tab/>
        <w:t>W imieniu Rady</w:t>
      </w:r>
    </w:p>
    <w:p w:rsidR="00092171" w:rsidRPr="00092171" w:rsidRDefault="00092171" w:rsidP="00092171">
      <w:pPr>
        <w:widowControl/>
        <w:tabs>
          <w:tab w:val="left" w:pos="4252"/>
        </w:tabs>
        <w:spacing w:line="360" w:lineRule="auto"/>
        <w:rPr>
          <w:i/>
          <w:szCs w:val="24"/>
          <w:lang w:eastAsia="en-US"/>
        </w:rPr>
      </w:pPr>
      <w:r w:rsidRPr="00092171">
        <w:rPr>
          <w:i/>
          <w:szCs w:val="24"/>
          <w:lang w:eastAsia="en-US"/>
        </w:rPr>
        <w:t>Przewodnicząca</w:t>
      </w:r>
      <w:r w:rsidRPr="00092171">
        <w:rPr>
          <w:i/>
          <w:szCs w:val="24"/>
          <w:lang w:eastAsia="en-US"/>
        </w:rPr>
        <w:tab/>
        <w:t>Przewodniczący</w:t>
      </w:r>
    </w:p>
    <w:p w:rsidR="00092171" w:rsidRPr="00092171" w:rsidRDefault="00092171" w:rsidP="00092171">
      <w:pPr>
        <w:widowControl/>
        <w:spacing w:line="360" w:lineRule="auto"/>
        <w:rPr>
          <w:szCs w:val="24"/>
          <w:lang w:eastAsia="en-US"/>
        </w:rPr>
        <w:sectPr w:rsidR="00092171" w:rsidRPr="00092171">
          <w:footnotePr>
            <w:numRestart w:val="eachSect"/>
          </w:footnotePr>
          <w:pgSz w:w="11909" w:h="16834"/>
          <w:pgMar w:top="1134" w:right="1417" w:bottom="1417" w:left="1417" w:header="1134" w:footer="567" w:gutter="0"/>
          <w:cols w:space="720"/>
        </w:sectPr>
      </w:pPr>
    </w:p>
    <w:p w:rsidR="00092171" w:rsidRPr="00092171" w:rsidRDefault="00092171" w:rsidP="00092171">
      <w:pPr>
        <w:spacing w:before="120" w:after="120" w:line="360" w:lineRule="auto"/>
        <w:rPr>
          <w:szCs w:val="24"/>
          <w:lang w:eastAsia="en-US"/>
        </w:rPr>
      </w:pPr>
    </w:p>
    <w:p w:rsidR="00092171" w:rsidRPr="00092171" w:rsidRDefault="00092171" w:rsidP="00092171">
      <w:pPr>
        <w:spacing w:before="120" w:after="120" w:line="360" w:lineRule="auto"/>
        <w:jc w:val="center"/>
        <w:rPr>
          <w:lang w:eastAsia="en-US"/>
        </w:rPr>
      </w:pPr>
      <w:r w:rsidRPr="00092171">
        <w:rPr>
          <w:lang w:eastAsia="en-US"/>
        </w:rPr>
        <w:t>ZAŁĄCZNIK I</w:t>
      </w:r>
    </w:p>
    <w:p w:rsidR="00092171" w:rsidRPr="00092171" w:rsidRDefault="00092171" w:rsidP="00092171">
      <w:pPr>
        <w:spacing w:before="120" w:after="120" w:line="360" w:lineRule="auto"/>
        <w:rPr>
          <w:szCs w:val="24"/>
          <w:lang w:eastAsia="en-US"/>
        </w:rPr>
      </w:pPr>
      <w:r w:rsidRPr="00092171">
        <w:rPr>
          <w:szCs w:val="24"/>
          <w:lang w:eastAsia="en-US"/>
        </w:rPr>
        <w:t xml:space="preserve">PRODUKTY, DO KTÓRYCH NIE STOSUJE SIĘ NINIEJSZEGO ROZPORZĄDZENIA </w:t>
      </w:r>
    </w:p>
    <w:p w:rsidR="00092171" w:rsidRPr="00092171" w:rsidRDefault="00040518" w:rsidP="00040518">
      <w:pPr>
        <w:spacing w:before="120" w:after="120" w:line="360" w:lineRule="auto"/>
        <w:ind w:left="850" w:hanging="850"/>
        <w:rPr>
          <w:szCs w:val="24"/>
          <w:lang w:eastAsia="en-US"/>
        </w:rPr>
      </w:pPr>
      <w:r w:rsidRPr="00092171">
        <w:rPr>
          <w:szCs w:val="24"/>
          <w:lang w:eastAsia="en-US"/>
        </w:rPr>
        <w:t>Część I</w:t>
      </w:r>
      <w:r w:rsidRPr="0027555A">
        <w:rPr>
          <w:rFonts w:eastAsia="Calibri"/>
          <w:noProof/>
          <w:szCs w:val="24"/>
          <w:lang w:eastAsia="fr-BE"/>
        </w:rPr>
        <w:t xml:space="preserve"> </w:t>
      </w:r>
      <w:r w:rsidRPr="0027555A">
        <w:rPr>
          <w:noProof/>
          <w:szCs w:val="24"/>
          <w:lang w:eastAsia="fr-BE"/>
        </w:rPr>
        <w:t>–</w:t>
      </w:r>
      <w:r w:rsidRPr="0027555A">
        <w:rPr>
          <w:rFonts w:eastAsia="Calibri"/>
          <w:noProof/>
          <w:szCs w:val="24"/>
          <w:lang w:eastAsia="fr-BE"/>
        </w:rPr>
        <w:t xml:space="preserve"> </w:t>
      </w:r>
      <w:r w:rsidR="00092171" w:rsidRPr="00092171">
        <w:rPr>
          <w:szCs w:val="24"/>
          <w:lang w:eastAsia="en-US"/>
        </w:rPr>
        <w:t>Zabawki wyłączone z zakresu stosowania niniejszego rozporządzenia</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Sprzęt do publicznego użytku na placach zabaw</w:t>
      </w:r>
      <w:r w:rsidR="00040518">
        <w:rPr>
          <w:szCs w:val="24"/>
          <w:lang w:eastAsia="en-US"/>
        </w:rPr>
        <w:t>;</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Automatyczne urządzenia służące do zabawy, działające na monety lub nie, przeznaczone do publicznego użytku</w:t>
      </w:r>
      <w:r w:rsidR="00040518">
        <w:rPr>
          <w:szCs w:val="24"/>
          <w:lang w:eastAsia="en-US"/>
        </w:rPr>
        <w:t>;</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Pojazdy dla dzieci wyposażone w silniki spalinowe</w:t>
      </w:r>
      <w:r w:rsidR="00040518">
        <w:rPr>
          <w:szCs w:val="24"/>
          <w:lang w:eastAsia="en-US"/>
        </w:rPr>
        <w:t>;</w:t>
      </w:r>
    </w:p>
    <w:p w:rsidR="00040518" w:rsidRDefault="00092171" w:rsidP="00040518">
      <w:pPr>
        <w:spacing w:before="120" w:after="120" w:line="360" w:lineRule="auto"/>
        <w:ind w:left="850" w:hanging="850"/>
        <w:rPr>
          <w:szCs w:val="24"/>
          <w:lang w:eastAsia="en-US"/>
        </w:rPr>
      </w:pPr>
      <w:r w:rsidRPr="00092171">
        <w:rPr>
          <w:szCs w:val="24"/>
          <w:lang w:eastAsia="en-US"/>
        </w:rPr>
        <w:t>4.</w:t>
      </w:r>
      <w:r w:rsidRPr="00092171">
        <w:rPr>
          <w:szCs w:val="24"/>
          <w:lang w:eastAsia="en-US"/>
        </w:rPr>
        <w:tab/>
        <w:t>Zabawki z silnikami parowymi.</w:t>
      </w:r>
    </w:p>
    <w:p w:rsidR="00092171" w:rsidRPr="00092171" w:rsidRDefault="00040518" w:rsidP="00040518">
      <w:pPr>
        <w:spacing w:before="120" w:after="120" w:line="360" w:lineRule="auto"/>
        <w:ind w:left="850" w:hanging="850"/>
        <w:rPr>
          <w:szCs w:val="24"/>
          <w:lang w:eastAsia="en-US"/>
        </w:rPr>
      </w:pPr>
      <w:r>
        <w:rPr>
          <w:szCs w:val="24"/>
          <w:lang w:eastAsia="en-US"/>
        </w:rPr>
        <w:t>Część II</w:t>
      </w:r>
      <w:r w:rsidRPr="0027555A">
        <w:rPr>
          <w:rFonts w:eastAsia="Calibri"/>
          <w:noProof/>
          <w:szCs w:val="24"/>
          <w:lang w:eastAsia="fr-BE"/>
        </w:rPr>
        <w:t xml:space="preserve"> </w:t>
      </w:r>
      <w:r w:rsidRPr="0027555A">
        <w:rPr>
          <w:noProof/>
          <w:szCs w:val="24"/>
          <w:lang w:eastAsia="fr-BE"/>
        </w:rPr>
        <w:t>–</w:t>
      </w:r>
      <w:r w:rsidRPr="0027555A">
        <w:rPr>
          <w:rFonts w:eastAsia="Calibri"/>
          <w:noProof/>
          <w:szCs w:val="24"/>
          <w:lang w:eastAsia="fr-BE"/>
        </w:rPr>
        <w:t xml:space="preserve"> </w:t>
      </w:r>
      <w:r w:rsidR="00092171" w:rsidRPr="00092171">
        <w:rPr>
          <w:szCs w:val="24"/>
          <w:lang w:eastAsia="en-US"/>
        </w:rPr>
        <w:t xml:space="preserve">Produkty, których nie uważa się za zabawki w rozumieniu niniejszego rozporządzenia </w:t>
      </w:r>
    </w:p>
    <w:p w:rsidR="00092171" w:rsidRPr="00092171" w:rsidRDefault="00F2557C" w:rsidP="00092171">
      <w:pPr>
        <w:spacing w:before="120" w:after="120" w:line="360" w:lineRule="auto"/>
        <w:ind w:left="850" w:hanging="850"/>
        <w:rPr>
          <w:szCs w:val="24"/>
          <w:lang w:eastAsia="en-US"/>
        </w:rPr>
      </w:pPr>
      <w:r>
        <w:rPr>
          <w:szCs w:val="24"/>
          <w:lang w:eastAsia="en-US"/>
        </w:rPr>
        <w:t>1</w:t>
      </w:r>
      <w:r w:rsidR="00092171" w:rsidRPr="00092171">
        <w:rPr>
          <w:szCs w:val="24"/>
          <w:lang w:eastAsia="en-US"/>
        </w:rPr>
        <w:t>.</w:t>
      </w:r>
      <w:r w:rsidR="00092171" w:rsidRPr="00092171">
        <w:rPr>
          <w:szCs w:val="24"/>
          <w:lang w:eastAsia="en-US"/>
        </w:rPr>
        <w:tab/>
        <w:t>Dekoracje związane ze świętami i obchodami</w:t>
      </w:r>
      <w:r w:rsidR="00040518">
        <w:rPr>
          <w:szCs w:val="24"/>
          <w:lang w:eastAsia="en-US"/>
        </w:rPr>
        <w:t>;</w:t>
      </w:r>
    </w:p>
    <w:p w:rsidR="00092171" w:rsidRPr="00092171" w:rsidRDefault="00F2557C" w:rsidP="00092171">
      <w:pPr>
        <w:spacing w:before="120" w:after="120" w:line="360" w:lineRule="auto"/>
        <w:ind w:left="850" w:hanging="850"/>
        <w:rPr>
          <w:szCs w:val="24"/>
          <w:lang w:eastAsia="en-US"/>
        </w:rPr>
      </w:pPr>
      <w:r>
        <w:rPr>
          <w:szCs w:val="24"/>
          <w:lang w:eastAsia="en-US"/>
        </w:rPr>
        <w:t>2</w:t>
      </w:r>
      <w:r w:rsidR="00092171" w:rsidRPr="00092171">
        <w:rPr>
          <w:szCs w:val="24"/>
          <w:lang w:eastAsia="en-US"/>
        </w:rPr>
        <w:t>.</w:t>
      </w:r>
      <w:r w:rsidR="00092171" w:rsidRPr="00092171">
        <w:rPr>
          <w:szCs w:val="24"/>
          <w:lang w:eastAsia="en-US"/>
        </w:rPr>
        <w:tab/>
        <w:t>Produkty dla kolekcjonerów, pod warunkiem że na produkcie lub na jego opakowaniu znajduje się widoczna i czytelna informacja, że jest on przeznaczony dla kolekcjonerów w wieku co najmniej 14 lat Dotyczy to takich produktów jak:</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precyzyjne modele w zmniejszonej skali;</w:t>
      </w:r>
    </w:p>
    <w:p w:rsidR="00F2557C" w:rsidRDefault="00F2557C">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b)</w:t>
      </w:r>
      <w:r w:rsidRPr="00092171">
        <w:rPr>
          <w:szCs w:val="24"/>
          <w:lang w:eastAsia="en-US"/>
        </w:rPr>
        <w:tab/>
        <w:t>zestawy do montażu precyzyjnych modeli w zmniejszonej skali;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lalki ludowe i lalki dekoracyjne oraz inne podobne produkty;</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historyczne repliki zabawek; oraz</w:t>
      </w:r>
    </w:p>
    <w:p w:rsidR="00092171" w:rsidRPr="00092171" w:rsidRDefault="00092171" w:rsidP="00092171">
      <w:pPr>
        <w:spacing w:before="120" w:after="120" w:line="360" w:lineRule="auto"/>
        <w:ind w:left="1416" w:hanging="566"/>
        <w:rPr>
          <w:szCs w:val="24"/>
          <w:lang w:eastAsia="en-US"/>
        </w:rPr>
      </w:pPr>
      <w:r w:rsidRPr="00092171">
        <w:rPr>
          <w:szCs w:val="24"/>
          <w:lang w:eastAsia="en-US"/>
        </w:rPr>
        <w:t>e)</w:t>
      </w:r>
      <w:r w:rsidRPr="00092171">
        <w:rPr>
          <w:szCs w:val="24"/>
          <w:lang w:eastAsia="en-US"/>
        </w:rPr>
        <w:tab/>
        <w:t>wiern</w:t>
      </w:r>
      <w:r w:rsidR="00040518">
        <w:rPr>
          <w:szCs w:val="24"/>
          <w:lang w:eastAsia="en-US"/>
        </w:rPr>
        <w:t>e kopie prawdziwej broni palnej;</w:t>
      </w:r>
    </w:p>
    <w:p w:rsidR="00092171" w:rsidRPr="00040518" w:rsidRDefault="00F2557C" w:rsidP="00092171">
      <w:pPr>
        <w:spacing w:before="120" w:after="120" w:line="360" w:lineRule="auto"/>
        <w:ind w:left="850" w:hanging="850"/>
        <w:rPr>
          <w:b/>
          <w:szCs w:val="24"/>
          <w:lang w:eastAsia="en-US"/>
        </w:rPr>
      </w:pPr>
      <w:r>
        <w:rPr>
          <w:szCs w:val="24"/>
          <w:lang w:eastAsia="en-US"/>
        </w:rPr>
        <w:t>3</w:t>
      </w:r>
      <w:r w:rsidR="00092171" w:rsidRPr="00092171">
        <w:rPr>
          <w:szCs w:val="24"/>
          <w:lang w:eastAsia="en-US"/>
        </w:rPr>
        <w:t>.</w:t>
      </w:r>
      <w:r w:rsidR="00092171" w:rsidRPr="00092171">
        <w:rPr>
          <w:szCs w:val="24"/>
          <w:lang w:eastAsia="en-US"/>
        </w:rPr>
        <w:tab/>
        <w:t xml:space="preserve">Sprzęt sportowy, włącznie z wrotkami, łyżworolkami </w:t>
      </w:r>
      <w:r w:rsidR="00092171" w:rsidRPr="00092171">
        <w:rPr>
          <w:b/>
          <w:i/>
          <w:szCs w:val="24"/>
          <w:lang w:eastAsia="en-US"/>
        </w:rPr>
        <w:t>oraz innymi środkami transportu, takimi jak deskorolki i hulajnogi,</w:t>
      </w:r>
      <w:r w:rsidR="00092171" w:rsidRPr="00092171">
        <w:rPr>
          <w:strike/>
          <w:szCs w:val="24"/>
          <w:lang w:eastAsia="en-US"/>
        </w:rPr>
        <w:t>i deskorolkami</w:t>
      </w:r>
      <w:r w:rsidR="00092171" w:rsidRPr="00092171">
        <w:rPr>
          <w:szCs w:val="24"/>
          <w:lang w:eastAsia="en-US"/>
        </w:rPr>
        <w:t xml:space="preserve"> przeznaczonymi dla dzieci o masie ciała powyżej 20 kg</w:t>
      </w:r>
      <w:r w:rsidR="00040518">
        <w:rPr>
          <w:szCs w:val="24"/>
          <w:lang w:eastAsia="en-US"/>
        </w:rPr>
        <w:t>;</w:t>
      </w:r>
      <w:r w:rsidR="00040518">
        <w:rPr>
          <w:b/>
          <w:szCs w:val="24"/>
          <w:lang w:eastAsia="en-US"/>
        </w:rPr>
        <w:t xml:space="preserve"> [Popr. 201]</w:t>
      </w:r>
    </w:p>
    <w:p w:rsidR="00092171" w:rsidRPr="00092171" w:rsidRDefault="00F2557C" w:rsidP="00092171">
      <w:pPr>
        <w:spacing w:before="120" w:after="120" w:line="360" w:lineRule="auto"/>
        <w:ind w:left="850" w:hanging="850"/>
        <w:rPr>
          <w:szCs w:val="24"/>
          <w:lang w:eastAsia="en-US"/>
        </w:rPr>
      </w:pPr>
      <w:r>
        <w:rPr>
          <w:szCs w:val="24"/>
          <w:lang w:eastAsia="en-US"/>
        </w:rPr>
        <w:t>4</w:t>
      </w:r>
      <w:r w:rsidR="00092171" w:rsidRPr="00092171">
        <w:rPr>
          <w:szCs w:val="24"/>
          <w:lang w:eastAsia="en-US"/>
        </w:rPr>
        <w:t>.</w:t>
      </w:r>
      <w:r w:rsidR="00092171" w:rsidRPr="00092171">
        <w:rPr>
          <w:szCs w:val="24"/>
          <w:lang w:eastAsia="en-US"/>
        </w:rPr>
        <w:tab/>
        <w:t>Rowery o maksymalnej wysokości siodełka przekraczającej 435 mm, mierzonej jako pionowa odległość od podłoża do górnej powierzchni siodełka, przy siodełku w położeniu poziomym i wsporniku siodełka ustawionym na znaku minimalnego wsunięcia</w:t>
      </w:r>
      <w:r w:rsidR="00040518">
        <w:rPr>
          <w:szCs w:val="24"/>
          <w:lang w:eastAsia="en-US"/>
        </w:rPr>
        <w:t>;</w:t>
      </w:r>
    </w:p>
    <w:p w:rsidR="00092171" w:rsidRPr="00040518" w:rsidRDefault="00F2557C" w:rsidP="00092171">
      <w:pPr>
        <w:spacing w:before="120" w:after="120" w:line="360" w:lineRule="auto"/>
        <w:ind w:left="850" w:hanging="850"/>
        <w:rPr>
          <w:b/>
          <w:szCs w:val="24"/>
          <w:lang w:eastAsia="en-US"/>
        </w:rPr>
      </w:pPr>
      <w:r>
        <w:rPr>
          <w:strike/>
          <w:szCs w:val="24"/>
          <w:lang w:eastAsia="en-US"/>
        </w:rPr>
        <w:t>5</w:t>
      </w:r>
      <w:r w:rsidR="00092171" w:rsidRPr="00092171">
        <w:rPr>
          <w:strike/>
          <w:szCs w:val="24"/>
          <w:lang w:eastAsia="en-US"/>
        </w:rPr>
        <w:t>.</w:t>
      </w:r>
      <w:r w:rsidR="00092171" w:rsidRPr="00092171">
        <w:rPr>
          <w:szCs w:val="24"/>
          <w:lang w:eastAsia="en-US"/>
        </w:rPr>
        <w:tab/>
      </w:r>
      <w:r w:rsidR="00092171" w:rsidRPr="00092171">
        <w:rPr>
          <w:strike/>
          <w:szCs w:val="24"/>
          <w:lang w:eastAsia="en-US"/>
        </w:rPr>
        <w:t>Hulajnogi i inne środki transportu przeznaczone do użytku sportowego lub poruszania się po drogach lub ścieżkach publicznych</w:t>
      </w:r>
      <w:r w:rsidR="00040518">
        <w:rPr>
          <w:strike/>
          <w:szCs w:val="24"/>
          <w:lang w:eastAsia="en-US"/>
        </w:rPr>
        <w:t>;</w:t>
      </w:r>
      <w:r w:rsidR="00040518">
        <w:rPr>
          <w:b/>
          <w:szCs w:val="24"/>
          <w:lang w:eastAsia="en-US"/>
        </w:rPr>
        <w:t xml:space="preserve"> [Popr. 202]</w:t>
      </w:r>
    </w:p>
    <w:p w:rsidR="00092171" w:rsidRPr="00092171" w:rsidRDefault="00F2557C" w:rsidP="00092171">
      <w:pPr>
        <w:spacing w:before="120" w:after="120" w:line="360" w:lineRule="auto"/>
        <w:ind w:left="850" w:hanging="850"/>
        <w:rPr>
          <w:szCs w:val="24"/>
          <w:lang w:eastAsia="en-US"/>
        </w:rPr>
      </w:pPr>
      <w:r>
        <w:rPr>
          <w:szCs w:val="24"/>
          <w:lang w:eastAsia="en-US"/>
        </w:rPr>
        <w:t>6</w:t>
      </w:r>
      <w:r w:rsidR="00092171" w:rsidRPr="00092171">
        <w:rPr>
          <w:szCs w:val="24"/>
          <w:lang w:eastAsia="en-US"/>
        </w:rPr>
        <w:t>.</w:t>
      </w:r>
      <w:r w:rsidR="00092171" w:rsidRPr="00092171">
        <w:rPr>
          <w:szCs w:val="24"/>
          <w:lang w:eastAsia="en-US"/>
        </w:rPr>
        <w:tab/>
        <w:t>Pojazdy o napędzie elektrycznym, przeznaczone do poruszania się po drogach i ścieżkach publicznych lub chodnikach</w:t>
      </w:r>
      <w:r w:rsidR="00040518">
        <w:rPr>
          <w:szCs w:val="24"/>
          <w:lang w:eastAsia="en-US"/>
        </w:rPr>
        <w:t>;</w:t>
      </w:r>
    </w:p>
    <w:p w:rsidR="00F2557C" w:rsidRDefault="00F2557C">
      <w:pPr>
        <w:widowControl/>
        <w:rPr>
          <w:szCs w:val="24"/>
          <w:lang w:eastAsia="en-US"/>
        </w:rPr>
      </w:pPr>
      <w:r>
        <w:rPr>
          <w:szCs w:val="24"/>
          <w:lang w:eastAsia="en-US"/>
        </w:rPr>
        <w:br w:type="page"/>
      </w:r>
    </w:p>
    <w:p w:rsidR="00092171" w:rsidRPr="00092171" w:rsidRDefault="00F2557C" w:rsidP="00092171">
      <w:pPr>
        <w:spacing w:before="120" w:after="120" w:line="360" w:lineRule="auto"/>
        <w:ind w:left="850" w:hanging="850"/>
        <w:rPr>
          <w:szCs w:val="24"/>
          <w:lang w:eastAsia="en-US"/>
        </w:rPr>
      </w:pPr>
      <w:r>
        <w:rPr>
          <w:szCs w:val="24"/>
          <w:lang w:eastAsia="en-US"/>
        </w:rPr>
        <w:lastRenderedPageBreak/>
        <w:t>7</w:t>
      </w:r>
      <w:r w:rsidR="00092171" w:rsidRPr="00092171">
        <w:rPr>
          <w:szCs w:val="24"/>
          <w:lang w:eastAsia="en-US"/>
        </w:rPr>
        <w:t>.</w:t>
      </w:r>
      <w:r w:rsidR="00092171" w:rsidRPr="00092171">
        <w:rPr>
          <w:szCs w:val="24"/>
          <w:lang w:eastAsia="en-US"/>
        </w:rPr>
        <w:tab/>
        <w:t>Sprzęt do pływania i nurkowania przeznaczony do używania w głębokiej wodzie oraz przyrządy do nauki pływania dla dzieci, takie jak foteliki do pływania lub akcesoria do pływania</w:t>
      </w:r>
      <w:r w:rsidR="00040518">
        <w:rPr>
          <w:szCs w:val="24"/>
          <w:lang w:eastAsia="en-US"/>
        </w:rPr>
        <w:t>;</w:t>
      </w:r>
    </w:p>
    <w:p w:rsidR="00092171" w:rsidRPr="00092171" w:rsidRDefault="00F2557C" w:rsidP="00092171">
      <w:pPr>
        <w:spacing w:before="120" w:after="120" w:line="360" w:lineRule="auto"/>
        <w:ind w:left="850" w:hanging="850"/>
        <w:rPr>
          <w:szCs w:val="24"/>
          <w:lang w:eastAsia="en-US"/>
        </w:rPr>
      </w:pPr>
      <w:r>
        <w:rPr>
          <w:szCs w:val="24"/>
          <w:lang w:eastAsia="en-US"/>
        </w:rPr>
        <w:t>8</w:t>
      </w:r>
      <w:r w:rsidR="00092171" w:rsidRPr="00092171">
        <w:rPr>
          <w:szCs w:val="24"/>
          <w:lang w:eastAsia="en-US"/>
        </w:rPr>
        <w:t>.</w:t>
      </w:r>
      <w:r w:rsidR="00092171" w:rsidRPr="00092171">
        <w:rPr>
          <w:szCs w:val="24"/>
          <w:lang w:eastAsia="en-US"/>
        </w:rPr>
        <w:tab/>
        <w:t>Puzzle składające się z więcej niż 500 elementów</w:t>
      </w:r>
      <w:r w:rsidR="00040518">
        <w:rPr>
          <w:szCs w:val="24"/>
          <w:lang w:eastAsia="en-US"/>
        </w:rPr>
        <w:t>;</w:t>
      </w:r>
    </w:p>
    <w:p w:rsidR="00092171" w:rsidRPr="00092171" w:rsidRDefault="00F2557C" w:rsidP="00092171">
      <w:pPr>
        <w:spacing w:before="120" w:after="120" w:line="360" w:lineRule="auto"/>
        <w:ind w:left="850" w:hanging="850"/>
        <w:rPr>
          <w:szCs w:val="24"/>
          <w:lang w:eastAsia="en-US"/>
        </w:rPr>
      </w:pPr>
      <w:r>
        <w:rPr>
          <w:szCs w:val="24"/>
          <w:lang w:eastAsia="en-US"/>
        </w:rPr>
        <w:t>9</w:t>
      </w:r>
      <w:r w:rsidR="00092171" w:rsidRPr="00092171">
        <w:rPr>
          <w:szCs w:val="24"/>
          <w:lang w:eastAsia="en-US"/>
        </w:rPr>
        <w:t>.</w:t>
      </w:r>
      <w:r w:rsidR="00092171" w:rsidRPr="00092171">
        <w:rPr>
          <w:szCs w:val="24"/>
          <w:lang w:eastAsia="en-US"/>
        </w:rPr>
        <w:tab/>
        <w:t>Broń pneumatyczna i pistoleciki pneumatyczne, z wyjątkiem broni wodnej i pistolecików wodnych, oraz łuki strzeleckie o długości ponad 120 cm</w:t>
      </w:r>
      <w:r w:rsidR="00040518">
        <w:rPr>
          <w:szCs w:val="24"/>
          <w:lang w:eastAsia="en-US"/>
        </w:rPr>
        <w:t>;</w:t>
      </w:r>
    </w:p>
    <w:p w:rsidR="00092171" w:rsidRPr="00092171" w:rsidRDefault="00F2557C" w:rsidP="00092171">
      <w:pPr>
        <w:spacing w:before="120" w:after="120" w:line="360" w:lineRule="auto"/>
        <w:ind w:left="850" w:hanging="850"/>
        <w:rPr>
          <w:szCs w:val="24"/>
          <w:lang w:eastAsia="en-US"/>
        </w:rPr>
      </w:pPr>
      <w:r>
        <w:rPr>
          <w:szCs w:val="24"/>
          <w:lang w:eastAsia="en-US"/>
        </w:rPr>
        <w:t>10</w:t>
      </w:r>
      <w:r w:rsidR="00092171" w:rsidRPr="00092171">
        <w:rPr>
          <w:szCs w:val="24"/>
          <w:lang w:eastAsia="en-US"/>
        </w:rPr>
        <w:t>.</w:t>
      </w:r>
      <w:r w:rsidR="00092171" w:rsidRPr="00092171">
        <w:rPr>
          <w:szCs w:val="24"/>
          <w:lang w:eastAsia="en-US"/>
        </w:rPr>
        <w:tab/>
        <w:t>Sztuczne ognie, włącznie ze spłonkami, które nie są przeznaczone specjalnie dla zabawek</w:t>
      </w:r>
      <w:r w:rsidR="00040518">
        <w:rPr>
          <w:szCs w:val="24"/>
          <w:lang w:eastAsia="en-US"/>
        </w:rPr>
        <w:t>;</w:t>
      </w:r>
    </w:p>
    <w:p w:rsidR="00092171" w:rsidRPr="00092171" w:rsidRDefault="00F2557C" w:rsidP="00092171">
      <w:pPr>
        <w:spacing w:before="120" w:after="120" w:line="360" w:lineRule="auto"/>
        <w:ind w:left="850" w:hanging="850"/>
        <w:rPr>
          <w:szCs w:val="24"/>
          <w:lang w:eastAsia="en-US"/>
        </w:rPr>
      </w:pPr>
      <w:r>
        <w:rPr>
          <w:szCs w:val="24"/>
          <w:lang w:eastAsia="en-US"/>
        </w:rPr>
        <w:t>11</w:t>
      </w:r>
      <w:r w:rsidR="00092171" w:rsidRPr="00092171">
        <w:rPr>
          <w:szCs w:val="24"/>
          <w:lang w:eastAsia="en-US"/>
        </w:rPr>
        <w:t>.</w:t>
      </w:r>
      <w:r w:rsidR="00092171" w:rsidRPr="00092171">
        <w:rPr>
          <w:szCs w:val="24"/>
          <w:lang w:eastAsia="en-US"/>
        </w:rPr>
        <w:tab/>
        <w:t>Produkty i gry, w których używa się zaostrzonych pocisków, takie jak zestawy rzutek z metalowymi zakończeniami</w:t>
      </w:r>
      <w:r w:rsidR="00040518">
        <w:rPr>
          <w:szCs w:val="24"/>
          <w:lang w:eastAsia="en-US"/>
        </w:rPr>
        <w:t>;</w:t>
      </w:r>
    </w:p>
    <w:p w:rsidR="00092171" w:rsidRPr="00092171" w:rsidRDefault="00F2557C" w:rsidP="00092171">
      <w:pPr>
        <w:spacing w:before="120" w:after="120" w:line="360" w:lineRule="auto"/>
        <w:ind w:left="850" w:hanging="850"/>
        <w:rPr>
          <w:szCs w:val="24"/>
          <w:lang w:eastAsia="en-US"/>
        </w:rPr>
      </w:pPr>
      <w:r>
        <w:rPr>
          <w:szCs w:val="24"/>
          <w:lang w:eastAsia="en-US"/>
        </w:rPr>
        <w:t>12</w:t>
      </w:r>
      <w:r w:rsidR="00092171" w:rsidRPr="00092171">
        <w:rPr>
          <w:szCs w:val="24"/>
          <w:lang w:eastAsia="en-US"/>
        </w:rPr>
        <w:t>.</w:t>
      </w:r>
      <w:r w:rsidR="00092171" w:rsidRPr="00092171">
        <w:rPr>
          <w:szCs w:val="24"/>
          <w:lang w:eastAsia="en-US"/>
        </w:rPr>
        <w:tab/>
        <w:t>Funkcjonalne produkty edukacyjne, takie jak elektryczne piekarniki, żelazka lub inne produkty funkcjonalne, zasilane napięciem nominalnym przekraczającym 24 V, sprzedawane wyłącznie do celów edukacyjnych i przeznaczone do użytku pod nadzorem osoby dorosłej</w:t>
      </w:r>
      <w:r w:rsidR="00040518">
        <w:rPr>
          <w:szCs w:val="24"/>
          <w:lang w:eastAsia="en-US"/>
        </w:rPr>
        <w:t>;</w:t>
      </w:r>
    </w:p>
    <w:p w:rsidR="00092171" w:rsidRPr="00092171" w:rsidRDefault="00F2557C" w:rsidP="00092171">
      <w:pPr>
        <w:spacing w:before="120" w:after="120" w:line="360" w:lineRule="auto"/>
        <w:ind w:left="850" w:hanging="850"/>
        <w:rPr>
          <w:szCs w:val="24"/>
          <w:lang w:eastAsia="en-US"/>
        </w:rPr>
      </w:pPr>
      <w:r>
        <w:rPr>
          <w:szCs w:val="24"/>
          <w:lang w:eastAsia="en-US"/>
        </w:rPr>
        <w:t>13</w:t>
      </w:r>
      <w:r w:rsidR="00092171" w:rsidRPr="00092171">
        <w:rPr>
          <w:szCs w:val="24"/>
          <w:lang w:eastAsia="en-US"/>
        </w:rPr>
        <w:t>.</w:t>
      </w:r>
      <w:r w:rsidR="00092171" w:rsidRPr="00092171">
        <w:rPr>
          <w:szCs w:val="24"/>
          <w:lang w:eastAsia="en-US"/>
        </w:rPr>
        <w:tab/>
        <w:t>Produkty przeznaczone do użytku w celach edukacyjnych w szkołach lub innym kontekście oświatowym pod nadzorem dorosłego instruktora, takie jak sprzęt naukowy</w:t>
      </w:r>
      <w:r w:rsidR="00040518">
        <w:rPr>
          <w:szCs w:val="24"/>
          <w:lang w:eastAsia="en-US"/>
        </w:rPr>
        <w:t>;</w:t>
      </w:r>
    </w:p>
    <w:p w:rsidR="00F2557C" w:rsidRDefault="00F2557C">
      <w:pPr>
        <w:widowControl/>
        <w:rPr>
          <w:szCs w:val="24"/>
          <w:lang w:eastAsia="en-US"/>
        </w:rPr>
      </w:pPr>
      <w:r>
        <w:rPr>
          <w:szCs w:val="24"/>
          <w:lang w:eastAsia="en-US"/>
        </w:rPr>
        <w:br w:type="page"/>
      </w:r>
    </w:p>
    <w:p w:rsidR="00092171" w:rsidRPr="00040518" w:rsidRDefault="00040518" w:rsidP="00092171">
      <w:pPr>
        <w:spacing w:before="120" w:after="120" w:line="360" w:lineRule="auto"/>
        <w:ind w:left="850" w:hanging="850"/>
        <w:rPr>
          <w:b/>
          <w:szCs w:val="24"/>
          <w:lang w:eastAsia="en-US"/>
        </w:rPr>
      </w:pPr>
      <w:r>
        <w:rPr>
          <w:szCs w:val="24"/>
          <w:lang w:eastAsia="en-US"/>
        </w:rPr>
        <w:lastRenderedPageBreak/>
        <w:t>14</w:t>
      </w:r>
      <w:r w:rsidR="00092171" w:rsidRPr="00092171">
        <w:rPr>
          <w:szCs w:val="24"/>
          <w:lang w:eastAsia="en-US"/>
        </w:rPr>
        <w:t>.</w:t>
      </w:r>
      <w:r w:rsidR="00092171" w:rsidRPr="00092171">
        <w:rPr>
          <w:szCs w:val="24"/>
          <w:lang w:eastAsia="en-US"/>
        </w:rPr>
        <w:tab/>
        <w:t>Sprzęt elektroniczny, taki jak komputery osobiste oraz konsole do gier wykorzystujące interaktywne oprogramowanie i związane z nimi urządzenia peryferyjne</w:t>
      </w:r>
      <w:r w:rsidR="00092171" w:rsidRPr="00092171">
        <w:rPr>
          <w:b/>
          <w:i/>
          <w:szCs w:val="24"/>
          <w:lang w:eastAsia="en-US"/>
        </w:rPr>
        <w:t xml:space="preserve"> lub części składowe</w:t>
      </w:r>
      <w:r w:rsidR="00092171" w:rsidRPr="00092171">
        <w:rPr>
          <w:szCs w:val="24"/>
          <w:lang w:eastAsia="en-US"/>
        </w:rPr>
        <w:t>, o ile ten sprzęt elektroniczny lub związane z nimi urządzenia peryferyjne</w:t>
      </w:r>
      <w:r w:rsidR="00092171" w:rsidRPr="00092171">
        <w:rPr>
          <w:b/>
          <w:i/>
          <w:szCs w:val="24"/>
          <w:lang w:eastAsia="en-US"/>
        </w:rPr>
        <w:t xml:space="preserve"> lub części składowe</w:t>
      </w:r>
      <w:r w:rsidR="00092171" w:rsidRPr="00092171">
        <w:rPr>
          <w:szCs w:val="24"/>
          <w:lang w:eastAsia="en-US"/>
        </w:rPr>
        <w:t xml:space="preserve"> nie są specjalnie zaprojektowane i przeznaczone dla dzieci i same w sobie nie mają wartości zabawowej, takie jak specjalnie zaprojektowane komputery osobiste, klawiatury, dżojstiki lub kierownice</w:t>
      </w:r>
      <w:r>
        <w:rPr>
          <w:szCs w:val="24"/>
          <w:lang w:eastAsia="en-US"/>
        </w:rPr>
        <w:t>;</w:t>
      </w:r>
      <w:r>
        <w:rPr>
          <w:b/>
          <w:szCs w:val="24"/>
          <w:lang w:eastAsia="en-US"/>
        </w:rPr>
        <w:t xml:space="preserve"> [Popr. 203]</w:t>
      </w:r>
    </w:p>
    <w:p w:rsidR="00092171" w:rsidRPr="00092171" w:rsidRDefault="00040518" w:rsidP="00092171">
      <w:pPr>
        <w:spacing w:before="120" w:after="120" w:line="360" w:lineRule="auto"/>
        <w:ind w:left="850" w:hanging="850"/>
        <w:rPr>
          <w:szCs w:val="24"/>
          <w:lang w:eastAsia="en-US"/>
        </w:rPr>
      </w:pPr>
      <w:r>
        <w:rPr>
          <w:szCs w:val="24"/>
          <w:lang w:eastAsia="en-US"/>
        </w:rPr>
        <w:t>15</w:t>
      </w:r>
      <w:r w:rsidR="00092171" w:rsidRPr="00092171">
        <w:rPr>
          <w:szCs w:val="24"/>
          <w:lang w:eastAsia="en-US"/>
        </w:rPr>
        <w:t>.</w:t>
      </w:r>
      <w:r w:rsidR="00092171" w:rsidRPr="00092171">
        <w:rPr>
          <w:szCs w:val="24"/>
          <w:lang w:eastAsia="en-US"/>
        </w:rPr>
        <w:tab/>
        <w:t>Oprogramowanie interaktywne, przeznaczone do użytku w wolnym czasie oraz rozrywki, takie jak gry komputerowe i ich nośniki</w:t>
      </w:r>
    </w:p>
    <w:p w:rsidR="00092171" w:rsidRPr="00092171" w:rsidRDefault="00040518" w:rsidP="00092171">
      <w:pPr>
        <w:spacing w:before="120" w:after="120" w:line="360" w:lineRule="auto"/>
        <w:ind w:left="850" w:hanging="850"/>
        <w:rPr>
          <w:szCs w:val="24"/>
          <w:lang w:eastAsia="en-US"/>
        </w:rPr>
      </w:pPr>
      <w:r>
        <w:rPr>
          <w:szCs w:val="24"/>
          <w:lang w:eastAsia="en-US"/>
        </w:rPr>
        <w:t>16</w:t>
      </w:r>
      <w:r w:rsidR="00092171" w:rsidRPr="00092171">
        <w:rPr>
          <w:szCs w:val="24"/>
          <w:lang w:eastAsia="en-US"/>
        </w:rPr>
        <w:t>.</w:t>
      </w:r>
      <w:r w:rsidR="00092171" w:rsidRPr="00092171">
        <w:rPr>
          <w:szCs w:val="24"/>
          <w:lang w:eastAsia="en-US"/>
        </w:rPr>
        <w:tab/>
        <w:t>Smoczki</w:t>
      </w:r>
    </w:p>
    <w:p w:rsidR="00092171" w:rsidRPr="00092171" w:rsidRDefault="00040518" w:rsidP="00092171">
      <w:pPr>
        <w:spacing w:before="120" w:after="120" w:line="360" w:lineRule="auto"/>
        <w:ind w:left="850" w:hanging="850"/>
        <w:rPr>
          <w:szCs w:val="24"/>
          <w:lang w:eastAsia="en-US"/>
        </w:rPr>
      </w:pPr>
      <w:r>
        <w:rPr>
          <w:szCs w:val="24"/>
          <w:lang w:eastAsia="en-US"/>
        </w:rPr>
        <w:t>17</w:t>
      </w:r>
      <w:r w:rsidR="00092171" w:rsidRPr="00092171">
        <w:rPr>
          <w:szCs w:val="24"/>
          <w:lang w:eastAsia="en-US"/>
        </w:rPr>
        <w:t>.</w:t>
      </w:r>
      <w:r w:rsidR="00092171" w:rsidRPr="00092171">
        <w:rPr>
          <w:szCs w:val="24"/>
          <w:lang w:eastAsia="en-US"/>
        </w:rPr>
        <w:tab/>
        <w:t>Oświetlenie przeznaczone dla dzieci</w:t>
      </w:r>
    </w:p>
    <w:p w:rsidR="00092171" w:rsidRPr="00092171" w:rsidRDefault="00040518" w:rsidP="00092171">
      <w:pPr>
        <w:spacing w:before="120" w:after="120" w:line="360" w:lineRule="auto"/>
        <w:ind w:left="850" w:hanging="850"/>
        <w:rPr>
          <w:szCs w:val="24"/>
          <w:lang w:eastAsia="en-US"/>
        </w:rPr>
      </w:pPr>
      <w:r>
        <w:rPr>
          <w:szCs w:val="24"/>
          <w:lang w:eastAsia="en-US"/>
        </w:rPr>
        <w:t>18</w:t>
      </w:r>
      <w:r w:rsidR="00092171" w:rsidRPr="00092171">
        <w:rPr>
          <w:szCs w:val="24"/>
          <w:lang w:eastAsia="en-US"/>
        </w:rPr>
        <w:t>.</w:t>
      </w:r>
      <w:r w:rsidR="00092171" w:rsidRPr="00092171">
        <w:rPr>
          <w:szCs w:val="24"/>
          <w:lang w:eastAsia="en-US"/>
        </w:rPr>
        <w:tab/>
        <w:t>Transformatory elektryczne do zabawek</w:t>
      </w:r>
    </w:p>
    <w:p w:rsidR="00092171" w:rsidRPr="00092171" w:rsidRDefault="00040518" w:rsidP="00092171">
      <w:pPr>
        <w:spacing w:before="120" w:after="120" w:line="360" w:lineRule="auto"/>
        <w:ind w:left="850" w:hanging="850"/>
        <w:rPr>
          <w:szCs w:val="24"/>
          <w:lang w:eastAsia="en-US"/>
        </w:rPr>
      </w:pPr>
      <w:r>
        <w:rPr>
          <w:szCs w:val="24"/>
          <w:lang w:eastAsia="en-US"/>
        </w:rPr>
        <w:t>19</w:t>
      </w:r>
      <w:r w:rsidR="00092171" w:rsidRPr="00092171">
        <w:rPr>
          <w:szCs w:val="24"/>
          <w:lang w:eastAsia="en-US"/>
        </w:rPr>
        <w:t>.</w:t>
      </w:r>
      <w:r w:rsidR="00092171" w:rsidRPr="00092171">
        <w:rPr>
          <w:szCs w:val="24"/>
          <w:lang w:eastAsia="en-US"/>
        </w:rPr>
        <w:tab/>
        <w:t>Dodatki do ubrań dla dzieci, które nie są przeznaczone do zabawy.</w:t>
      </w:r>
    </w:p>
    <w:p w:rsidR="00092171" w:rsidRPr="00040518" w:rsidRDefault="00040518" w:rsidP="00040518">
      <w:pPr>
        <w:spacing w:before="120" w:after="120" w:line="360" w:lineRule="auto"/>
        <w:ind w:left="850" w:hanging="850"/>
        <w:rPr>
          <w:b/>
          <w:szCs w:val="24"/>
          <w:lang w:eastAsia="en-US"/>
        </w:rPr>
        <w:sectPr w:rsidR="00092171" w:rsidRPr="00040518">
          <w:footnotePr>
            <w:numRestart w:val="eachSect"/>
          </w:footnotePr>
          <w:pgSz w:w="11909" w:h="16834"/>
          <w:pgMar w:top="1134" w:right="1417" w:bottom="1417" w:left="1417" w:header="1134" w:footer="567" w:gutter="0"/>
          <w:cols w:space="720"/>
        </w:sectPr>
      </w:pPr>
      <w:r>
        <w:rPr>
          <w:b/>
          <w:i/>
          <w:szCs w:val="24"/>
          <w:lang w:eastAsia="en-US"/>
        </w:rPr>
        <w:t>19</w:t>
      </w:r>
      <w:r w:rsidR="00092171" w:rsidRPr="00092171">
        <w:rPr>
          <w:b/>
          <w:i/>
          <w:szCs w:val="24"/>
          <w:lang w:eastAsia="en-US"/>
        </w:rPr>
        <w:t>a.</w:t>
      </w:r>
      <w:r w:rsidR="00092171" w:rsidRPr="00092171">
        <w:rPr>
          <w:szCs w:val="24"/>
          <w:lang w:eastAsia="en-US"/>
        </w:rPr>
        <w:tab/>
      </w:r>
      <w:r w:rsidR="00092171" w:rsidRPr="00092171">
        <w:rPr>
          <w:b/>
          <w:i/>
          <w:szCs w:val="24"/>
          <w:lang w:eastAsia="en-US"/>
        </w:rPr>
        <w:t>Książki przeznaczone dla dzieci w wieku powyżej 36 miesięcy, wykonane w całości z papieru lub tektury, bez dodatkowych materiałów ani części składowych.</w:t>
      </w:r>
      <w:r>
        <w:rPr>
          <w:b/>
          <w:szCs w:val="24"/>
          <w:lang w:eastAsia="en-US"/>
        </w:rPr>
        <w:t xml:space="preserve"> [Popr. 204]</w:t>
      </w:r>
    </w:p>
    <w:p w:rsidR="00092171" w:rsidRPr="00092171" w:rsidRDefault="00092171" w:rsidP="00092171">
      <w:pPr>
        <w:spacing w:before="120" w:after="120" w:line="360" w:lineRule="auto"/>
        <w:rPr>
          <w:szCs w:val="24"/>
          <w:lang w:eastAsia="en-US"/>
        </w:rPr>
      </w:pPr>
    </w:p>
    <w:p w:rsidR="00092171" w:rsidRPr="00092171" w:rsidRDefault="00092171" w:rsidP="00092171">
      <w:pPr>
        <w:spacing w:before="120" w:after="120" w:line="360" w:lineRule="auto"/>
        <w:jc w:val="center"/>
        <w:rPr>
          <w:lang w:eastAsia="en-US"/>
        </w:rPr>
      </w:pPr>
      <w:r w:rsidRPr="00092171">
        <w:rPr>
          <w:lang w:eastAsia="en-US"/>
        </w:rPr>
        <w:t>ZAŁĄCZNIK II</w:t>
      </w:r>
    </w:p>
    <w:p w:rsidR="00092171" w:rsidRPr="00092171" w:rsidRDefault="00092171" w:rsidP="00092171">
      <w:pPr>
        <w:spacing w:before="120" w:after="120" w:line="360" w:lineRule="auto"/>
        <w:rPr>
          <w:szCs w:val="24"/>
          <w:lang w:eastAsia="en-US"/>
        </w:rPr>
      </w:pPr>
      <w:r w:rsidRPr="00092171">
        <w:rPr>
          <w:szCs w:val="24"/>
          <w:lang w:eastAsia="en-US"/>
        </w:rPr>
        <w:t>SZCZEGÓŁOWE WYMAGANIA BEZPIECZEŃSTWA</w:t>
      </w:r>
    </w:p>
    <w:p w:rsidR="00092171" w:rsidRPr="00092171" w:rsidRDefault="00040518" w:rsidP="00040518">
      <w:pPr>
        <w:spacing w:before="120" w:after="120" w:line="360" w:lineRule="auto"/>
        <w:rPr>
          <w:szCs w:val="24"/>
          <w:lang w:eastAsia="en-US"/>
        </w:rPr>
      </w:pPr>
      <w:r w:rsidRPr="00092171">
        <w:rPr>
          <w:szCs w:val="24"/>
          <w:lang w:eastAsia="en-US"/>
        </w:rPr>
        <w:t>Część I</w:t>
      </w:r>
      <w:r w:rsidRPr="0027555A">
        <w:rPr>
          <w:rFonts w:eastAsia="Calibri"/>
          <w:noProof/>
          <w:szCs w:val="24"/>
          <w:lang w:eastAsia="fr-BE"/>
        </w:rPr>
        <w:t xml:space="preserve"> </w:t>
      </w:r>
      <w:r w:rsidRPr="0027555A">
        <w:rPr>
          <w:noProof/>
          <w:szCs w:val="24"/>
          <w:lang w:eastAsia="fr-BE"/>
        </w:rPr>
        <w:t>–</w:t>
      </w:r>
      <w:r w:rsidRPr="0027555A">
        <w:rPr>
          <w:rFonts w:eastAsia="Calibri"/>
          <w:noProof/>
          <w:szCs w:val="24"/>
          <w:lang w:eastAsia="fr-BE"/>
        </w:rPr>
        <w:t xml:space="preserve"> </w:t>
      </w:r>
      <w:r w:rsidR="00092171" w:rsidRPr="00092171">
        <w:rPr>
          <w:szCs w:val="24"/>
          <w:lang w:eastAsia="en-US"/>
        </w:rPr>
        <w:t xml:space="preserve">Właściwości fizyczne i mechaniczne </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Zabawki i ich części oraz, w przypadku zabawek mocowanych, ich umocowanie, mają wymaganą wytrzymałość mechaniczną oraz, w stosownych przypadkach, taką stabilność, która pozwala na to, aby przy obciążeniach, jakim są poddawane podczas używania, nie powstały uszkodzenia lub odkształcenia, które mogłyby spowodować ryzyko obrażeń fizycznych.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Dostępne krawędzie, części wystające, przewody, kable i umocowania na zabawkach projektuje się i wytwarza w taki sposób, aby ryzyko zranienia z powodu kontaktu z nimi było jak najmniejsze.</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Zabawki projektuje się i wytwarza w taki sposób, aby nie stwarzały żadnego ryzyka dla zdrowia i bezpieczeństwa lub stwarzały tylko minimalne ryzyko związane z używaniem zabawki, które mogłoby być spowodowane ruchem ich części.</w:t>
      </w:r>
    </w:p>
    <w:p w:rsidR="00040518" w:rsidRDefault="00040518">
      <w:pPr>
        <w:widowControl/>
        <w:rPr>
          <w:szCs w:val="24"/>
          <w:lang w:eastAsia="en-US"/>
        </w:rPr>
      </w:pPr>
      <w:r>
        <w:rPr>
          <w:szCs w:val="24"/>
          <w:lang w:eastAsia="en-US"/>
        </w:rPr>
        <w:br w:type="page"/>
      </w:r>
    </w:p>
    <w:p w:rsidR="00092171" w:rsidRPr="00092171" w:rsidRDefault="00040518" w:rsidP="00040518">
      <w:pPr>
        <w:spacing w:before="120" w:after="120" w:line="360" w:lineRule="auto"/>
        <w:ind w:left="851" w:hanging="851"/>
        <w:rPr>
          <w:szCs w:val="24"/>
          <w:lang w:eastAsia="en-US"/>
        </w:rPr>
      </w:pPr>
      <w:r>
        <w:rPr>
          <w:szCs w:val="24"/>
          <w:lang w:eastAsia="en-US"/>
        </w:rPr>
        <w:lastRenderedPageBreak/>
        <w:t>4.</w:t>
      </w:r>
      <w:r>
        <w:rPr>
          <w:szCs w:val="24"/>
          <w:lang w:eastAsia="en-US"/>
        </w:rPr>
        <w:tab/>
      </w:r>
      <w:r w:rsidR="00092171" w:rsidRPr="00092171">
        <w:rPr>
          <w:szCs w:val="24"/>
          <w:lang w:eastAsia="en-US"/>
        </w:rPr>
        <w:t>a)</w:t>
      </w:r>
      <w:r w:rsidR="00092171" w:rsidRPr="00092171">
        <w:rPr>
          <w:szCs w:val="24"/>
          <w:lang w:eastAsia="en-US"/>
        </w:rPr>
        <w:tab/>
        <w:t>Zabawki i ich części nie mogą stwarzać ryzyka uduszenia.</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Zabawki i ich części nie mogą stwarzać ryzyka uduszenia poprzez odcięcie dopływu powietrza w wyniku zewnętrznego zatkania dróg oddechowych przez usta i nos.</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Zabawki i ich części mają takie wymiary, aby nie stwarzać ryzyka uduszenia przez odcięcie dopływu powietrza w wyniku wewnętrznego zatkania przez przedmioty zaklinowane w ustach lub gardle albo przedmioty, które utkwiły przy wejściu do dolnych dróg oddechowych.</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Zabawki, które są specjalnie przeznaczone dla dzieci w wieku poniżej 36 miesięcy, i ich części składowe oraz wszelkie dające się odłączyć elementy tych zabawek mają wymiary uniemożliwiające ich połknięcie lub przedostanie się do dróg oddechowych. Dotyczy to także innych zabawek, które są przeznaczone do wkładania do ust oraz ich części składowych oraz wszelkich dających się odłączyć elementów tych zabawek.</w:t>
      </w:r>
    </w:p>
    <w:p w:rsidR="00092171" w:rsidRPr="00092171" w:rsidRDefault="00092171" w:rsidP="00092171">
      <w:pPr>
        <w:spacing w:before="120" w:after="120" w:line="360" w:lineRule="auto"/>
        <w:ind w:left="1416" w:hanging="566"/>
        <w:rPr>
          <w:szCs w:val="24"/>
          <w:lang w:eastAsia="en-US"/>
        </w:rPr>
      </w:pPr>
      <w:r w:rsidRPr="00092171">
        <w:rPr>
          <w:szCs w:val="24"/>
          <w:lang w:eastAsia="en-US"/>
        </w:rPr>
        <w:t>e)</w:t>
      </w:r>
      <w:r w:rsidRPr="00092171">
        <w:rPr>
          <w:szCs w:val="24"/>
          <w:lang w:eastAsia="en-US"/>
        </w:rPr>
        <w:tab/>
        <w:t>Opakowania, w których znajdują się zabawki przy sprzedaży detalicznej, nie mogą stwarzać ryzyka odcięcia dopływu powietrza ani uduszenia (asfiksji) poprzez zewnętrzne zatkanie dróg oddechowych przez usta i nos.</w:t>
      </w:r>
    </w:p>
    <w:p w:rsidR="00040518" w:rsidRDefault="00040518">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f)</w:t>
      </w:r>
      <w:r w:rsidRPr="00092171">
        <w:rPr>
          <w:szCs w:val="24"/>
          <w:lang w:eastAsia="en-US"/>
        </w:rPr>
        <w:tab/>
        <w:t>Zabawki znajdujące się w żywności lub wmieszane w żywność mają własne opakowanie. Opakowanie to, w dostarczonej postaci, ma takie wymiary, aby uniknąć ryzyka połknięcia lub przedostania się do dróg oddechowych.</w:t>
      </w:r>
    </w:p>
    <w:p w:rsidR="00092171" w:rsidRPr="00092171" w:rsidRDefault="00092171" w:rsidP="00092171">
      <w:pPr>
        <w:spacing w:before="120" w:after="120" w:line="360" w:lineRule="auto"/>
        <w:ind w:left="1416" w:hanging="566"/>
        <w:rPr>
          <w:szCs w:val="24"/>
          <w:lang w:eastAsia="en-US"/>
        </w:rPr>
      </w:pPr>
      <w:r w:rsidRPr="00092171">
        <w:rPr>
          <w:szCs w:val="24"/>
          <w:lang w:eastAsia="en-US"/>
        </w:rPr>
        <w:t>g)</w:t>
      </w:r>
      <w:r w:rsidRPr="00092171">
        <w:rPr>
          <w:szCs w:val="24"/>
          <w:lang w:eastAsia="en-US"/>
        </w:rPr>
        <w:tab/>
        <w:t>Opakowania zabawek, o których mowa w lit. e) i f), o kształcie kulistym, jajowatym lub elipsoidalnym, oraz wszelkie elementy dające się odłączyć od nich lub od cylindrycznych opakowań zabawek o zaokrąglonych brzegach mają wymiary, które nie powodują wewnętrznego zatkania dróg oddechowych wskutek ich zaklinowania w ustach czy gardle lub utkwienia przy wejściu do dolnych dróg oddechowych.</w:t>
      </w:r>
    </w:p>
    <w:p w:rsidR="00092171" w:rsidRPr="00092171" w:rsidRDefault="00092171" w:rsidP="00092171">
      <w:pPr>
        <w:spacing w:before="120" w:after="120" w:line="360" w:lineRule="auto"/>
        <w:ind w:left="1416" w:hanging="566"/>
        <w:rPr>
          <w:szCs w:val="24"/>
          <w:lang w:eastAsia="en-US"/>
        </w:rPr>
      </w:pPr>
      <w:r w:rsidRPr="00092171">
        <w:rPr>
          <w:szCs w:val="24"/>
          <w:lang w:eastAsia="en-US"/>
        </w:rPr>
        <w:t>h)</w:t>
      </w:r>
      <w:r w:rsidRPr="00092171">
        <w:rPr>
          <w:szCs w:val="24"/>
          <w:lang w:eastAsia="en-US"/>
        </w:rPr>
        <w:tab/>
        <w:t>Zabawki solidnie połączone z produktem żywnościowym w chwili spożycia, w taki sposób, że należy spożyć produkt żywnościowy, aby uzyskać bezpośredni dostęp do zabawki, są zakazane. Części zabawek połączone bezpośrednio z produktem żywnościowym w inny sposób spełniają wymagania określone w lit. c) i d).</w:t>
      </w:r>
    </w:p>
    <w:p w:rsidR="00092171" w:rsidRPr="00092171" w:rsidRDefault="00040518" w:rsidP="00092171">
      <w:pPr>
        <w:spacing w:before="120" w:after="120" w:line="360" w:lineRule="auto"/>
        <w:ind w:left="850" w:hanging="850"/>
        <w:rPr>
          <w:szCs w:val="24"/>
          <w:lang w:eastAsia="en-US"/>
        </w:rPr>
      </w:pPr>
      <w:r>
        <w:rPr>
          <w:szCs w:val="24"/>
          <w:lang w:eastAsia="en-US"/>
        </w:rPr>
        <w:t>5</w:t>
      </w:r>
      <w:r w:rsidR="00092171" w:rsidRPr="00092171">
        <w:rPr>
          <w:szCs w:val="24"/>
          <w:lang w:eastAsia="en-US"/>
        </w:rPr>
        <w:t>.</w:t>
      </w:r>
      <w:r w:rsidR="00092171" w:rsidRPr="00092171">
        <w:rPr>
          <w:szCs w:val="24"/>
          <w:lang w:eastAsia="en-US"/>
        </w:rPr>
        <w:tab/>
        <w:t>Zabawki do zabawy w wodzie projektuje się i wytwarza w taki sposób, aby zmniejszyć – w miarę możliwości, biorąc pod uwagę zalecany sposób użycia zabawki – jakiekolwiek ryzyko utraty zdolności zabawki do unoszenia się na powierzchni wody oraz utraty zdolności utrzymywania dziecka.</w:t>
      </w:r>
    </w:p>
    <w:p w:rsidR="00040518" w:rsidRDefault="00040518">
      <w:pPr>
        <w:widowControl/>
        <w:rPr>
          <w:szCs w:val="24"/>
          <w:lang w:eastAsia="en-US"/>
        </w:rPr>
      </w:pPr>
      <w:r>
        <w:rPr>
          <w:szCs w:val="24"/>
          <w:lang w:eastAsia="en-US"/>
        </w:rPr>
        <w:br w:type="page"/>
      </w:r>
    </w:p>
    <w:p w:rsidR="00092171" w:rsidRPr="00092171" w:rsidRDefault="00040518" w:rsidP="00092171">
      <w:pPr>
        <w:spacing w:before="120" w:after="120" w:line="360" w:lineRule="auto"/>
        <w:ind w:left="850" w:hanging="850"/>
        <w:rPr>
          <w:szCs w:val="24"/>
          <w:lang w:eastAsia="en-US"/>
        </w:rPr>
      </w:pPr>
      <w:r>
        <w:rPr>
          <w:szCs w:val="24"/>
          <w:lang w:eastAsia="en-US"/>
        </w:rPr>
        <w:lastRenderedPageBreak/>
        <w:t>6</w:t>
      </w:r>
      <w:r w:rsidR="00092171" w:rsidRPr="00092171">
        <w:rPr>
          <w:szCs w:val="24"/>
          <w:lang w:eastAsia="en-US"/>
        </w:rPr>
        <w:t>.</w:t>
      </w:r>
      <w:r w:rsidR="00092171" w:rsidRPr="00092171">
        <w:rPr>
          <w:szCs w:val="24"/>
          <w:lang w:eastAsia="en-US"/>
        </w:rPr>
        <w:tab/>
        <w:t>Zabawki, do których wnętrza można się dostać i które z tej przyczyny stanowią zamkniętą przestrzeń dla osób znajdujących się wewnątrz, mają wyjście, które docelowy użytkownik może z łatwością otworzyć od środka.</w:t>
      </w:r>
    </w:p>
    <w:p w:rsidR="00092171" w:rsidRPr="00092171" w:rsidRDefault="00040518" w:rsidP="00092171">
      <w:pPr>
        <w:spacing w:before="120" w:after="120" w:line="360" w:lineRule="auto"/>
        <w:ind w:left="850" w:hanging="850"/>
        <w:rPr>
          <w:szCs w:val="24"/>
          <w:lang w:eastAsia="en-US"/>
        </w:rPr>
      </w:pPr>
      <w:r>
        <w:rPr>
          <w:szCs w:val="24"/>
          <w:lang w:eastAsia="en-US"/>
        </w:rPr>
        <w:t>7</w:t>
      </w:r>
      <w:r w:rsidR="00092171" w:rsidRPr="00092171">
        <w:rPr>
          <w:szCs w:val="24"/>
          <w:lang w:eastAsia="en-US"/>
        </w:rPr>
        <w:t>.</w:t>
      </w:r>
      <w:r w:rsidR="00092171" w:rsidRPr="00092171">
        <w:rPr>
          <w:szCs w:val="24"/>
          <w:lang w:eastAsia="en-US"/>
        </w:rPr>
        <w:tab/>
        <w:t>Zabawki dające użytkownikom możliwość poruszania się są wyposażone, w miarę możliwości, w system hamulcowy, który jest odpowiedni dla takiego typu zabawki i jest dostosowany do energii kinetycznej wytworzonej przez zabawkę. Taki system musi być łatwy w użyciu przez użytkownika i nie może stwarzać ryzyka wypadnięcia lub obrażeń fizycznych użytkownika lub osób trzecich.</w:t>
      </w:r>
    </w:p>
    <w:p w:rsidR="00092171" w:rsidRPr="00092171" w:rsidRDefault="00092171" w:rsidP="00092171">
      <w:pPr>
        <w:spacing w:before="120" w:after="120" w:line="360" w:lineRule="auto"/>
        <w:ind w:left="850"/>
        <w:rPr>
          <w:szCs w:val="24"/>
          <w:lang w:eastAsia="en-US"/>
        </w:rPr>
      </w:pPr>
      <w:r w:rsidRPr="00092171">
        <w:rPr>
          <w:szCs w:val="24"/>
          <w:lang w:eastAsia="en-US"/>
        </w:rPr>
        <w:t xml:space="preserve">W przypadku pojazdów dla dzieci o napędzie elektrycznym </w:t>
      </w:r>
      <w:r w:rsidRPr="00092171">
        <w:rPr>
          <w:szCs w:val="24"/>
          <w:lang w:eastAsia="en-US"/>
        </w:rPr>
        <w:tab/>
        <w:t>wzorcowa potencjalna prędkość eksploatacyjna determinowana konstrukcją zabawki jest tak ograniczona, aby zmniejszyć ryzyko obrażeń fizycznych.</w:t>
      </w:r>
    </w:p>
    <w:p w:rsidR="00092171" w:rsidRPr="00092171" w:rsidRDefault="00040518" w:rsidP="00092171">
      <w:pPr>
        <w:spacing w:before="120" w:after="120" w:line="360" w:lineRule="auto"/>
        <w:ind w:left="850" w:hanging="850"/>
        <w:rPr>
          <w:szCs w:val="24"/>
          <w:lang w:eastAsia="en-US"/>
        </w:rPr>
      </w:pPr>
      <w:r>
        <w:rPr>
          <w:szCs w:val="24"/>
          <w:lang w:eastAsia="en-US"/>
        </w:rPr>
        <w:t>8</w:t>
      </w:r>
      <w:r w:rsidR="00092171" w:rsidRPr="00092171">
        <w:rPr>
          <w:szCs w:val="24"/>
          <w:lang w:eastAsia="en-US"/>
        </w:rPr>
        <w:t>.</w:t>
      </w:r>
      <w:r w:rsidR="00092171" w:rsidRPr="00092171">
        <w:rPr>
          <w:szCs w:val="24"/>
          <w:lang w:eastAsia="en-US"/>
        </w:rPr>
        <w:tab/>
        <w:t>Rodzaj i skład pocisków oraz energia kinetyczna, jaką mogą one osiągnąć przy wystrzeliwaniu z zabawki zaprojektowanej w tym celu, są takie, aby nie powodowały, biorąc pod uwagę charakter zabawki, ryzyka odniesienia obrażeń fizycznych przez użytkownika lub osoby trzecie.</w:t>
      </w:r>
    </w:p>
    <w:p w:rsidR="00040518" w:rsidRDefault="00040518">
      <w:pPr>
        <w:widowControl/>
        <w:rPr>
          <w:szCs w:val="24"/>
          <w:lang w:eastAsia="en-US"/>
        </w:rPr>
      </w:pPr>
      <w:r>
        <w:rPr>
          <w:szCs w:val="24"/>
          <w:lang w:eastAsia="en-US"/>
        </w:rPr>
        <w:br w:type="page"/>
      </w:r>
    </w:p>
    <w:p w:rsidR="00092171" w:rsidRPr="00092171" w:rsidRDefault="00040518" w:rsidP="00092171">
      <w:pPr>
        <w:spacing w:before="120" w:after="120" w:line="360" w:lineRule="auto"/>
        <w:ind w:left="850" w:hanging="850"/>
        <w:rPr>
          <w:szCs w:val="24"/>
          <w:lang w:eastAsia="en-US"/>
        </w:rPr>
      </w:pPr>
      <w:r>
        <w:rPr>
          <w:szCs w:val="24"/>
          <w:lang w:eastAsia="en-US"/>
        </w:rPr>
        <w:lastRenderedPageBreak/>
        <w:t>9</w:t>
      </w:r>
      <w:r w:rsidR="00092171" w:rsidRPr="00092171">
        <w:rPr>
          <w:szCs w:val="24"/>
          <w:lang w:eastAsia="en-US"/>
        </w:rPr>
        <w:t>.</w:t>
      </w:r>
      <w:r w:rsidR="00092171" w:rsidRPr="00092171">
        <w:rPr>
          <w:szCs w:val="24"/>
          <w:lang w:eastAsia="en-US"/>
        </w:rPr>
        <w:tab/>
        <w:t>Zabawki są wytworzone w sposób gwarantujący, aby:</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maksymalna i minimalna temperatura wszelkich dostępnych powierzchni nie powodowała obrażeń przy dotknięciu;</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ciecze i gazy zawarte w zabawce nie osiągały temperatur lub ciśnień, których uwolnienie z zabawki, inne niż z przyczyn niezbędnych dla sprawnego jej funkcjonowania, może spowodować oparzenia lub innego typu obrażenia fizyczne.</w:t>
      </w:r>
    </w:p>
    <w:p w:rsidR="00092171" w:rsidRPr="00040518" w:rsidRDefault="00040518" w:rsidP="00092171">
      <w:pPr>
        <w:spacing w:before="120" w:after="120" w:line="360" w:lineRule="auto"/>
        <w:ind w:left="850" w:hanging="850"/>
        <w:rPr>
          <w:b/>
          <w:szCs w:val="24"/>
          <w:lang w:eastAsia="en-US"/>
        </w:rPr>
      </w:pPr>
      <w:r>
        <w:rPr>
          <w:szCs w:val="24"/>
          <w:lang w:eastAsia="en-US"/>
        </w:rPr>
        <w:t>10</w:t>
      </w:r>
      <w:r w:rsidR="00092171" w:rsidRPr="00092171">
        <w:rPr>
          <w:szCs w:val="24"/>
          <w:lang w:eastAsia="en-US"/>
        </w:rPr>
        <w:t>.</w:t>
      </w:r>
      <w:r w:rsidR="00092171" w:rsidRPr="00092171">
        <w:rPr>
          <w:szCs w:val="24"/>
          <w:lang w:eastAsia="en-US"/>
        </w:rPr>
        <w:tab/>
        <w:t>Zabawki</w:t>
      </w:r>
      <w:r w:rsidR="00092171" w:rsidRPr="00092171">
        <w:rPr>
          <w:b/>
          <w:i/>
          <w:szCs w:val="24"/>
          <w:lang w:eastAsia="en-US"/>
        </w:rPr>
        <w:t xml:space="preserve"> zaprojektowane do wydawania dźwięku</w:t>
      </w:r>
      <w:r w:rsidR="00092171" w:rsidRPr="00092171">
        <w:rPr>
          <w:szCs w:val="24"/>
          <w:lang w:eastAsia="en-US"/>
        </w:rPr>
        <w:t xml:space="preserve"> projektuje się i wytwarza – pod względem maksymalnych wartości hałasu impulsowego i ciągłego – w taki sposób, aby wydawany przez nie dźwięk nie mógł uszkodzić słuchu dzieci.</w:t>
      </w:r>
      <w:r w:rsidR="00092171" w:rsidRPr="00092171">
        <w:rPr>
          <w:b/>
          <w:i/>
          <w:szCs w:val="24"/>
          <w:lang w:eastAsia="en-US"/>
        </w:rPr>
        <w:t xml:space="preserve"> Wartości dopuszczalne ustala się w drodze aktu delegowanego, natomiast wartości maksymalne nie przekraczają wartości określonych w dyrektywie 2003/10/</w:t>
      </w:r>
      <w:r w:rsidR="00843637">
        <w:rPr>
          <w:b/>
          <w:i/>
          <w:szCs w:val="24"/>
          <w:lang w:eastAsia="en-US"/>
        </w:rPr>
        <w:t>WE</w:t>
      </w:r>
      <w:r w:rsidR="00092171" w:rsidRPr="00092171">
        <w:rPr>
          <w:b/>
          <w:i/>
          <w:szCs w:val="24"/>
          <w:lang w:eastAsia="en-US"/>
        </w:rPr>
        <w:t>.</w:t>
      </w:r>
      <w:r>
        <w:rPr>
          <w:b/>
          <w:szCs w:val="24"/>
          <w:lang w:eastAsia="en-US"/>
        </w:rPr>
        <w:t xml:space="preserve"> [Popr. 205]</w:t>
      </w:r>
    </w:p>
    <w:p w:rsidR="00092171" w:rsidRPr="00092171" w:rsidRDefault="00040518" w:rsidP="00092171">
      <w:pPr>
        <w:spacing w:before="120" w:after="120" w:line="360" w:lineRule="auto"/>
        <w:ind w:left="850" w:hanging="850"/>
        <w:rPr>
          <w:szCs w:val="24"/>
          <w:lang w:eastAsia="en-US"/>
        </w:rPr>
      </w:pPr>
      <w:r>
        <w:rPr>
          <w:szCs w:val="24"/>
          <w:lang w:eastAsia="en-US"/>
        </w:rPr>
        <w:t>11</w:t>
      </w:r>
      <w:r w:rsidR="00092171" w:rsidRPr="00092171">
        <w:rPr>
          <w:szCs w:val="24"/>
          <w:lang w:eastAsia="en-US"/>
        </w:rPr>
        <w:t>.</w:t>
      </w:r>
      <w:r w:rsidR="00092171" w:rsidRPr="00092171">
        <w:rPr>
          <w:szCs w:val="24"/>
          <w:lang w:eastAsia="en-US"/>
        </w:rPr>
        <w:tab/>
        <w:t>Zabawki ruchowe są tak wytworzone, aby w miarę możliwości ograniczać ryzyko zmiażdżenia lub uchwycenia części ciała lub odzieży oraz ryzyko upadków, uderzeń oraz utonięcia. W szczególności wszelkie ich powierzchnie dostępne do zabawy dla jednego dziecka lub większej liczby dzieci projektuje się tak, aby mogły udźwignąć ich ciężar.</w:t>
      </w:r>
    </w:p>
    <w:p w:rsidR="00040518" w:rsidRDefault="00040518">
      <w:pPr>
        <w:widowControl/>
        <w:rPr>
          <w:szCs w:val="24"/>
          <w:lang w:eastAsia="en-US"/>
        </w:rPr>
      </w:pPr>
      <w:r>
        <w:rPr>
          <w:szCs w:val="24"/>
          <w:lang w:eastAsia="en-US"/>
        </w:rPr>
        <w:br w:type="page"/>
      </w:r>
    </w:p>
    <w:p w:rsidR="00092171" w:rsidRPr="00092171" w:rsidRDefault="00040518" w:rsidP="00040518">
      <w:pPr>
        <w:spacing w:before="120" w:after="120" w:line="360" w:lineRule="auto"/>
        <w:rPr>
          <w:szCs w:val="24"/>
          <w:lang w:eastAsia="en-US"/>
        </w:rPr>
      </w:pPr>
      <w:r w:rsidRPr="00092171">
        <w:rPr>
          <w:szCs w:val="24"/>
          <w:lang w:eastAsia="en-US"/>
        </w:rPr>
        <w:lastRenderedPageBreak/>
        <w:t>Część II</w:t>
      </w:r>
      <w:r w:rsidRPr="0027555A">
        <w:rPr>
          <w:noProof/>
          <w:szCs w:val="24"/>
          <w:lang w:eastAsia="fr-BE"/>
        </w:rPr>
        <w:t xml:space="preserve"> </w:t>
      </w:r>
      <w:r w:rsidRPr="00F719C0">
        <w:rPr>
          <w:noProof/>
          <w:szCs w:val="24"/>
          <w:lang w:eastAsia="fr-BE"/>
        </w:rPr>
        <w:t>–</w:t>
      </w:r>
      <w:r w:rsidRPr="0027555A">
        <w:rPr>
          <w:noProof/>
          <w:szCs w:val="24"/>
          <w:lang w:eastAsia="fr-BE"/>
        </w:rPr>
        <w:t xml:space="preserve"> </w:t>
      </w:r>
      <w:r w:rsidR="00092171" w:rsidRPr="00092171">
        <w:rPr>
          <w:szCs w:val="24"/>
          <w:lang w:eastAsia="en-US"/>
        </w:rPr>
        <w:t xml:space="preserve">Palność </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Zabawki nie mogą stanowić niebezpiecznego, palnego elementu środowiska, w którym przebywa dziecko. Dlatego wykonuje się je z materiałów, które spełniają co najmniej jeden z następujących warunków:</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nie palą się w razie bezpośredniego zetknięcia z płomieniem lub iskrą, lub innym potencjalnym źródłem ognia;</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nie są łatwopalne (płomień zanika natychmiast z chwilą zniknięcia źródła ognia, który go powoduje);</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jeżeli się zapalą, to palą się powoli i ogień ten rozprzestrzenia się wolno;</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niezależnie od składu chemicznego zabawki projektuje się tak, aby mechanicznie opóźnić proces spalania.</w:t>
      </w:r>
    </w:p>
    <w:p w:rsidR="00092171" w:rsidRPr="00092171" w:rsidRDefault="00092171" w:rsidP="00092171">
      <w:pPr>
        <w:spacing w:before="120" w:after="120" w:line="360" w:lineRule="auto"/>
        <w:ind w:left="850"/>
        <w:rPr>
          <w:szCs w:val="24"/>
          <w:lang w:eastAsia="en-US"/>
        </w:rPr>
      </w:pPr>
      <w:r w:rsidRPr="00092171">
        <w:rPr>
          <w:szCs w:val="24"/>
          <w:lang w:eastAsia="en-US"/>
        </w:rPr>
        <w:t>Takie materiały palne zawarte w zabawce nie mogą stanowić ryzyka zapalenia dla innych materiałów użytych w zabawce.</w:t>
      </w:r>
    </w:p>
    <w:p w:rsidR="00040518" w:rsidRDefault="00040518">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Zabawki spełniające oba warunki określone poniżej nie mogą jako takie zawierać substancji ani mieszanin, które mogą stać się łatwopalne z powodu utraty niepalnych składników lotnych:</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zabawki, które z przyczyn niezbędnych dla ich funkcjonowania zawierają substancje lub mieszaniny spełniające kryteria klasyfikacji dotyczące jednej z następujących klas lub kategorii zagrożenia określonych w załączniku I do rozporządzenia (WE) nr 1272/2008:</w:t>
      </w:r>
    </w:p>
    <w:p w:rsidR="00092171" w:rsidRPr="00092171" w:rsidRDefault="00092171" w:rsidP="00040518">
      <w:pPr>
        <w:spacing w:before="120" w:after="120" w:line="360" w:lineRule="auto"/>
        <w:ind w:left="1985" w:hanging="567"/>
        <w:rPr>
          <w:szCs w:val="24"/>
          <w:lang w:eastAsia="en-US"/>
        </w:rPr>
      </w:pPr>
      <w:r w:rsidRPr="00092171">
        <w:rPr>
          <w:szCs w:val="24"/>
          <w:lang w:eastAsia="en-US"/>
        </w:rPr>
        <w:t>1)</w:t>
      </w:r>
      <w:r w:rsidRPr="00092171">
        <w:rPr>
          <w:szCs w:val="24"/>
          <w:lang w:eastAsia="en-US"/>
        </w:rPr>
        <w:tab/>
        <w:t>klasy zagrożenia 2.1–2.4, 2.6 i 2.7, klasa zagrożenia 2.8 typy A i B;</w:t>
      </w:r>
    </w:p>
    <w:p w:rsidR="00092171" w:rsidRPr="00092171" w:rsidRDefault="00092171" w:rsidP="00040518">
      <w:pPr>
        <w:spacing w:before="120" w:after="120" w:line="360" w:lineRule="auto"/>
        <w:ind w:left="1985" w:hanging="567"/>
        <w:rPr>
          <w:szCs w:val="24"/>
          <w:lang w:eastAsia="en-US"/>
        </w:rPr>
      </w:pPr>
      <w:r w:rsidRPr="00092171">
        <w:rPr>
          <w:szCs w:val="24"/>
          <w:lang w:eastAsia="en-US"/>
        </w:rPr>
        <w:t>2)</w:t>
      </w:r>
      <w:r w:rsidRPr="00092171">
        <w:rPr>
          <w:szCs w:val="24"/>
          <w:lang w:eastAsia="en-US"/>
        </w:rPr>
        <w:tab/>
        <w:t>klasy zagrożenia 2.9, 2.10 i 2.12, klasa zagrożenia 2.13 kategorie 1 i 2;</w:t>
      </w:r>
    </w:p>
    <w:p w:rsidR="00092171" w:rsidRPr="00092171" w:rsidRDefault="00092171" w:rsidP="00040518">
      <w:pPr>
        <w:spacing w:before="120" w:after="120" w:line="360" w:lineRule="auto"/>
        <w:ind w:left="1985" w:hanging="567"/>
        <w:rPr>
          <w:szCs w:val="24"/>
          <w:lang w:eastAsia="en-US"/>
        </w:rPr>
      </w:pPr>
      <w:r w:rsidRPr="00092171">
        <w:rPr>
          <w:szCs w:val="24"/>
          <w:lang w:eastAsia="en-US"/>
        </w:rPr>
        <w:t>3)</w:t>
      </w:r>
      <w:r w:rsidRPr="00092171">
        <w:rPr>
          <w:szCs w:val="24"/>
          <w:lang w:eastAsia="en-US"/>
        </w:rPr>
        <w:tab/>
        <w:t>klasa zagrożenia 2.14 kategorie 1 i 2, klasa zagrożenia 2.15 typy A–F; klasy zagrożenia 3.1–3.6, klasa 3.7 – działanie szkodliwe na funkcje rozrodcze i płodność lub na rozwój;</w:t>
      </w:r>
    </w:p>
    <w:p w:rsidR="00092171" w:rsidRPr="00092171" w:rsidRDefault="00092171" w:rsidP="00040518">
      <w:pPr>
        <w:spacing w:before="120" w:after="120" w:line="360" w:lineRule="auto"/>
        <w:ind w:left="1985" w:hanging="567"/>
        <w:rPr>
          <w:szCs w:val="24"/>
          <w:lang w:eastAsia="en-US"/>
        </w:rPr>
      </w:pPr>
      <w:r w:rsidRPr="00092171">
        <w:rPr>
          <w:szCs w:val="24"/>
          <w:lang w:eastAsia="en-US"/>
        </w:rPr>
        <w:t>4)</w:t>
      </w:r>
      <w:r w:rsidRPr="00092171">
        <w:rPr>
          <w:szCs w:val="24"/>
          <w:lang w:eastAsia="en-US"/>
        </w:rPr>
        <w:tab/>
        <w:t>klasa zagrożenia 3.8 – działanie inne niż narkotyczne;</w:t>
      </w:r>
    </w:p>
    <w:p w:rsidR="00092171" w:rsidRPr="00040518" w:rsidRDefault="00092171" w:rsidP="00040518">
      <w:pPr>
        <w:spacing w:before="120" w:after="120" w:line="360" w:lineRule="auto"/>
        <w:ind w:left="1985" w:hanging="567"/>
        <w:rPr>
          <w:b/>
          <w:szCs w:val="24"/>
          <w:lang w:eastAsia="en-US"/>
        </w:rPr>
      </w:pPr>
      <w:r w:rsidRPr="00092171">
        <w:rPr>
          <w:szCs w:val="24"/>
          <w:lang w:eastAsia="en-US"/>
        </w:rPr>
        <w:t>5)</w:t>
      </w:r>
      <w:r w:rsidRPr="00092171">
        <w:rPr>
          <w:szCs w:val="24"/>
          <w:lang w:eastAsia="en-US"/>
        </w:rPr>
        <w:tab/>
        <w:t>klasy zagrożenia 3.9</w:t>
      </w:r>
      <w:r w:rsidRPr="00092171">
        <w:rPr>
          <w:strike/>
          <w:szCs w:val="24"/>
          <w:lang w:eastAsia="en-US"/>
        </w:rPr>
        <w:t xml:space="preserve"> i 3.10</w:t>
      </w:r>
      <w:r w:rsidRPr="00092171">
        <w:rPr>
          <w:b/>
          <w:i/>
          <w:szCs w:val="24"/>
          <w:lang w:eastAsia="en-US"/>
        </w:rPr>
        <w:t>, 3.10 i 3.11</w:t>
      </w:r>
      <w:r w:rsidRPr="00092171">
        <w:rPr>
          <w:szCs w:val="24"/>
          <w:lang w:eastAsia="en-US"/>
        </w:rPr>
        <w:t>;</w:t>
      </w:r>
      <w:r w:rsidR="00040518">
        <w:rPr>
          <w:b/>
          <w:szCs w:val="24"/>
          <w:lang w:eastAsia="en-US"/>
        </w:rPr>
        <w:t xml:space="preserve"> [Popr. 253]</w:t>
      </w:r>
    </w:p>
    <w:p w:rsidR="00092171" w:rsidRPr="00040518" w:rsidRDefault="00092171" w:rsidP="00040518">
      <w:pPr>
        <w:spacing w:before="120" w:after="120" w:line="360" w:lineRule="auto"/>
        <w:ind w:left="1985" w:hanging="567"/>
        <w:rPr>
          <w:b/>
          <w:szCs w:val="24"/>
          <w:lang w:eastAsia="en-US"/>
        </w:rPr>
      </w:pPr>
      <w:r w:rsidRPr="00092171">
        <w:rPr>
          <w:szCs w:val="24"/>
          <w:lang w:eastAsia="en-US"/>
        </w:rPr>
        <w:t>6)</w:t>
      </w:r>
      <w:r w:rsidRPr="00092171">
        <w:rPr>
          <w:szCs w:val="24"/>
          <w:lang w:eastAsia="en-US"/>
        </w:rPr>
        <w:tab/>
      </w:r>
      <w:r w:rsidRPr="00092171">
        <w:rPr>
          <w:strike/>
          <w:szCs w:val="24"/>
          <w:lang w:eastAsia="en-US"/>
        </w:rPr>
        <w:t>klasa</w:t>
      </w:r>
      <w:r w:rsidRPr="00092171">
        <w:rPr>
          <w:b/>
          <w:i/>
          <w:szCs w:val="24"/>
          <w:lang w:eastAsia="en-US"/>
        </w:rPr>
        <w:t>klasy</w:t>
      </w:r>
      <w:r w:rsidRPr="00092171">
        <w:rPr>
          <w:szCs w:val="24"/>
          <w:lang w:eastAsia="en-US"/>
        </w:rPr>
        <w:t xml:space="preserve"> zagrożenia 4.1</w:t>
      </w:r>
      <w:r w:rsidRPr="00092171">
        <w:rPr>
          <w:b/>
          <w:i/>
          <w:szCs w:val="24"/>
          <w:lang w:eastAsia="en-US"/>
        </w:rPr>
        <w:t>, 4.2, 4.3 i 4.4</w:t>
      </w:r>
      <w:r w:rsidRPr="00092171">
        <w:rPr>
          <w:szCs w:val="24"/>
          <w:lang w:eastAsia="en-US"/>
        </w:rPr>
        <w:t>;</w:t>
      </w:r>
      <w:r w:rsidR="00040518">
        <w:rPr>
          <w:b/>
          <w:szCs w:val="24"/>
          <w:lang w:eastAsia="en-US"/>
        </w:rPr>
        <w:t xml:space="preserve"> [Popr. 254]</w:t>
      </w:r>
    </w:p>
    <w:p w:rsidR="00092171" w:rsidRPr="00092171" w:rsidRDefault="00092171" w:rsidP="00040518">
      <w:pPr>
        <w:spacing w:before="120" w:after="120" w:line="360" w:lineRule="auto"/>
        <w:ind w:left="1985" w:hanging="567"/>
        <w:rPr>
          <w:szCs w:val="24"/>
          <w:lang w:eastAsia="en-US"/>
        </w:rPr>
      </w:pPr>
      <w:r w:rsidRPr="00092171">
        <w:rPr>
          <w:szCs w:val="24"/>
          <w:lang w:eastAsia="en-US"/>
        </w:rPr>
        <w:t>7)</w:t>
      </w:r>
      <w:r w:rsidRPr="00092171">
        <w:rPr>
          <w:szCs w:val="24"/>
          <w:lang w:eastAsia="en-US"/>
        </w:rPr>
        <w:tab/>
        <w:t>klasa zagrożenia 5.1;</w:t>
      </w:r>
    </w:p>
    <w:p w:rsidR="00040518" w:rsidRDefault="00040518">
      <w:pPr>
        <w:widowControl/>
        <w:rPr>
          <w:szCs w:val="24"/>
          <w:lang w:eastAsia="en-US"/>
        </w:rPr>
      </w:pPr>
      <w:r>
        <w:rPr>
          <w:szCs w:val="24"/>
          <w:lang w:eastAsia="en-US"/>
        </w:rPr>
        <w:br w:type="page"/>
      </w:r>
    </w:p>
    <w:p w:rsidR="00092171" w:rsidRPr="00092171" w:rsidRDefault="00092171" w:rsidP="00040518">
      <w:pPr>
        <w:spacing w:before="120" w:after="120" w:line="360" w:lineRule="auto"/>
        <w:ind w:left="1418" w:hanging="567"/>
        <w:rPr>
          <w:szCs w:val="24"/>
          <w:lang w:eastAsia="en-US"/>
        </w:rPr>
      </w:pPr>
      <w:r w:rsidRPr="00092171">
        <w:rPr>
          <w:szCs w:val="24"/>
          <w:lang w:eastAsia="en-US"/>
        </w:rPr>
        <w:lastRenderedPageBreak/>
        <w:t>b)</w:t>
      </w:r>
      <w:r w:rsidRPr="00092171">
        <w:rPr>
          <w:szCs w:val="24"/>
          <w:lang w:eastAsia="en-US"/>
        </w:rPr>
        <w:tab/>
        <w:t>oraz zabawki zawierające materiały i wyposażenie do eksperymentów chemicznych, montażu modeli, modelowania plastycznego lub ceramicznego, emaliowania, fotografowania lub podobnych czynności.</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Zabawki, poza stosowanymi w zabawkach kapiszonami, nie mogą zawierać substancji wybuchowych ani elementów lub substancji, które grożą wybuchem podczas używania, jak określono w art. 5 ust. 2 akapit pierwszy.</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Zabawki oraz, w szczególności, zabawki i gry chemiczne nie mogą zawierać takich substancji lub mieszanin:</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które po zmieszaniu mogą wybuchnąć: poprzez reakcję chemiczną lub ogrzewanie;</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które mogą wybuchnąć po zmieszaniu z substancjami utleniającymi lub</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które zawierają składniki lotne, palne w powietrzu i które mogą wytworzyć palne lub wybuchowe mieszaniny pary/powietrza.</w:t>
      </w:r>
    </w:p>
    <w:p w:rsidR="00040518" w:rsidRDefault="00040518">
      <w:pPr>
        <w:widowControl/>
        <w:rPr>
          <w:szCs w:val="24"/>
          <w:lang w:eastAsia="en-US"/>
        </w:rPr>
      </w:pPr>
      <w:r>
        <w:rPr>
          <w:szCs w:val="24"/>
          <w:lang w:eastAsia="en-US"/>
        </w:rPr>
        <w:br w:type="page"/>
      </w:r>
    </w:p>
    <w:p w:rsidR="00092171" w:rsidRPr="00092171" w:rsidRDefault="00092171" w:rsidP="00040518">
      <w:pPr>
        <w:spacing w:before="120" w:after="120" w:line="360" w:lineRule="auto"/>
        <w:rPr>
          <w:szCs w:val="24"/>
          <w:lang w:eastAsia="en-US"/>
        </w:rPr>
      </w:pPr>
      <w:r w:rsidRPr="00092171">
        <w:rPr>
          <w:szCs w:val="24"/>
          <w:lang w:eastAsia="en-US"/>
        </w:rPr>
        <w:lastRenderedPageBreak/>
        <w:t>Część III</w:t>
      </w:r>
      <w:r w:rsidR="00040518" w:rsidRPr="0027555A">
        <w:rPr>
          <w:noProof/>
          <w:szCs w:val="24"/>
          <w:lang w:eastAsia="fr-BE"/>
        </w:rPr>
        <w:t xml:space="preserve"> </w:t>
      </w:r>
      <w:r w:rsidR="00040518" w:rsidRPr="00F719C0">
        <w:rPr>
          <w:noProof/>
          <w:szCs w:val="24"/>
          <w:lang w:eastAsia="fr-BE"/>
        </w:rPr>
        <w:t>–</w:t>
      </w:r>
      <w:r w:rsidR="00040518" w:rsidRPr="0027555A">
        <w:rPr>
          <w:noProof/>
          <w:szCs w:val="24"/>
          <w:lang w:eastAsia="fr-BE"/>
        </w:rPr>
        <w:t xml:space="preserve"> </w:t>
      </w:r>
      <w:r w:rsidRPr="00092171">
        <w:rPr>
          <w:szCs w:val="24"/>
          <w:lang w:eastAsia="en-US"/>
        </w:rPr>
        <w:t xml:space="preserve">Właściwości chemiczne </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Zabawki projektuje się i wytwarza w taki sposób, aby podczas używania nie stwarzały ryzyka niekorzystnych skutków dla zdrowia ludzkiego związanych z narażeniem na działanie substancji lub mieszanin chemicznych, z których zabawki się składają lub które zawierają, jak określono w art. 5 ust. 2 akapit pierwszy.</w:t>
      </w:r>
    </w:p>
    <w:p w:rsidR="00092171" w:rsidRPr="00092171" w:rsidRDefault="00092171" w:rsidP="00092171">
      <w:pPr>
        <w:spacing w:before="120" w:after="120" w:line="360" w:lineRule="auto"/>
        <w:ind w:left="850"/>
        <w:rPr>
          <w:szCs w:val="24"/>
          <w:lang w:eastAsia="en-US"/>
        </w:rPr>
      </w:pPr>
      <w:r w:rsidRPr="00092171">
        <w:rPr>
          <w:szCs w:val="24"/>
          <w:lang w:eastAsia="en-US"/>
        </w:rPr>
        <w:t>Zabawki muszą być zgodne z odpowiednimi przepisami Unii dotyczącymi niektórych kategorii produktów lub ograniczeń stosowania niektórych substancji i mieszanin. Zabawki lub ich części oraz opakowania, co do których można zasadnie oczekiwać, iż wejdą w kontakt z żywnością albo nastąpi migracja ich składników do żywności w przypadku ich zastosowania w normalnych lub możliwych do przewidzenia warunkach, muszą również być zgodne z przepisami rozporządzenia (WE) nr 1935/2004.</w:t>
      </w:r>
    </w:p>
    <w:p w:rsidR="00092171" w:rsidRPr="00040518" w:rsidRDefault="00040518" w:rsidP="00092171">
      <w:pPr>
        <w:spacing w:before="120" w:after="120" w:line="360" w:lineRule="auto"/>
        <w:ind w:left="850" w:hanging="850"/>
        <w:rPr>
          <w:b/>
          <w:szCs w:val="24"/>
          <w:lang w:eastAsia="en-US"/>
        </w:rPr>
      </w:pPr>
      <w:r>
        <w:rPr>
          <w:szCs w:val="24"/>
          <w:lang w:eastAsia="en-US"/>
        </w:rPr>
        <w:t>2</w:t>
      </w:r>
      <w:r w:rsidR="00092171" w:rsidRPr="00092171">
        <w:rPr>
          <w:szCs w:val="24"/>
          <w:lang w:eastAsia="en-US"/>
        </w:rPr>
        <w:t>.</w:t>
      </w:r>
      <w:r w:rsidR="00092171" w:rsidRPr="00092171">
        <w:rPr>
          <w:szCs w:val="24"/>
          <w:lang w:eastAsia="en-US"/>
        </w:rPr>
        <w:tab/>
        <w:t>Zabawki, które same stanowią substancje lub mieszaniny, muszą być zgodne z przepisami rozporządzenia (WE) nr 1272/2008</w:t>
      </w:r>
      <w:r w:rsidR="00092171" w:rsidRPr="00092171">
        <w:rPr>
          <w:b/>
          <w:i/>
          <w:szCs w:val="24"/>
          <w:lang w:eastAsia="en-US"/>
        </w:rPr>
        <w:t>, a także z wymogami dotyczącymi oznakowania określonymi w rozporządzeniu (WE) nr 1223/2009</w:t>
      </w:r>
      <w:r w:rsidR="00092171" w:rsidRPr="00092171">
        <w:rPr>
          <w:szCs w:val="24"/>
          <w:lang w:eastAsia="en-US"/>
        </w:rPr>
        <w:t>.</w:t>
      </w:r>
      <w:r>
        <w:rPr>
          <w:b/>
          <w:szCs w:val="24"/>
          <w:lang w:eastAsia="en-US"/>
        </w:rPr>
        <w:t xml:space="preserve"> [Popr. 207]</w:t>
      </w:r>
    </w:p>
    <w:p w:rsidR="00040518" w:rsidRDefault="00040518">
      <w:pPr>
        <w:widowControl/>
        <w:rPr>
          <w:szCs w:val="24"/>
          <w:lang w:eastAsia="en-US"/>
        </w:rPr>
      </w:pPr>
      <w:r>
        <w:rPr>
          <w:szCs w:val="24"/>
          <w:lang w:eastAsia="en-US"/>
        </w:rPr>
        <w:br w:type="page"/>
      </w:r>
    </w:p>
    <w:p w:rsidR="00092171" w:rsidRPr="00092171" w:rsidRDefault="00040518" w:rsidP="00092171">
      <w:pPr>
        <w:spacing w:before="120" w:after="120" w:line="360" w:lineRule="auto"/>
        <w:ind w:left="850" w:hanging="850"/>
        <w:rPr>
          <w:szCs w:val="24"/>
          <w:lang w:eastAsia="en-US"/>
        </w:rPr>
      </w:pPr>
      <w:r>
        <w:rPr>
          <w:szCs w:val="24"/>
          <w:lang w:eastAsia="en-US"/>
        </w:rPr>
        <w:lastRenderedPageBreak/>
        <w:t>3</w:t>
      </w:r>
      <w:r w:rsidR="00092171" w:rsidRPr="00092171">
        <w:rPr>
          <w:szCs w:val="24"/>
          <w:lang w:eastAsia="en-US"/>
        </w:rPr>
        <w:t>.</w:t>
      </w:r>
      <w:r w:rsidR="00092171" w:rsidRPr="00092171">
        <w:rPr>
          <w:szCs w:val="24"/>
          <w:lang w:eastAsia="en-US"/>
        </w:rPr>
        <w:tab/>
        <w:t>Zabawki muszą spełniać szczegółowe wymagania i warunki dotyczące substancji chemicznych określonych w części A dodatku oraz wymagania dotyczące etykietowania, określone w części B dodatku.</w:t>
      </w:r>
    </w:p>
    <w:p w:rsidR="00092171" w:rsidRPr="00040518" w:rsidRDefault="00040518" w:rsidP="00092171">
      <w:pPr>
        <w:spacing w:before="120" w:after="120" w:line="360" w:lineRule="auto"/>
        <w:ind w:left="850" w:hanging="850"/>
        <w:rPr>
          <w:b/>
          <w:szCs w:val="24"/>
          <w:lang w:eastAsia="en-US"/>
        </w:rPr>
      </w:pPr>
      <w:r>
        <w:rPr>
          <w:szCs w:val="24"/>
          <w:lang w:eastAsia="en-US"/>
        </w:rPr>
        <w:t>4</w:t>
      </w:r>
      <w:r w:rsidR="00092171" w:rsidRPr="00092171">
        <w:rPr>
          <w:szCs w:val="24"/>
          <w:lang w:eastAsia="en-US"/>
        </w:rPr>
        <w:t>.</w:t>
      </w:r>
      <w:r w:rsidR="00092171" w:rsidRPr="00092171">
        <w:rPr>
          <w:szCs w:val="24"/>
          <w:lang w:eastAsia="en-US"/>
        </w:rPr>
        <w:tab/>
        <w:t>Zakazuje się stosowania w zabawkach, w częściach składowych zabawek lub w mikrostrukturalnie odrębnych częściach zabawek substancji lub mieszanin</w:t>
      </w:r>
      <w:r w:rsidR="00092171" w:rsidRPr="00092171">
        <w:rPr>
          <w:b/>
          <w:i/>
          <w:szCs w:val="24"/>
          <w:lang w:eastAsia="en-US"/>
        </w:rPr>
        <w:t>, które spełniają kryteria wymienione w art. 57 niniejszego rozporządzenia i są zidentyfikowane zgodnie z art. 59 ust. 1 rozporządzenia (WE) nr 1907/2006, zostały zaklasyfikowane</w:t>
      </w:r>
      <w:r w:rsidR="00092171" w:rsidRPr="00092171">
        <w:rPr>
          <w:strike/>
          <w:szCs w:val="24"/>
          <w:lang w:eastAsia="en-US"/>
        </w:rPr>
        <w:t xml:space="preserve"> zaklasyfikowanych</w:t>
      </w:r>
      <w:r w:rsidR="00092171" w:rsidRPr="00092171">
        <w:rPr>
          <w:szCs w:val="24"/>
          <w:lang w:eastAsia="en-US"/>
        </w:rPr>
        <w:t xml:space="preserve"> do części 3 załącznika VI do rozporządzenia (WE) nr 1272/2008 </w:t>
      </w:r>
      <w:r w:rsidR="00092171" w:rsidRPr="00092171">
        <w:rPr>
          <w:b/>
          <w:i/>
          <w:szCs w:val="24"/>
          <w:lang w:eastAsia="en-US"/>
        </w:rPr>
        <w:t xml:space="preserve">lub spełniają kryteria klasyfikacji </w:t>
      </w:r>
      <w:r w:rsidR="00092171" w:rsidRPr="00092171">
        <w:rPr>
          <w:szCs w:val="24"/>
          <w:lang w:eastAsia="en-US"/>
        </w:rPr>
        <w:t>w dowolnej z poniższych kategorii:</w:t>
      </w:r>
      <w:r>
        <w:rPr>
          <w:b/>
          <w:szCs w:val="24"/>
          <w:lang w:eastAsia="en-US"/>
        </w:rPr>
        <w:t xml:space="preserve"> [Popr. 208]</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rakotwórczość, działanie mutagenne na komórki rozrodcze lub działanie szkodliwe na rozrodczość (rakotwórcze, mutagenne lub działające szkodliwie na rozrodczość) kategoria 1A, 1B lub 2;</w:t>
      </w:r>
    </w:p>
    <w:p w:rsidR="00092171" w:rsidRPr="00040518" w:rsidRDefault="00092171" w:rsidP="00092171">
      <w:pPr>
        <w:spacing w:before="120" w:after="120" w:line="360" w:lineRule="auto"/>
        <w:ind w:left="1416" w:hanging="566"/>
        <w:rPr>
          <w:b/>
          <w:szCs w:val="24"/>
          <w:lang w:eastAsia="en-US"/>
        </w:rPr>
      </w:pPr>
      <w:r w:rsidRPr="00092171">
        <w:rPr>
          <w:szCs w:val="24"/>
          <w:lang w:eastAsia="en-US"/>
        </w:rPr>
        <w:t>b)</w:t>
      </w:r>
      <w:r w:rsidRPr="00092171">
        <w:rPr>
          <w:szCs w:val="24"/>
          <w:lang w:eastAsia="en-US"/>
        </w:rPr>
        <w:tab/>
        <w:t>zaburzanie funkcjonowania układu hormonalnego kategoria 1 lub 2</w:t>
      </w:r>
      <w:r w:rsidRPr="00092171">
        <w:rPr>
          <w:b/>
          <w:i/>
          <w:szCs w:val="24"/>
          <w:lang w:eastAsia="en-US"/>
        </w:rPr>
        <w:t xml:space="preserve"> w odniesieniu do zdrowia ludzi i środowiska</w:t>
      </w:r>
      <w:r w:rsidRPr="00092171">
        <w:rPr>
          <w:szCs w:val="24"/>
          <w:lang w:eastAsia="en-US"/>
        </w:rPr>
        <w:t>;</w:t>
      </w:r>
      <w:r w:rsidR="00040518">
        <w:rPr>
          <w:b/>
          <w:szCs w:val="24"/>
          <w:lang w:eastAsia="en-US"/>
        </w:rPr>
        <w:t xml:space="preserve"> [Popr. 209]</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działanie toksyczne na narządy docelowe kategoria 1, narażenie jednorazowe albo narażenie powtarzane;</w:t>
      </w:r>
    </w:p>
    <w:p w:rsidR="00092171" w:rsidRPr="00092171" w:rsidRDefault="00092171" w:rsidP="00092171">
      <w:pPr>
        <w:spacing w:before="120" w:after="120" w:line="360" w:lineRule="auto"/>
        <w:ind w:left="1416" w:hanging="566"/>
        <w:rPr>
          <w:szCs w:val="24"/>
          <w:lang w:eastAsia="en-US"/>
        </w:rPr>
      </w:pPr>
      <w:r w:rsidRPr="00092171">
        <w:rPr>
          <w:szCs w:val="24"/>
          <w:lang w:eastAsia="en-US"/>
        </w:rPr>
        <w:t>d)</w:t>
      </w:r>
      <w:r w:rsidRPr="00092171">
        <w:rPr>
          <w:szCs w:val="24"/>
          <w:lang w:eastAsia="en-US"/>
        </w:rPr>
        <w:tab/>
        <w:t>działanie uczulające na drogi oddechowe kategoria 1.</w:t>
      </w:r>
    </w:p>
    <w:p w:rsidR="00092171" w:rsidRPr="00040518" w:rsidRDefault="00092171" w:rsidP="00092171">
      <w:pPr>
        <w:spacing w:before="120" w:after="120" w:line="360" w:lineRule="auto"/>
        <w:ind w:left="1416" w:hanging="566"/>
        <w:rPr>
          <w:b/>
          <w:szCs w:val="24"/>
          <w:lang w:eastAsia="en-US"/>
        </w:rPr>
      </w:pPr>
      <w:r w:rsidRPr="00092171">
        <w:rPr>
          <w:b/>
          <w:i/>
          <w:szCs w:val="24"/>
          <w:lang w:eastAsia="en-US"/>
        </w:rPr>
        <w:t>da)</w:t>
      </w:r>
      <w:r w:rsidRPr="00092171">
        <w:rPr>
          <w:szCs w:val="24"/>
          <w:lang w:eastAsia="en-US"/>
        </w:rPr>
        <w:tab/>
      </w:r>
      <w:r w:rsidRPr="00092171">
        <w:rPr>
          <w:b/>
          <w:i/>
          <w:szCs w:val="24"/>
          <w:lang w:eastAsia="en-US"/>
        </w:rPr>
        <w:t>działanie uczulające na skórę kategoria 1;</w:t>
      </w:r>
      <w:r w:rsidR="00040518">
        <w:rPr>
          <w:b/>
          <w:szCs w:val="24"/>
          <w:lang w:eastAsia="en-US"/>
        </w:rPr>
        <w:t xml:space="preserve"> [Popr. 210]</w:t>
      </w:r>
    </w:p>
    <w:p w:rsidR="00092171" w:rsidRPr="00040518" w:rsidRDefault="00092171" w:rsidP="00092171">
      <w:pPr>
        <w:spacing w:before="120" w:after="120" w:line="360" w:lineRule="auto"/>
        <w:ind w:left="1416" w:hanging="566"/>
        <w:rPr>
          <w:b/>
          <w:szCs w:val="24"/>
          <w:lang w:eastAsia="en-US"/>
        </w:rPr>
      </w:pPr>
      <w:r w:rsidRPr="00092171">
        <w:rPr>
          <w:b/>
          <w:i/>
          <w:szCs w:val="24"/>
          <w:lang w:eastAsia="en-US"/>
        </w:rPr>
        <w:t>db)</w:t>
      </w:r>
      <w:r w:rsidRPr="00092171">
        <w:rPr>
          <w:szCs w:val="24"/>
          <w:lang w:eastAsia="en-US"/>
        </w:rPr>
        <w:tab/>
      </w:r>
      <w:r w:rsidRPr="00092171">
        <w:rPr>
          <w:b/>
          <w:i/>
          <w:szCs w:val="24"/>
          <w:lang w:eastAsia="en-US"/>
        </w:rPr>
        <w:t>trwałe, wykazujące zdolność do bioakumulacji i toksyczne;</w:t>
      </w:r>
      <w:r w:rsidR="00040518">
        <w:rPr>
          <w:b/>
          <w:szCs w:val="24"/>
          <w:lang w:eastAsia="en-US"/>
        </w:rPr>
        <w:t xml:space="preserve"> [Popr. 211]</w:t>
      </w:r>
    </w:p>
    <w:p w:rsidR="00040518" w:rsidRDefault="00040518">
      <w:pPr>
        <w:widowControl/>
        <w:rPr>
          <w:b/>
          <w:i/>
          <w:szCs w:val="24"/>
          <w:lang w:eastAsia="en-US"/>
        </w:rPr>
      </w:pPr>
      <w:r>
        <w:rPr>
          <w:b/>
          <w:i/>
          <w:szCs w:val="24"/>
          <w:lang w:eastAsia="en-US"/>
        </w:rPr>
        <w:br w:type="page"/>
      </w:r>
    </w:p>
    <w:p w:rsidR="00092171" w:rsidRPr="00040518" w:rsidRDefault="00092171" w:rsidP="00092171">
      <w:pPr>
        <w:spacing w:before="120" w:after="120" w:line="360" w:lineRule="auto"/>
        <w:ind w:left="1416" w:hanging="566"/>
        <w:rPr>
          <w:b/>
          <w:szCs w:val="24"/>
          <w:lang w:eastAsia="en-US"/>
        </w:rPr>
      </w:pPr>
      <w:r w:rsidRPr="00092171">
        <w:rPr>
          <w:b/>
          <w:i/>
          <w:szCs w:val="24"/>
          <w:lang w:eastAsia="en-US"/>
        </w:rPr>
        <w:lastRenderedPageBreak/>
        <w:t>dc)</w:t>
      </w:r>
      <w:r w:rsidRPr="00092171">
        <w:rPr>
          <w:szCs w:val="24"/>
          <w:lang w:eastAsia="en-US"/>
        </w:rPr>
        <w:tab/>
      </w:r>
      <w:r w:rsidRPr="00092171">
        <w:rPr>
          <w:b/>
          <w:i/>
          <w:szCs w:val="24"/>
          <w:lang w:eastAsia="en-US"/>
        </w:rPr>
        <w:t>bardzo trwałe, wykazujące bardzo dużą zdolność do bioakumulacji;</w:t>
      </w:r>
      <w:r w:rsidR="00040518">
        <w:rPr>
          <w:b/>
          <w:szCs w:val="24"/>
          <w:lang w:eastAsia="en-US"/>
        </w:rPr>
        <w:t xml:space="preserve"> [Popr. 212]</w:t>
      </w:r>
    </w:p>
    <w:p w:rsidR="00092171" w:rsidRPr="00040518" w:rsidRDefault="00092171" w:rsidP="00092171">
      <w:pPr>
        <w:spacing w:before="120" w:after="120" w:line="360" w:lineRule="auto"/>
        <w:ind w:left="1416" w:hanging="566"/>
        <w:rPr>
          <w:b/>
          <w:szCs w:val="24"/>
          <w:lang w:eastAsia="en-US"/>
        </w:rPr>
      </w:pPr>
      <w:r w:rsidRPr="00092171">
        <w:rPr>
          <w:b/>
          <w:i/>
          <w:szCs w:val="24"/>
          <w:lang w:eastAsia="en-US"/>
        </w:rPr>
        <w:t>dd)</w:t>
      </w:r>
      <w:r w:rsidRPr="00092171">
        <w:rPr>
          <w:szCs w:val="24"/>
          <w:lang w:eastAsia="en-US"/>
        </w:rPr>
        <w:tab/>
      </w:r>
      <w:r w:rsidRPr="00092171">
        <w:rPr>
          <w:b/>
          <w:i/>
          <w:szCs w:val="24"/>
          <w:lang w:eastAsia="en-US"/>
        </w:rPr>
        <w:t>trwałe, mobilne i toksyczne;</w:t>
      </w:r>
      <w:r w:rsidR="00040518">
        <w:rPr>
          <w:b/>
          <w:szCs w:val="24"/>
          <w:lang w:eastAsia="en-US"/>
        </w:rPr>
        <w:t xml:space="preserve"> [Popr. 213]</w:t>
      </w:r>
    </w:p>
    <w:p w:rsidR="00092171" w:rsidRPr="00040518" w:rsidRDefault="00092171" w:rsidP="00092171">
      <w:pPr>
        <w:spacing w:before="120" w:after="120" w:line="360" w:lineRule="auto"/>
        <w:ind w:left="1416" w:hanging="566"/>
        <w:rPr>
          <w:b/>
          <w:szCs w:val="24"/>
          <w:lang w:eastAsia="en-US"/>
        </w:rPr>
      </w:pPr>
      <w:r w:rsidRPr="00092171">
        <w:rPr>
          <w:b/>
          <w:i/>
          <w:szCs w:val="24"/>
          <w:lang w:eastAsia="en-US"/>
        </w:rPr>
        <w:t>de)</w:t>
      </w:r>
      <w:r w:rsidRPr="00092171">
        <w:rPr>
          <w:szCs w:val="24"/>
          <w:lang w:eastAsia="en-US"/>
        </w:rPr>
        <w:tab/>
      </w:r>
      <w:r w:rsidRPr="00092171">
        <w:rPr>
          <w:b/>
          <w:i/>
          <w:szCs w:val="24"/>
          <w:lang w:eastAsia="en-US"/>
        </w:rPr>
        <w:t>bardzo trwałe, bardzo mobilne.</w:t>
      </w:r>
      <w:r w:rsidR="00040518">
        <w:rPr>
          <w:b/>
          <w:szCs w:val="24"/>
          <w:lang w:eastAsia="en-US"/>
        </w:rPr>
        <w:t xml:space="preserve"> [Popr. 214]</w:t>
      </w:r>
    </w:p>
    <w:p w:rsidR="00092171" w:rsidRPr="00040518" w:rsidRDefault="00040518" w:rsidP="00092171">
      <w:pPr>
        <w:spacing w:before="120" w:after="120" w:line="360" w:lineRule="auto"/>
        <w:ind w:left="850" w:hanging="850"/>
        <w:rPr>
          <w:b/>
          <w:szCs w:val="24"/>
          <w:lang w:eastAsia="en-US"/>
        </w:rPr>
      </w:pPr>
      <w:r>
        <w:rPr>
          <w:b/>
          <w:i/>
          <w:szCs w:val="24"/>
          <w:lang w:eastAsia="en-US"/>
        </w:rPr>
        <w:t>4</w:t>
      </w:r>
      <w:r w:rsidR="00092171" w:rsidRPr="00092171">
        <w:rPr>
          <w:b/>
          <w:i/>
          <w:szCs w:val="24"/>
          <w:lang w:eastAsia="en-US"/>
        </w:rPr>
        <w:t>a.</w:t>
      </w:r>
      <w:r w:rsidR="00092171" w:rsidRPr="00092171">
        <w:rPr>
          <w:szCs w:val="24"/>
          <w:lang w:eastAsia="en-US"/>
        </w:rPr>
        <w:tab/>
      </w:r>
      <w:r w:rsidR="00092171" w:rsidRPr="00092171">
        <w:rPr>
          <w:b/>
          <w:i/>
          <w:szCs w:val="24"/>
          <w:lang w:eastAsia="en-US"/>
        </w:rPr>
        <w:t>Zakazuje się stosowania w zabawkach, w częściach składowych zabawek lub w mikrostrukturalnie odrębnych częściach zabawek substancji per- i polifluoroalkilowych (PFAS) oraz bisfenoli. Zabawki przeznaczone dla dzieci w wieku poniżej 36 miesięcy lub inne zabawki przeznaczone do wkładania do ust nie mogą zawierać substancji zapachowych.</w:t>
      </w:r>
      <w:r>
        <w:rPr>
          <w:b/>
          <w:szCs w:val="24"/>
          <w:lang w:eastAsia="en-US"/>
        </w:rPr>
        <w:t xml:space="preserve"> [Popr. 215]</w:t>
      </w:r>
    </w:p>
    <w:p w:rsidR="00092171" w:rsidRPr="00092171" w:rsidRDefault="00040518" w:rsidP="00092171">
      <w:pPr>
        <w:spacing w:before="120" w:after="120" w:line="360" w:lineRule="auto"/>
        <w:ind w:left="850" w:hanging="850"/>
        <w:rPr>
          <w:szCs w:val="24"/>
          <w:lang w:eastAsia="en-US"/>
        </w:rPr>
      </w:pPr>
      <w:r>
        <w:rPr>
          <w:szCs w:val="24"/>
          <w:lang w:eastAsia="en-US"/>
        </w:rPr>
        <w:t>5</w:t>
      </w:r>
      <w:r w:rsidR="00092171" w:rsidRPr="00092171">
        <w:rPr>
          <w:szCs w:val="24"/>
          <w:lang w:eastAsia="en-US"/>
        </w:rPr>
        <w:t>.</w:t>
      </w:r>
      <w:r w:rsidR="00092171" w:rsidRPr="00092171">
        <w:rPr>
          <w:szCs w:val="24"/>
          <w:lang w:eastAsia="en-US"/>
        </w:rPr>
        <w:tab/>
        <w:t>Niezamierzona zawartość substancji lub mieszaniny, o której mowa w pkt 4, wynikająca z zanieczyszczenia składników naturalnych lub syntetycznych lub z procesu produkcji i niemożliwa do uniknięcia w ramach dobrej praktyki wytwarzania jest dopuszczalna, pod warunkiem że pomimo zawartości takiej substancji lub mieszaniny zabawki nadal są zgodne z ogólnym wymaganiem bezpieczeństwa.</w:t>
      </w:r>
    </w:p>
    <w:p w:rsidR="00040518" w:rsidRDefault="00040518">
      <w:pPr>
        <w:widowControl/>
        <w:rPr>
          <w:szCs w:val="24"/>
          <w:lang w:eastAsia="en-US"/>
        </w:rPr>
      </w:pPr>
      <w:r>
        <w:rPr>
          <w:szCs w:val="24"/>
          <w:lang w:eastAsia="en-US"/>
        </w:rPr>
        <w:br w:type="page"/>
      </w:r>
    </w:p>
    <w:p w:rsidR="00092171" w:rsidRPr="00092171" w:rsidRDefault="00040518" w:rsidP="00092171">
      <w:pPr>
        <w:spacing w:before="120" w:after="120" w:line="360" w:lineRule="auto"/>
        <w:ind w:left="850" w:hanging="850"/>
        <w:rPr>
          <w:szCs w:val="24"/>
          <w:lang w:eastAsia="en-US"/>
        </w:rPr>
      </w:pPr>
      <w:r>
        <w:rPr>
          <w:szCs w:val="24"/>
          <w:lang w:eastAsia="en-US"/>
        </w:rPr>
        <w:lastRenderedPageBreak/>
        <w:t>6</w:t>
      </w:r>
      <w:r w:rsidR="00092171" w:rsidRPr="00092171">
        <w:rPr>
          <w:szCs w:val="24"/>
          <w:lang w:eastAsia="en-US"/>
        </w:rPr>
        <w:t>.</w:t>
      </w:r>
      <w:r w:rsidR="00092171" w:rsidRPr="00092171">
        <w:rPr>
          <w:szCs w:val="24"/>
          <w:lang w:eastAsia="en-US"/>
        </w:rPr>
        <w:tab/>
        <w:t>Na zasadzie odstępstwa od pkt 4 substancje lub mieszaniny zakazane w tym punkcie można wykorzystywać w zabawkach, jeżeli widnieją one w części C dodatku na określonych w tej części warunkach.</w:t>
      </w:r>
    </w:p>
    <w:p w:rsidR="00092171" w:rsidRPr="00092171" w:rsidRDefault="00040518" w:rsidP="00092171">
      <w:pPr>
        <w:spacing w:before="120" w:after="120" w:line="360" w:lineRule="auto"/>
        <w:ind w:left="850" w:hanging="850"/>
        <w:rPr>
          <w:szCs w:val="24"/>
          <w:lang w:eastAsia="en-US"/>
        </w:rPr>
      </w:pPr>
      <w:r>
        <w:rPr>
          <w:szCs w:val="24"/>
          <w:lang w:eastAsia="en-US"/>
        </w:rPr>
        <w:t>7</w:t>
      </w:r>
      <w:r w:rsidR="00092171" w:rsidRPr="00092171">
        <w:rPr>
          <w:szCs w:val="24"/>
          <w:lang w:eastAsia="en-US"/>
        </w:rPr>
        <w:t>.</w:t>
      </w:r>
      <w:r w:rsidR="00092171" w:rsidRPr="00092171">
        <w:rPr>
          <w:szCs w:val="24"/>
          <w:lang w:eastAsia="en-US"/>
        </w:rPr>
        <w:tab/>
        <w:t>Pkt 4–6 nie mają zastosowania do:</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materiałów spełniających warunki określone w odniesieniu do konkretnych substancji wymienionych w części A dodatku, odnośnie do tych substancji;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baterii w zabawkach ani</w:t>
      </w:r>
    </w:p>
    <w:p w:rsidR="00092171" w:rsidRPr="003F7B69" w:rsidRDefault="00092171" w:rsidP="00092171">
      <w:pPr>
        <w:spacing w:before="120" w:after="120" w:line="360" w:lineRule="auto"/>
        <w:ind w:left="1416" w:hanging="566"/>
        <w:rPr>
          <w:b/>
          <w:szCs w:val="24"/>
          <w:lang w:eastAsia="en-US"/>
        </w:rPr>
      </w:pPr>
      <w:r w:rsidRPr="00092171">
        <w:rPr>
          <w:szCs w:val="24"/>
          <w:lang w:eastAsia="en-US"/>
        </w:rPr>
        <w:t>c)</w:t>
      </w:r>
      <w:r w:rsidRPr="00092171">
        <w:rPr>
          <w:szCs w:val="24"/>
          <w:lang w:eastAsia="en-US"/>
        </w:rPr>
        <w:tab/>
        <w:t>elementów zabawki niezbędnych do działania elektronicznych lub elektrycznych funkcji zabawki, jeżeli dana substancja i mieszanina jest całkowicie niedostępna dla dzieci, włączając w to możliwość wdychania</w:t>
      </w:r>
      <w:r w:rsidRPr="00092171">
        <w:rPr>
          <w:b/>
          <w:i/>
          <w:szCs w:val="24"/>
          <w:lang w:eastAsia="en-US"/>
        </w:rPr>
        <w:t>, kiedy zabawka jest używana w sposób określony w akapicie pierwszym art</w:t>
      </w:r>
      <w:r w:rsidRPr="00092171">
        <w:rPr>
          <w:szCs w:val="24"/>
          <w:lang w:eastAsia="en-US"/>
        </w:rPr>
        <w:t>.</w:t>
      </w:r>
      <w:r w:rsidRPr="00092171">
        <w:rPr>
          <w:b/>
          <w:i/>
          <w:szCs w:val="24"/>
          <w:lang w:eastAsia="en-US"/>
        </w:rPr>
        <w:t xml:space="preserve"> 5 ust. 2.</w:t>
      </w:r>
      <w:r w:rsidR="003F7B69">
        <w:rPr>
          <w:b/>
          <w:szCs w:val="24"/>
          <w:lang w:eastAsia="en-US"/>
        </w:rPr>
        <w:t xml:space="preserve"> [Popr. 216]</w:t>
      </w:r>
    </w:p>
    <w:p w:rsidR="00092171" w:rsidRPr="003F7B69" w:rsidRDefault="00040518" w:rsidP="00092171">
      <w:pPr>
        <w:spacing w:before="120" w:after="120" w:line="360" w:lineRule="auto"/>
        <w:ind w:left="850" w:hanging="850"/>
        <w:rPr>
          <w:b/>
          <w:szCs w:val="24"/>
          <w:lang w:eastAsia="en-US"/>
        </w:rPr>
      </w:pPr>
      <w:r>
        <w:rPr>
          <w:szCs w:val="24"/>
          <w:lang w:eastAsia="en-US"/>
        </w:rPr>
        <w:t>8</w:t>
      </w:r>
      <w:r w:rsidR="00092171" w:rsidRPr="00092171">
        <w:rPr>
          <w:szCs w:val="24"/>
          <w:lang w:eastAsia="en-US"/>
        </w:rPr>
        <w:t>.</w:t>
      </w:r>
      <w:r w:rsidR="00092171" w:rsidRPr="00092171">
        <w:rPr>
          <w:szCs w:val="24"/>
          <w:lang w:eastAsia="en-US"/>
        </w:rPr>
        <w:tab/>
        <w:t>Zabawki kosmetyczne, takie jak kosmetyki dla lalek</w:t>
      </w:r>
      <w:r w:rsidR="00092171" w:rsidRPr="00092171">
        <w:rPr>
          <w:b/>
          <w:i/>
          <w:szCs w:val="24"/>
          <w:lang w:eastAsia="en-US"/>
        </w:rPr>
        <w:t xml:space="preserve"> lub dzieci, slime, farby do malowania palcami lub modelina</w:t>
      </w:r>
      <w:r w:rsidR="00092171" w:rsidRPr="00092171">
        <w:rPr>
          <w:szCs w:val="24"/>
          <w:lang w:eastAsia="en-US"/>
        </w:rPr>
        <w:t>, muszą spełniać wymagania dotyczące składu i oznakowania określone w rozporządzeniu Parlamentu Europejskiego i Rady (WE) nr 1223/2009</w:t>
      </w:r>
      <w:r w:rsidR="00092171" w:rsidRPr="00092171">
        <w:rPr>
          <w:szCs w:val="24"/>
          <w:vertAlign w:val="superscript"/>
          <w:lang w:eastAsia="en-US"/>
        </w:rPr>
        <w:footnoteReference w:customMarkFollows="1" w:id="25"/>
        <w:t>1</w:t>
      </w:r>
      <w:r w:rsidR="00092171" w:rsidRPr="00092171">
        <w:rPr>
          <w:szCs w:val="24"/>
          <w:lang w:eastAsia="en-US"/>
        </w:rPr>
        <w:t>.</w:t>
      </w:r>
      <w:r w:rsidR="003F7B69">
        <w:rPr>
          <w:b/>
          <w:szCs w:val="24"/>
          <w:lang w:eastAsia="en-US"/>
        </w:rPr>
        <w:t xml:space="preserve"> [Popr. 217]</w:t>
      </w:r>
    </w:p>
    <w:p w:rsidR="003F7B69" w:rsidRDefault="003F7B69">
      <w:pPr>
        <w:widowControl/>
        <w:rPr>
          <w:szCs w:val="24"/>
          <w:lang w:eastAsia="en-US"/>
        </w:rPr>
      </w:pPr>
      <w:r>
        <w:rPr>
          <w:szCs w:val="24"/>
          <w:lang w:eastAsia="en-US"/>
        </w:rPr>
        <w:br w:type="page"/>
      </w:r>
    </w:p>
    <w:p w:rsidR="00092171" w:rsidRPr="00092171" w:rsidRDefault="00092171" w:rsidP="003F7B69">
      <w:pPr>
        <w:spacing w:before="120" w:after="120" w:line="360" w:lineRule="auto"/>
        <w:rPr>
          <w:szCs w:val="24"/>
          <w:lang w:eastAsia="en-US"/>
        </w:rPr>
      </w:pPr>
      <w:r w:rsidRPr="00092171">
        <w:rPr>
          <w:szCs w:val="24"/>
          <w:lang w:eastAsia="en-US"/>
        </w:rPr>
        <w:lastRenderedPageBreak/>
        <w:t>Część IV</w:t>
      </w:r>
      <w:r w:rsidR="003F7B69" w:rsidRPr="0027555A">
        <w:rPr>
          <w:noProof/>
          <w:szCs w:val="24"/>
          <w:lang w:eastAsia="fr-BE"/>
        </w:rPr>
        <w:t xml:space="preserve"> </w:t>
      </w:r>
      <w:r w:rsidR="003F7B69" w:rsidRPr="00F719C0">
        <w:rPr>
          <w:noProof/>
          <w:szCs w:val="24"/>
          <w:lang w:eastAsia="fr-BE"/>
        </w:rPr>
        <w:t>–</w:t>
      </w:r>
      <w:r w:rsidR="003F7B69" w:rsidRPr="0027555A">
        <w:rPr>
          <w:noProof/>
          <w:szCs w:val="24"/>
          <w:lang w:eastAsia="fr-BE"/>
        </w:rPr>
        <w:t xml:space="preserve"> </w:t>
      </w:r>
      <w:r w:rsidRPr="00092171">
        <w:rPr>
          <w:szCs w:val="24"/>
          <w:lang w:eastAsia="en-US"/>
        </w:rPr>
        <w:t xml:space="preserve">Właściwości elektryczne </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Zabawki nie mogą być zasilane prądem elektrycznym o napięciu nominalnym przekraczającym 24 V prądu stałego (DC) lub odpowiadającym mu napięciu prądu przemiennego (AC), a napięcie w ich dostępnych częściach nie przekracza 24 V DC lub odpowiadającego mu napięcia AC.</w:t>
      </w:r>
    </w:p>
    <w:p w:rsidR="00092171" w:rsidRPr="003F7B69" w:rsidRDefault="00092171" w:rsidP="00092171">
      <w:pPr>
        <w:spacing w:before="120" w:after="120" w:line="360" w:lineRule="auto"/>
        <w:ind w:left="850"/>
        <w:rPr>
          <w:b/>
          <w:szCs w:val="24"/>
          <w:lang w:eastAsia="en-US"/>
        </w:rPr>
      </w:pPr>
      <w:r w:rsidRPr="00092171">
        <w:rPr>
          <w:szCs w:val="24"/>
          <w:lang w:eastAsia="en-US"/>
        </w:rPr>
        <w:t xml:space="preserve">Napięcia wewnętrzne nie przekraczają 24 V DC lub odpowiadającego mu napięcia AC, chyba że zapewnia się, aby wytworzone napięcie i natężenie prądu nie powodowały żadnego ryzyka dla zdrowia i bezpieczeństwa lub </w:t>
      </w:r>
      <w:r w:rsidRPr="00092171">
        <w:rPr>
          <w:b/>
          <w:i/>
          <w:szCs w:val="24"/>
          <w:lang w:eastAsia="en-US"/>
        </w:rPr>
        <w:t xml:space="preserve">szkodliwego </w:t>
      </w:r>
      <w:r w:rsidRPr="00092171">
        <w:rPr>
          <w:szCs w:val="24"/>
          <w:lang w:eastAsia="en-US"/>
        </w:rPr>
        <w:t>porażenia prądem, nawet w przypadku uszkodzenia zabawki.</w:t>
      </w:r>
      <w:r w:rsidR="003F7B69">
        <w:rPr>
          <w:b/>
          <w:szCs w:val="24"/>
          <w:lang w:eastAsia="en-US"/>
        </w:rPr>
        <w:t xml:space="preserve"> [Popr. 218]</w:t>
      </w:r>
    </w:p>
    <w:p w:rsidR="00092171" w:rsidRPr="00092171" w:rsidRDefault="003F7B69" w:rsidP="00092171">
      <w:pPr>
        <w:spacing w:before="120" w:after="120" w:line="360" w:lineRule="auto"/>
        <w:ind w:left="850" w:hanging="850"/>
        <w:rPr>
          <w:szCs w:val="24"/>
          <w:lang w:eastAsia="en-US"/>
        </w:rPr>
      </w:pPr>
      <w:r>
        <w:rPr>
          <w:szCs w:val="24"/>
          <w:lang w:eastAsia="en-US"/>
        </w:rPr>
        <w:t>2</w:t>
      </w:r>
      <w:r w:rsidR="00092171" w:rsidRPr="00092171">
        <w:rPr>
          <w:szCs w:val="24"/>
          <w:lang w:eastAsia="en-US"/>
        </w:rPr>
        <w:t>.</w:t>
      </w:r>
      <w:r w:rsidR="00092171" w:rsidRPr="00092171">
        <w:rPr>
          <w:szCs w:val="24"/>
          <w:lang w:eastAsia="en-US"/>
        </w:rPr>
        <w:tab/>
        <w:t>Części zabawek, które są podłączone lub mogą wejść w kontakt ze źródłem prądu, mogącym spowodować porażenie prądem, razem z kablami i innymi przewodami, przez które prąd jest przekazywany do takich części, są odpowiednio izolowane i mechanicznie chronione tak, aby zapobiec ryzyku takiego porażenia.</w:t>
      </w:r>
    </w:p>
    <w:p w:rsidR="00092171" w:rsidRPr="00092171" w:rsidRDefault="003F7B69" w:rsidP="00092171">
      <w:pPr>
        <w:spacing w:before="120" w:after="120" w:line="360" w:lineRule="auto"/>
        <w:ind w:left="850" w:hanging="850"/>
        <w:rPr>
          <w:szCs w:val="24"/>
          <w:lang w:eastAsia="en-US"/>
        </w:rPr>
      </w:pPr>
      <w:r>
        <w:rPr>
          <w:szCs w:val="24"/>
          <w:lang w:eastAsia="en-US"/>
        </w:rPr>
        <w:t>3</w:t>
      </w:r>
      <w:r w:rsidR="00092171" w:rsidRPr="00092171">
        <w:rPr>
          <w:szCs w:val="24"/>
          <w:lang w:eastAsia="en-US"/>
        </w:rPr>
        <w:t>.</w:t>
      </w:r>
      <w:r w:rsidR="00092171" w:rsidRPr="00092171">
        <w:rPr>
          <w:szCs w:val="24"/>
          <w:lang w:eastAsia="en-US"/>
        </w:rPr>
        <w:tab/>
        <w:t>Zabawki elektryczne projektuje się i wytwarza w taki sposób, aby maksymalne temperatury osiągane przez wszystkie bezpośrednio dostępne powierzchnie nie mogły spowodować poparzenia przy dotknięciu.</w:t>
      </w:r>
    </w:p>
    <w:p w:rsidR="003F7B69" w:rsidRDefault="003F7B69">
      <w:pPr>
        <w:widowControl/>
        <w:rPr>
          <w:szCs w:val="24"/>
          <w:lang w:eastAsia="en-US"/>
        </w:rPr>
      </w:pPr>
      <w:r>
        <w:rPr>
          <w:szCs w:val="24"/>
          <w:lang w:eastAsia="en-US"/>
        </w:rPr>
        <w:br w:type="page"/>
      </w:r>
    </w:p>
    <w:p w:rsidR="00092171" w:rsidRPr="00092171" w:rsidRDefault="003F7B69" w:rsidP="00092171">
      <w:pPr>
        <w:spacing w:before="120" w:after="120" w:line="360" w:lineRule="auto"/>
        <w:ind w:left="850" w:hanging="850"/>
        <w:rPr>
          <w:szCs w:val="24"/>
          <w:lang w:eastAsia="en-US"/>
        </w:rPr>
      </w:pPr>
      <w:r>
        <w:rPr>
          <w:szCs w:val="24"/>
          <w:lang w:eastAsia="en-US"/>
        </w:rPr>
        <w:lastRenderedPageBreak/>
        <w:t>4</w:t>
      </w:r>
      <w:r w:rsidR="00092171" w:rsidRPr="00092171">
        <w:rPr>
          <w:szCs w:val="24"/>
          <w:lang w:eastAsia="en-US"/>
        </w:rPr>
        <w:t>.</w:t>
      </w:r>
      <w:r w:rsidR="00092171" w:rsidRPr="00092171">
        <w:rPr>
          <w:szCs w:val="24"/>
          <w:lang w:eastAsia="en-US"/>
        </w:rPr>
        <w:tab/>
        <w:t>W przypadku dających się przewidzieć uszkodzeń zabawki zapewniają ochronę przed zagrożeniami związanymi z zasilaniem elektrycznym.</w:t>
      </w:r>
    </w:p>
    <w:p w:rsidR="00092171" w:rsidRPr="00092171" w:rsidRDefault="003F7B69" w:rsidP="00092171">
      <w:pPr>
        <w:spacing w:before="120" w:after="120" w:line="360" w:lineRule="auto"/>
        <w:ind w:left="850" w:hanging="850"/>
        <w:rPr>
          <w:szCs w:val="24"/>
          <w:lang w:eastAsia="en-US"/>
        </w:rPr>
      </w:pPr>
      <w:r>
        <w:rPr>
          <w:szCs w:val="24"/>
          <w:lang w:eastAsia="en-US"/>
        </w:rPr>
        <w:t>5</w:t>
      </w:r>
      <w:r w:rsidR="00092171" w:rsidRPr="00092171">
        <w:rPr>
          <w:szCs w:val="24"/>
          <w:lang w:eastAsia="en-US"/>
        </w:rPr>
        <w:t>.</w:t>
      </w:r>
      <w:r w:rsidR="00092171" w:rsidRPr="00092171">
        <w:rPr>
          <w:szCs w:val="24"/>
          <w:lang w:eastAsia="en-US"/>
        </w:rPr>
        <w:tab/>
        <w:t>Zabawki elektryczne zapewniają odpowiednią ochronę przed zagrożeniem pożarem.</w:t>
      </w:r>
    </w:p>
    <w:p w:rsidR="00092171" w:rsidRPr="00092171" w:rsidRDefault="003F7B69" w:rsidP="00092171">
      <w:pPr>
        <w:spacing w:before="120" w:after="120" w:line="360" w:lineRule="auto"/>
        <w:ind w:left="850" w:hanging="850"/>
        <w:rPr>
          <w:szCs w:val="24"/>
          <w:lang w:eastAsia="en-US"/>
        </w:rPr>
      </w:pPr>
      <w:r>
        <w:rPr>
          <w:szCs w:val="24"/>
          <w:lang w:eastAsia="en-US"/>
        </w:rPr>
        <w:t>6</w:t>
      </w:r>
      <w:r w:rsidR="00092171" w:rsidRPr="00092171">
        <w:rPr>
          <w:szCs w:val="24"/>
          <w:lang w:eastAsia="en-US"/>
        </w:rPr>
        <w:t>.</w:t>
      </w:r>
      <w:r w:rsidR="00092171" w:rsidRPr="00092171">
        <w:rPr>
          <w:szCs w:val="24"/>
          <w:lang w:eastAsia="en-US"/>
        </w:rPr>
        <w:tab/>
        <w:t>Zabawki elektryczne projektuje się i wytwarza w taki sposób, aby pola elektryczne, magnetyczne, elektromagnetyczne oraz inne rodzaje promieniowania wytwarzane przez sprzęt ograniczały się do poziomu koniecznego do działania zabawki i aby utrzymywały się na bezpiecznym poziomie zgodnym z ogólnie przyjętym stanem wiedzy technicznej, przy uwzględnieniu szczegółowych przepisów unijnych.</w:t>
      </w:r>
    </w:p>
    <w:p w:rsidR="00092171" w:rsidRPr="00092171" w:rsidRDefault="003F7B69" w:rsidP="00092171">
      <w:pPr>
        <w:spacing w:before="120" w:after="120" w:line="360" w:lineRule="auto"/>
        <w:ind w:left="850" w:hanging="850"/>
        <w:rPr>
          <w:szCs w:val="24"/>
          <w:lang w:eastAsia="en-US"/>
        </w:rPr>
      </w:pPr>
      <w:r>
        <w:rPr>
          <w:szCs w:val="24"/>
          <w:lang w:eastAsia="en-US"/>
        </w:rPr>
        <w:t>7</w:t>
      </w:r>
      <w:r w:rsidR="00092171" w:rsidRPr="00092171">
        <w:rPr>
          <w:szCs w:val="24"/>
          <w:lang w:eastAsia="en-US"/>
        </w:rPr>
        <w:t>.</w:t>
      </w:r>
      <w:r w:rsidR="00092171" w:rsidRPr="00092171">
        <w:rPr>
          <w:szCs w:val="24"/>
          <w:lang w:eastAsia="en-US"/>
        </w:rPr>
        <w:tab/>
        <w:t>Zabawki wyposażone w elektroniczny układ sterowania projektuje się i wytwarza w sposób zapewniający bezpieczne działanie zabawki, nawet gdy system elektroniczny zaczyna działać wadliwie lub przestaje działać w wyniku awarii samego układu lub z powodu czynnika zewnętrznego.</w:t>
      </w:r>
    </w:p>
    <w:p w:rsidR="00092171" w:rsidRPr="00092171" w:rsidRDefault="003F7B69" w:rsidP="00092171">
      <w:pPr>
        <w:spacing w:before="120" w:after="120" w:line="360" w:lineRule="auto"/>
        <w:ind w:left="850" w:hanging="850"/>
        <w:rPr>
          <w:szCs w:val="24"/>
          <w:lang w:eastAsia="en-US"/>
        </w:rPr>
      </w:pPr>
      <w:r>
        <w:rPr>
          <w:szCs w:val="24"/>
          <w:lang w:eastAsia="en-US"/>
        </w:rPr>
        <w:t>8</w:t>
      </w:r>
      <w:r w:rsidR="00092171" w:rsidRPr="00092171">
        <w:rPr>
          <w:szCs w:val="24"/>
          <w:lang w:eastAsia="en-US"/>
        </w:rPr>
        <w:t>.</w:t>
      </w:r>
      <w:r w:rsidR="00092171" w:rsidRPr="00092171">
        <w:rPr>
          <w:szCs w:val="24"/>
          <w:lang w:eastAsia="en-US"/>
        </w:rPr>
        <w:tab/>
        <w:t>Zabawki projektuje się i wytwarza w taki sposób, aby podczas używania nie stwarzały zagrożenia dla zdrowia ani ryzyka obrażeń oczu lub skóry spowodowanych laserami, diodami świecącymi (LED) lub jakimkolwiek innym rodzajem promieniowania.</w:t>
      </w:r>
    </w:p>
    <w:p w:rsidR="00092171" w:rsidRPr="00092171" w:rsidRDefault="003F7B69" w:rsidP="00092171">
      <w:pPr>
        <w:spacing w:before="120" w:after="120" w:line="360" w:lineRule="auto"/>
        <w:ind w:left="850" w:hanging="850"/>
        <w:rPr>
          <w:szCs w:val="24"/>
          <w:lang w:eastAsia="en-US"/>
        </w:rPr>
      </w:pPr>
      <w:r>
        <w:rPr>
          <w:szCs w:val="24"/>
          <w:lang w:eastAsia="en-US"/>
        </w:rPr>
        <w:t>9</w:t>
      </w:r>
      <w:r w:rsidR="00092171" w:rsidRPr="00092171">
        <w:rPr>
          <w:szCs w:val="24"/>
          <w:lang w:eastAsia="en-US"/>
        </w:rPr>
        <w:t>.</w:t>
      </w:r>
      <w:r w:rsidR="00092171" w:rsidRPr="00092171">
        <w:rPr>
          <w:szCs w:val="24"/>
          <w:lang w:eastAsia="en-US"/>
        </w:rPr>
        <w:tab/>
        <w:t>Transformator elektryczny zabawki nie jest integralną częścią zabawki.</w:t>
      </w:r>
    </w:p>
    <w:p w:rsidR="003F7B69" w:rsidRDefault="003F7B69">
      <w:pPr>
        <w:widowControl/>
        <w:rPr>
          <w:szCs w:val="24"/>
          <w:lang w:eastAsia="en-US"/>
        </w:rPr>
      </w:pPr>
      <w:r>
        <w:rPr>
          <w:szCs w:val="24"/>
          <w:lang w:eastAsia="en-US"/>
        </w:rPr>
        <w:br w:type="page"/>
      </w:r>
    </w:p>
    <w:p w:rsidR="00092171" w:rsidRPr="00092171" w:rsidRDefault="00092171" w:rsidP="003F7B69">
      <w:pPr>
        <w:spacing w:before="120" w:after="120" w:line="360" w:lineRule="auto"/>
        <w:rPr>
          <w:szCs w:val="24"/>
          <w:lang w:eastAsia="en-US"/>
        </w:rPr>
      </w:pPr>
      <w:r w:rsidRPr="00092171">
        <w:rPr>
          <w:szCs w:val="24"/>
          <w:lang w:eastAsia="en-US"/>
        </w:rPr>
        <w:lastRenderedPageBreak/>
        <w:t>Część V</w:t>
      </w:r>
      <w:r w:rsidR="003F7B69" w:rsidRPr="0027555A">
        <w:rPr>
          <w:noProof/>
          <w:szCs w:val="24"/>
          <w:lang w:eastAsia="fr-BE"/>
        </w:rPr>
        <w:t xml:space="preserve"> </w:t>
      </w:r>
      <w:r w:rsidR="003F7B69" w:rsidRPr="00F719C0">
        <w:rPr>
          <w:noProof/>
          <w:szCs w:val="24"/>
          <w:lang w:eastAsia="fr-BE"/>
        </w:rPr>
        <w:t>–</w:t>
      </w:r>
      <w:r w:rsidR="003F7B69" w:rsidRPr="0027555A">
        <w:rPr>
          <w:noProof/>
          <w:szCs w:val="24"/>
          <w:lang w:eastAsia="fr-BE"/>
        </w:rPr>
        <w:t xml:space="preserve"> </w:t>
      </w:r>
      <w:r w:rsidRPr="00092171">
        <w:rPr>
          <w:szCs w:val="24"/>
          <w:lang w:eastAsia="en-US"/>
        </w:rPr>
        <w:t xml:space="preserve">Higiena </w:t>
      </w:r>
    </w:p>
    <w:p w:rsidR="00092171" w:rsidRPr="00092171" w:rsidRDefault="003F7B69" w:rsidP="00092171">
      <w:pPr>
        <w:spacing w:before="120" w:after="120" w:line="360" w:lineRule="auto"/>
        <w:ind w:left="850" w:hanging="850"/>
        <w:rPr>
          <w:szCs w:val="24"/>
          <w:lang w:eastAsia="en-US"/>
        </w:rPr>
      </w:pPr>
      <w:r>
        <w:rPr>
          <w:szCs w:val="24"/>
          <w:lang w:eastAsia="en-US"/>
        </w:rPr>
        <w:t>1</w:t>
      </w:r>
      <w:r w:rsidR="00092171" w:rsidRPr="00092171">
        <w:rPr>
          <w:szCs w:val="24"/>
          <w:lang w:eastAsia="en-US"/>
        </w:rPr>
        <w:t>.</w:t>
      </w:r>
      <w:r w:rsidR="00092171" w:rsidRPr="00092171">
        <w:rPr>
          <w:szCs w:val="24"/>
          <w:lang w:eastAsia="en-US"/>
        </w:rPr>
        <w:tab/>
        <w:t>Pod względem higieny i czystości zabawki projektuje się i wytwarza w taki sposób, aby nie stwarzały żadnego ryzyka infekcji, zachorowania lub zatrucia.</w:t>
      </w:r>
    </w:p>
    <w:p w:rsidR="00092171" w:rsidRPr="003F7B69" w:rsidRDefault="003F7B69" w:rsidP="00092171">
      <w:pPr>
        <w:spacing w:before="120" w:after="120" w:line="360" w:lineRule="auto"/>
        <w:ind w:left="850" w:hanging="850"/>
        <w:rPr>
          <w:b/>
          <w:szCs w:val="24"/>
          <w:lang w:eastAsia="en-US"/>
        </w:rPr>
      </w:pPr>
      <w:r>
        <w:rPr>
          <w:szCs w:val="24"/>
          <w:lang w:eastAsia="en-US"/>
        </w:rPr>
        <w:t>2</w:t>
      </w:r>
      <w:r w:rsidR="00092171" w:rsidRPr="00092171">
        <w:rPr>
          <w:szCs w:val="24"/>
          <w:lang w:eastAsia="en-US"/>
        </w:rPr>
        <w:t>.</w:t>
      </w:r>
      <w:r w:rsidR="00092171" w:rsidRPr="00092171">
        <w:rPr>
          <w:szCs w:val="24"/>
          <w:lang w:eastAsia="en-US"/>
        </w:rPr>
        <w:tab/>
        <w:t>Zabawki przeznaczone dla dzieci poniżej 36 miesiąca życia</w:t>
      </w:r>
      <w:r w:rsidR="00092171" w:rsidRPr="00092171">
        <w:rPr>
          <w:b/>
          <w:i/>
          <w:szCs w:val="24"/>
          <w:lang w:eastAsia="en-US"/>
        </w:rPr>
        <w:t xml:space="preserve"> lub przeznaczone do wkładania do ust</w:t>
      </w:r>
      <w:r w:rsidR="00092171" w:rsidRPr="00092171">
        <w:rPr>
          <w:szCs w:val="24"/>
          <w:lang w:eastAsia="en-US"/>
        </w:rPr>
        <w:t xml:space="preserve"> projektuje się i wytwarza w taki sposób, aby można było je czyścić. W tym celu powinno być możliwe upranie zabawki tekstylnej, przy czym nie dotyczy to zabawek zawierających mechanizm, który może ulec uszkodzeniu na skutek zamoczenia. Zabawka musi spełniać wymagania bezpieczeństwa także po jej wyczyszczeniu zgodnie z niniejszym punktem i instrukcjami producenta.</w:t>
      </w:r>
      <w:r>
        <w:rPr>
          <w:b/>
          <w:szCs w:val="24"/>
          <w:lang w:eastAsia="en-US"/>
        </w:rPr>
        <w:t xml:space="preserve"> [Popr. 219]</w:t>
      </w:r>
    </w:p>
    <w:p w:rsidR="00092171" w:rsidRPr="00092171" w:rsidRDefault="003F7B69" w:rsidP="00092171">
      <w:pPr>
        <w:spacing w:before="120" w:after="120" w:line="360" w:lineRule="auto"/>
        <w:ind w:left="850" w:hanging="850"/>
        <w:rPr>
          <w:szCs w:val="24"/>
          <w:lang w:eastAsia="en-US"/>
        </w:rPr>
      </w:pPr>
      <w:r>
        <w:rPr>
          <w:szCs w:val="24"/>
          <w:lang w:eastAsia="en-US"/>
        </w:rPr>
        <w:t>3</w:t>
      </w:r>
      <w:r w:rsidR="00092171" w:rsidRPr="00092171">
        <w:rPr>
          <w:szCs w:val="24"/>
          <w:lang w:eastAsia="en-US"/>
        </w:rPr>
        <w:t>.</w:t>
      </w:r>
      <w:r w:rsidR="00092171" w:rsidRPr="00092171">
        <w:rPr>
          <w:szCs w:val="24"/>
          <w:lang w:eastAsia="en-US"/>
        </w:rPr>
        <w:tab/>
        <w:t>Zabawki zawierające dostępne materiały wodne projektuje się i wytwarza w taki sposób, aby nie stwarzały one ryzyka mikrobiologicznego.</w:t>
      </w:r>
    </w:p>
    <w:p w:rsidR="00092171" w:rsidRPr="00092171" w:rsidRDefault="00092171" w:rsidP="003F7B69">
      <w:pPr>
        <w:spacing w:before="120" w:after="120" w:line="360" w:lineRule="auto"/>
        <w:rPr>
          <w:szCs w:val="24"/>
          <w:lang w:eastAsia="en-US"/>
        </w:rPr>
      </w:pPr>
      <w:r w:rsidRPr="00092171">
        <w:rPr>
          <w:szCs w:val="24"/>
          <w:lang w:eastAsia="en-US"/>
        </w:rPr>
        <w:t>Część VI</w:t>
      </w:r>
      <w:r w:rsidR="003F7B69" w:rsidRPr="0027555A">
        <w:rPr>
          <w:noProof/>
          <w:szCs w:val="24"/>
          <w:lang w:eastAsia="fr-BE"/>
        </w:rPr>
        <w:t xml:space="preserve"> </w:t>
      </w:r>
      <w:r w:rsidR="003F7B69" w:rsidRPr="00F719C0">
        <w:rPr>
          <w:noProof/>
          <w:szCs w:val="24"/>
          <w:lang w:eastAsia="fr-BE"/>
        </w:rPr>
        <w:t>–</w:t>
      </w:r>
      <w:r w:rsidR="003F7B69" w:rsidRPr="0027555A">
        <w:rPr>
          <w:noProof/>
          <w:szCs w:val="24"/>
          <w:lang w:eastAsia="fr-BE"/>
        </w:rPr>
        <w:t xml:space="preserve"> </w:t>
      </w:r>
      <w:r w:rsidRPr="00092171">
        <w:rPr>
          <w:szCs w:val="24"/>
          <w:lang w:eastAsia="en-US"/>
        </w:rPr>
        <w:t xml:space="preserve">Radioaktywność </w:t>
      </w:r>
    </w:p>
    <w:p w:rsidR="00092171" w:rsidRPr="00092171" w:rsidRDefault="00092171" w:rsidP="00092171">
      <w:pPr>
        <w:spacing w:before="120" w:after="120" w:line="360" w:lineRule="auto"/>
        <w:rPr>
          <w:szCs w:val="24"/>
          <w:lang w:eastAsia="en-US"/>
        </w:rPr>
      </w:pPr>
      <w:r w:rsidRPr="00092171">
        <w:rPr>
          <w:szCs w:val="24"/>
          <w:lang w:eastAsia="en-US"/>
        </w:rPr>
        <w:t>Zabawki muszą być zgodne ze wszystkimi stosownymi przepisami przyjętymi na mocy rozdziału III Traktatu ustanawiającego Europejską Wspólnotę Energii Atomowej.</w:t>
      </w:r>
    </w:p>
    <w:p w:rsidR="003F7B69" w:rsidRDefault="003F7B69">
      <w:pPr>
        <w:widowControl/>
        <w:rPr>
          <w:szCs w:val="24"/>
          <w:lang w:eastAsia="en-US"/>
        </w:rPr>
      </w:pPr>
      <w:r>
        <w:rPr>
          <w:szCs w:val="24"/>
          <w:lang w:eastAsia="en-US"/>
        </w:rPr>
        <w:br w:type="page"/>
      </w:r>
    </w:p>
    <w:p w:rsidR="00092171" w:rsidRPr="00092171" w:rsidRDefault="00092171" w:rsidP="003F7B69">
      <w:pPr>
        <w:spacing w:before="120" w:after="120" w:line="360" w:lineRule="auto"/>
        <w:jc w:val="center"/>
        <w:rPr>
          <w:szCs w:val="24"/>
          <w:lang w:eastAsia="en-US"/>
        </w:rPr>
      </w:pPr>
      <w:r w:rsidRPr="00092171">
        <w:rPr>
          <w:szCs w:val="24"/>
          <w:lang w:eastAsia="en-US"/>
        </w:rPr>
        <w:lastRenderedPageBreak/>
        <w:t>Dodatek</w:t>
      </w:r>
    </w:p>
    <w:p w:rsidR="00092171" w:rsidRPr="00092171" w:rsidRDefault="00092171" w:rsidP="003F7B69">
      <w:pPr>
        <w:spacing w:before="120" w:after="120" w:line="360" w:lineRule="auto"/>
        <w:jc w:val="center"/>
        <w:rPr>
          <w:szCs w:val="24"/>
          <w:lang w:eastAsia="en-US"/>
        </w:rPr>
      </w:pPr>
      <w:r w:rsidRPr="00092171">
        <w:rPr>
          <w:szCs w:val="24"/>
          <w:lang w:eastAsia="en-US"/>
        </w:rPr>
        <w:t>Szczegółowe warunki dotyczące obecności niektórych substancji lub mieszanin chemicznych w zabawkach</w:t>
      </w:r>
    </w:p>
    <w:p w:rsidR="00092171" w:rsidRPr="00092171" w:rsidRDefault="00092171" w:rsidP="003F7B69">
      <w:pPr>
        <w:spacing w:before="120" w:after="120" w:line="360" w:lineRule="auto"/>
        <w:rPr>
          <w:szCs w:val="24"/>
          <w:lang w:eastAsia="en-US"/>
        </w:rPr>
      </w:pPr>
      <w:r w:rsidRPr="00092171">
        <w:rPr>
          <w:szCs w:val="24"/>
          <w:lang w:eastAsia="en-US"/>
        </w:rPr>
        <w:t>Część A. Substancje podlegające szczegółowym wartościom granicznym</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Następujące limity migracji z zabawek lub części składowych zabawek lub mikrostrukturalnie odrębnych części zabawek nie mogą zostać przekroczone: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13"/>
        <w:gridCol w:w="2907"/>
        <w:gridCol w:w="1965"/>
        <w:gridCol w:w="2280"/>
      </w:tblGrid>
      <w:tr w:rsidR="00092171" w:rsidRPr="00092171" w:rsidTr="00092171">
        <w:trPr>
          <w:tblHeader/>
        </w:trPr>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val="en-GB" w:eastAsia="en-US"/>
              </w:rPr>
            </w:pPr>
            <w:r w:rsidRPr="003F7B69">
              <w:rPr>
                <w:b/>
                <w:szCs w:val="24"/>
                <w:lang w:val="en-GB" w:eastAsia="en-US"/>
              </w:rPr>
              <w:t>Pierwiastek</w:t>
            </w:r>
          </w:p>
        </w:tc>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eastAsia="en-US"/>
              </w:rPr>
            </w:pPr>
            <w:r w:rsidRPr="003F7B69">
              <w:rPr>
                <w:b/>
                <w:szCs w:val="24"/>
                <w:lang w:eastAsia="en-US"/>
              </w:rPr>
              <w:t>mg/kg w suchym, kruchym, sproszkowanym, lub elastycznym materiale zabawki</w:t>
            </w:r>
          </w:p>
        </w:tc>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eastAsia="en-US"/>
              </w:rPr>
            </w:pPr>
            <w:r w:rsidRPr="003F7B69">
              <w:rPr>
                <w:b/>
                <w:szCs w:val="24"/>
                <w:lang w:eastAsia="en-US"/>
              </w:rPr>
              <w:t>mg/kg w płynnym lub lepkim materiale zabawki</w:t>
            </w:r>
          </w:p>
        </w:tc>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eastAsia="en-US"/>
              </w:rPr>
            </w:pPr>
            <w:r w:rsidRPr="003F7B69">
              <w:rPr>
                <w:b/>
                <w:szCs w:val="24"/>
                <w:lang w:eastAsia="en-US"/>
              </w:rPr>
              <w:t>mg/kg w zeskrobanym materiale zabawki</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Aluminium</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2250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560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28130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Antymon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560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Arsen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0,9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Bar</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1 500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375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18750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Bor</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1 200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300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15 000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Kadm</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1,3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0,3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17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Chrom (III)</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37,5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460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Chrom (VI)</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0,02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0,005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0,053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Kobalt</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130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Miedź</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622,5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156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7 700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Ołów</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2,0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0,5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23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Mangan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1 200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300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15 000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Rtęć</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7,5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1,9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trike/>
                <w:szCs w:val="24"/>
                <w:lang w:val="en-GB" w:eastAsia="en-US"/>
              </w:rPr>
              <w:t>94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Nikiel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18,8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930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Selen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37,5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460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Stront</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4 500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1 125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56 000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Cyna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15 000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3 750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180 000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Cyna organiczna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0,9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0,2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Cynk</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3 750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938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46 000</w:t>
            </w:r>
          </w:p>
        </w:tc>
      </w:tr>
    </w:tbl>
    <w:p w:rsidR="003F7B69" w:rsidRPr="003F7B69" w:rsidRDefault="003F7B69" w:rsidP="003F7B69">
      <w:pPr>
        <w:spacing w:before="120" w:after="120" w:line="360" w:lineRule="auto"/>
        <w:jc w:val="right"/>
        <w:rPr>
          <w:b/>
          <w:szCs w:val="24"/>
          <w:lang w:eastAsia="en-US"/>
        </w:rPr>
      </w:pPr>
      <w:r>
        <w:rPr>
          <w:b/>
          <w:szCs w:val="24"/>
          <w:lang w:eastAsia="en-US"/>
        </w:rPr>
        <w:t xml:space="preserve"> [Popr. 257]</w:t>
      </w:r>
    </w:p>
    <w:p w:rsidR="00092171" w:rsidRPr="00092171" w:rsidRDefault="00092171" w:rsidP="00092171">
      <w:pPr>
        <w:spacing w:before="120" w:after="120" w:line="360" w:lineRule="auto"/>
        <w:ind w:left="850"/>
        <w:rPr>
          <w:szCs w:val="24"/>
          <w:lang w:eastAsia="en-US"/>
        </w:rPr>
      </w:pPr>
      <w:r w:rsidRPr="00092171">
        <w:rPr>
          <w:szCs w:val="24"/>
          <w:lang w:eastAsia="en-US"/>
        </w:rPr>
        <w:t>Wymienionych wartości granicznych nie stosuje się do zabawek, części składowych zabawek ani mikrostrukturalnie odrębnych części zabawek, które z racji swej dostępności, funkcji, objętości lub masy w wyraźny sposób wykluczają ryzyko związane ze ssaniem, lizaniem, połykaniem lub długotrwałym kontaktem ze skórą podczas użytkowania określonego w art. 5 ust. 2 akapit pierwszy.</w:t>
      </w:r>
    </w:p>
    <w:p w:rsidR="00092171" w:rsidRPr="003F7B69" w:rsidRDefault="003F7B69" w:rsidP="003F7B69">
      <w:pPr>
        <w:spacing w:before="120" w:after="120" w:line="360" w:lineRule="auto"/>
        <w:ind w:left="850" w:hanging="850"/>
        <w:rPr>
          <w:b/>
          <w:szCs w:val="24"/>
          <w:lang w:eastAsia="en-US"/>
        </w:rPr>
      </w:pPr>
      <w:r>
        <w:rPr>
          <w:b/>
          <w:i/>
          <w:szCs w:val="24"/>
          <w:lang w:eastAsia="en-US"/>
        </w:rPr>
        <w:t>1a.</w:t>
      </w:r>
      <w:r>
        <w:rPr>
          <w:b/>
          <w:i/>
          <w:szCs w:val="24"/>
          <w:lang w:eastAsia="en-US"/>
        </w:rPr>
        <w:tab/>
      </w:r>
      <w:r w:rsidR="00092171" w:rsidRPr="00092171">
        <w:rPr>
          <w:b/>
          <w:i/>
          <w:szCs w:val="24"/>
          <w:lang w:eastAsia="en-US"/>
        </w:rPr>
        <w:t>Zabawki nie mogą zawierać chromu VI, kadmu, rtęci i ołowiu, chyba że ich obecność jest technicznie nieunikniona zgodnie z dobrą praktyką wytwarzania i nie przekracza granicy wykrywalności w jednorodnym materiale.</w:t>
      </w:r>
      <w:r>
        <w:rPr>
          <w:b/>
          <w:szCs w:val="24"/>
          <w:lang w:eastAsia="en-US"/>
        </w:rPr>
        <w:t xml:space="preserve"> [Popr. 255]</w:t>
      </w:r>
    </w:p>
    <w:p w:rsidR="003F7B69" w:rsidRDefault="003F7B69">
      <w:pPr>
        <w:widowControl/>
        <w:rPr>
          <w:szCs w:val="24"/>
          <w:lang w:eastAsia="en-US"/>
        </w:rPr>
      </w:pPr>
      <w:r>
        <w:rPr>
          <w:szCs w:val="24"/>
          <w:lang w:eastAsia="en-US"/>
        </w:rPr>
        <w:br w:type="page"/>
      </w:r>
    </w:p>
    <w:p w:rsidR="00092171" w:rsidRPr="003F7B69" w:rsidRDefault="003F7B69" w:rsidP="00092171">
      <w:pPr>
        <w:spacing w:before="120" w:after="120" w:line="360" w:lineRule="auto"/>
        <w:ind w:left="850" w:hanging="850"/>
        <w:rPr>
          <w:b/>
          <w:szCs w:val="24"/>
          <w:lang w:eastAsia="en-US"/>
        </w:rPr>
      </w:pPr>
      <w:r>
        <w:rPr>
          <w:szCs w:val="24"/>
          <w:lang w:eastAsia="en-US"/>
        </w:rPr>
        <w:lastRenderedPageBreak/>
        <w:t>2</w:t>
      </w:r>
      <w:r w:rsidR="00092171" w:rsidRPr="00092171">
        <w:rPr>
          <w:szCs w:val="24"/>
          <w:lang w:eastAsia="en-US"/>
        </w:rPr>
        <w:t>.</w:t>
      </w:r>
      <w:r w:rsidR="00092171" w:rsidRPr="00092171">
        <w:rPr>
          <w:szCs w:val="24"/>
          <w:lang w:eastAsia="en-US"/>
        </w:rPr>
        <w:tab/>
        <w:t xml:space="preserve">Stosowanie nitrozoamin i substancji zdolnych do tworzenia nitrozoamin jest zabronione </w:t>
      </w:r>
      <w:r w:rsidR="00092171" w:rsidRPr="00092171">
        <w:rPr>
          <w:strike/>
          <w:szCs w:val="24"/>
          <w:lang w:eastAsia="en-US"/>
        </w:rPr>
        <w:t>w</w:t>
      </w:r>
      <w:r w:rsidR="00092171" w:rsidRPr="00092171">
        <w:rPr>
          <w:b/>
          <w:i/>
          <w:szCs w:val="24"/>
          <w:lang w:eastAsia="en-US"/>
        </w:rPr>
        <w:t>we wszystkich</w:t>
      </w:r>
      <w:r w:rsidR="00092171" w:rsidRPr="00092171">
        <w:rPr>
          <w:szCs w:val="24"/>
          <w:lang w:eastAsia="en-US"/>
        </w:rPr>
        <w:t xml:space="preserve"> zabawkach</w:t>
      </w:r>
      <w:r w:rsidR="00092171" w:rsidRPr="00092171">
        <w:rPr>
          <w:strike/>
          <w:szCs w:val="24"/>
          <w:lang w:eastAsia="en-US"/>
        </w:rPr>
        <w:t xml:space="preserve"> przeznaczonych do używania przez dzieci poniżej 36 miesiąca życia lub w innych zabawkach przeznaczonych do wkładania do ust, jeżeli</w:t>
      </w:r>
      <w:r w:rsidR="00092171" w:rsidRPr="00092171">
        <w:rPr>
          <w:b/>
          <w:i/>
          <w:szCs w:val="24"/>
          <w:lang w:eastAsia="en-US"/>
        </w:rPr>
        <w:t>.</w:t>
      </w:r>
      <w:r w:rsidR="00092171" w:rsidRPr="00092171">
        <w:rPr>
          <w:szCs w:val="24"/>
          <w:lang w:eastAsia="en-US"/>
        </w:rPr>
        <w:t xml:space="preserve"> Migracja tych substancji </w:t>
      </w:r>
      <w:r w:rsidR="00092171" w:rsidRPr="00092171">
        <w:rPr>
          <w:strike/>
          <w:szCs w:val="24"/>
          <w:lang w:eastAsia="en-US"/>
        </w:rPr>
        <w:t>jest równa lub wyższa niż</w:t>
      </w:r>
      <w:r w:rsidR="00092171" w:rsidRPr="00092171">
        <w:rPr>
          <w:b/>
          <w:i/>
          <w:szCs w:val="24"/>
          <w:lang w:eastAsia="en-US"/>
        </w:rPr>
        <w:t>z zabawek, części składowych zabawek lub mikrostrukturalnie odrębnych części zabawek, nie przekracza</w:t>
      </w:r>
      <w:r w:rsidR="00092171" w:rsidRPr="00092171">
        <w:rPr>
          <w:szCs w:val="24"/>
          <w:lang w:eastAsia="en-US"/>
        </w:rPr>
        <w:t xml:space="preserve"> 0,01 mg/kg w odniesieniu do nitrozoamin i 0,1 mg/kg w odniesieniu do substancji zdolnych do tworzenia nitrozoamin.</w:t>
      </w:r>
      <w:r>
        <w:rPr>
          <w:b/>
          <w:szCs w:val="24"/>
          <w:lang w:eastAsia="en-US"/>
        </w:rPr>
        <w:t xml:space="preserve"> [Popr. 256]</w:t>
      </w:r>
    </w:p>
    <w:p w:rsidR="003F7B69" w:rsidRDefault="003F7B69">
      <w:pPr>
        <w:widowControl/>
        <w:rPr>
          <w:szCs w:val="24"/>
          <w:lang w:eastAsia="en-US"/>
        </w:rPr>
      </w:pPr>
      <w:r>
        <w:rPr>
          <w:szCs w:val="24"/>
          <w:lang w:eastAsia="en-US"/>
        </w:rPr>
        <w:br w:type="page"/>
      </w:r>
    </w:p>
    <w:p w:rsidR="00092171" w:rsidRPr="00092171" w:rsidRDefault="003F7B69" w:rsidP="00092171">
      <w:pPr>
        <w:spacing w:before="120" w:after="120" w:line="360" w:lineRule="auto"/>
        <w:ind w:left="850" w:hanging="850"/>
        <w:rPr>
          <w:szCs w:val="24"/>
          <w:lang w:eastAsia="en-US"/>
        </w:rPr>
      </w:pPr>
      <w:r>
        <w:rPr>
          <w:szCs w:val="24"/>
          <w:lang w:eastAsia="en-US"/>
        </w:rPr>
        <w:lastRenderedPageBreak/>
        <w:t>3</w:t>
      </w:r>
      <w:r w:rsidR="00092171" w:rsidRPr="00092171">
        <w:rPr>
          <w:szCs w:val="24"/>
          <w:lang w:eastAsia="en-US"/>
        </w:rPr>
        <w:t>.</w:t>
      </w:r>
      <w:r w:rsidR="00092171" w:rsidRPr="00092171">
        <w:rPr>
          <w:szCs w:val="24"/>
          <w:lang w:eastAsia="en-US"/>
        </w:rPr>
        <w:tab/>
        <w:t>Następujące wartości graniczne w zabawkach lub częściach składowych zabawek lub mikrostrukturalnie odrębnych częściach zabawek nie mogą zostać przekroczone: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43"/>
        <w:gridCol w:w="1393"/>
        <w:gridCol w:w="4429"/>
      </w:tblGrid>
      <w:tr w:rsidR="00092171" w:rsidRPr="00092171" w:rsidTr="00092171">
        <w:trPr>
          <w:tblHeader/>
        </w:trPr>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val="en-GB" w:eastAsia="en-US"/>
              </w:rPr>
            </w:pPr>
            <w:r w:rsidRPr="003F7B69">
              <w:rPr>
                <w:b/>
                <w:szCs w:val="24"/>
                <w:lang w:val="en-GB" w:eastAsia="en-US"/>
              </w:rPr>
              <w:t>Substancja</w:t>
            </w:r>
          </w:p>
        </w:tc>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val="en-GB" w:eastAsia="en-US"/>
              </w:rPr>
            </w:pPr>
            <w:r w:rsidRPr="003F7B69">
              <w:rPr>
                <w:b/>
                <w:szCs w:val="24"/>
                <w:lang w:val="en-GB" w:eastAsia="en-US"/>
              </w:rPr>
              <w:t>Nr CAS</w:t>
            </w:r>
          </w:p>
        </w:tc>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eastAsia="en-US"/>
              </w:rPr>
            </w:pPr>
            <w:r w:rsidRPr="003F7B69">
              <w:rPr>
                <w:b/>
                <w:szCs w:val="24"/>
                <w:lang w:eastAsia="en-US"/>
              </w:rPr>
              <w:t>Stężenie graniczne i warunki stosowania</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TCEP</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115-96-8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 mg/kg (zawartość graniczna)</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TCPP</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13674-84-5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 mg/kg (zawartość graniczna)</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TDCP</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13674-87-8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 mg/kg (zawartość graniczna)</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Formamid</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75-12-7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 xml:space="preserve">20 </w:t>
            </w:r>
            <w:r w:rsidRPr="00092171">
              <w:rPr>
                <w:szCs w:val="24"/>
                <w:lang w:val="en-GB" w:eastAsia="en-US"/>
              </w:rPr>
              <w:t>μ</w:t>
            </w:r>
            <w:r w:rsidRPr="00092171">
              <w:rPr>
                <w:szCs w:val="24"/>
                <w:lang w:eastAsia="en-US"/>
              </w:rPr>
              <w:t>g/m3 (limit emisji) po maksymalnie 28 dniach od rozpoczęcia badania emisji z piankowych materiałów zabawek zawierających ponad 200 mg/kg (wartość graniczna na podstawie zawartości)</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1,2-benzoizotiazol-3(2H)-on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2634-33-5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5 mg/kg (zawartość graniczna) w wodnych materiałach zabawek, zgodnie z metodami określonymi w normach EN 71-10:2005 i EN 71-11:2005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Masa reakcji: 5-chloro-2-metylo-4-izotiazolin-3-onu [nr WE 247-500-7] i 2-metylo-2H-izotiazol-3-onu [nr WE 220-239-6] (3:1)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55965-84-9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1 mg/kg (zawartość graniczna) w wodnych materiałach zabawek</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lastRenderedPageBreak/>
              <w:t>5-chloro-2-metylo-izotiazolin-3(2H)-on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26172-55-4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0,75 mg/kg (zawartość graniczna) w wodnych materiałach zabawek</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2-metyloizotiazolin-3(2H)-on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2682-20-4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0,25 mg/kg (zawartość graniczna) w wodnych materiałach zabawek</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Fenol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108-95-2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5 mg/l (limit migracji) w materiałach polimerowych zgodnie z metodami określonymi w normach EN 71-10:2005 i EN 71-11:2005. 10 mg/kg (zawartość graniczna) jako substancja konserwująca zgodnie z metodami określonymi w normach EN 71-10:2005 i EN 71-11:2005.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Formaldehyd</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50-00-0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1,5 mg/l (limit migracji) w polimerowych materiałach zabawek 0,062 ml/m3 (limit emisji) w materiałach zabawek będących drewnem 30 mg/kg (zawartość graniczna) w tekstylnych materiałach zabawek 30 mg/kg (zawartość graniczna) w skórzanych materiałach zabawek 30 mg/kg (zawartość graniczna) w papierowych materiałach zabawek 10 mg/kg (zawartość graniczna) w materiałach zabawek na bazie wody</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Anilina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62-53-3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 xml:space="preserve">30 mg/kg (zawartość graniczna) po redukcyjnym rozerwaniu w materiałach włókienniczych i </w:t>
            </w:r>
            <w:r w:rsidRPr="00092171">
              <w:rPr>
                <w:szCs w:val="24"/>
                <w:lang w:eastAsia="en-US"/>
              </w:rPr>
              <w:lastRenderedPageBreak/>
              <w:t>materiałach skórzanych na zabawki 10 mg/kg (zawartość graniczna) dla wolnej aniliny w farbach do malowania palcami 30 mg/kg (zawartość graniczna) po redukcyjnym rozerwaniu w farbach do malowania palcami</w:t>
            </w:r>
          </w:p>
        </w:tc>
      </w:tr>
    </w:tbl>
    <w:p w:rsidR="003F7B69" w:rsidRDefault="003F7B69" w:rsidP="00092171">
      <w:pPr>
        <w:spacing w:before="120" w:after="120" w:line="360" w:lineRule="auto"/>
        <w:ind w:left="850" w:hanging="850"/>
        <w:rPr>
          <w:szCs w:val="24"/>
          <w:lang w:eastAsia="en-US"/>
        </w:rPr>
      </w:pPr>
    </w:p>
    <w:p w:rsidR="003F7B69" w:rsidRDefault="003F7B69">
      <w:pPr>
        <w:widowControl/>
        <w:rPr>
          <w:szCs w:val="24"/>
          <w:lang w:eastAsia="en-US"/>
        </w:rPr>
      </w:pPr>
      <w:r>
        <w:rPr>
          <w:szCs w:val="24"/>
          <w:lang w:eastAsia="en-US"/>
        </w:rPr>
        <w:br w:type="page"/>
      </w:r>
    </w:p>
    <w:p w:rsidR="00092171" w:rsidRPr="003F7B69" w:rsidRDefault="003F7B69" w:rsidP="00092171">
      <w:pPr>
        <w:spacing w:before="120" w:after="120" w:line="360" w:lineRule="auto"/>
        <w:ind w:left="850" w:hanging="850"/>
        <w:rPr>
          <w:b/>
          <w:szCs w:val="24"/>
          <w:lang w:eastAsia="en-US"/>
        </w:rPr>
      </w:pPr>
      <w:r>
        <w:rPr>
          <w:szCs w:val="24"/>
          <w:lang w:eastAsia="en-US"/>
        </w:rPr>
        <w:lastRenderedPageBreak/>
        <w:t>4</w:t>
      </w:r>
      <w:r w:rsidR="00092171" w:rsidRPr="00092171">
        <w:rPr>
          <w:szCs w:val="24"/>
          <w:lang w:eastAsia="en-US"/>
        </w:rPr>
        <w:t>.</w:t>
      </w:r>
      <w:r w:rsidR="00092171" w:rsidRPr="00092171">
        <w:rPr>
          <w:szCs w:val="24"/>
          <w:lang w:eastAsia="en-US"/>
        </w:rPr>
        <w:tab/>
        <w:t xml:space="preserve">Zabawki nie zawierają następujących substancji zapachowych mogących powodować alergie, chyba że ich obecność w zabawce jest nieunikniona z punktu widzenia technicznego przy zastosowaniu zasad dobrej praktyki wytwarzania i nie przekracza </w:t>
      </w:r>
      <w:r w:rsidR="00092171" w:rsidRPr="00092171">
        <w:rPr>
          <w:strike/>
          <w:szCs w:val="24"/>
          <w:lang w:eastAsia="en-US"/>
        </w:rPr>
        <w:t>100</w:t>
      </w:r>
      <w:r w:rsidR="00092171" w:rsidRPr="00092171">
        <w:rPr>
          <w:b/>
          <w:i/>
          <w:szCs w:val="24"/>
          <w:lang w:eastAsia="en-US"/>
        </w:rPr>
        <w:t>10</w:t>
      </w:r>
      <w:r w:rsidR="00092171" w:rsidRPr="00092171">
        <w:rPr>
          <w:szCs w:val="24"/>
          <w:lang w:eastAsia="en-US"/>
        </w:rPr>
        <w:t xml:space="preserve"> mg/kg:</w:t>
      </w:r>
      <w:r>
        <w:rPr>
          <w:b/>
          <w:szCs w:val="24"/>
          <w:lang w:eastAsia="en-US"/>
        </w:rPr>
        <w:t xml:space="preserve"> [Popr. 221]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80"/>
        <w:gridCol w:w="6251"/>
        <w:gridCol w:w="1734"/>
      </w:tblGrid>
      <w:tr w:rsidR="00092171" w:rsidRPr="00092171" w:rsidTr="00092171">
        <w:trPr>
          <w:tblHeader/>
        </w:trPr>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val="en-GB" w:eastAsia="en-US"/>
              </w:rPr>
            </w:pPr>
            <w:r w:rsidRPr="003F7B69">
              <w:rPr>
                <w:b/>
                <w:szCs w:val="24"/>
                <w:lang w:val="en-GB" w:eastAsia="en-US"/>
              </w:rPr>
              <w:t>Nr</w:t>
            </w:r>
          </w:p>
        </w:tc>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eastAsia="en-US"/>
              </w:rPr>
            </w:pPr>
            <w:r w:rsidRPr="003F7B69">
              <w:rPr>
                <w:b/>
                <w:szCs w:val="24"/>
                <w:lang w:eastAsia="en-US"/>
              </w:rPr>
              <w:t>Nazwa substancji zapachowej mogącej powodować alergie</w:t>
            </w:r>
          </w:p>
        </w:tc>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val="en-GB" w:eastAsia="en-US"/>
              </w:rPr>
            </w:pPr>
            <w:r w:rsidRPr="003F7B69">
              <w:rPr>
                <w:b/>
                <w:szCs w:val="24"/>
                <w:lang w:val="en-GB" w:eastAsia="en-US"/>
              </w:rPr>
              <w:t>Numer CAS</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Oman wielki (Inula helenium)</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97676-35-2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Izotiocyjanian allilu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57-06-7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Cyjanek benzylu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140-29-4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4-tert-butylofenol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98-54-4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Olejek komosowy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8006-99-3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Alkohol cyklamenowy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4756-19-8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Maleinian dimetylu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141-05-9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Dihydrokumaryna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119-84-6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2,4-dihydroksy-3-metylobenzaldehyd</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6248-20-0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3,7-dimetylo-2-okten-1-ol (6,7-Diwodorogeraniol)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40607-48-5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4,6-dimetylo-8-trzeciorzędowa-butylkumaryna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17874-34-9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Dimetylo-cytrakonian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617-54-9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7,11-dimetylo-4,6,10-dodekatrien-3-on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26651-96-7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6,10-dimetylo-3,5,9-undekatrien-2-on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141-10-6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(15)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Difenyloamina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122-39-4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Akrylan etylu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140-88-5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Liść figowy, świeży i preparaty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68916-52-9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trans-2-heptenal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18829-55-5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Trans-2-heksenolowy acetal dietylowy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67746-30-9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Trans-2-heksenolowy acetal dietylowy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18318-83-7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Alkohol hydroabietylowy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13393-93-6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4-etoksyfenol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622-62-8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6-izopropylo-2-dekahydronaftalen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34131-99-2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7-metoksykumaryna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531-59-9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4-metoksyfenol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150-76-5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4-(p-metoksyfenylo)-3-buten-2-on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943-88-4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1-(p-metoksyfenylo)-1-penten-3-on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104-27-8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Metyl trans-2-butylenowy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623-43-8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6-metylokumaryna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92-48-8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(30)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7-metylokumaryna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2445-83-2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5-metylo-2,3-heksanodion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13706-86-0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Olejek z korzeni Kostus (Saussurea lappa Clarke)</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8023-88-9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7-etoksy-4-metylokumaryna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87-05-8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Heksahydrokumaryna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700-82-3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Balsam peruwiański, crude (Exudation Myroxylon pereirae Royale Klotzsch)</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8007-00-9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2-Pentylidenocykloheksanol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25677-40-1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3,6,10-trimetylo-3,5,9-undekatrien-2-on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1117-41-5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Olejek werbenowy (Lippia citriodora Kunth)</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8024-12-2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Piżmo ambrowe (4-tert-butyl-3-methoxy-2, 6-dinitrotoluen)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83-66-9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4-fenylo-3-buten-2-on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122-57-6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Cynamonian amylu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122-40-7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Alkohol amylocynamonowy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101-85-9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Alkohol benzylowy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100-51-6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Salicylan benzylu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118-58-1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Alkohol cynamonowy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104-54-1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(46)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Aldehyd cynamonowy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104-55-2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Cytral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5392-40-5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Kumaryna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91-64-5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Eugenol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97-53-0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Geraniol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106-24-1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Hydroksycytronellal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107-75-5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Aldehyd hydroksy-metylopentylo-cykloheksenokarbo-ksylowy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31906-04-4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Izoeugenol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97-54-1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Wyciągi z mchu dębowego</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90028-68-5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Ekstrakt z mchu drzewnego</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90028-67-4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Atranol (2,6-dihydroksy-4-metylo-benzaldehyd)</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526-37-4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Chloroatranol (3-chloro-2,6-dihydroksy-4-metylo-benzaldehyd)</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57074-21-2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Węglan metyloheptynu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111-12-6</w:t>
            </w:r>
          </w:p>
        </w:tc>
      </w:tr>
    </w:tbl>
    <w:p w:rsidR="003F7B69" w:rsidRDefault="003F7B69" w:rsidP="00092171">
      <w:pPr>
        <w:spacing w:before="120" w:after="120" w:line="360" w:lineRule="auto"/>
        <w:jc w:val="center"/>
        <w:rPr>
          <w:szCs w:val="24"/>
          <w:lang w:eastAsia="en-US"/>
        </w:rPr>
      </w:pPr>
    </w:p>
    <w:p w:rsidR="003F7B69" w:rsidRDefault="003F7B69">
      <w:pPr>
        <w:widowControl/>
        <w:rPr>
          <w:szCs w:val="24"/>
          <w:lang w:eastAsia="en-US"/>
        </w:rPr>
      </w:pPr>
      <w:r>
        <w:rPr>
          <w:szCs w:val="24"/>
          <w:lang w:eastAsia="en-US"/>
        </w:rPr>
        <w:br w:type="page"/>
      </w:r>
    </w:p>
    <w:p w:rsidR="00092171" w:rsidRPr="00092171" w:rsidRDefault="00092171" w:rsidP="003F7B69">
      <w:pPr>
        <w:spacing w:before="120" w:after="120" w:line="360" w:lineRule="auto"/>
        <w:rPr>
          <w:szCs w:val="24"/>
          <w:lang w:eastAsia="en-US"/>
        </w:rPr>
      </w:pPr>
      <w:r w:rsidRPr="00092171">
        <w:rPr>
          <w:szCs w:val="24"/>
          <w:lang w:eastAsia="en-US"/>
        </w:rPr>
        <w:lastRenderedPageBreak/>
        <w:t>Część B. Substancje podlegające szczegółowym wymaganiom dotyczącym etykietowania</w:t>
      </w:r>
    </w:p>
    <w:p w:rsidR="00092171" w:rsidRPr="003F7B69" w:rsidRDefault="003F7B69" w:rsidP="00092171">
      <w:pPr>
        <w:spacing w:before="120" w:after="120" w:line="360" w:lineRule="auto"/>
        <w:ind w:left="850" w:hanging="850"/>
        <w:rPr>
          <w:b/>
          <w:szCs w:val="24"/>
          <w:lang w:eastAsia="en-US"/>
        </w:rPr>
      </w:pPr>
      <w:r>
        <w:rPr>
          <w:szCs w:val="24"/>
          <w:lang w:eastAsia="en-US"/>
        </w:rPr>
        <w:t>1</w:t>
      </w:r>
      <w:r w:rsidR="00092171" w:rsidRPr="00092171">
        <w:rPr>
          <w:szCs w:val="24"/>
          <w:lang w:eastAsia="en-US"/>
        </w:rPr>
        <w:t>.</w:t>
      </w:r>
      <w:r w:rsidR="00092171" w:rsidRPr="00092171">
        <w:rPr>
          <w:szCs w:val="24"/>
          <w:lang w:eastAsia="en-US"/>
        </w:rPr>
        <w:tab/>
        <w:t>Na zabawce, na przytwierdzonej etykiecie, na opakowaniu lub w dołączonej ulotce oraz w</w:t>
      </w:r>
      <w:r w:rsidR="00092171" w:rsidRPr="00092171">
        <w:rPr>
          <w:b/>
          <w:i/>
          <w:szCs w:val="24"/>
          <w:lang w:eastAsia="en-US"/>
        </w:rPr>
        <w:t xml:space="preserve"> cyfrowym</w:t>
      </w:r>
      <w:r w:rsidR="00092171" w:rsidRPr="00092171">
        <w:rPr>
          <w:szCs w:val="24"/>
          <w:lang w:eastAsia="en-US"/>
        </w:rPr>
        <w:t xml:space="preserve"> paszporcie produktu umieszcza się nazwy następujących substancji zapachowych mogących powodować alergie, jeżeli dodano je do zabawki, jeżeli są obecne w zabawce lub dowolnej części składowej zabawki w stężeniach przekraczających </w:t>
      </w:r>
      <w:r w:rsidR="00092171" w:rsidRPr="00092171">
        <w:rPr>
          <w:strike/>
          <w:szCs w:val="24"/>
          <w:lang w:eastAsia="en-US"/>
        </w:rPr>
        <w:t>100</w:t>
      </w:r>
      <w:r w:rsidR="00092171" w:rsidRPr="00092171">
        <w:rPr>
          <w:b/>
          <w:i/>
          <w:szCs w:val="24"/>
          <w:lang w:eastAsia="en-US"/>
        </w:rPr>
        <w:t>10</w:t>
      </w:r>
      <w:r w:rsidR="00092171" w:rsidRPr="00092171">
        <w:rPr>
          <w:szCs w:val="24"/>
          <w:lang w:eastAsia="en-US"/>
        </w:rPr>
        <w:t xml:space="preserve"> mg/kg:</w:t>
      </w:r>
      <w:r>
        <w:rPr>
          <w:b/>
          <w:szCs w:val="24"/>
          <w:lang w:eastAsia="en-US"/>
        </w:rPr>
        <w:t xml:space="preserve"> [Popr. 222]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080"/>
        <w:gridCol w:w="4883"/>
        <w:gridCol w:w="3102"/>
      </w:tblGrid>
      <w:tr w:rsidR="00092171" w:rsidRPr="00092171" w:rsidTr="00092171">
        <w:trPr>
          <w:tblHeader/>
        </w:trPr>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val="en-GB" w:eastAsia="en-US"/>
              </w:rPr>
            </w:pPr>
            <w:r w:rsidRPr="003F7B69">
              <w:rPr>
                <w:b/>
                <w:szCs w:val="24"/>
                <w:lang w:val="en-GB" w:eastAsia="en-US"/>
              </w:rPr>
              <w:t>Nr</w:t>
            </w:r>
          </w:p>
        </w:tc>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eastAsia="en-US"/>
              </w:rPr>
            </w:pPr>
            <w:r w:rsidRPr="003F7B69">
              <w:rPr>
                <w:b/>
                <w:szCs w:val="24"/>
                <w:lang w:eastAsia="en-US"/>
              </w:rPr>
              <w:t>Nazwa substancji zapachowej mogącej powodować alergie</w:t>
            </w:r>
          </w:p>
        </w:tc>
        <w:tc>
          <w:tcPr>
            <w:tcW w:w="0" w:type="auto"/>
            <w:tcBorders>
              <w:top w:val="single" w:sz="4" w:space="0" w:color="auto"/>
              <w:left w:val="single" w:sz="4" w:space="0" w:color="auto"/>
              <w:bottom w:val="single" w:sz="4" w:space="0" w:color="auto"/>
              <w:right w:val="single" w:sz="4" w:space="0" w:color="auto"/>
            </w:tcBorders>
            <w:hideMark/>
          </w:tcPr>
          <w:p w:rsidR="00092171" w:rsidRPr="003F7B69" w:rsidRDefault="00092171" w:rsidP="00092171">
            <w:pPr>
              <w:spacing w:before="120" w:after="120" w:line="360" w:lineRule="auto"/>
              <w:rPr>
                <w:b/>
                <w:szCs w:val="24"/>
                <w:lang w:val="en-GB" w:eastAsia="en-US"/>
              </w:rPr>
            </w:pPr>
            <w:r w:rsidRPr="003F7B69">
              <w:rPr>
                <w:b/>
                <w:szCs w:val="24"/>
                <w:lang w:val="en-GB" w:eastAsia="en-US"/>
              </w:rPr>
              <w:t>Numer CAS</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Alkohol anyżowy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105-13-5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Benzoesan benzylu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120-51-4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Cynamonian benzylu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103-41-3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Cytronellol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106-22-9; 1117-61-9; 7540-51-4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Farnezol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4602-84-0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Aldehyd heksylocynamonowy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101-86-0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Lilial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80-54-6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D-limonen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5989-27-5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Linalol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78-70-6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fi-FI" w:eastAsia="en-US"/>
              </w:rPr>
            </w:pPr>
            <w:r w:rsidRPr="00092171">
              <w:rPr>
                <w:szCs w:val="24"/>
                <w:lang w:val="fi-FI" w:eastAsia="en-US"/>
              </w:rPr>
              <w:t>3-metylo-4-(2,6,6-tri-metylo-2-cykloheksen-1-ylo)-3-buten-2-on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127-51-5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Acetylocedren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32388-55-9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Salicylan amylu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2050-08-0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Transanetol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4180-23-8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Benzaldehyd</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100-52-7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(15)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Kamfora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76-22-2; 464-49-3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Karwon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99-49-0; 6485-40-1;  2244-16-8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Beta-kariofylen (ox.)</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87-44-5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Rose ketone-4 (damascenon)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23696-85-7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Alfa-Damaskon (TMCHB)</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43052-87-5; 23726-94-5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Cis-beta-Damaskon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23726-92-3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Delta-Damaskon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57378-68-4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Octan dimetylobenzylokarbinylu (DMBCA)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151-05-3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Heksadekanolakton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109-29-5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Heksametylindanopyran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1222-05-5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(DL)-Limonen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138-86-3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Octan linalilu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115-95-7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Mentol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1490-04-6; 89-78-1;  2216-51-5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Salicylan metylu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119-36-8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3-metylo-5-(2,2,3-trimetylo-3-cyklopenten-1-ylo)pent-4-en-2-ol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67801-20-1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Alfa-pinen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80-56-8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(31)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Beta-pinen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127-91-3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Ftalid propylidenu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17369-59-4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Aldehyd salicylowy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90-02-8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Alfa-santalol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115-71-9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beta-santalol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77-42-9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Sklareol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515-03-7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Alfa-terpineol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10482-56-1; 98-55-5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Terpineol (mieszanina izomerów)</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8000-41-7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Terpinolen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586-62-9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Acetylooktahydronaftalen tetrametylu</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54464-57-2; 54464-59-4; 68155-66-8; 68155-67-9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Benzenopropanol trimetylu (Majantol)</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103694-68-4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Wanilina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121-33-5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Cananga odorata i olejek ylang-ylang</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83863-30-3; 8006-81-3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Olejek z kory Cedrus atlantica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92201-55-3; 8000-27-9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 liści Cinnamomum cassia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8007-80-5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 kory Cinnamomum zeylanicum</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84649-98-9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 kwiatów Citrus aurantium amara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8016-38-4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Olejek ze skórki Citrus aurantium amara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72968-50-4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(49)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ze skórki Citrus bergamia (wyciśnięty)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89957-91-5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ze skórki Citrus limonum (wyciśnięty)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84929-31-7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Olejek ze skórki Citrus sinensis (syn.: Aurantium dulcis) (wyciśnięty)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97766-30-8; 8028-48-6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Olejki Cymbopogon citratus/schoenanthus</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89998-14-1; 8007-02-01; 89998-16-3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 liści Eucalyptus spp.</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92502-70-0; 8000-48-4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 kwiatów/liści Eugenia caryophyllus</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8000-34-8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Jasminum grandiflorum / officinale</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84776-64-7; 90045-94-6; 8022-96-6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Juniperus virginiana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8000-27-9; 85085-41-2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 owoców Laurus nobilis</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8007-48-5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 liści Laurus nobilis</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8002-41-3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 nasion Laurus nobilis</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84603-73-6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Lavandula hybrida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91722-69-9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Lavandula officinalis</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84776-65-8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Mentha piperita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8006-90-4; 84082-70-2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Mentha spicata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84696-51-5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(64)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Narcissus spp.</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diverse</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Pelargonium graveolens</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90082-51-2; 8000-46-2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Pinus mugo</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90082-72-7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Pinus pumila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97676-05-6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Pogostemon cablin</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8014-09-03; 84238-39-1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(69)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Olejek z kwiatów róży (Rosa spp.)</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diverse</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Santalum album</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84787-70-2; 8006-87-9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(71)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Terpentyna (olejek)</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8006-64-2; 9005-90-7;  8052-14-0</w:t>
            </w:r>
          </w:p>
        </w:tc>
      </w:tr>
    </w:tbl>
    <w:p w:rsidR="003F7B69" w:rsidRDefault="003F7B69" w:rsidP="00092171">
      <w:pPr>
        <w:spacing w:before="120" w:after="120" w:line="360" w:lineRule="auto"/>
        <w:ind w:left="850" w:hanging="850"/>
        <w:rPr>
          <w:szCs w:val="24"/>
          <w:lang w:eastAsia="en-US"/>
        </w:rPr>
      </w:pP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Stosowanie substancji zapachowych, o których mowa w pozycjach 41–55 tabeli w części A pkt 4, i substancji zapachowych, o których mowa w pozycjach 1–10 tabeli w pkt 1 niniejszej części, jest dozwolone w zapachowych grach planszowych, zestawach kosmetycznych i grach smakowych, jeżeli spełnione są następujące warunki: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te substancje zapachowe są wyraźnie oznakowane na opakowaniu zabawki, a opakowanie zawiera ostrzeżenie, o którym mowa w pkt 11 załącznika III;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w stosownym przypadku, jeżeli produkty wytworzone przez dziecko zgodnie z instrukcją producenta spełniają wymagania rozporządzenia (WE) nr 1223/2009 oraz</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tam, gdzie ma to zastosowanie, substancje zapachowe są zgodne z odnośnym ustawodawstwem unijnym dotyczącym żywności.</w:t>
      </w:r>
    </w:p>
    <w:p w:rsidR="00092171" w:rsidRPr="00092171" w:rsidRDefault="00092171" w:rsidP="00092171">
      <w:pPr>
        <w:spacing w:before="120" w:after="120" w:line="360" w:lineRule="auto"/>
        <w:ind w:left="850"/>
        <w:rPr>
          <w:szCs w:val="24"/>
          <w:lang w:eastAsia="en-US"/>
        </w:rPr>
      </w:pPr>
      <w:r w:rsidRPr="00092171">
        <w:rPr>
          <w:szCs w:val="24"/>
          <w:lang w:eastAsia="en-US"/>
        </w:rPr>
        <w:t>Takie zapachowe gry planszowe, zestawy kosmetyczne i gry smakowe nie mogą być używane przez dzieci w wieku poniżej 36 miesięcy i muszą być zgodne z pkt 2 załącznika III.</w:t>
      </w:r>
    </w:p>
    <w:p w:rsidR="003F7B69" w:rsidRDefault="003F7B69">
      <w:pPr>
        <w:widowControl/>
        <w:rPr>
          <w:szCs w:val="24"/>
          <w:lang w:eastAsia="en-US"/>
        </w:rPr>
      </w:pPr>
      <w:r>
        <w:rPr>
          <w:szCs w:val="24"/>
          <w:lang w:eastAsia="en-US"/>
        </w:rPr>
        <w:br w:type="page"/>
      </w:r>
    </w:p>
    <w:p w:rsidR="00092171" w:rsidRPr="00092171" w:rsidRDefault="00092171" w:rsidP="003F7B69">
      <w:pPr>
        <w:spacing w:before="120" w:after="120" w:line="360" w:lineRule="auto"/>
        <w:rPr>
          <w:szCs w:val="24"/>
          <w:lang w:eastAsia="en-US"/>
        </w:rPr>
      </w:pPr>
      <w:r w:rsidRPr="00092171">
        <w:rPr>
          <w:szCs w:val="24"/>
          <w:lang w:eastAsia="en-US"/>
        </w:rPr>
        <w:lastRenderedPageBreak/>
        <w:t>Część C. Dozwolone zastosowania substancji podlegających ogólnym zakazom określonym w części III pkt 4 załącznika II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4"/>
        <w:gridCol w:w="2254"/>
        <w:gridCol w:w="2254"/>
        <w:gridCol w:w="2589"/>
      </w:tblGrid>
      <w:tr w:rsidR="003F7B69" w:rsidRPr="00C14C3A" w:rsidTr="003F7B69">
        <w:tc>
          <w:tcPr>
            <w:tcW w:w="2254" w:type="dxa"/>
            <w:tcBorders>
              <w:top w:val="single" w:sz="4" w:space="0" w:color="auto"/>
              <w:left w:val="single" w:sz="4" w:space="0" w:color="auto"/>
              <w:bottom w:val="single" w:sz="4" w:space="0" w:color="auto"/>
              <w:right w:val="single" w:sz="4" w:space="0" w:color="auto"/>
            </w:tcBorders>
            <w:hideMark/>
          </w:tcPr>
          <w:p w:rsidR="003F7B69" w:rsidRPr="003F7B69" w:rsidRDefault="003F7B69" w:rsidP="00AE41B9">
            <w:pPr>
              <w:pStyle w:val="Normal6a"/>
              <w:rPr>
                <w:rFonts w:eastAsia="Calibri"/>
                <w:b/>
              </w:rPr>
            </w:pPr>
            <w:r w:rsidRPr="003F7B69">
              <w:rPr>
                <w:b/>
              </w:rPr>
              <w:t>Substancja</w:t>
            </w:r>
          </w:p>
        </w:tc>
        <w:tc>
          <w:tcPr>
            <w:tcW w:w="2254" w:type="dxa"/>
            <w:tcBorders>
              <w:top w:val="single" w:sz="4" w:space="0" w:color="auto"/>
              <w:left w:val="single" w:sz="4" w:space="0" w:color="auto"/>
              <w:bottom w:val="single" w:sz="4" w:space="0" w:color="auto"/>
              <w:right w:val="single" w:sz="4" w:space="0" w:color="auto"/>
            </w:tcBorders>
            <w:hideMark/>
          </w:tcPr>
          <w:p w:rsidR="003F7B69" w:rsidRPr="003F7B69" w:rsidRDefault="003F7B69" w:rsidP="00AE41B9">
            <w:pPr>
              <w:pStyle w:val="Normal6a"/>
              <w:rPr>
                <w:rFonts w:eastAsia="Calibri"/>
                <w:b/>
              </w:rPr>
            </w:pPr>
            <w:r w:rsidRPr="003F7B69">
              <w:rPr>
                <w:b/>
              </w:rPr>
              <w:t>Klasyfikacja</w:t>
            </w:r>
          </w:p>
        </w:tc>
        <w:tc>
          <w:tcPr>
            <w:tcW w:w="2254" w:type="dxa"/>
            <w:tcBorders>
              <w:top w:val="single" w:sz="4" w:space="0" w:color="auto"/>
              <w:left w:val="single" w:sz="4" w:space="0" w:color="auto"/>
              <w:bottom w:val="single" w:sz="4" w:space="0" w:color="auto"/>
              <w:right w:val="single" w:sz="4" w:space="0" w:color="auto"/>
            </w:tcBorders>
            <w:hideMark/>
          </w:tcPr>
          <w:p w:rsidR="003F7B69" w:rsidRPr="003F7B69" w:rsidRDefault="003F7B69" w:rsidP="00AE41B9">
            <w:pPr>
              <w:pStyle w:val="Normal6a"/>
              <w:rPr>
                <w:rFonts w:eastAsia="Calibri"/>
                <w:b/>
              </w:rPr>
            </w:pPr>
            <w:r w:rsidRPr="003F7B69">
              <w:rPr>
                <w:b/>
              </w:rPr>
              <w:t>Dozwolone zastosowanie</w:t>
            </w:r>
          </w:p>
        </w:tc>
        <w:tc>
          <w:tcPr>
            <w:tcW w:w="2589" w:type="dxa"/>
            <w:tcBorders>
              <w:top w:val="single" w:sz="4" w:space="0" w:color="auto"/>
              <w:left w:val="single" w:sz="4" w:space="0" w:color="auto"/>
              <w:bottom w:val="single" w:sz="4" w:space="0" w:color="auto"/>
              <w:right w:val="single" w:sz="4" w:space="0" w:color="auto"/>
            </w:tcBorders>
            <w:hideMark/>
          </w:tcPr>
          <w:p w:rsidR="003F7B69" w:rsidRPr="003F7B69" w:rsidRDefault="003F7B69" w:rsidP="00AE41B9">
            <w:pPr>
              <w:pStyle w:val="Normal6a"/>
              <w:rPr>
                <w:rFonts w:eastAsia="Calibri"/>
                <w:b/>
              </w:rPr>
            </w:pPr>
            <w:r w:rsidRPr="00C14C3A">
              <w:rPr>
                <w:b/>
                <w:i/>
              </w:rPr>
              <w:t>Daty rozpoczęcia stosowania</w:t>
            </w:r>
            <w:r>
              <w:rPr>
                <w:b/>
              </w:rPr>
              <w:t xml:space="preserve"> [Popr. 258]</w:t>
            </w:r>
          </w:p>
        </w:tc>
      </w:tr>
      <w:tr w:rsidR="003F7B69" w:rsidRPr="00C14C3A" w:rsidTr="003F7B69">
        <w:tc>
          <w:tcPr>
            <w:tcW w:w="2254" w:type="dxa"/>
            <w:tcBorders>
              <w:top w:val="single" w:sz="4" w:space="0" w:color="auto"/>
              <w:left w:val="single" w:sz="4" w:space="0" w:color="auto"/>
              <w:bottom w:val="single" w:sz="4" w:space="0" w:color="auto"/>
              <w:right w:val="single" w:sz="4" w:space="0" w:color="auto"/>
            </w:tcBorders>
            <w:hideMark/>
          </w:tcPr>
          <w:p w:rsidR="003F7B69" w:rsidRPr="00C14C3A" w:rsidRDefault="003F7B69" w:rsidP="00AE41B9">
            <w:pPr>
              <w:pStyle w:val="Normal6a"/>
              <w:rPr>
                <w:rFonts w:eastAsia="Calibri"/>
              </w:rPr>
            </w:pPr>
            <w:r w:rsidRPr="00C14C3A">
              <w:t>Nikiel</w:t>
            </w:r>
          </w:p>
        </w:tc>
        <w:tc>
          <w:tcPr>
            <w:tcW w:w="2254" w:type="dxa"/>
            <w:tcBorders>
              <w:top w:val="single" w:sz="4" w:space="0" w:color="auto"/>
              <w:left w:val="single" w:sz="4" w:space="0" w:color="auto"/>
              <w:bottom w:val="single" w:sz="4" w:space="0" w:color="auto"/>
              <w:right w:val="single" w:sz="4" w:space="0" w:color="auto"/>
            </w:tcBorders>
            <w:hideMark/>
          </w:tcPr>
          <w:p w:rsidR="003F7B69" w:rsidRPr="00C14C3A" w:rsidRDefault="003F7B69" w:rsidP="00AE41B9">
            <w:pPr>
              <w:pStyle w:val="Normal6a"/>
              <w:rPr>
                <w:rFonts w:eastAsia="Calibri"/>
              </w:rPr>
            </w:pPr>
            <w:r w:rsidRPr="00C14C3A">
              <w:t>Carc 2</w:t>
            </w:r>
          </w:p>
        </w:tc>
        <w:tc>
          <w:tcPr>
            <w:tcW w:w="2254" w:type="dxa"/>
            <w:tcBorders>
              <w:top w:val="single" w:sz="4" w:space="0" w:color="auto"/>
              <w:left w:val="single" w:sz="4" w:space="0" w:color="auto"/>
              <w:bottom w:val="single" w:sz="4" w:space="0" w:color="auto"/>
              <w:right w:val="single" w:sz="4" w:space="0" w:color="auto"/>
            </w:tcBorders>
            <w:hideMark/>
          </w:tcPr>
          <w:p w:rsidR="003F7B69" w:rsidRPr="00C14C3A" w:rsidRDefault="003F7B69" w:rsidP="00AE41B9">
            <w:pPr>
              <w:pStyle w:val="Normal6a"/>
              <w:rPr>
                <w:rFonts w:eastAsia="Calibri"/>
              </w:rPr>
            </w:pPr>
            <w:r w:rsidRPr="00C14C3A">
              <w:t>W zabawkach i częściach zabawek wykonanych ze stali nierdzewnej.</w:t>
            </w:r>
          </w:p>
          <w:p w:rsidR="003F7B69" w:rsidRPr="00C14C3A" w:rsidRDefault="003F7B69" w:rsidP="00AE41B9">
            <w:pPr>
              <w:pStyle w:val="Normal6a"/>
              <w:rPr>
                <w:rFonts w:eastAsia="Calibri"/>
              </w:rPr>
            </w:pPr>
            <w:r w:rsidRPr="00C14C3A">
              <w:t>W częściach zabawek służących przewodzeniu prądu elektrycznego.</w:t>
            </w:r>
          </w:p>
        </w:tc>
        <w:tc>
          <w:tcPr>
            <w:tcW w:w="2589" w:type="dxa"/>
            <w:tcBorders>
              <w:top w:val="single" w:sz="4" w:space="0" w:color="auto"/>
              <w:left w:val="single" w:sz="4" w:space="0" w:color="auto"/>
              <w:bottom w:val="single" w:sz="4" w:space="0" w:color="auto"/>
              <w:right w:val="single" w:sz="4" w:space="0" w:color="auto"/>
            </w:tcBorders>
          </w:tcPr>
          <w:p w:rsidR="003F7B69" w:rsidRPr="00C14C3A" w:rsidRDefault="003F7B69" w:rsidP="00AE41B9">
            <w:pPr>
              <w:pStyle w:val="Normal6a"/>
              <w:rPr>
                <w:rFonts w:eastAsia="Calibri"/>
              </w:rPr>
            </w:pPr>
          </w:p>
        </w:tc>
      </w:tr>
    </w:tbl>
    <w:p w:rsidR="00092171" w:rsidRPr="003F7B69" w:rsidRDefault="00092171" w:rsidP="00092171">
      <w:pPr>
        <w:widowControl/>
        <w:spacing w:line="360" w:lineRule="auto"/>
        <w:rPr>
          <w:szCs w:val="24"/>
          <w:lang w:eastAsia="en-US"/>
        </w:rPr>
        <w:sectPr w:rsidR="00092171" w:rsidRPr="003F7B69">
          <w:footnotePr>
            <w:numRestart w:val="eachSect"/>
          </w:footnotePr>
          <w:pgSz w:w="11909" w:h="16834"/>
          <w:pgMar w:top="1134" w:right="1417" w:bottom="1417" w:left="1417" w:header="1134" w:footer="567" w:gutter="0"/>
          <w:cols w:space="720"/>
        </w:sectPr>
      </w:pPr>
    </w:p>
    <w:p w:rsidR="00092171" w:rsidRPr="00FD7FCD" w:rsidRDefault="00092171" w:rsidP="00092171">
      <w:pPr>
        <w:spacing w:before="120" w:after="120" w:line="360" w:lineRule="auto"/>
        <w:jc w:val="center"/>
        <w:rPr>
          <w:lang w:eastAsia="en-US"/>
        </w:rPr>
      </w:pPr>
      <w:r w:rsidRPr="00FD7FCD">
        <w:rPr>
          <w:lang w:eastAsia="en-US"/>
        </w:rPr>
        <w:lastRenderedPageBreak/>
        <w:t>ZAŁĄCZNIK III</w:t>
      </w:r>
    </w:p>
    <w:p w:rsidR="00092171" w:rsidRPr="00092171" w:rsidRDefault="00092171" w:rsidP="00092171">
      <w:pPr>
        <w:spacing w:before="120" w:after="120" w:line="360" w:lineRule="auto"/>
        <w:rPr>
          <w:szCs w:val="24"/>
          <w:lang w:eastAsia="en-US"/>
        </w:rPr>
      </w:pPr>
      <w:r w:rsidRPr="00092171">
        <w:rPr>
          <w:szCs w:val="24"/>
          <w:lang w:eastAsia="en-US"/>
        </w:rPr>
        <w:t>OSTRZEŻENIA I WSKAZANIA ZACHOWANIA ŚRODKÓW OSTROŻNOŚCI PODCZAS UŻYWANIA NIEKTÓRYCH KATEGORII ZABAWEK</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Zasady ogólne – prezentacja</w:t>
      </w:r>
    </w:p>
    <w:p w:rsidR="003F7B69" w:rsidRDefault="00092171" w:rsidP="00092171">
      <w:pPr>
        <w:spacing w:before="120" w:after="120" w:line="360" w:lineRule="auto"/>
        <w:ind w:left="850"/>
        <w:rPr>
          <w:b/>
          <w:szCs w:val="24"/>
          <w:lang w:eastAsia="en-US"/>
        </w:rPr>
      </w:pPr>
      <w:r w:rsidRPr="00092171">
        <w:rPr>
          <w:szCs w:val="24"/>
          <w:lang w:eastAsia="en-US"/>
        </w:rPr>
        <w:t xml:space="preserve">Wszystkie ostrzeżenia poprzedza się słowami „Ostrzeżenie” lub, alternatywnie, ogólnym piktogramem, takim jak </w:t>
      </w:r>
      <w:r w:rsidRPr="00092171">
        <w:rPr>
          <w:strike/>
          <w:szCs w:val="24"/>
          <w:lang w:eastAsia="en-US"/>
        </w:rPr>
        <w:t>ten</w:t>
      </w:r>
      <w:r w:rsidRPr="00092171">
        <w:rPr>
          <w:b/>
          <w:i/>
          <w:szCs w:val="24"/>
          <w:lang w:eastAsia="en-US"/>
        </w:rPr>
        <w:t>piktogram</w:t>
      </w:r>
      <w:r w:rsidRPr="00092171">
        <w:rPr>
          <w:szCs w:val="24"/>
          <w:lang w:eastAsia="en-US"/>
        </w:rPr>
        <w:t xml:space="preserve"> widniejący poniżej</w:t>
      </w:r>
      <w:r w:rsidRPr="00092171">
        <w:rPr>
          <w:b/>
          <w:i/>
          <w:szCs w:val="24"/>
          <w:lang w:eastAsia="en-US"/>
        </w:rPr>
        <w:t>, które umieszcza się w widocznym miejscu</w:t>
      </w:r>
      <w:r w:rsidRPr="00092171">
        <w:rPr>
          <w:szCs w:val="24"/>
          <w:lang w:eastAsia="en-US"/>
        </w:rPr>
        <w:t>:</w:t>
      </w:r>
      <w:r w:rsidR="003F7B69">
        <w:rPr>
          <w:b/>
          <w:szCs w:val="24"/>
          <w:lang w:eastAsia="en-US"/>
        </w:rPr>
        <w:t xml:space="preserve"> [Popr. 223]</w:t>
      </w:r>
    </w:p>
    <w:p w:rsidR="00092171" w:rsidRPr="003F7B69" w:rsidRDefault="003F7B69" w:rsidP="003F7B69">
      <w:pPr>
        <w:spacing w:before="120" w:after="120" w:line="360" w:lineRule="auto"/>
        <w:ind w:left="850"/>
        <w:jc w:val="center"/>
        <w:rPr>
          <w:b/>
          <w:szCs w:val="24"/>
          <w:lang w:eastAsia="en-US"/>
        </w:rPr>
      </w:pPr>
      <w:r w:rsidRPr="00F719C0">
        <w:rPr>
          <w:noProof/>
          <w:szCs w:val="24"/>
          <w:lang w:val="en-GB"/>
        </w:rPr>
        <w:drawing>
          <wp:inline distT="0" distB="0" distL="0" distR="0" wp14:anchorId="4CD70DCD" wp14:editId="71394637">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Zabawki nieprzeznaczone dla dzieci w wieku poniżej 36 miesięcy</w:t>
      </w:r>
    </w:p>
    <w:p w:rsidR="00092171" w:rsidRDefault="00092171" w:rsidP="00092171">
      <w:pPr>
        <w:spacing w:before="120" w:after="120" w:line="360" w:lineRule="auto"/>
        <w:ind w:left="850"/>
        <w:rPr>
          <w:szCs w:val="24"/>
          <w:lang w:eastAsia="en-US"/>
        </w:rPr>
      </w:pPr>
      <w:r w:rsidRPr="00092171">
        <w:rPr>
          <w:szCs w:val="24"/>
          <w:lang w:eastAsia="en-US"/>
        </w:rPr>
        <w:t>Zabawki, które mogą być niebezpieczne dla dzieci w wieku poniżej 36 miesięcy, są opatrzone ostrzeżeniem, takim jak: „Nie nadaje się dla dzieci w wieku poniżej 36 miesięcy” lub „Nie nadaje się dla dzieci w wieku poniżej 3 lat” lub ostrzeżeniem w formie następującego piktogramu:</w:t>
      </w:r>
    </w:p>
    <w:p w:rsidR="003F7B69" w:rsidRPr="00092171" w:rsidRDefault="003F7B69" w:rsidP="003F7B69">
      <w:pPr>
        <w:spacing w:before="120" w:after="120" w:line="360" w:lineRule="auto"/>
        <w:ind w:left="850"/>
        <w:jc w:val="center"/>
        <w:rPr>
          <w:szCs w:val="24"/>
          <w:lang w:eastAsia="en-US"/>
        </w:rPr>
      </w:pPr>
      <w:r w:rsidRPr="00F719C0">
        <w:rPr>
          <w:noProof/>
          <w:szCs w:val="24"/>
          <w:lang w:val="en-GB"/>
        </w:rPr>
        <w:drawing>
          <wp:inline distT="0" distB="0" distL="0" distR="0" wp14:anchorId="75FCE008" wp14:editId="012B99A2">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092171" w:rsidRPr="003F7B69" w:rsidRDefault="00092171" w:rsidP="00092171">
      <w:pPr>
        <w:spacing w:before="120" w:after="120" w:line="360" w:lineRule="auto"/>
        <w:rPr>
          <w:b/>
          <w:szCs w:val="24"/>
          <w:lang w:eastAsia="en-US"/>
        </w:rPr>
      </w:pPr>
      <w:r w:rsidRPr="00092171">
        <w:rPr>
          <w:b/>
          <w:i/>
          <w:szCs w:val="24"/>
          <w:lang w:eastAsia="en-US"/>
        </w:rPr>
        <w:t xml:space="preserve">Piktogram ma średnicę co najmniej 10 mm i zawiera czerwony okrąg na białym tle z tekstem i twarzą w czarnym kolorze. </w:t>
      </w:r>
      <w:r w:rsidRPr="00092171">
        <w:rPr>
          <w:szCs w:val="24"/>
          <w:lang w:eastAsia="en-US"/>
        </w:rPr>
        <w:t>Ostrzeżeniom tym towarzyszy krótkie wskazanie, które może pojawić się w instrukcjach użytkowania, o szczególnym zagrożeniu wymagającym takiego ostrzeżenia.</w:t>
      </w:r>
      <w:r w:rsidR="003F7B69">
        <w:rPr>
          <w:b/>
          <w:szCs w:val="24"/>
          <w:lang w:eastAsia="en-US"/>
        </w:rPr>
        <w:t xml:space="preserve"> [Popr. 224]</w:t>
      </w:r>
    </w:p>
    <w:p w:rsidR="00092171" w:rsidRPr="00092171" w:rsidRDefault="00092171" w:rsidP="00092171">
      <w:pPr>
        <w:spacing w:before="120" w:after="120" w:line="360" w:lineRule="auto"/>
        <w:rPr>
          <w:szCs w:val="24"/>
          <w:lang w:eastAsia="en-US"/>
        </w:rPr>
      </w:pPr>
      <w:r w:rsidRPr="00092171">
        <w:rPr>
          <w:szCs w:val="24"/>
          <w:lang w:eastAsia="en-US"/>
        </w:rPr>
        <w:t>Punkt ten nie ma zastosowania do zabawek, które ze względu na swoje funkcje, wymiary, cechy, właściwości lub inne przekonujące przyczyny są w oczywisty sposób nieodpowiednie dla dzieci w wieku poniżej 36 miesięcy.</w:t>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Zabawki ruchowe</w:t>
      </w:r>
    </w:p>
    <w:p w:rsidR="00092171" w:rsidRPr="00092171" w:rsidRDefault="00092171" w:rsidP="00092171">
      <w:pPr>
        <w:spacing w:before="120" w:after="120" w:line="360" w:lineRule="auto"/>
        <w:ind w:left="850"/>
        <w:rPr>
          <w:szCs w:val="24"/>
          <w:lang w:eastAsia="en-US"/>
        </w:rPr>
      </w:pPr>
      <w:r w:rsidRPr="00092171">
        <w:rPr>
          <w:szCs w:val="24"/>
          <w:lang w:eastAsia="en-US"/>
        </w:rPr>
        <w:t>Zabawki ruchowe zawierają następujące ostrzeżenie:</w:t>
      </w:r>
    </w:p>
    <w:p w:rsidR="00092171" w:rsidRPr="00092171" w:rsidRDefault="00092171" w:rsidP="00092171">
      <w:pPr>
        <w:spacing w:before="120" w:after="120" w:line="360" w:lineRule="auto"/>
        <w:ind w:left="850"/>
        <w:rPr>
          <w:szCs w:val="24"/>
          <w:lang w:eastAsia="en-US"/>
        </w:rPr>
      </w:pPr>
      <w:r w:rsidRPr="00092171">
        <w:rPr>
          <w:szCs w:val="24"/>
          <w:lang w:eastAsia="en-US"/>
        </w:rPr>
        <w:t>Wyłącznie do użytku domowego.</w:t>
      </w:r>
    </w:p>
    <w:p w:rsidR="00092171" w:rsidRPr="00092171" w:rsidRDefault="00092171" w:rsidP="00092171">
      <w:pPr>
        <w:spacing w:before="120" w:after="120" w:line="360" w:lineRule="auto"/>
        <w:ind w:left="850"/>
        <w:rPr>
          <w:szCs w:val="24"/>
          <w:lang w:eastAsia="en-US"/>
        </w:rPr>
      </w:pPr>
      <w:r w:rsidRPr="00092171">
        <w:rPr>
          <w:szCs w:val="24"/>
          <w:lang w:eastAsia="en-US"/>
        </w:rPr>
        <w:t>Do zabawek ruchowych przymocowanych do belki poprzecznej, jak również, odpowiednio, do innych zabawek ruchowych, dołącza się instrukcje zwracające uwagę na potrzebę przeprowadzania okresowych kontroli i konserwacji podstawowych części (zawieszeń, mocowań, zakotwiczeń itd.) oraz wskazujące, że jeżeli kontrole takie nie są przeprowadzane, zabawka może spowodować upadek lub przewrócenie się.</w:t>
      </w:r>
    </w:p>
    <w:p w:rsidR="00092171" w:rsidRPr="00092171" w:rsidRDefault="00092171" w:rsidP="00092171">
      <w:pPr>
        <w:spacing w:before="120" w:after="120" w:line="360" w:lineRule="auto"/>
        <w:ind w:left="850"/>
        <w:rPr>
          <w:szCs w:val="24"/>
          <w:lang w:eastAsia="en-US"/>
        </w:rPr>
      </w:pPr>
      <w:r w:rsidRPr="00092171">
        <w:rPr>
          <w:szCs w:val="24"/>
          <w:lang w:eastAsia="en-US"/>
        </w:rPr>
        <w:t>W instrukcjach wskazuje się również prawidłowy sposób montażu zabawki, oznaczając te części, które w przypadku wadliwego montażu mogą spowodować niebezpieczeństwo. Konieczne jest podanie dokładnych informacji dotyczących odpowiedniej powierzchni dla umieszczenia zabawki.</w:t>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4.</w:t>
      </w:r>
      <w:r w:rsidRPr="00092171">
        <w:rPr>
          <w:szCs w:val="24"/>
          <w:lang w:eastAsia="en-US"/>
        </w:rPr>
        <w:tab/>
        <w:t>Zabawki funkcjonalne</w:t>
      </w:r>
    </w:p>
    <w:p w:rsidR="00092171" w:rsidRPr="00092171" w:rsidRDefault="00092171" w:rsidP="00092171">
      <w:pPr>
        <w:spacing w:before="120" w:after="120" w:line="360" w:lineRule="auto"/>
        <w:ind w:left="850"/>
        <w:rPr>
          <w:szCs w:val="24"/>
          <w:lang w:eastAsia="en-US"/>
        </w:rPr>
      </w:pPr>
      <w:r w:rsidRPr="00092171">
        <w:rPr>
          <w:szCs w:val="24"/>
          <w:lang w:eastAsia="en-US"/>
        </w:rPr>
        <w:t>Na zabawkach funkcjonalnych umieszcza się następujące ostrzeżenie:</w:t>
      </w:r>
    </w:p>
    <w:p w:rsidR="00092171" w:rsidRPr="00092171" w:rsidRDefault="00092171" w:rsidP="00092171">
      <w:pPr>
        <w:spacing w:before="120" w:after="120" w:line="360" w:lineRule="auto"/>
        <w:ind w:left="850"/>
        <w:rPr>
          <w:szCs w:val="24"/>
          <w:lang w:eastAsia="en-US"/>
        </w:rPr>
      </w:pPr>
      <w:r w:rsidRPr="00092171">
        <w:rPr>
          <w:szCs w:val="24"/>
          <w:lang w:eastAsia="en-US"/>
        </w:rPr>
        <w:t>Do użytku pod bezpośrednim nadzorem osoby dorosłej.</w:t>
      </w:r>
    </w:p>
    <w:p w:rsidR="00092171" w:rsidRPr="00092171" w:rsidRDefault="00092171" w:rsidP="00092171">
      <w:pPr>
        <w:spacing w:before="120" w:after="120" w:line="360" w:lineRule="auto"/>
        <w:ind w:left="850"/>
        <w:rPr>
          <w:szCs w:val="24"/>
          <w:lang w:eastAsia="en-US"/>
        </w:rPr>
      </w:pPr>
      <w:r w:rsidRPr="00092171">
        <w:rPr>
          <w:szCs w:val="24"/>
          <w:lang w:eastAsia="en-US"/>
        </w:rPr>
        <w:t>Ponadto do zabawek funkcjonalnych dołącza się wskazówki obejmujące instrukcję użycia, jak również środki ostrożności, które mają zostać zastosowane przez użytkownika, z ostrzeżeniem wskazującym, że niezastosowanie się do tych instrukcji użycia lub niezachowanie tych środków ostrożności narazi użytkownika na zagrożenia zazwyczaj związane z urządzeniem lub produktem, którego zabawka jest modelem w zmniejszonej skali lub imitacją. W ostrzeżeniu tym wymienia się odnośne zagrożenia. Ponadto wskazuje się, że zabawka musi być przechowywana w miejscu niedostępnym dla dzieci poniżej pewnego wieku określonego przez producenta.</w:t>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5.</w:t>
      </w:r>
      <w:r w:rsidRPr="00092171">
        <w:rPr>
          <w:szCs w:val="24"/>
          <w:lang w:eastAsia="en-US"/>
        </w:rPr>
        <w:tab/>
        <w:t>Zabawki chemiczne</w:t>
      </w:r>
    </w:p>
    <w:p w:rsidR="00092171" w:rsidRPr="00092171" w:rsidRDefault="00092171" w:rsidP="00092171">
      <w:pPr>
        <w:spacing w:before="120" w:after="120" w:line="360" w:lineRule="auto"/>
        <w:ind w:left="850"/>
        <w:rPr>
          <w:szCs w:val="24"/>
          <w:lang w:eastAsia="en-US"/>
        </w:rPr>
      </w:pPr>
      <w:r w:rsidRPr="00092171">
        <w:rPr>
          <w:szCs w:val="24"/>
          <w:lang w:eastAsia="en-US"/>
        </w:rPr>
        <w:t>Bez uszczerbku dla stosowania przepisów ustanowionych w obowiązującym prawodawstwie unijnym w sprawie klasyfikacji, pakowania i oznakowania niektórych substancji lub mieszanin, w instrukcjach użytkowania zabawek, z których natury wynika, że zawierają niebezpieczne substancje lub mieszaniny, umieszcza się ostrzeżenie o niebezpiecznym charakterze tych substancji lub mieszanin oraz wskazuje się środki ostrożności, jakie powinien zastosować użytkownik, aby uniknąć zagrożeń z nimi związanych. W instrukcjach zwięźle określa się te środki ostrożności zgodnie z rodzajem zabawki. Ponadto umieszcza się informacje dotyczące udzielenia pierwszej pomocy w przypadku poważnych wypadków spowodowanych użyciem takiego typu zabawki. Wskazuje się również, że zabawka musi być przechowywana w miejscu niedostępnym dla dzieci poniżej pewnego wieku określonego przez producenta.</w:t>
      </w:r>
    </w:p>
    <w:p w:rsidR="00092171" w:rsidRPr="00092171" w:rsidRDefault="00092171" w:rsidP="00092171">
      <w:pPr>
        <w:spacing w:before="120" w:after="120" w:line="360" w:lineRule="auto"/>
        <w:ind w:left="850"/>
        <w:rPr>
          <w:szCs w:val="24"/>
          <w:lang w:eastAsia="en-US"/>
        </w:rPr>
      </w:pPr>
      <w:r w:rsidRPr="00092171">
        <w:rPr>
          <w:szCs w:val="24"/>
          <w:lang w:eastAsia="en-US"/>
        </w:rPr>
        <w:t>Poza instrukcjami, o których mowa w akapicie pierwszym, na opakowaniu zabawek chemicznych umieszcza się następujące ostrzeżenie:</w:t>
      </w:r>
    </w:p>
    <w:p w:rsidR="00092171" w:rsidRPr="00092171" w:rsidRDefault="00092171" w:rsidP="00092171">
      <w:pPr>
        <w:spacing w:before="120" w:after="120" w:line="360" w:lineRule="auto"/>
        <w:ind w:left="850"/>
        <w:rPr>
          <w:szCs w:val="24"/>
          <w:lang w:eastAsia="en-US"/>
        </w:rPr>
      </w:pPr>
      <w:r w:rsidRPr="00092171">
        <w:rPr>
          <w:szCs w:val="24"/>
          <w:lang w:eastAsia="en-US"/>
        </w:rPr>
        <w:t xml:space="preserve">Nie nadaje się dla dzieci w wieku poniżej ... </w:t>
      </w:r>
      <w:r w:rsidRPr="00092171">
        <w:rPr>
          <w:szCs w:val="24"/>
          <w:vertAlign w:val="superscript"/>
          <w:lang w:eastAsia="en-US"/>
        </w:rPr>
        <w:footnoteReference w:customMarkFollows="1" w:id="26"/>
        <w:t>1</w:t>
      </w:r>
      <w:r w:rsidRPr="00092171">
        <w:rPr>
          <w:szCs w:val="24"/>
          <w:lang w:eastAsia="en-US"/>
        </w:rPr>
        <w:t xml:space="preserve"> lat. Do używania pod nadzorem osoby dorosłej.</w:t>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6.</w:t>
      </w:r>
      <w:r w:rsidRPr="00092171">
        <w:rPr>
          <w:szCs w:val="24"/>
          <w:lang w:eastAsia="en-US"/>
        </w:rPr>
        <w:tab/>
        <w:t>Łyżwy, wrotki, łyżworolki, deskorolki, hulajnogi i rowerki dziecięce</w:t>
      </w:r>
    </w:p>
    <w:p w:rsidR="00092171" w:rsidRPr="00092171" w:rsidRDefault="00092171" w:rsidP="00092171">
      <w:pPr>
        <w:spacing w:before="120" w:after="120" w:line="360" w:lineRule="auto"/>
        <w:ind w:left="850"/>
        <w:rPr>
          <w:szCs w:val="24"/>
          <w:lang w:eastAsia="en-US"/>
        </w:rPr>
      </w:pPr>
      <w:r w:rsidRPr="00092171">
        <w:rPr>
          <w:szCs w:val="24"/>
          <w:lang w:eastAsia="en-US"/>
        </w:rPr>
        <w:t>Jeżeli łyżwy, wrotki, łyżworolki, deskorolki, hulajnogi i rowerki dziecięce są oferowane na sprzedaż jako zabawki, umieszcza się na nich następujące ostrzeżenie:</w:t>
      </w:r>
    </w:p>
    <w:p w:rsidR="00092171" w:rsidRPr="00092171" w:rsidRDefault="00092171" w:rsidP="00092171">
      <w:pPr>
        <w:spacing w:before="120" w:after="120" w:line="360" w:lineRule="auto"/>
        <w:ind w:left="850"/>
        <w:rPr>
          <w:szCs w:val="24"/>
          <w:lang w:eastAsia="en-US"/>
        </w:rPr>
      </w:pPr>
      <w:r w:rsidRPr="00092171">
        <w:rPr>
          <w:szCs w:val="24"/>
          <w:lang w:eastAsia="en-US"/>
        </w:rPr>
        <w:t>Konieczność stosowania środków ochronnych. Nie używać w ruchu ulicznym.</w:t>
      </w:r>
    </w:p>
    <w:p w:rsidR="00092171" w:rsidRPr="00092171" w:rsidRDefault="00092171" w:rsidP="00092171">
      <w:pPr>
        <w:spacing w:before="120" w:after="120" w:line="360" w:lineRule="auto"/>
        <w:ind w:left="850"/>
        <w:rPr>
          <w:szCs w:val="24"/>
          <w:lang w:eastAsia="en-US"/>
        </w:rPr>
      </w:pPr>
      <w:r w:rsidRPr="00092171">
        <w:rPr>
          <w:szCs w:val="24"/>
          <w:lang w:eastAsia="en-US"/>
        </w:rPr>
        <w:t>Instrukcje użytkowania zawierają przypomnienie, że zabawka taka musi być używana z zachowaniem ostrożności, ponieważ wymaga ona odpowiednich umiejętności, w celu uniknięcia upadków lub zderzeń powodujących zranienie użytkownika lub osób trzecich. Ponadto instrukcje zawierają zalecenia dotyczące stosowania środków ochronnych (kasków, rękawic, ochraniaczy na kolana, łokcie itd.).</w:t>
      </w:r>
    </w:p>
    <w:p w:rsidR="00092171" w:rsidRPr="00092171" w:rsidRDefault="00092171" w:rsidP="00092171">
      <w:pPr>
        <w:spacing w:before="120" w:after="120" w:line="360" w:lineRule="auto"/>
        <w:ind w:left="850" w:hanging="850"/>
        <w:rPr>
          <w:szCs w:val="24"/>
          <w:lang w:eastAsia="en-US"/>
        </w:rPr>
      </w:pPr>
      <w:r w:rsidRPr="00092171">
        <w:rPr>
          <w:szCs w:val="24"/>
          <w:lang w:eastAsia="en-US"/>
        </w:rPr>
        <w:t>7.</w:t>
      </w:r>
      <w:r w:rsidRPr="00092171">
        <w:rPr>
          <w:szCs w:val="24"/>
          <w:lang w:eastAsia="en-US"/>
        </w:rPr>
        <w:tab/>
        <w:t>Zabawki do zabawy w wodzie</w:t>
      </w:r>
    </w:p>
    <w:p w:rsidR="00092171" w:rsidRPr="00092171" w:rsidRDefault="00092171" w:rsidP="00092171">
      <w:pPr>
        <w:spacing w:before="120" w:after="120" w:line="360" w:lineRule="auto"/>
        <w:ind w:left="850"/>
        <w:rPr>
          <w:szCs w:val="24"/>
          <w:lang w:eastAsia="en-US"/>
        </w:rPr>
      </w:pPr>
      <w:r w:rsidRPr="00092171">
        <w:rPr>
          <w:szCs w:val="24"/>
          <w:lang w:eastAsia="en-US"/>
        </w:rPr>
        <w:t>Na zabawkach do zabawy w wodzie umieszcza się następujące ostrzeżenie:</w:t>
      </w:r>
    </w:p>
    <w:p w:rsidR="00092171" w:rsidRPr="00092171" w:rsidRDefault="00092171" w:rsidP="00092171">
      <w:pPr>
        <w:spacing w:before="120" w:after="120" w:line="360" w:lineRule="auto"/>
        <w:ind w:left="850"/>
        <w:rPr>
          <w:szCs w:val="24"/>
          <w:lang w:eastAsia="en-US"/>
        </w:rPr>
      </w:pPr>
      <w:r w:rsidRPr="00092171">
        <w:rPr>
          <w:szCs w:val="24"/>
          <w:lang w:eastAsia="en-US"/>
        </w:rPr>
        <w:t>Do używania jedynie w wodzie na głębokości, na której dziecko wyczuwa dno pod nogami oraz pod nadzorem osoby dorosłej.</w:t>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8.</w:t>
      </w:r>
      <w:r w:rsidRPr="00092171">
        <w:rPr>
          <w:szCs w:val="24"/>
          <w:lang w:eastAsia="en-US"/>
        </w:rPr>
        <w:tab/>
        <w:t>Zabawki w żywności</w:t>
      </w:r>
    </w:p>
    <w:p w:rsidR="00092171" w:rsidRPr="003F7B69" w:rsidRDefault="00092171" w:rsidP="00092171">
      <w:pPr>
        <w:spacing w:before="120" w:after="120" w:line="360" w:lineRule="auto"/>
        <w:ind w:left="850"/>
        <w:rPr>
          <w:b/>
          <w:szCs w:val="24"/>
          <w:lang w:eastAsia="en-US"/>
        </w:rPr>
      </w:pPr>
      <w:r w:rsidRPr="00092171">
        <w:rPr>
          <w:szCs w:val="24"/>
          <w:lang w:eastAsia="en-US"/>
        </w:rPr>
        <w:t xml:space="preserve">Na </w:t>
      </w:r>
      <w:r w:rsidRPr="00092171">
        <w:rPr>
          <w:strike/>
          <w:szCs w:val="24"/>
          <w:lang w:eastAsia="en-US"/>
        </w:rPr>
        <w:t>zabawkach znajdujących się w żywności lub wymieszanych z żywnością</w:t>
      </w:r>
      <w:r w:rsidRPr="00092171">
        <w:rPr>
          <w:b/>
          <w:i/>
          <w:szCs w:val="24"/>
          <w:lang w:eastAsia="en-US"/>
        </w:rPr>
        <w:t>opakowaniach na żywność zawierających zabawki lub na opakowaniach na żywność wymieszaną z zabawkami</w:t>
      </w:r>
      <w:r w:rsidRPr="00092171">
        <w:rPr>
          <w:szCs w:val="24"/>
          <w:lang w:eastAsia="en-US"/>
        </w:rPr>
        <w:t xml:space="preserve"> umieszcza się następujące ostrzeżenie:</w:t>
      </w:r>
      <w:r w:rsidR="003F7B69">
        <w:rPr>
          <w:b/>
          <w:szCs w:val="24"/>
          <w:lang w:eastAsia="en-US"/>
        </w:rPr>
        <w:t xml:space="preserve"> [Popr. 225]</w:t>
      </w:r>
    </w:p>
    <w:p w:rsidR="00092171" w:rsidRPr="00092171" w:rsidRDefault="00092171" w:rsidP="00092171">
      <w:pPr>
        <w:spacing w:before="120" w:after="120" w:line="360" w:lineRule="auto"/>
        <w:ind w:left="850"/>
        <w:rPr>
          <w:szCs w:val="24"/>
          <w:lang w:eastAsia="en-US"/>
        </w:rPr>
      </w:pPr>
      <w:r w:rsidRPr="00092171">
        <w:rPr>
          <w:szCs w:val="24"/>
          <w:lang w:eastAsia="en-US"/>
        </w:rPr>
        <w:t>Zawiera zabawkę. Zalecany nadzór osoby dorosłej.</w:t>
      </w:r>
    </w:p>
    <w:p w:rsidR="00092171" w:rsidRPr="00092171" w:rsidRDefault="00092171" w:rsidP="00092171">
      <w:pPr>
        <w:spacing w:before="120" w:after="120" w:line="360" w:lineRule="auto"/>
        <w:ind w:left="850" w:hanging="850"/>
        <w:rPr>
          <w:szCs w:val="24"/>
          <w:lang w:eastAsia="en-US"/>
        </w:rPr>
      </w:pPr>
      <w:r w:rsidRPr="00092171">
        <w:rPr>
          <w:szCs w:val="24"/>
          <w:lang w:eastAsia="en-US"/>
        </w:rPr>
        <w:t>9.</w:t>
      </w:r>
      <w:r w:rsidRPr="00092171">
        <w:rPr>
          <w:szCs w:val="24"/>
          <w:lang w:eastAsia="en-US"/>
        </w:rPr>
        <w:tab/>
        <w:t>Imitacje ochronnych masek i hełmów</w:t>
      </w:r>
    </w:p>
    <w:p w:rsidR="00092171" w:rsidRPr="00092171" w:rsidRDefault="00092171" w:rsidP="00092171">
      <w:pPr>
        <w:spacing w:before="120" w:after="120" w:line="360" w:lineRule="auto"/>
        <w:ind w:left="850"/>
        <w:rPr>
          <w:szCs w:val="24"/>
          <w:lang w:eastAsia="en-US"/>
        </w:rPr>
      </w:pPr>
      <w:r w:rsidRPr="00092171">
        <w:rPr>
          <w:szCs w:val="24"/>
          <w:lang w:eastAsia="en-US"/>
        </w:rPr>
        <w:t>Jeżeli imitacje ochronnych masek i hełmów są oferowane na sprzedaż jako zabawki, umieszcza się na nich następujące ostrzeżenie:</w:t>
      </w:r>
    </w:p>
    <w:p w:rsidR="00092171" w:rsidRPr="00092171" w:rsidRDefault="00092171" w:rsidP="00092171">
      <w:pPr>
        <w:spacing w:before="120" w:after="120" w:line="360" w:lineRule="auto"/>
        <w:ind w:left="850"/>
        <w:rPr>
          <w:szCs w:val="24"/>
          <w:lang w:eastAsia="en-US"/>
        </w:rPr>
      </w:pPr>
      <w:r w:rsidRPr="00092171">
        <w:rPr>
          <w:szCs w:val="24"/>
          <w:lang w:eastAsia="en-US"/>
        </w:rPr>
        <w:t>Ta zabawka nie zapewnia ochrony.</w:t>
      </w:r>
    </w:p>
    <w:p w:rsidR="00092171" w:rsidRPr="00092171" w:rsidRDefault="00092171" w:rsidP="00092171">
      <w:pPr>
        <w:spacing w:before="120" w:after="120" w:line="360" w:lineRule="auto"/>
        <w:ind w:left="850" w:hanging="850"/>
        <w:rPr>
          <w:szCs w:val="24"/>
          <w:lang w:eastAsia="en-US"/>
        </w:rPr>
      </w:pPr>
      <w:r w:rsidRPr="00092171">
        <w:rPr>
          <w:szCs w:val="24"/>
          <w:lang w:eastAsia="en-US"/>
        </w:rPr>
        <w:t>10.</w:t>
      </w:r>
      <w:r w:rsidRPr="00092171">
        <w:rPr>
          <w:szCs w:val="24"/>
          <w:lang w:eastAsia="en-US"/>
        </w:rPr>
        <w:tab/>
        <w:t>Zabawki przeznaczone do zawieszenia na kołysce, łóżeczku lub wózku dziecięcym za pomocą sznurków, tasiemek, gumek lub pasków</w:t>
      </w:r>
    </w:p>
    <w:p w:rsidR="00092171" w:rsidRPr="00092171" w:rsidRDefault="00092171" w:rsidP="00092171">
      <w:pPr>
        <w:spacing w:before="120" w:after="120" w:line="360" w:lineRule="auto"/>
        <w:ind w:left="850"/>
        <w:rPr>
          <w:szCs w:val="24"/>
          <w:lang w:eastAsia="en-US"/>
        </w:rPr>
      </w:pPr>
      <w:r w:rsidRPr="00092171">
        <w:rPr>
          <w:szCs w:val="24"/>
          <w:lang w:eastAsia="en-US"/>
        </w:rPr>
        <w:t>Na opakowaniu zabawek przeznaczonych do zawieszenia na kołysce, łóżeczku lub wózku dziecięcym za pomocą sznurków, tasiemek, gumek lub pasków umieszcza się następujące ostrzeżenie, które umieszcza się także na trwałe na zabawce:</w:t>
      </w:r>
    </w:p>
    <w:p w:rsidR="00092171" w:rsidRPr="00092171" w:rsidRDefault="00092171" w:rsidP="00092171">
      <w:pPr>
        <w:spacing w:before="120" w:after="120" w:line="360" w:lineRule="auto"/>
        <w:ind w:left="850"/>
        <w:rPr>
          <w:szCs w:val="24"/>
          <w:lang w:eastAsia="en-US"/>
        </w:rPr>
      </w:pPr>
      <w:r w:rsidRPr="00092171">
        <w:rPr>
          <w:szCs w:val="24"/>
          <w:lang w:eastAsia="en-US"/>
        </w:rPr>
        <w:t>Aby zapobiec ewentualnemu urazowi w wyniku zaplątania się dziecka w zabawkę, należy ją usunąć, od kiedy dziecko próbuje raczkować.</w:t>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11.</w:t>
      </w:r>
      <w:r w:rsidRPr="00092171">
        <w:rPr>
          <w:szCs w:val="24"/>
          <w:lang w:eastAsia="en-US"/>
        </w:rPr>
        <w:tab/>
        <w:t>Opakowania substancji zapachowych gier planszowych, zestawów kosmetycznych i gier smakowych</w:t>
      </w:r>
    </w:p>
    <w:p w:rsidR="00092171" w:rsidRPr="00092171" w:rsidRDefault="00092171" w:rsidP="00092171">
      <w:pPr>
        <w:spacing w:before="120" w:after="120" w:line="360" w:lineRule="auto"/>
        <w:ind w:left="850"/>
        <w:rPr>
          <w:szCs w:val="24"/>
          <w:lang w:eastAsia="en-US"/>
        </w:rPr>
      </w:pPr>
      <w:r w:rsidRPr="00092171">
        <w:rPr>
          <w:szCs w:val="24"/>
          <w:lang w:eastAsia="en-US"/>
        </w:rPr>
        <w:t>Na opakowaniach substancji zapachowych gier planszowych, zestawów kosmetycznych i gier smakowych zawierających substancje zapachowe, o których mowa w pozycjach 41–55 tabeli w części A pkt 4 dodatku do załącznika II, i substancje zapachowe, o których mowa w pozycjach 1–10 tabeli w części B pkt 1 tego dodatku, umieszcza się następujące ostrzeżenie:</w:t>
      </w:r>
    </w:p>
    <w:p w:rsidR="00092171" w:rsidRPr="00092171" w:rsidRDefault="00092171" w:rsidP="00092171">
      <w:pPr>
        <w:spacing w:before="120" w:after="120" w:line="360" w:lineRule="auto"/>
        <w:ind w:left="850"/>
        <w:rPr>
          <w:szCs w:val="24"/>
          <w:lang w:eastAsia="en-US"/>
        </w:rPr>
      </w:pPr>
      <w:r w:rsidRPr="00092171">
        <w:rPr>
          <w:szCs w:val="24"/>
          <w:lang w:eastAsia="en-US"/>
        </w:rPr>
        <w:t>Zawiera substancje zapachowe mogące powodować alergie.</w:t>
      </w:r>
    </w:p>
    <w:p w:rsidR="00092171" w:rsidRPr="00092171" w:rsidRDefault="00092171" w:rsidP="00092171">
      <w:pPr>
        <w:widowControl/>
        <w:spacing w:line="360" w:lineRule="auto"/>
        <w:rPr>
          <w:szCs w:val="24"/>
          <w:lang w:eastAsia="en-US"/>
        </w:rPr>
        <w:sectPr w:rsidR="00092171" w:rsidRPr="00092171">
          <w:footnotePr>
            <w:numRestart w:val="eachSect"/>
          </w:footnotePr>
          <w:pgSz w:w="11909" w:h="16834"/>
          <w:pgMar w:top="1134" w:right="1417" w:bottom="1417" w:left="1417" w:header="1134" w:footer="567" w:gutter="0"/>
          <w:cols w:space="720"/>
        </w:sectPr>
      </w:pPr>
    </w:p>
    <w:p w:rsidR="00092171" w:rsidRPr="00092171" w:rsidRDefault="00092171" w:rsidP="00092171">
      <w:pPr>
        <w:spacing w:before="120" w:after="120" w:line="360" w:lineRule="auto"/>
        <w:rPr>
          <w:szCs w:val="24"/>
          <w:lang w:eastAsia="en-US"/>
        </w:rPr>
      </w:pPr>
    </w:p>
    <w:p w:rsidR="00092171" w:rsidRPr="00092171" w:rsidRDefault="00092171" w:rsidP="00092171">
      <w:pPr>
        <w:spacing w:before="120" w:after="120" w:line="360" w:lineRule="auto"/>
        <w:jc w:val="center"/>
        <w:rPr>
          <w:lang w:eastAsia="en-US"/>
        </w:rPr>
      </w:pPr>
      <w:r w:rsidRPr="00092171">
        <w:rPr>
          <w:lang w:eastAsia="en-US"/>
        </w:rPr>
        <w:t>ZAŁĄCZNIK IV</w:t>
      </w:r>
    </w:p>
    <w:p w:rsidR="00092171" w:rsidRPr="00092171" w:rsidRDefault="00092171" w:rsidP="003F7B69">
      <w:pPr>
        <w:spacing w:before="120" w:after="120" w:line="360" w:lineRule="auto"/>
        <w:jc w:val="center"/>
        <w:rPr>
          <w:szCs w:val="24"/>
          <w:lang w:eastAsia="en-US"/>
        </w:rPr>
      </w:pPr>
      <w:r w:rsidRPr="00092171">
        <w:rPr>
          <w:szCs w:val="24"/>
          <w:lang w:eastAsia="en-US"/>
        </w:rPr>
        <w:t>PROCEDURY OCENY ZGODNOŚCI</w:t>
      </w:r>
    </w:p>
    <w:p w:rsidR="00092171" w:rsidRPr="00092171" w:rsidRDefault="00092171" w:rsidP="003F7B69">
      <w:pPr>
        <w:spacing w:before="120" w:after="120" w:line="360" w:lineRule="auto"/>
        <w:rPr>
          <w:szCs w:val="24"/>
          <w:lang w:eastAsia="en-US"/>
        </w:rPr>
      </w:pPr>
      <w:r w:rsidRPr="00092171">
        <w:rPr>
          <w:szCs w:val="24"/>
          <w:lang w:eastAsia="en-US"/>
        </w:rPr>
        <w:t>Część I</w:t>
      </w:r>
      <w:r w:rsidR="003F7B69" w:rsidRPr="0027555A">
        <w:rPr>
          <w:rFonts w:eastAsia="Calibri"/>
          <w:bCs/>
          <w:noProof/>
          <w:szCs w:val="22"/>
          <w:lang w:eastAsia="fr-BE"/>
        </w:rPr>
        <w:t xml:space="preserve"> - </w:t>
      </w:r>
      <w:r w:rsidRPr="00092171">
        <w:rPr>
          <w:szCs w:val="24"/>
          <w:lang w:eastAsia="en-US"/>
        </w:rPr>
        <w:t>Moduł A: Wewnętrzna kontrola produkcji</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Wewnętrzna kontrola produkcji to procedura oceny zgodności, w ramach której producent wypełnia obowiązki określone w pkt 2, 3 i 4 oraz zapewnia i deklaruje, na swoją wyłączną odpowiedzialność, że zabawka spełnia odpowiednie wymagania niniejszego rozporządzenia.</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Dokumentacja techniczna</w:t>
      </w:r>
    </w:p>
    <w:p w:rsidR="00092171" w:rsidRPr="00092171" w:rsidRDefault="00092171" w:rsidP="00092171">
      <w:pPr>
        <w:spacing w:before="120" w:after="120" w:line="360" w:lineRule="auto"/>
        <w:ind w:left="850"/>
        <w:rPr>
          <w:szCs w:val="24"/>
          <w:lang w:eastAsia="en-US"/>
        </w:rPr>
      </w:pPr>
      <w:r w:rsidRPr="00092171">
        <w:rPr>
          <w:szCs w:val="24"/>
          <w:lang w:eastAsia="en-US"/>
        </w:rPr>
        <w:t>Producent sporządza dokumentację techniczną. Dokumentacja umożliwia ocenę produktu pod względem jego zgodności z odnośnymi wymaganiami oraz obejmuje odpowiednią analizę i ocenę ryzyka. Określa się w niej stosowne wymogi i uwzględnia – w zakresie odpowiednim dla takiej oceny – informacje na temat projektu zabawki, procesu jej produkcji oraz jej działania. Dokumentacja techniczna zawiera co najmniej elementy określone w załączniku V.</w:t>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Produkcja</w:t>
      </w:r>
    </w:p>
    <w:p w:rsidR="00092171" w:rsidRPr="00092171" w:rsidRDefault="00092171" w:rsidP="00092171">
      <w:pPr>
        <w:spacing w:before="120" w:after="120" w:line="360" w:lineRule="auto"/>
        <w:ind w:left="850"/>
        <w:rPr>
          <w:szCs w:val="24"/>
          <w:lang w:eastAsia="en-US"/>
        </w:rPr>
      </w:pPr>
      <w:r w:rsidRPr="00092171">
        <w:rPr>
          <w:szCs w:val="24"/>
          <w:lang w:eastAsia="en-US"/>
        </w:rPr>
        <w:t>Producent ma obowiązek zastosowania wszelkich niezbędnych środków, aby proces wytwarzania i jego monitorowanie zapewniały zgodność wytworzonych produktów z dokumentacją techniczną, o której mowa w pkt 2, oraz z wymaganiami niniejszego rozporządzenia.</w:t>
      </w:r>
    </w:p>
    <w:p w:rsidR="00092171" w:rsidRPr="003F7B69" w:rsidRDefault="00092171" w:rsidP="00092171">
      <w:pPr>
        <w:spacing w:before="120" w:after="120" w:line="360" w:lineRule="auto"/>
        <w:ind w:left="850" w:hanging="850"/>
        <w:rPr>
          <w:b/>
          <w:szCs w:val="24"/>
          <w:lang w:eastAsia="en-US"/>
        </w:rPr>
      </w:pPr>
      <w:r w:rsidRPr="00092171">
        <w:rPr>
          <w:szCs w:val="24"/>
          <w:lang w:eastAsia="en-US"/>
        </w:rPr>
        <w:t>4.</w:t>
      </w:r>
      <w:r w:rsidRPr="00092171">
        <w:rPr>
          <w:szCs w:val="24"/>
          <w:lang w:eastAsia="en-US"/>
        </w:rPr>
        <w:tab/>
        <w:t>Oznakowanie CE i</w:t>
      </w:r>
      <w:r w:rsidRPr="00092171">
        <w:rPr>
          <w:b/>
          <w:i/>
          <w:szCs w:val="24"/>
          <w:lang w:eastAsia="en-US"/>
        </w:rPr>
        <w:t xml:space="preserve"> cyfrowego</w:t>
      </w:r>
      <w:r w:rsidRPr="00092171">
        <w:rPr>
          <w:szCs w:val="24"/>
          <w:lang w:eastAsia="en-US"/>
        </w:rPr>
        <w:t xml:space="preserve"> paszport produktu</w:t>
      </w:r>
      <w:r w:rsidR="003F7B69">
        <w:rPr>
          <w:b/>
          <w:szCs w:val="24"/>
          <w:lang w:eastAsia="en-US"/>
        </w:rPr>
        <w:t xml:space="preserve"> [Popr. 226]</w:t>
      </w:r>
    </w:p>
    <w:p w:rsidR="00092171" w:rsidRPr="00092171" w:rsidRDefault="00092171" w:rsidP="00092171">
      <w:pPr>
        <w:spacing w:before="120" w:after="120" w:line="360" w:lineRule="auto"/>
        <w:ind w:left="850" w:hanging="850"/>
        <w:rPr>
          <w:szCs w:val="24"/>
          <w:lang w:eastAsia="en-US"/>
        </w:rPr>
      </w:pPr>
      <w:r w:rsidRPr="00092171">
        <w:rPr>
          <w:szCs w:val="24"/>
          <w:lang w:eastAsia="en-US"/>
        </w:rPr>
        <w:t>4.1.</w:t>
      </w:r>
      <w:r w:rsidRPr="00092171">
        <w:rPr>
          <w:szCs w:val="24"/>
          <w:lang w:eastAsia="en-US"/>
        </w:rPr>
        <w:tab/>
        <w:t>Producent umieszcza oznakowanie CE na każdej zabawce spełniającej mające zastosowanie wymagania niniejszego rozporządzenia.</w:t>
      </w:r>
    </w:p>
    <w:p w:rsidR="00092171" w:rsidRPr="003F7B69" w:rsidRDefault="00092171" w:rsidP="00092171">
      <w:pPr>
        <w:spacing w:before="120" w:after="120" w:line="360" w:lineRule="auto"/>
        <w:ind w:left="850" w:hanging="850"/>
        <w:rPr>
          <w:b/>
          <w:szCs w:val="24"/>
          <w:lang w:eastAsia="en-US"/>
        </w:rPr>
      </w:pPr>
      <w:r w:rsidRPr="00092171">
        <w:rPr>
          <w:szCs w:val="24"/>
          <w:lang w:eastAsia="en-US"/>
        </w:rPr>
        <w:t>4.2.</w:t>
      </w:r>
      <w:r w:rsidRPr="00092171">
        <w:rPr>
          <w:szCs w:val="24"/>
          <w:lang w:eastAsia="en-US"/>
        </w:rPr>
        <w:tab/>
        <w:t>Producent sporządza</w:t>
      </w:r>
      <w:r w:rsidRPr="00092171">
        <w:rPr>
          <w:b/>
          <w:i/>
          <w:szCs w:val="24"/>
          <w:lang w:eastAsia="en-US"/>
        </w:rPr>
        <w:t xml:space="preserve"> cyfrowy</w:t>
      </w:r>
      <w:r w:rsidRPr="00092171">
        <w:rPr>
          <w:szCs w:val="24"/>
          <w:lang w:eastAsia="en-US"/>
        </w:rPr>
        <w:t xml:space="preserve"> paszport produktu dla modelu zabawki i zapewnia jego dostępność wraz z dokumentacją techniczną przez okres 10 lat od dnia</w:t>
      </w:r>
      <w:r w:rsidRPr="00092171">
        <w:rPr>
          <w:strike/>
          <w:szCs w:val="24"/>
          <w:lang w:eastAsia="en-US"/>
        </w:rPr>
        <w:t xml:space="preserve"> wprowadzenia produktu</w:t>
      </w:r>
      <w:r w:rsidRPr="00092171">
        <w:rPr>
          <w:b/>
          <w:i/>
          <w:szCs w:val="24"/>
          <w:lang w:eastAsia="en-US"/>
        </w:rPr>
        <w:t>, w którym ostatni egzemplarz tego modelu zabawki został wprowadzony</w:t>
      </w:r>
      <w:r w:rsidRPr="00092171">
        <w:rPr>
          <w:szCs w:val="24"/>
          <w:lang w:eastAsia="en-US"/>
        </w:rPr>
        <w:t xml:space="preserve"> do obrotu.</w:t>
      </w:r>
      <w:r w:rsidRPr="00092171">
        <w:rPr>
          <w:b/>
          <w:i/>
          <w:szCs w:val="24"/>
          <w:lang w:eastAsia="en-US"/>
        </w:rPr>
        <w:t xml:space="preserve"> Cyfrowy</w:t>
      </w:r>
      <w:r w:rsidRPr="00092171">
        <w:rPr>
          <w:szCs w:val="24"/>
          <w:lang w:eastAsia="en-US"/>
        </w:rPr>
        <w:t xml:space="preserve"> paszport produktu identyfikuje zabawkę, dla której został sporządzony.</w:t>
      </w:r>
      <w:r w:rsidR="003F7B69">
        <w:rPr>
          <w:b/>
          <w:szCs w:val="24"/>
          <w:lang w:eastAsia="en-US"/>
        </w:rPr>
        <w:t xml:space="preserve"> [Popr. 227]</w:t>
      </w:r>
    </w:p>
    <w:p w:rsidR="00092171" w:rsidRPr="00092171" w:rsidRDefault="00092171" w:rsidP="00092171">
      <w:pPr>
        <w:spacing w:before="120" w:after="120" w:line="360" w:lineRule="auto"/>
        <w:ind w:left="850" w:hanging="850"/>
        <w:rPr>
          <w:szCs w:val="24"/>
          <w:lang w:eastAsia="en-US"/>
        </w:rPr>
      </w:pPr>
      <w:r w:rsidRPr="00092171">
        <w:rPr>
          <w:szCs w:val="24"/>
          <w:lang w:eastAsia="en-US"/>
        </w:rPr>
        <w:t>5.</w:t>
      </w:r>
      <w:r w:rsidRPr="00092171">
        <w:rPr>
          <w:szCs w:val="24"/>
          <w:lang w:eastAsia="en-US"/>
        </w:rPr>
        <w:tab/>
        <w:t>Upoważniony przedstawiciel</w:t>
      </w:r>
    </w:p>
    <w:p w:rsidR="00092171" w:rsidRPr="00092171" w:rsidRDefault="00092171" w:rsidP="00092171">
      <w:pPr>
        <w:spacing w:before="120" w:after="120" w:line="360" w:lineRule="auto"/>
        <w:ind w:left="850"/>
        <w:rPr>
          <w:szCs w:val="24"/>
          <w:lang w:eastAsia="en-US"/>
        </w:rPr>
      </w:pPr>
      <w:r w:rsidRPr="00092171">
        <w:rPr>
          <w:szCs w:val="24"/>
          <w:lang w:eastAsia="en-US"/>
        </w:rPr>
        <w:t>Zobowiązania producenta określone w pkt 4 mogą być wypełniane w imieniu producenta i na odpowiedzialność producenta przez upoważnionego przedstawiciela producenta, o ile zostały one wyszczególnione w upoważnieniu.</w:t>
      </w:r>
    </w:p>
    <w:p w:rsidR="003F7B69" w:rsidRDefault="003F7B69">
      <w:pPr>
        <w:widowControl/>
        <w:rPr>
          <w:szCs w:val="24"/>
          <w:lang w:eastAsia="en-US"/>
        </w:rPr>
      </w:pPr>
      <w:r>
        <w:rPr>
          <w:szCs w:val="24"/>
          <w:lang w:eastAsia="en-US"/>
        </w:rPr>
        <w:br w:type="page"/>
      </w:r>
    </w:p>
    <w:p w:rsidR="00092171" w:rsidRPr="00092171" w:rsidRDefault="00092171" w:rsidP="003F7B69">
      <w:pPr>
        <w:spacing w:before="120" w:after="120" w:line="360" w:lineRule="auto"/>
        <w:rPr>
          <w:szCs w:val="24"/>
          <w:lang w:eastAsia="en-US"/>
        </w:rPr>
      </w:pPr>
      <w:r w:rsidRPr="00092171">
        <w:rPr>
          <w:szCs w:val="24"/>
          <w:lang w:eastAsia="en-US"/>
        </w:rPr>
        <w:lastRenderedPageBreak/>
        <w:t>Część II</w:t>
      </w:r>
      <w:r w:rsidRPr="003F7B69">
        <w:rPr>
          <w:szCs w:val="24"/>
          <w:lang w:eastAsia="en-US"/>
        </w:rPr>
        <w:t xml:space="preserve"> – </w:t>
      </w:r>
      <w:r w:rsidRPr="00092171">
        <w:rPr>
          <w:szCs w:val="24"/>
          <w:lang w:eastAsia="en-US"/>
        </w:rPr>
        <w:t>Moduł B: Badanie typu UE</w:t>
      </w:r>
    </w:p>
    <w:p w:rsidR="00092171" w:rsidRPr="00092171" w:rsidRDefault="003F7B69" w:rsidP="00092171">
      <w:pPr>
        <w:spacing w:before="120" w:after="120" w:line="360" w:lineRule="auto"/>
        <w:ind w:left="850" w:hanging="850"/>
        <w:rPr>
          <w:szCs w:val="24"/>
          <w:lang w:eastAsia="en-US"/>
        </w:rPr>
      </w:pPr>
      <w:r>
        <w:rPr>
          <w:szCs w:val="24"/>
          <w:lang w:eastAsia="en-US"/>
        </w:rPr>
        <w:t>1</w:t>
      </w:r>
      <w:r w:rsidR="00092171" w:rsidRPr="00092171">
        <w:rPr>
          <w:szCs w:val="24"/>
          <w:lang w:eastAsia="en-US"/>
        </w:rPr>
        <w:t>.</w:t>
      </w:r>
      <w:r w:rsidR="00092171" w:rsidRPr="00092171">
        <w:rPr>
          <w:szCs w:val="24"/>
          <w:lang w:eastAsia="en-US"/>
        </w:rPr>
        <w:tab/>
        <w:t>Badanie typu UE to ta część procedury oceny zgodności, według której jednostka notyfikowana bada projekt techniczny zabawki oraz weryfikuje i poświadcza spełnienie przez projekt techniczny zabawki mających zastosowanie wymagań rozporządzenia.</w:t>
      </w:r>
    </w:p>
    <w:p w:rsidR="00092171" w:rsidRPr="00092171" w:rsidRDefault="003F7B69" w:rsidP="00092171">
      <w:pPr>
        <w:spacing w:before="120" w:after="120" w:line="360" w:lineRule="auto"/>
        <w:ind w:left="850" w:hanging="850"/>
        <w:rPr>
          <w:szCs w:val="24"/>
          <w:lang w:eastAsia="en-US"/>
        </w:rPr>
      </w:pPr>
      <w:r>
        <w:rPr>
          <w:szCs w:val="24"/>
          <w:lang w:eastAsia="en-US"/>
        </w:rPr>
        <w:t>2</w:t>
      </w:r>
      <w:r w:rsidR="00092171" w:rsidRPr="00092171">
        <w:rPr>
          <w:szCs w:val="24"/>
          <w:lang w:eastAsia="en-US"/>
        </w:rPr>
        <w:t>.</w:t>
      </w:r>
      <w:r w:rsidR="00092171" w:rsidRPr="00092171">
        <w:rPr>
          <w:szCs w:val="24"/>
          <w:lang w:eastAsia="en-US"/>
        </w:rPr>
        <w:tab/>
        <w:t>Badanie typu UE można przeprowadzić jednym z następujących sposobów:</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badanie egzemplarza próbnego kompletnej zabawki reprezentatywnego dla przewidywanej produkcji (typ produkcji),</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ocena adekwatności projektu technicznego zabawki poprzez zbadanie dokumentacji technicznej i dowodów potwierdzających określonych w pkt 3 oraz ocenę egzemplarzy próbnych reprezentatywnych dla przewidywanej produkcji jednej lub większej liczby części zabawki (połączenie typu produkcji i typu projektu),</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ocena adekwatności projektu technicznego zabawki poprzez analizę dokumentacji technicznej oraz dowodów potwierdzających, o których mowa w pkt 3, bez badania egzemplarzy próbnych (typ projektu).</w:t>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3.</w:t>
      </w:r>
      <w:r w:rsidRPr="00092171">
        <w:rPr>
          <w:szCs w:val="24"/>
          <w:lang w:eastAsia="en-US"/>
        </w:rPr>
        <w:tab/>
        <w:t>Producent składa wniosek o badanie typu UE w jednej wybranej przez siebie jednostce notyfikowanej.</w:t>
      </w:r>
    </w:p>
    <w:p w:rsidR="00092171" w:rsidRPr="00092171" w:rsidRDefault="00092171" w:rsidP="00092171">
      <w:pPr>
        <w:spacing w:before="120" w:after="120" w:line="360" w:lineRule="auto"/>
        <w:ind w:left="850"/>
        <w:rPr>
          <w:szCs w:val="24"/>
          <w:lang w:eastAsia="en-US"/>
        </w:rPr>
      </w:pPr>
      <w:r w:rsidRPr="00092171">
        <w:rPr>
          <w:szCs w:val="24"/>
          <w:lang w:eastAsia="en-US"/>
        </w:rPr>
        <w:t>Wniosek taki zawiera:</w:t>
      </w:r>
    </w:p>
    <w:p w:rsidR="00092171" w:rsidRPr="00092171" w:rsidRDefault="00092171" w:rsidP="00092171">
      <w:pPr>
        <w:spacing w:before="120" w:after="120" w:line="360" w:lineRule="auto"/>
        <w:ind w:left="1416" w:hanging="566"/>
        <w:rPr>
          <w:szCs w:val="24"/>
          <w:lang w:eastAsia="en-US"/>
        </w:rPr>
      </w:pPr>
      <w:r w:rsidRPr="00092171">
        <w:rPr>
          <w:szCs w:val="24"/>
          <w:lang w:eastAsia="en-US"/>
        </w:rPr>
        <w:t>a)</w:t>
      </w:r>
      <w:r w:rsidRPr="00092171">
        <w:rPr>
          <w:szCs w:val="24"/>
          <w:lang w:eastAsia="en-US"/>
        </w:rPr>
        <w:tab/>
        <w:t>imię i nazwisko lub nazwę i adres producenta oraz, jeśli wniosek przedłożony jest przez upoważnionego przedstawiciela, jego nazwę i adres,</w:t>
      </w:r>
    </w:p>
    <w:p w:rsidR="00092171" w:rsidRPr="00092171" w:rsidRDefault="00092171" w:rsidP="00092171">
      <w:pPr>
        <w:spacing w:before="120" w:after="120" w:line="360" w:lineRule="auto"/>
        <w:ind w:left="1416" w:hanging="566"/>
        <w:rPr>
          <w:szCs w:val="24"/>
          <w:lang w:eastAsia="en-US"/>
        </w:rPr>
      </w:pPr>
      <w:r w:rsidRPr="00092171">
        <w:rPr>
          <w:szCs w:val="24"/>
          <w:lang w:eastAsia="en-US"/>
        </w:rPr>
        <w:t>b)</w:t>
      </w:r>
      <w:r w:rsidRPr="00092171">
        <w:rPr>
          <w:szCs w:val="24"/>
          <w:lang w:eastAsia="en-US"/>
        </w:rPr>
        <w:tab/>
        <w:t>pisemną deklarację, że ten sam wniosek nie został złożony w żadnej innej jednostce notyfikowanej,</w:t>
      </w:r>
    </w:p>
    <w:p w:rsidR="00092171" w:rsidRPr="00092171" w:rsidRDefault="00092171" w:rsidP="00092171">
      <w:pPr>
        <w:spacing w:before="120" w:after="120" w:line="360" w:lineRule="auto"/>
        <w:ind w:left="1416" w:hanging="566"/>
        <w:rPr>
          <w:szCs w:val="24"/>
          <w:lang w:eastAsia="en-US"/>
        </w:rPr>
      </w:pPr>
      <w:r w:rsidRPr="00092171">
        <w:rPr>
          <w:szCs w:val="24"/>
          <w:lang w:eastAsia="en-US"/>
        </w:rPr>
        <w:t>c)</w:t>
      </w:r>
      <w:r w:rsidRPr="00092171">
        <w:rPr>
          <w:szCs w:val="24"/>
          <w:lang w:eastAsia="en-US"/>
        </w:rPr>
        <w:tab/>
        <w:t>dokumentację techniczną umożliwiającą przeprowadzenie oceny zgodności produktu z mającymi zastosowanie wymaganiami niniejszego rozporządzenia, która uwzględnia odpowiednią analizę i ocenę ryzyka, w tym ocenę bezpieczeństwa, o której mowa w art. 21; określa się w niej stosowne wymogi i uwzględnia – w zakresie odpowiednim dla takiej oceny – informacje na temat projektu zabawki, procesu jej produkcji oraz jej działania. musi ona zawierać również co najmniej elementy określone w załączniku V,</w:t>
      </w:r>
    </w:p>
    <w:p w:rsidR="003F7B69" w:rsidRDefault="003F7B69">
      <w:pPr>
        <w:widowControl/>
        <w:rPr>
          <w:szCs w:val="24"/>
          <w:lang w:eastAsia="en-US"/>
        </w:rPr>
      </w:pPr>
      <w:r>
        <w:rPr>
          <w:szCs w:val="24"/>
          <w:lang w:eastAsia="en-US"/>
        </w:rPr>
        <w:br w:type="page"/>
      </w:r>
    </w:p>
    <w:p w:rsidR="00092171" w:rsidRPr="00092171" w:rsidRDefault="00092171" w:rsidP="00092171">
      <w:pPr>
        <w:spacing w:before="120" w:after="120" w:line="360" w:lineRule="auto"/>
        <w:ind w:left="1416" w:hanging="566"/>
        <w:rPr>
          <w:szCs w:val="24"/>
          <w:lang w:eastAsia="en-US"/>
        </w:rPr>
      </w:pPr>
      <w:r w:rsidRPr="00092171">
        <w:rPr>
          <w:szCs w:val="24"/>
          <w:lang w:eastAsia="en-US"/>
        </w:rPr>
        <w:lastRenderedPageBreak/>
        <w:t>d)</w:t>
      </w:r>
      <w:r w:rsidRPr="00092171">
        <w:rPr>
          <w:szCs w:val="24"/>
          <w:lang w:eastAsia="en-US"/>
        </w:rPr>
        <w:tab/>
        <w:t>egzemplarze próbne reprezentatywne dla planowanej produkcji. Jednostka notyfikowana może zażądać dostarczenia dalszych egzemplarzy próbnych, jeżeli jest to niezbędne do przeprowadzenia programu badań,</w:t>
      </w:r>
    </w:p>
    <w:p w:rsidR="00092171" w:rsidRPr="00092171" w:rsidRDefault="00092171" w:rsidP="00092171">
      <w:pPr>
        <w:spacing w:before="120" w:after="120" w:line="360" w:lineRule="auto"/>
        <w:ind w:left="1416" w:hanging="566"/>
        <w:rPr>
          <w:szCs w:val="24"/>
          <w:lang w:eastAsia="en-US"/>
        </w:rPr>
      </w:pPr>
      <w:r w:rsidRPr="00092171">
        <w:rPr>
          <w:szCs w:val="24"/>
          <w:lang w:eastAsia="en-US"/>
        </w:rPr>
        <w:t>e)</w:t>
      </w:r>
      <w:r w:rsidRPr="00092171">
        <w:rPr>
          <w:szCs w:val="24"/>
          <w:lang w:eastAsia="en-US"/>
        </w:rPr>
        <w:tab/>
        <w:t>dowody potwierdzające odpowiedniość technicznego rozwiązania projektowego; wskazuje się w nich wszelkie odnośne dokumenty, które wykorzystano, zwłaszcza w przypadku gdy stosowne normy zharmonizowane lub specyfikacje techniczne nie zostały w pełni zastosowane; w stosownych przypadkach obejmują one również wyniki badań przeprowadzonych przez właściwe laboratorium producenta lub inne laboratorium badawcze w jego imieniu i na jego odpowiedzialność.</w:t>
      </w:r>
    </w:p>
    <w:p w:rsidR="00886ECA" w:rsidRDefault="00886ECA" w:rsidP="00092171">
      <w:pPr>
        <w:spacing w:before="120" w:after="120" w:line="360" w:lineRule="auto"/>
        <w:ind w:left="850" w:hanging="850"/>
        <w:rPr>
          <w:noProof/>
        </w:rPr>
      </w:pPr>
      <w:r w:rsidRPr="009E5285">
        <w:rPr>
          <w:noProof/>
        </w:rPr>
        <w:t>4.</w:t>
      </w:r>
      <w:r w:rsidRPr="009E5285">
        <w:rPr>
          <w:noProof/>
        </w:rPr>
        <w:tab/>
        <w:t>Jednostka notyfikowana:</w:t>
      </w:r>
    </w:p>
    <w:p w:rsidR="00092171" w:rsidRPr="00092171" w:rsidRDefault="00092171" w:rsidP="00092171">
      <w:pPr>
        <w:spacing w:before="120" w:after="120" w:line="360" w:lineRule="auto"/>
        <w:ind w:left="850" w:hanging="850"/>
        <w:rPr>
          <w:szCs w:val="24"/>
          <w:lang w:eastAsia="en-US"/>
        </w:rPr>
      </w:pPr>
      <w:r w:rsidRPr="00092171">
        <w:rPr>
          <w:szCs w:val="24"/>
          <w:lang w:eastAsia="en-US"/>
        </w:rPr>
        <w:tab/>
        <w:t>w odniesieniu do zabawki:</w:t>
      </w:r>
    </w:p>
    <w:p w:rsidR="00092171" w:rsidRPr="00092171" w:rsidRDefault="00092171" w:rsidP="00092171">
      <w:pPr>
        <w:spacing w:before="120" w:after="120" w:line="360" w:lineRule="auto"/>
        <w:ind w:left="850" w:hanging="850"/>
        <w:rPr>
          <w:szCs w:val="24"/>
          <w:lang w:eastAsia="en-US"/>
        </w:rPr>
      </w:pPr>
      <w:r w:rsidRPr="00092171">
        <w:rPr>
          <w:szCs w:val="24"/>
          <w:lang w:eastAsia="en-US"/>
        </w:rPr>
        <w:t>4.1.</w:t>
      </w:r>
      <w:r w:rsidRPr="00092171">
        <w:rPr>
          <w:szCs w:val="24"/>
          <w:lang w:eastAsia="en-US"/>
        </w:rPr>
        <w:tab/>
        <w:t>bada dokumentację techniczną i dowody potwierdzające, aby ocenić adekwatność jej projektu technicznego;</w:t>
      </w:r>
    </w:p>
    <w:p w:rsidR="00886ECA" w:rsidRDefault="00886ECA">
      <w:pPr>
        <w:widowControl/>
        <w:rPr>
          <w:szCs w:val="24"/>
          <w:lang w:eastAsia="en-US"/>
        </w:rPr>
      </w:pPr>
      <w:r>
        <w:rPr>
          <w:szCs w:val="24"/>
          <w:lang w:eastAsia="en-US"/>
        </w:rPr>
        <w:br w:type="page"/>
      </w:r>
    </w:p>
    <w:p w:rsidR="00092171" w:rsidRPr="00092171" w:rsidRDefault="00886ECA" w:rsidP="00092171">
      <w:pPr>
        <w:spacing w:before="120" w:after="120" w:line="360" w:lineRule="auto"/>
        <w:rPr>
          <w:szCs w:val="24"/>
          <w:lang w:eastAsia="en-US"/>
        </w:rPr>
      </w:pPr>
      <w:r w:rsidRPr="00092171">
        <w:rPr>
          <w:szCs w:val="24"/>
          <w:lang w:eastAsia="en-US"/>
        </w:rPr>
        <w:lastRenderedPageBreak/>
        <w:tab/>
      </w:r>
      <w:r w:rsidR="00092171" w:rsidRPr="00092171">
        <w:rPr>
          <w:szCs w:val="24"/>
          <w:lang w:eastAsia="en-US"/>
        </w:rPr>
        <w:t>w odniesieniu do egzemplarza próbnego:</w:t>
      </w:r>
    </w:p>
    <w:p w:rsidR="00092171" w:rsidRPr="00092171" w:rsidRDefault="00092171" w:rsidP="00092171">
      <w:pPr>
        <w:spacing w:before="120" w:after="120" w:line="360" w:lineRule="auto"/>
        <w:ind w:left="850" w:hanging="850"/>
        <w:rPr>
          <w:szCs w:val="24"/>
          <w:lang w:eastAsia="en-US"/>
        </w:rPr>
      </w:pPr>
      <w:r w:rsidRPr="00092171">
        <w:rPr>
          <w:szCs w:val="24"/>
          <w:lang w:eastAsia="en-US"/>
        </w:rPr>
        <w:t>4.2.</w:t>
      </w:r>
      <w:r w:rsidRPr="00092171">
        <w:rPr>
          <w:szCs w:val="24"/>
          <w:lang w:eastAsia="en-US"/>
        </w:rPr>
        <w:tab/>
        <w:t>sprawdza, czy egzemplarz próbny wyprodukowano zgodnie z dokumentacją techniczną, identyfikując elementy, które zaprojektowano zgodnie z obowiązującymi przepisami odpowiednich norm zharmonizowanych lub specyfikacji technicznych, oraz elementy, które zaprojektowano bez zastosowania odpowiednich przepisów tych norm;</w:t>
      </w:r>
    </w:p>
    <w:p w:rsidR="00092171" w:rsidRPr="00092171" w:rsidRDefault="00092171" w:rsidP="00092171">
      <w:pPr>
        <w:spacing w:before="120" w:after="120" w:line="360" w:lineRule="auto"/>
        <w:ind w:left="850" w:hanging="850"/>
        <w:rPr>
          <w:szCs w:val="24"/>
          <w:lang w:eastAsia="en-US"/>
        </w:rPr>
      </w:pPr>
      <w:r w:rsidRPr="00092171">
        <w:rPr>
          <w:szCs w:val="24"/>
          <w:lang w:eastAsia="en-US"/>
        </w:rPr>
        <w:t>4.3.</w:t>
      </w:r>
      <w:r w:rsidRPr="00092171">
        <w:rPr>
          <w:szCs w:val="24"/>
          <w:lang w:eastAsia="en-US"/>
        </w:rPr>
        <w:tab/>
        <w:t>przeprowadza odpowiednie badania i testy lub zleca ich przeprowadzenie, aby – w przypadku gdy producent zdecydował się na zastosowanie rozwiązań określonych w odpowiednich normach zharmonizowanych lub wspólnych specyfikacjach – sprawdzić, czy zastosowano je prawidłowo;</w:t>
      </w:r>
    </w:p>
    <w:p w:rsidR="00092171" w:rsidRPr="00092171" w:rsidRDefault="00092171" w:rsidP="00092171">
      <w:pPr>
        <w:spacing w:before="120" w:after="120" w:line="360" w:lineRule="auto"/>
        <w:ind w:left="850" w:hanging="850"/>
        <w:rPr>
          <w:szCs w:val="24"/>
          <w:lang w:eastAsia="en-US"/>
        </w:rPr>
      </w:pPr>
      <w:r w:rsidRPr="00092171">
        <w:rPr>
          <w:szCs w:val="24"/>
          <w:lang w:eastAsia="en-US"/>
        </w:rPr>
        <w:t>4.4.</w:t>
      </w:r>
      <w:r w:rsidRPr="00092171">
        <w:rPr>
          <w:szCs w:val="24"/>
          <w:lang w:eastAsia="en-US"/>
        </w:rPr>
        <w:tab/>
        <w:t>przeprowadza odpowiednie badania i testy lub zleca ich przeprowadzenie, aby – w przypadku gdy producent nie zdecydował się na zastosowanie rozwiązań określonych w odpowiednich normach zharmonizowanych lub wspólnych specyfikacjach – sprawdzić, czy rozwiązania przyjęte przez producenta spełniają odnośne zasadnicze wymagania aktu prawnego;</w:t>
      </w:r>
    </w:p>
    <w:p w:rsidR="00092171" w:rsidRPr="00092171" w:rsidRDefault="00092171" w:rsidP="00092171">
      <w:pPr>
        <w:spacing w:before="120" w:after="120" w:line="360" w:lineRule="auto"/>
        <w:ind w:left="850" w:hanging="850"/>
        <w:rPr>
          <w:szCs w:val="24"/>
          <w:lang w:eastAsia="en-US"/>
        </w:rPr>
      </w:pPr>
      <w:r w:rsidRPr="00092171">
        <w:rPr>
          <w:szCs w:val="24"/>
          <w:lang w:eastAsia="en-US"/>
        </w:rPr>
        <w:t>4.5.</w:t>
      </w:r>
      <w:r w:rsidRPr="00092171">
        <w:rPr>
          <w:szCs w:val="24"/>
          <w:lang w:eastAsia="en-US"/>
        </w:rPr>
        <w:tab/>
        <w:t>uzgadnia z producentem miejsce, w którym przeprowadzone zostaną badania i testy.</w:t>
      </w:r>
    </w:p>
    <w:p w:rsidR="00886ECA" w:rsidRDefault="00886ECA">
      <w:pPr>
        <w:widowControl/>
        <w:rPr>
          <w:szCs w:val="24"/>
          <w:lang w:eastAsia="en-US"/>
        </w:rPr>
      </w:pPr>
      <w:r>
        <w:rPr>
          <w:szCs w:val="24"/>
          <w:lang w:eastAsia="en-US"/>
        </w:rPr>
        <w:br w:type="page"/>
      </w:r>
    </w:p>
    <w:p w:rsidR="00092171" w:rsidRPr="00092171" w:rsidRDefault="00886ECA" w:rsidP="00092171">
      <w:pPr>
        <w:spacing w:before="120" w:after="120" w:line="360" w:lineRule="auto"/>
        <w:ind w:left="850" w:hanging="850"/>
        <w:rPr>
          <w:szCs w:val="24"/>
          <w:lang w:eastAsia="en-US"/>
        </w:rPr>
      </w:pPr>
      <w:r>
        <w:rPr>
          <w:szCs w:val="24"/>
          <w:lang w:eastAsia="en-US"/>
        </w:rPr>
        <w:lastRenderedPageBreak/>
        <w:t>5</w:t>
      </w:r>
      <w:r w:rsidR="00092171" w:rsidRPr="00092171">
        <w:rPr>
          <w:szCs w:val="24"/>
          <w:lang w:eastAsia="en-US"/>
        </w:rPr>
        <w:t>.</w:t>
      </w:r>
      <w:r w:rsidR="00092171" w:rsidRPr="00092171">
        <w:rPr>
          <w:szCs w:val="24"/>
          <w:lang w:eastAsia="en-US"/>
        </w:rPr>
        <w:tab/>
        <w:t>Jednostka notyfikowana sporządza sprawozdanie z oceny, w którym odnotowuje działania podjęte zgodnie z pkt 4 i ich rezultaty. Bez uszczerbku dla jej zobowiązań wobec organów notyfikujących jednostka notyfikowana udostępnia treść takiego sprawozdania, w całości lub w części, wyłącznie za zgodą producenta.</w:t>
      </w:r>
    </w:p>
    <w:p w:rsidR="00092171" w:rsidRPr="00092171" w:rsidRDefault="00092171" w:rsidP="00092171">
      <w:pPr>
        <w:spacing w:before="120" w:after="120" w:line="360" w:lineRule="auto"/>
        <w:ind w:left="850" w:hanging="850"/>
        <w:rPr>
          <w:szCs w:val="24"/>
          <w:lang w:eastAsia="en-US"/>
        </w:rPr>
      </w:pPr>
      <w:r w:rsidRPr="00092171">
        <w:rPr>
          <w:szCs w:val="24"/>
          <w:lang w:eastAsia="en-US"/>
        </w:rPr>
        <w:t>6.</w:t>
      </w:r>
      <w:r w:rsidRPr="00092171">
        <w:rPr>
          <w:szCs w:val="24"/>
          <w:lang w:eastAsia="en-US"/>
        </w:rPr>
        <w:tab/>
        <w:t>Jeżeli dany typ spełnia wymogi niniejszego rozporządzenia, jednostka notyfikowana wydaje producentowi certyfikat badania typu UE. Certyfikat badania typu UE zawiera odniesienie do niniejszego rozporządzenia, kolorowy rysunek i przejrzysty opis zabawki, włącznie z jej wymiarami, oraz wykaz przeprowadzonych badań z odniesieniem do odpowiednich sprawozdań z badania. Certyfikat ten zawiera imię i nazwisko lub nazwę i adres producenta, oznaczenie miejsca produkcji, wnioski z badań, warunki jego ważności (o ile występują) oraz dane niezbędne do identyfikacji zatwierdzonego typu. Certyfikatowi mogą towarzyszyć załączniki.</w:t>
      </w:r>
    </w:p>
    <w:p w:rsidR="00092171" w:rsidRPr="00092171" w:rsidRDefault="00092171" w:rsidP="00092171">
      <w:pPr>
        <w:spacing w:before="120" w:after="120" w:line="360" w:lineRule="auto"/>
        <w:ind w:left="850"/>
        <w:rPr>
          <w:szCs w:val="24"/>
          <w:lang w:eastAsia="en-US"/>
        </w:rPr>
      </w:pPr>
      <w:r w:rsidRPr="00092171">
        <w:rPr>
          <w:szCs w:val="24"/>
          <w:lang w:eastAsia="en-US"/>
        </w:rPr>
        <w:t>Certyfikat i jego załączniki zawierają wszelkie istotne informacje umożliwiające ocenę zgodności wytwarzanych produktów w odniesieniu do badanego typu oraz kontrolę w trakcie eksploatacji.</w:t>
      </w:r>
    </w:p>
    <w:p w:rsidR="00886ECA" w:rsidRDefault="00886ECA">
      <w:pPr>
        <w:widowControl/>
        <w:rPr>
          <w:szCs w:val="24"/>
          <w:lang w:eastAsia="en-US"/>
        </w:rPr>
      </w:pPr>
      <w:r>
        <w:rPr>
          <w:szCs w:val="24"/>
          <w:lang w:eastAsia="en-US"/>
        </w:rPr>
        <w:br w:type="page"/>
      </w:r>
    </w:p>
    <w:p w:rsidR="00092171" w:rsidRPr="00092171" w:rsidRDefault="00092171" w:rsidP="00092171">
      <w:pPr>
        <w:spacing w:before="120" w:after="120" w:line="360" w:lineRule="auto"/>
        <w:ind w:left="850"/>
        <w:rPr>
          <w:szCs w:val="24"/>
          <w:lang w:eastAsia="en-US"/>
        </w:rPr>
      </w:pPr>
      <w:r w:rsidRPr="00092171">
        <w:rPr>
          <w:szCs w:val="24"/>
          <w:lang w:eastAsia="en-US"/>
        </w:rPr>
        <w:lastRenderedPageBreak/>
        <w:t>Jeżeli typ nie spełnia mających zastosowanie wymogów niniejszego rozporządzenia, jednostka notyfikowana odmawia wydania certyfikatu badania typu UE oraz informuje o tym odpowiednio wnioskodawcę, szczegółowo uzasadniając odmowę.</w:t>
      </w:r>
    </w:p>
    <w:p w:rsidR="00092171" w:rsidRPr="00092171" w:rsidRDefault="00092171" w:rsidP="00092171">
      <w:pPr>
        <w:spacing w:before="120" w:after="120" w:line="360" w:lineRule="auto"/>
        <w:ind w:left="850" w:hanging="850"/>
        <w:rPr>
          <w:szCs w:val="24"/>
          <w:lang w:eastAsia="en-US"/>
        </w:rPr>
      </w:pPr>
      <w:r w:rsidRPr="00092171">
        <w:rPr>
          <w:szCs w:val="24"/>
          <w:lang w:eastAsia="en-US"/>
        </w:rPr>
        <w:t>7.</w:t>
      </w:r>
      <w:r w:rsidRPr="00092171">
        <w:rPr>
          <w:szCs w:val="24"/>
          <w:lang w:eastAsia="en-US"/>
        </w:rPr>
        <w:tab/>
        <w:t>Jednostka notyfikowana na bieżąco śledzi wszelkie zmiany w powszechnie uznanym stanie wiedzy technicznej wskazujące, że zatwierdzony typ może nie spełniać już wymogów niniejszego rozporządzenia, oraz ustala, czy zmiany te wymagają dalszego badania. Jeżeli tak jest, jednostka notyfikowana informuje o tym producenta.</w:t>
      </w:r>
    </w:p>
    <w:p w:rsidR="00092171" w:rsidRPr="00092171" w:rsidRDefault="00092171" w:rsidP="00092171">
      <w:pPr>
        <w:spacing w:before="120" w:after="120" w:line="360" w:lineRule="auto"/>
        <w:ind w:left="850"/>
        <w:rPr>
          <w:szCs w:val="24"/>
          <w:lang w:eastAsia="en-US"/>
        </w:rPr>
      </w:pPr>
      <w:r w:rsidRPr="00092171">
        <w:rPr>
          <w:szCs w:val="24"/>
          <w:lang w:eastAsia="en-US"/>
        </w:rPr>
        <w:t>Producent informuje jednostkę notyfikowaną, która przechowuje dokumentację techniczną dotyczącą certyfikatu badania typu UE, o wszelkich modyfikacjach zatwierdzonego typu mogących wpływać na zgodność zabawki z zasadniczymi wymaganiami niniejszego rozporządzenia lub warunkami ważności certyfikatu. Takie modyfikacje wymagają dodatkowego zatwierdzenia w formie dodatku do pierwotnego certyfikatu badania typu UE.</w:t>
      </w:r>
    </w:p>
    <w:p w:rsidR="00886ECA" w:rsidRDefault="00886ECA">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8.</w:t>
      </w:r>
      <w:r w:rsidRPr="00092171">
        <w:rPr>
          <w:szCs w:val="24"/>
          <w:lang w:eastAsia="en-US"/>
        </w:rPr>
        <w:tab/>
        <w:t>Każda jednostka notyfikowana informuje odnośne organy notyfikujące o certyfikatach badania typu UE i wszelkich dodatkach do nich, które wydała lub cofnęła, a także, okresowo lub na żądanie, udostępnia odnośnym organom notyfikującym wykaz certyfikatów i wszelkich dodatków do nich, których wydania odmówiono, które zawieszono lub które poddano innym ograniczeniom.</w:t>
      </w:r>
    </w:p>
    <w:p w:rsidR="00092171" w:rsidRPr="00092171" w:rsidRDefault="00092171" w:rsidP="00092171">
      <w:pPr>
        <w:spacing w:before="120" w:after="120" w:line="360" w:lineRule="auto"/>
        <w:ind w:left="850"/>
        <w:rPr>
          <w:szCs w:val="24"/>
          <w:lang w:eastAsia="en-US"/>
        </w:rPr>
      </w:pPr>
      <w:r w:rsidRPr="00092171">
        <w:rPr>
          <w:szCs w:val="24"/>
          <w:lang w:eastAsia="en-US"/>
        </w:rPr>
        <w:t>Każda jednostka notyfikowana informuje pozostałe jednostki notyfikowane o certyfikatach badania typu UE lub wszelkich dodatkach do nich, których wydania odmówiła, które cofnęła, zawiesiła lub poddała innym ograniczeniom, oraz – na żądanie – o certyfikatach lub wszelkich dodatkach do nich, które wydała.</w:t>
      </w:r>
    </w:p>
    <w:p w:rsidR="00092171" w:rsidRPr="00092171" w:rsidRDefault="00092171" w:rsidP="00092171">
      <w:pPr>
        <w:spacing w:before="120" w:after="120" w:line="360" w:lineRule="auto"/>
        <w:ind w:left="850"/>
        <w:rPr>
          <w:szCs w:val="24"/>
          <w:lang w:eastAsia="en-US"/>
        </w:rPr>
      </w:pPr>
      <w:r w:rsidRPr="00092171">
        <w:rPr>
          <w:szCs w:val="24"/>
          <w:lang w:eastAsia="en-US"/>
        </w:rPr>
        <w:t>Państwa członkowskie, Komisja i inne jednostki notyfikowane mogą, na żądanie, otrzymać kopie certyfikatów badania typu UE lub dodatków do nich. Na żądanie państwa członkowskie i Komisja mogą otrzymać kopię dokumentacji technicznej oraz wyniki badań przeprowadzonych przez jednostkę notyfikowaną. Jednostka notyfikowana ma obowiązek przechowywania kopii certyfikatu badania typu UE, załączników i dodatków do niego, a także dokumentów technicznych, w tym dokumentacji przedłożonej przez producenta, do czasu wygaśnięcia ważności tego certyfikatu.</w:t>
      </w:r>
    </w:p>
    <w:p w:rsidR="00886ECA" w:rsidRDefault="00886ECA">
      <w:pPr>
        <w:widowControl/>
        <w:rPr>
          <w:szCs w:val="24"/>
          <w:lang w:eastAsia="en-US"/>
        </w:rPr>
      </w:pPr>
      <w:r>
        <w:rPr>
          <w:szCs w:val="24"/>
          <w:lang w:eastAsia="en-US"/>
        </w:rPr>
        <w:br w:type="page"/>
      </w:r>
    </w:p>
    <w:p w:rsidR="00092171" w:rsidRPr="00886ECA" w:rsidRDefault="00886ECA" w:rsidP="00092171">
      <w:pPr>
        <w:spacing w:before="120" w:after="120" w:line="360" w:lineRule="auto"/>
        <w:ind w:left="850" w:hanging="850"/>
        <w:rPr>
          <w:b/>
          <w:szCs w:val="24"/>
          <w:lang w:eastAsia="en-US"/>
        </w:rPr>
      </w:pPr>
      <w:r>
        <w:rPr>
          <w:szCs w:val="24"/>
          <w:lang w:eastAsia="en-US"/>
        </w:rPr>
        <w:lastRenderedPageBreak/>
        <w:t>9</w:t>
      </w:r>
      <w:r w:rsidR="00092171" w:rsidRPr="00092171">
        <w:rPr>
          <w:szCs w:val="24"/>
          <w:lang w:eastAsia="en-US"/>
        </w:rPr>
        <w:t>.</w:t>
      </w:r>
      <w:r w:rsidR="00092171" w:rsidRPr="00092171">
        <w:rPr>
          <w:szCs w:val="24"/>
          <w:lang w:eastAsia="en-US"/>
        </w:rPr>
        <w:tab/>
        <w:t xml:space="preserve">Producent ma obowiązek przechowywania kopii certyfikatu badania typu UE, załączników i dodatków do niego wraz z dokumentacją techniczną do dyspozycji organów krajowych przez okres 10 lat </w:t>
      </w:r>
      <w:r w:rsidR="00092171" w:rsidRPr="00092171">
        <w:rPr>
          <w:strike/>
          <w:szCs w:val="24"/>
          <w:lang w:eastAsia="en-US"/>
        </w:rPr>
        <w:t>po wprowadzeniu</w:t>
      </w:r>
      <w:r w:rsidR="00092171" w:rsidRPr="00092171">
        <w:rPr>
          <w:b/>
          <w:i/>
          <w:szCs w:val="24"/>
          <w:lang w:eastAsia="en-US"/>
        </w:rPr>
        <w:t>od dnia, w którym ostatni egzemplarz tego modelu</w:t>
      </w:r>
      <w:r w:rsidR="00092171" w:rsidRPr="00092171">
        <w:rPr>
          <w:szCs w:val="24"/>
          <w:lang w:eastAsia="en-US"/>
        </w:rPr>
        <w:t xml:space="preserve"> zabawki</w:t>
      </w:r>
      <w:r w:rsidR="00092171" w:rsidRPr="00092171">
        <w:rPr>
          <w:b/>
          <w:i/>
          <w:szCs w:val="24"/>
          <w:lang w:eastAsia="en-US"/>
        </w:rPr>
        <w:t xml:space="preserve"> został wprowadzony</w:t>
      </w:r>
      <w:r w:rsidR="00092171" w:rsidRPr="00092171">
        <w:rPr>
          <w:szCs w:val="24"/>
          <w:lang w:eastAsia="en-US"/>
        </w:rPr>
        <w:t xml:space="preserve"> do obrotu.</w:t>
      </w:r>
      <w:r>
        <w:rPr>
          <w:b/>
          <w:szCs w:val="24"/>
          <w:lang w:eastAsia="en-US"/>
        </w:rPr>
        <w:t xml:space="preserve"> [Popr. 228]</w:t>
      </w:r>
    </w:p>
    <w:p w:rsidR="00092171" w:rsidRPr="00092171" w:rsidRDefault="00886ECA" w:rsidP="00092171">
      <w:pPr>
        <w:spacing w:before="120" w:after="120" w:line="360" w:lineRule="auto"/>
        <w:ind w:left="850" w:hanging="850"/>
        <w:rPr>
          <w:szCs w:val="24"/>
          <w:lang w:eastAsia="en-US"/>
        </w:rPr>
      </w:pPr>
      <w:r>
        <w:rPr>
          <w:szCs w:val="24"/>
          <w:lang w:eastAsia="en-US"/>
        </w:rPr>
        <w:t>10</w:t>
      </w:r>
      <w:r w:rsidR="00092171" w:rsidRPr="00092171">
        <w:rPr>
          <w:szCs w:val="24"/>
          <w:lang w:eastAsia="en-US"/>
        </w:rPr>
        <w:t>.</w:t>
      </w:r>
      <w:r w:rsidR="00092171" w:rsidRPr="00092171">
        <w:rPr>
          <w:szCs w:val="24"/>
          <w:lang w:eastAsia="en-US"/>
        </w:rPr>
        <w:tab/>
        <w:t>Upoważniony przedstawiciel producenta może złożyć wniosek, o którym mowa w pkt 3, oraz wypełniać zobowiązania określone w pkt 7 i 9, o ile zostały one określone w pełnomocnictwie.</w:t>
      </w:r>
    </w:p>
    <w:p w:rsidR="00092171" w:rsidRPr="00886ECA" w:rsidRDefault="00092171" w:rsidP="00886ECA">
      <w:pPr>
        <w:spacing w:before="120" w:after="120" w:line="360" w:lineRule="auto"/>
        <w:rPr>
          <w:b/>
          <w:szCs w:val="24"/>
          <w:lang w:eastAsia="en-US"/>
        </w:rPr>
      </w:pPr>
      <w:r w:rsidRPr="00092171">
        <w:rPr>
          <w:szCs w:val="24"/>
          <w:lang w:eastAsia="en-US"/>
        </w:rPr>
        <w:t>Część III</w:t>
      </w:r>
      <w:r w:rsidR="00886ECA">
        <w:rPr>
          <w:bCs/>
          <w:noProof/>
          <w:color w:val="333333"/>
          <w:szCs w:val="24"/>
          <w:lang w:eastAsia="fr-BE"/>
        </w:rPr>
        <w:t xml:space="preserve"> </w:t>
      </w:r>
      <w:r w:rsidR="00886ECA" w:rsidRPr="0027555A">
        <w:rPr>
          <w:bCs/>
          <w:noProof/>
          <w:color w:val="333333"/>
          <w:szCs w:val="24"/>
          <w:lang w:eastAsia="fr-BE"/>
        </w:rPr>
        <w:t xml:space="preserve">- </w:t>
      </w:r>
      <w:r w:rsidRPr="00092171">
        <w:rPr>
          <w:b/>
          <w:i/>
          <w:szCs w:val="24"/>
          <w:lang w:eastAsia="en-US"/>
        </w:rPr>
        <w:t>Moduł C:</w:t>
      </w:r>
      <w:r w:rsidRPr="00092171">
        <w:rPr>
          <w:szCs w:val="24"/>
          <w:lang w:eastAsia="en-US"/>
        </w:rPr>
        <w:t xml:space="preserve"> Zgodność z typem w oparciu o wewnętrzną kontrolę produkcji</w:t>
      </w:r>
      <w:r w:rsidR="00886ECA">
        <w:rPr>
          <w:b/>
          <w:szCs w:val="24"/>
          <w:lang w:eastAsia="en-US"/>
        </w:rPr>
        <w:t xml:space="preserve"> [Popr. 229]</w:t>
      </w:r>
    </w:p>
    <w:p w:rsidR="00092171" w:rsidRPr="00092171" w:rsidRDefault="00886ECA" w:rsidP="00092171">
      <w:pPr>
        <w:spacing w:before="120" w:after="120" w:line="360" w:lineRule="auto"/>
        <w:ind w:left="850" w:hanging="850"/>
        <w:rPr>
          <w:szCs w:val="24"/>
          <w:lang w:eastAsia="en-US"/>
        </w:rPr>
      </w:pPr>
      <w:r>
        <w:rPr>
          <w:szCs w:val="24"/>
          <w:lang w:eastAsia="en-US"/>
        </w:rPr>
        <w:t>1</w:t>
      </w:r>
      <w:r w:rsidR="00092171" w:rsidRPr="00092171">
        <w:rPr>
          <w:szCs w:val="24"/>
          <w:lang w:eastAsia="en-US"/>
        </w:rPr>
        <w:t>.</w:t>
      </w:r>
      <w:r w:rsidR="00092171" w:rsidRPr="00092171">
        <w:rPr>
          <w:szCs w:val="24"/>
          <w:lang w:eastAsia="en-US"/>
        </w:rPr>
        <w:tab/>
        <w:t>Zgodność z typem w oparciu o wewnętrzną kontrolę produkcji to ta część procedury oceny zgodności, w ramach której producent wywiązuje się ze zobowiązań przedstawionych w pkt 2 i 3 oraz zapewnia i deklaruje, że dane produkty są zgodne z typem opisanym w certyfikacie badania typu UE i spełniają mające do nich zastosowanie wymagania aktu prawnego.</w:t>
      </w:r>
    </w:p>
    <w:p w:rsidR="00886ECA" w:rsidRDefault="00886ECA">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2.</w:t>
      </w:r>
      <w:r w:rsidRPr="00092171">
        <w:rPr>
          <w:szCs w:val="24"/>
          <w:lang w:eastAsia="en-US"/>
        </w:rPr>
        <w:tab/>
        <w:t>Produkcja</w:t>
      </w:r>
    </w:p>
    <w:p w:rsidR="00092171" w:rsidRPr="00092171" w:rsidRDefault="00092171" w:rsidP="00092171">
      <w:pPr>
        <w:spacing w:before="120" w:after="120" w:line="360" w:lineRule="auto"/>
        <w:ind w:left="850"/>
        <w:rPr>
          <w:szCs w:val="24"/>
          <w:lang w:eastAsia="en-US"/>
        </w:rPr>
      </w:pPr>
      <w:r w:rsidRPr="00092171">
        <w:rPr>
          <w:szCs w:val="24"/>
          <w:lang w:eastAsia="en-US"/>
        </w:rPr>
        <w:t>Producent podejmuje wszelkie niezbędne środki, aby proces produkcji i jego monitorowanie zapewniały zgodność wytworzonych produktów z zatwierdzonym typem opisanym w certyfikacie badania typu UE oraz z wymaganiami aktu prawnego mającymi do nich zastosowanie.</w:t>
      </w:r>
    </w:p>
    <w:p w:rsidR="00092171" w:rsidRPr="00886ECA" w:rsidRDefault="00886ECA" w:rsidP="00092171">
      <w:pPr>
        <w:spacing w:before="120" w:after="120" w:line="360" w:lineRule="auto"/>
        <w:ind w:left="850" w:hanging="850"/>
        <w:rPr>
          <w:b/>
          <w:szCs w:val="24"/>
          <w:lang w:eastAsia="en-US"/>
        </w:rPr>
      </w:pPr>
      <w:r>
        <w:rPr>
          <w:szCs w:val="24"/>
          <w:lang w:eastAsia="en-US"/>
        </w:rPr>
        <w:t>3</w:t>
      </w:r>
      <w:r w:rsidR="00092171" w:rsidRPr="00092171">
        <w:rPr>
          <w:szCs w:val="24"/>
          <w:lang w:eastAsia="en-US"/>
        </w:rPr>
        <w:t>.</w:t>
      </w:r>
      <w:r w:rsidR="00092171" w:rsidRPr="00092171">
        <w:rPr>
          <w:szCs w:val="24"/>
          <w:lang w:eastAsia="en-US"/>
        </w:rPr>
        <w:tab/>
        <w:t>Oznakowanie CE i</w:t>
      </w:r>
      <w:r w:rsidR="00092171" w:rsidRPr="00092171">
        <w:rPr>
          <w:b/>
          <w:i/>
          <w:szCs w:val="24"/>
          <w:lang w:eastAsia="en-US"/>
        </w:rPr>
        <w:t xml:space="preserve"> cyfrowy</w:t>
      </w:r>
      <w:r w:rsidR="00092171" w:rsidRPr="00092171">
        <w:rPr>
          <w:szCs w:val="24"/>
          <w:lang w:eastAsia="en-US"/>
        </w:rPr>
        <w:t xml:space="preserve"> paszport produktu</w:t>
      </w:r>
      <w:r>
        <w:rPr>
          <w:b/>
          <w:szCs w:val="24"/>
          <w:lang w:eastAsia="en-US"/>
        </w:rPr>
        <w:t xml:space="preserve"> [Popr. 230]</w:t>
      </w:r>
    </w:p>
    <w:p w:rsidR="00092171" w:rsidRPr="00092171" w:rsidRDefault="00092171" w:rsidP="00092171">
      <w:pPr>
        <w:spacing w:before="120" w:after="120" w:line="360" w:lineRule="auto"/>
        <w:ind w:left="850" w:hanging="850"/>
        <w:rPr>
          <w:szCs w:val="24"/>
          <w:lang w:eastAsia="en-US"/>
        </w:rPr>
      </w:pPr>
      <w:r w:rsidRPr="00092171">
        <w:rPr>
          <w:szCs w:val="24"/>
          <w:lang w:eastAsia="en-US"/>
        </w:rPr>
        <w:t>3.1.</w:t>
      </w:r>
      <w:r w:rsidRPr="00092171">
        <w:rPr>
          <w:szCs w:val="24"/>
          <w:lang w:eastAsia="en-US"/>
        </w:rPr>
        <w:tab/>
        <w:t>Producent ma obowiązek umieszczenia oznakowania CE na każdym egzemplarzu produktu zgodnym z typem opisanym w certyfikacie badania typu UE i spełniającym mające zastosowanie wymogi instrumentu legislacyjnego.</w:t>
      </w:r>
    </w:p>
    <w:p w:rsidR="00092171" w:rsidRPr="00886ECA" w:rsidRDefault="00092171" w:rsidP="00092171">
      <w:pPr>
        <w:spacing w:before="120" w:after="120" w:line="360" w:lineRule="auto"/>
        <w:ind w:left="850" w:hanging="850"/>
        <w:rPr>
          <w:b/>
          <w:szCs w:val="24"/>
          <w:lang w:eastAsia="en-US"/>
        </w:rPr>
      </w:pPr>
      <w:r w:rsidRPr="00092171">
        <w:rPr>
          <w:szCs w:val="24"/>
          <w:lang w:eastAsia="en-US"/>
        </w:rPr>
        <w:t>3.2.</w:t>
      </w:r>
      <w:r w:rsidRPr="00092171">
        <w:rPr>
          <w:szCs w:val="24"/>
          <w:lang w:eastAsia="en-US"/>
        </w:rPr>
        <w:tab/>
        <w:t>Producent sporządza</w:t>
      </w:r>
      <w:r w:rsidRPr="00092171">
        <w:rPr>
          <w:b/>
          <w:i/>
          <w:szCs w:val="24"/>
          <w:lang w:eastAsia="en-US"/>
        </w:rPr>
        <w:t xml:space="preserve"> cyfrowy</w:t>
      </w:r>
      <w:r w:rsidRPr="00092171">
        <w:rPr>
          <w:szCs w:val="24"/>
          <w:lang w:eastAsia="en-US"/>
        </w:rPr>
        <w:t xml:space="preserve"> paszport produktu dla modelu zabawki i zapewnia jego dostępność przez okres 10 lat od dnia</w:t>
      </w:r>
      <w:r w:rsidRPr="00092171">
        <w:rPr>
          <w:b/>
          <w:i/>
          <w:szCs w:val="24"/>
          <w:lang w:eastAsia="en-US"/>
        </w:rPr>
        <w:t>, w którym ostatni egzemplarz tego modelu</w:t>
      </w:r>
      <w:r w:rsidRPr="00092171">
        <w:rPr>
          <w:strike/>
          <w:szCs w:val="24"/>
          <w:lang w:eastAsia="en-US"/>
        </w:rPr>
        <w:t xml:space="preserve"> wprowadzenia</w:t>
      </w:r>
      <w:r w:rsidRPr="00092171">
        <w:rPr>
          <w:szCs w:val="24"/>
          <w:lang w:eastAsia="en-US"/>
        </w:rPr>
        <w:t xml:space="preserve"> zabawki</w:t>
      </w:r>
      <w:r w:rsidRPr="00092171">
        <w:rPr>
          <w:b/>
          <w:i/>
          <w:szCs w:val="24"/>
          <w:lang w:eastAsia="en-US"/>
        </w:rPr>
        <w:t xml:space="preserve"> został wprowadzony</w:t>
      </w:r>
      <w:r w:rsidRPr="00092171">
        <w:rPr>
          <w:szCs w:val="24"/>
          <w:lang w:eastAsia="en-US"/>
        </w:rPr>
        <w:t xml:space="preserve"> do obrotu.</w:t>
      </w:r>
      <w:r w:rsidRPr="00092171">
        <w:rPr>
          <w:b/>
          <w:i/>
          <w:szCs w:val="24"/>
          <w:lang w:eastAsia="en-US"/>
        </w:rPr>
        <w:t xml:space="preserve"> Cyfrowy</w:t>
      </w:r>
      <w:r w:rsidRPr="00092171">
        <w:rPr>
          <w:szCs w:val="24"/>
          <w:lang w:eastAsia="en-US"/>
        </w:rPr>
        <w:t xml:space="preserve"> paszport produktu identyfikuje zabawkę, dla której został sporządzony.</w:t>
      </w:r>
      <w:r w:rsidR="00886ECA">
        <w:rPr>
          <w:b/>
          <w:szCs w:val="24"/>
          <w:lang w:eastAsia="en-US"/>
        </w:rPr>
        <w:t xml:space="preserve"> [Popr. 231]</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Upoważniony przedstawiciel</w:t>
      </w:r>
    </w:p>
    <w:p w:rsidR="00092171" w:rsidRPr="00092171" w:rsidRDefault="00092171" w:rsidP="00092171">
      <w:pPr>
        <w:spacing w:before="120" w:after="120" w:line="360" w:lineRule="auto"/>
        <w:ind w:left="850"/>
        <w:rPr>
          <w:szCs w:val="24"/>
          <w:lang w:eastAsia="en-US"/>
        </w:rPr>
      </w:pPr>
      <w:r w:rsidRPr="00092171">
        <w:rPr>
          <w:szCs w:val="24"/>
          <w:lang w:eastAsia="en-US"/>
        </w:rPr>
        <w:t>Zobowiązania producenta określone w pkt 3 mogą być wypełniane w imieniu producenta i na odpowiedzialność producenta przez upoważnionego przedstawiciela producenta, o ile zostały one wyszczególnione w upoważnieniu.</w:t>
      </w:r>
    </w:p>
    <w:p w:rsidR="00092171" w:rsidRPr="00092171" w:rsidRDefault="00092171" w:rsidP="00092171">
      <w:pPr>
        <w:widowControl/>
        <w:spacing w:line="360" w:lineRule="auto"/>
        <w:rPr>
          <w:szCs w:val="24"/>
          <w:lang w:eastAsia="en-US"/>
        </w:rPr>
        <w:sectPr w:rsidR="00092171" w:rsidRPr="00092171">
          <w:footnotePr>
            <w:numRestart w:val="eachSect"/>
          </w:footnotePr>
          <w:pgSz w:w="11909" w:h="16834"/>
          <w:pgMar w:top="1134" w:right="1417" w:bottom="1417" w:left="1417" w:header="1134" w:footer="567" w:gutter="0"/>
          <w:cols w:space="720"/>
        </w:sectPr>
      </w:pPr>
    </w:p>
    <w:p w:rsidR="00092171" w:rsidRPr="00092171" w:rsidRDefault="00092171" w:rsidP="00092171">
      <w:pPr>
        <w:spacing w:before="120" w:after="120" w:line="360" w:lineRule="auto"/>
        <w:rPr>
          <w:szCs w:val="24"/>
          <w:lang w:eastAsia="en-US"/>
        </w:rPr>
      </w:pPr>
    </w:p>
    <w:p w:rsidR="00092171" w:rsidRPr="00092171" w:rsidRDefault="00092171" w:rsidP="00092171">
      <w:pPr>
        <w:spacing w:before="120" w:after="120" w:line="360" w:lineRule="auto"/>
        <w:jc w:val="center"/>
        <w:rPr>
          <w:lang w:eastAsia="en-US"/>
        </w:rPr>
      </w:pPr>
      <w:r w:rsidRPr="00092171">
        <w:rPr>
          <w:lang w:eastAsia="en-US"/>
        </w:rPr>
        <w:t>ZAŁĄCZNIK V</w:t>
      </w:r>
    </w:p>
    <w:p w:rsidR="00092171" w:rsidRPr="00092171" w:rsidRDefault="00092171" w:rsidP="00886ECA">
      <w:pPr>
        <w:spacing w:before="120" w:after="120" w:line="360" w:lineRule="auto"/>
        <w:jc w:val="center"/>
        <w:rPr>
          <w:szCs w:val="24"/>
          <w:lang w:eastAsia="en-US"/>
        </w:rPr>
      </w:pPr>
      <w:r w:rsidRPr="00092171">
        <w:rPr>
          <w:szCs w:val="24"/>
          <w:lang w:eastAsia="en-US"/>
        </w:rPr>
        <w:t>ELEMENTY, KTÓRE NALEŻY UWZGLĘDNIĆ W DOKUMENTACJI TECHNICZNEJ</w:t>
      </w:r>
    </w:p>
    <w:p w:rsidR="00092171" w:rsidRPr="00092171" w:rsidRDefault="00092171" w:rsidP="00886ECA">
      <w:pPr>
        <w:spacing w:before="120" w:after="120" w:line="360" w:lineRule="auto"/>
        <w:jc w:val="center"/>
        <w:rPr>
          <w:szCs w:val="24"/>
          <w:lang w:eastAsia="en-US"/>
        </w:rPr>
      </w:pPr>
      <w:r w:rsidRPr="00092171">
        <w:rPr>
          <w:szCs w:val="24"/>
          <w:lang w:eastAsia="en-US"/>
        </w:rPr>
        <w:t>(o których mowa w art. 23)</w:t>
      </w:r>
    </w:p>
    <w:p w:rsidR="00092171" w:rsidRPr="00092171" w:rsidRDefault="00092171" w:rsidP="00092171">
      <w:pPr>
        <w:spacing w:before="120" w:after="120" w:line="360" w:lineRule="auto"/>
        <w:ind w:left="850" w:hanging="850"/>
        <w:rPr>
          <w:szCs w:val="24"/>
          <w:lang w:eastAsia="en-US"/>
        </w:rPr>
      </w:pPr>
      <w:r w:rsidRPr="00092171">
        <w:rPr>
          <w:szCs w:val="24"/>
          <w:lang w:eastAsia="en-US"/>
        </w:rPr>
        <w:t>1)</w:t>
      </w:r>
      <w:r w:rsidRPr="00092171">
        <w:rPr>
          <w:szCs w:val="24"/>
          <w:lang w:eastAsia="en-US"/>
        </w:rPr>
        <w:tab/>
        <w:t>Szczegółowy opis projektu i produkcji, w tym wykaz stosowanych części składowych i materiałów użytych w zabawkach, oraz karty charakterystyki wykorzystanych substancji i mieszanin otrzymane od dostawców substancji chemicznych;</w:t>
      </w:r>
    </w:p>
    <w:p w:rsidR="00092171" w:rsidRPr="00092171" w:rsidRDefault="00092171" w:rsidP="00092171">
      <w:pPr>
        <w:spacing w:before="120" w:after="120" w:line="360" w:lineRule="auto"/>
        <w:ind w:left="850" w:hanging="850"/>
        <w:rPr>
          <w:szCs w:val="24"/>
          <w:lang w:eastAsia="en-US"/>
        </w:rPr>
      </w:pPr>
      <w:r w:rsidRPr="00092171">
        <w:rPr>
          <w:szCs w:val="24"/>
          <w:lang w:eastAsia="en-US"/>
        </w:rPr>
        <w:t>2)</w:t>
      </w:r>
      <w:r w:rsidRPr="00092171">
        <w:rPr>
          <w:szCs w:val="24"/>
          <w:lang w:eastAsia="en-US"/>
        </w:rPr>
        <w:tab/>
        <w:t>Ocena/oceny bezpieczeństwa przeprowadzana/przeprowadzane zgodnie z art. 21;</w:t>
      </w:r>
    </w:p>
    <w:p w:rsidR="00092171" w:rsidRPr="00092171" w:rsidRDefault="00092171" w:rsidP="00092171">
      <w:pPr>
        <w:spacing w:before="120" w:after="120" w:line="360" w:lineRule="auto"/>
        <w:ind w:left="850" w:hanging="850"/>
        <w:rPr>
          <w:szCs w:val="24"/>
          <w:lang w:eastAsia="en-US"/>
        </w:rPr>
      </w:pPr>
      <w:r w:rsidRPr="00092171">
        <w:rPr>
          <w:szCs w:val="24"/>
          <w:lang w:eastAsia="en-US"/>
        </w:rPr>
        <w:t>3)</w:t>
      </w:r>
      <w:r w:rsidRPr="00092171">
        <w:rPr>
          <w:szCs w:val="24"/>
          <w:lang w:eastAsia="en-US"/>
        </w:rPr>
        <w:tab/>
        <w:t>Opis zastosowanej procedury oceny zgodności;</w:t>
      </w:r>
    </w:p>
    <w:p w:rsidR="00092171" w:rsidRPr="00092171" w:rsidRDefault="00092171" w:rsidP="00092171">
      <w:pPr>
        <w:spacing w:before="120" w:after="120" w:line="360" w:lineRule="auto"/>
        <w:ind w:left="850" w:hanging="850"/>
        <w:rPr>
          <w:szCs w:val="24"/>
          <w:lang w:eastAsia="en-US"/>
        </w:rPr>
      </w:pPr>
      <w:r w:rsidRPr="00092171">
        <w:rPr>
          <w:szCs w:val="24"/>
          <w:lang w:eastAsia="en-US"/>
        </w:rPr>
        <w:t>4)</w:t>
      </w:r>
      <w:r w:rsidRPr="00092171">
        <w:rPr>
          <w:szCs w:val="24"/>
          <w:lang w:eastAsia="en-US"/>
        </w:rPr>
        <w:tab/>
        <w:t>Adresy miejsc produkcji i magazynowania;</w:t>
      </w:r>
    </w:p>
    <w:p w:rsidR="00092171" w:rsidRPr="00886ECA" w:rsidRDefault="00092171" w:rsidP="00092171">
      <w:pPr>
        <w:spacing w:before="120" w:after="120" w:line="360" w:lineRule="auto"/>
        <w:ind w:left="850" w:hanging="850"/>
        <w:rPr>
          <w:b/>
          <w:szCs w:val="24"/>
          <w:lang w:eastAsia="en-US"/>
        </w:rPr>
      </w:pPr>
      <w:r w:rsidRPr="00092171">
        <w:rPr>
          <w:szCs w:val="24"/>
          <w:lang w:eastAsia="en-US"/>
        </w:rPr>
        <w:t>5)</w:t>
      </w:r>
      <w:r w:rsidRPr="00092171">
        <w:rPr>
          <w:szCs w:val="24"/>
          <w:lang w:eastAsia="en-US"/>
        </w:rPr>
        <w:tab/>
        <w:t>Kopie dokumentów, które producent przedłożył jakiejkolwiek jednostce notyfikowanej</w:t>
      </w:r>
      <w:r w:rsidRPr="00092171">
        <w:rPr>
          <w:b/>
          <w:i/>
          <w:szCs w:val="24"/>
          <w:lang w:eastAsia="en-US"/>
        </w:rPr>
        <w:t>, w stosownych przypadkach</w:t>
      </w:r>
      <w:r w:rsidRPr="00092171">
        <w:rPr>
          <w:szCs w:val="24"/>
          <w:lang w:eastAsia="en-US"/>
        </w:rPr>
        <w:t>;</w:t>
      </w:r>
      <w:r w:rsidR="00886ECA">
        <w:rPr>
          <w:b/>
          <w:szCs w:val="24"/>
          <w:lang w:eastAsia="en-US"/>
        </w:rPr>
        <w:t xml:space="preserve"> [Popr. 232]</w:t>
      </w:r>
    </w:p>
    <w:p w:rsidR="00886ECA" w:rsidRDefault="00886ECA">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6)</w:t>
      </w:r>
      <w:r w:rsidRPr="00092171">
        <w:rPr>
          <w:szCs w:val="24"/>
          <w:lang w:eastAsia="en-US"/>
        </w:rPr>
        <w:tab/>
        <w:t>Sprawozdania z badań i opis środków, poprzez które producent zapewnił zgodność produkcji z normami zharmonizowanymi, jeżeli producent zastosował procedurę wewnętrznej kontroli produkcji określoną w art. 22 ust. 2; oraz</w:t>
      </w:r>
    </w:p>
    <w:p w:rsidR="00092171" w:rsidRPr="00092171" w:rsidRDefault="00092171" w:rsidP="00092171">
      <w:pPr>
        <w:spacing w:before="120" w:after="120" w:line="360" w:lineRule="auto"/>
        <w:ind w:left="850" w:hanging="850"/>
        <w:rPr>
          <w:szCs w:val="24"/>
          <w:lang w:eastAsia="en-US"/>
        </w:rPr>
      </w:pPr>
      <w:r w:rsidRPr="00092171">
        <w:rPr>
          <w:szCs w:val="24"/>
          <w:lang w:eastAsia="en-US"/>
        </w:rPr>
        <w:t>7)</w:t>
      </w:r>
      <w:r w:rsidRPr="00092171">
        <w:rPr>
          <w:szCs w:val="24"/>
          <w:lang w:eastAsia="en-US"/>
        </w:rPr>
        <w:tab/>
        <w:t>Kopia certyfikatu badania typu UE, opis środków, poprzez które producent zapewnił zgodność produkcji z typem produktu opisanym w certyfikacie badania typu UE, oraz kopie dokumentów, które producent przedłożył jednostce notyfikowanej, jeżeli producent przedstawił zabawkę do badania typu UE oraz zastosował się do procedury zgodności typu, o której mowa w art. 22 ust. 3.</w:t>
      </w:r>
    </w:p>
    <w:p w:rsidR="00092171" w:rsidRPr="00092171" w:rsidRDefault="00092171" w:rsidP="00092171">
      <w:pPr>
        <w:widowControl/>
        <w:spacing w:line="360" w:lineRule="auto"/>
        <w:rPr>
          <w:szCs w:val="24"/>
          <w:lang w:eastAsia="en-US"/>
        </w:rPr>
        <w:sectPr w:rsidR="00092171" w:rsidRPr="00092171">
          <w:footnotePr>
            <w:numRestart w:val="eachSect"/>
          </w:footnotePr>
          <w:pgSz w:w="11909" w:h="16834"/>
          <w:pgMar w:top="1134" w:right="1417" w:bottom="1417" w:left="1417" w:header="1134" w:footer="567" w:gutter="0"/>
          <w:cols w:space="720"/>
        </w:sectPr>
      </w:pPr>
    </w:p>
    <w:p w:rsidR="00092171" w:rsidRPr="00092171" w:rsidRDefault="00092171" w:rsidP="00092171">
      <w:pPr>
        <w:spacing w:before="120" w:after="120" w:line="360" w:lineRule="auto"/>
        <w:rPr>
          <w:szCs w:val="24"/>
          <w:lang w:eastAsia="en-US"/>
        </w:rPr>
      </w:pPr>
    </w:p>
    <w:p w:rsidR="00092171" w:rsidRPr="00092171" w:rsidRDefault="00092171" w:rsidP="00092171">
      <w:pPr>
        <w:spacing w:before="120" w:after="120" w:line="360" w:lineRule="auto"/>
        <w:jc w:val="center"/>
        <w:rPr>
          <w:lang w:eastAsia="en-US"/>
        </w:rPr>
      </w:pPr>
      <w:r w:rsidRPr="00092171">
        <w:rPr>
          <w:lang w:eastAsia="en-US"/>
        </w:rPr>
        <w:t>ZAŁĄCZNIK VI</w:t>
      </w:r>
    </w:p>
    <w:p w:rsidR="00092171" w:rsidRPr="00843637" w:rsidRDefault="00092171" w:rsidP="00843637">
      <w:pPr>
        <w:spacing w:before="120" w:after="120" w:line="360" w:lineRule="auto"/>
        <w:jc w:val="center"/>
        <w:rPr>
          <w:b/>
          <w:szCs w:val="24"/>
          <w:lang w:eastAsia="en-US"/>
        </w:rPr>
      </w:pPr>
      <w:r w:rsidRPr="00092171">
        <w:rPr>
          <w:b/>
          <w:i/>
          <w:szCs w:val="24"/>
          <w:lang w:eastAsia="en-US"/>
        </w:rPr>
        <w:t xml:space="preserve">CYFROWY </w:t>
      </w:r>
      <w:r w:rsidRPr="00092171">
        <w:rPr>
          <w:szCs w:val="24"/>
          <w:lang w:eastAsia="en-US"/>
        </w:rPr>
        <w:t>PASZPORT PRODUKTU</w:t>
      </w:r>
      <w:r w:rsidR="00843637">
        <w:rPr>
          <w:b/>
          <w:szCs w:val="24"/>
          <w:lang w:eastAsia="en-US"/>
        </w:rPr>
        <w:t xml:space="preserve"> [Popr. 233]</w:t>
      </w:r>
    </w:p>
    <w:p w:rsidR="00092171" w:rsidRPr="00843637" w:rsidRDefault="00092171" w:rsidP="00843637">
      <w:pPr>
        <w:spacing w:before="120" w:after="120" w:line="360" w:lineRule="auto"/>
        <w:rPr>
          <w:b/>
          <w:szCs w:val="24"/>
          <w:lang w:eastAsia="en-US"/>
        </w:rPr>
      </w:pPr>
      <w:r w:rsidRPr="00092171">
        <w:rPr>
          <w:szCs w:val="24"/>
          <w:lang w:eastAsia="en-US"/>
        </w:rPr>
        <w:t>Część I</w:t>
      </w:r>
      <w:r w:rsidR="00843637" w:rsidRPr="00FD7FCD">
        <w:rPr>
          <w:szCs w:val="24"/>
          <w:lang w:eastAsia="en-US"/>
        </w:rPr>
        <w:t xml:space="preserve"> –</w:t>
      </w:r>
      <w:r w:rsidR="00843637">
        <w:rPr>
          <w:szCs w:val="24"/>
          <w:lang w:eastAsia="en-US"/>
        </w:rPr>
        <w:t xml:space="preserve"> </w:t>
      </w:r>
      <w:r w:rsidRPr="00092171">
        <w:rPr>
          <w:szCs w:val="24"/>
          <w:lang w:eastAsia="en-US"/>
        </w:rPr>
        <w:t xml:space="preserve">Informacje, które należy uwzględnić w </w:t>
      </w:r>
      <w:r w:rsidRPr="00092171">
        <w:rPr>
          <w:b/>
          <w:i/>
          <w:szCs w:val="24"/>
          <w:lang w:eastAsia="en-US"/>
        </w:rPr>
        <w:t xml:space="preserve">cyfrowym </w:t>
      </w:r>
      <w:r w:rsidRPr="00092171">
        <w:rPr>
          <w:szCs w:val="24"/>
          <w:lang w:eastAsia="en-US"/>
        </w:rPr>
        <w:t>paszporcie produktu</w:t>
      </w:r>
      <w:r w:rsidR="00843637">
        <w:rPr>
          <w:b/>
          <w:szCs w:val="24"/>
          <w:lang w:eastAsia="en-US"/>
        </w:rPr>
        <w:t xml:space="preserve"> [Popr. 234]</w:t>
      </w:r>
    </w:p>
    <w:p w:rsidR="00092171" w:rsidRPr="00092171" w:rsidRDefault="00092171" w:rsidP="00092171">
      <w:pPr>
        <w:spacing w:before="120" w:after="120" w:line="360" w:lineRule="auto"/>
        <w:ind w:left="850" w:hanging="850"/>
        <w:rPr>
          <w:szCs w:val="24"/>
          <w:lang w:eastAsia="en-US"/>
        </w:rPr>
      </w:pPr>
      <w:r w:rsidRPr="00092171">
        <w:rPr>
          <w:szCs w:val="24"/>
          <w:lang w:eastAsia="en-US"/>
        </w:rPr>
        <w:t>a)</w:t>
      </w:r>
      <w:r w:rsidRPr="00092171">
        <w:rPr>
          <w:szCs w:val="24"/>
          <w:lang w:eastAsia="en-US"/>
        </w:rPr>
        <w:tab/>
        <w:t>unikatowy identyfikator produktu dla zabawki;</w:t>
      </w:r>
    </w:p>
    <w:p w:rsidR="00092171" w:rsidRPr="00092171" w:rsidRDefault="00092171" w:rsidP="00092171">
      <w:pPr>
        <w:spacing w:before="120" w:after="120" w:line="360" w:lineRule="auto"/>
        <w:ind w:left="850" w:hanging="850"/>
        <w:rPr>
          <w:szCs w:val="24"/>
          <w:lang w:eastAsia="en-US"/>
        </w:rPr>
      </w:pPr>
      <w:r w:rsidRPr="00092171">
        <w:rPr>
          <w:szCs w:val="24"/>
          <w:lang w:eastAsia="en-US"/>
        </w:rPr>
        <w:t>b)</w:t>
      </w:r>
      <w:r w:rsidRPr="00092171">
        <w:rPr>
          <w:szCs w:val="24"/>
          <w:lang w:eastAsia="en-US"/>
        </w:rPr>
        <w:tab/>
        <w:t>imię i nazwisko lub nazwa oraz adres producenta lub jego upoważnionego przedstawiciela, a także unikatowy identyfikator podmiotu;</w:t>
      </w:r>
    </w:p>
    <w:p w:rsidR="00092171" w:rsidRPr="00092171" w:rsidRDefault="00092171" w:rsidP="00092171">
      <w:pPr>
        <w:spacing w:before="120" w:after="120" w:line="360" w:lineRule="auto"/>
        <w:ind w:left="850" w:hanging="850"/>
        <w:rPr>
          <w:szCs w:val="24"/>
          <w:lang w:eastAsia="en-US"/>
        </w:rPr>
      </w:pPr>
      <w:r w:rsidRPr="00092171">
        <w:rPr>
          <w:szCs w:val="24"/>
          <w:lang w:eastAsia="en-US"/>
        </w:rPr>
        <w:t>c)</w:t>
      </w:r>
      <w:r w:rsidRPr="00092171">
        <w:rPr>
          <w:szCs w:val="24"/>
          <w:lang w:eastAsia="en-US"/>
        </w:rPr>
        <w:tab/>
        <w:t>imię i nazwisko lub nazwa oraz adres podmiotu gospodarczego odpowiedzialnego za wykonywanie zadań określonych w art. 4 rozporządzenia (UE) 2019/1020, a także unikatowy identyfikator podmiotu;</w:t>
      </w:r>
    </w:p>
    <w:p w:rsidR="00092171" w:rsidRPr="00843637" w:rsidRDefault="00092171" w:rsidP="00092171">
      <w:pPr>
        <w:spacing w:before="120" w:after="120" w:line="360" w:lineRule="auto"/>
        <w:ind w:left="850" w:hanging="850"/>
        <w:rPr>
          <w:b/>
          <w:szCs w:val="24"/>
          <w:lang w:eastAsia="en-US"/>
        </w:rPr>
      </w:pPr>
      <w:r w:rsidRPr="00092171">
        <w:rPr>
          <w:szCs w:val="24"/>
          <w:lang w:eastAsia="en-US"/>
        </w:rPr>
        <w:t>d)</w:t>
      </w:r>
      <w:r w:rsidRPr="00092171">
        <w:rPr>
          <w:szCs w:val="24"/>
          <w:lang w:eastAsia="en-US"/>
        </w:rPr>
        <w:tab/>
        <w:t>przedmiot paszportu (określenie zabawki umożliwiające identyfikowalność</w:t>
      </w:r>
      <w:r w:rsidRPr="00092171">
        <w:rPr>
          <w:strike/>
          <w:szCs w:val="24"/>
          <w:lang w:eastAsia="en-US"/>
        </w:rPr>
        <w:t>, w tym kolorowy obraz wystarczająco wyraźny, aby umożliwić identyfikację zabawki</w:t>
      </w:r>
      <w:r w:rsidRPr="00092171">
        <w:rPr>
          <w:szCs w:val="24"/>
          <w:lang w:eastAsia="en-US"/>
        </w:rPr>
        <w:t>);</w:t>
      </w:r>
      <w:r w:rsidR="00843637">
        <w:rPr>
          <w:b/>
          <w:szCs w:val="24"/>
          <w:lang w:eastAsia="en-US"/>
        </w:rPr>
        <w:t xml:space="preserve"> [Popr. 235]</w:t>
      </w:r>
    </w:p>
    <w:p w:rsidR="00843637" w:rsidRDefault="00843637">
      <w:pPr>
        <w:widowControl/>
        <w:rPr>
          <w:szCs w:val="24"/>
          <w:lang w:eastAsia="en-US"/>
        </w:rPr>
      </w:pPr>
      <w:r>
        <w:rPr>
          <w:szCs w:val="24"/>
          <w:lang w:eastAsia="en-US"/>
        </w:rPr>
        <w:br w:type="page"/>
      </w:r>
    </w:p>
    <w:p w:rsidR="00092171" w:rsidRPr="00092171" w:rsidRDefault="00092171" w:rsidP="00092171">
      <w:pPr>
        <w:spacing w:before="120" w:after="120" w:line="360" w:lineRule="auto"/>
        <w:ind w:left="850" w:hanging="850"/>
        <w:rPr>
          <w:szCs w:val="24"/>
          <w:lang w:eastAsia="en-US"/>
        </w:rPr>
      </w:pPr>
      <w:r w:rsidRPr="00092171">
        <w:rPr>
          <w:szCs w:val="24"/>
          <w:lang w:eastAsia="en-US"/>
        </w:rPr>
        <w:lastRenderedPageBreak/>
        <w:t>e)</w:t>
      </w:r>
      <w:r w:rsidRPr="00092171">
        <w:rPr>
          <w:szCs w:val="24"/>
          <w:lang w:eastAsia="en-US"/>
        </w:rPr>
        <w:tab/>
        <w:t>kod towaru, pod którym zabawka jest sklasyfikowana w chwili utworzenia paszportu produktu, jak określono w rozporządzeniu Rady (EWG) nr 2658/87</w:t>
      </w:r>
      <w:r w:rsidRPr="00092171">
        <w:rPr>
          <w:szCs w:val="24"/>
          <w:vertAlign w:val="superscript"/>
          <w:lang w:eastAsia="en-US"/>
        </w:rPr>
        <w:footnoteReference w:customMarkFollows="1" w:id="27"/>
        <w:t>1</w:t>
      </w:r>
      <w:r w:rsidRPr="00092171">
        <w:rPr>
          <w:szCs w:val="24"/>
          <w:lang w:eastAsia="en-US"/>
        </w:rPr>
        <w:t>;</w:t>
      </w:r>
    </w:p>
    <w:p w:rsidR="00092171" w:rsidRPr="00092171" w:rsidRDefault="00092171" w:rsidP="00092171">
      <w:pPr>
        <w:spacing w:before="120" w:after="120" w:line="360" w:lineRule="auto"/>
        <w:ind w:left="850" w:hanging="850"/>
        <w:rPr>
          <w:szCs w:val="24"/>
          <w:lang w:eastAsia="en-US"/>
        </w:rPr>
      </w:pPr>
      <w:r w:rsidRPr="00092171">
        <w:rPr>
          <w:szCs w:val="24"/>
          <w:lang w:eastAsia="en-US"/>
        </w:rPr>
        <w:t>f)</w:t>
      </w:r>
      <w:r w:rsidRPr="00092171">
        <w:rPr>
          <w:szCs w:val="24"/>
          <w:lang w:eastAsia="en-US"/>
        </w:rPr>
        <w:tab/>
        <w:t>odniesienia do wszystkich przepisów Unii, z którymi zabawka jest zgodna;</w:t>
      </w:r>
    </w:p>
    <w:p w:rsidR="00092171" w:rsidRPr="00092171" w:rsidRDefault="00092171" w:rsidP="00092171">
      <w:pPr>
        <w:spacing w:before="120" w:after="120" w:line="360" w:lineRule="auto"/>
        <w:ind w:left="850" w:hanging="850"/>
        <w:rPr>
          <w:szCs w:val="24"/>
          <w:lang w:eastAsia="en-US"/>
        </w:rPr>
      </w:pPr>
      <w:r w:rsidRPr="00092171">
        <w:rPr>
          <w:szCs w:val="24"/>
          <w:lang w:eastAsia="en-US"/>
        </w:rPr>
        <w:t>g)</w:t>
      </w:r>
      <w:r w:rsidRPr="00092171">
        <w:rPr>
          <w:szCs w:val="24"/>
          <w:lang w:eastAsia="en-US"/>
        </w:rPr>
        <w:tab/>
        <w:t>odniesienia do właściwych zastosowanych norm zharmonizowanych lub do wspólnych specyfikacji, w stosunku do których deklarowana jest zgodność;</w:t>
      </w:r>
    </w:p>
    <w:p w:rsidR="00092171" w:rsidRPr="00092171" w:rsidRDefault="00092171" w:rsidP="00092171">
      <w:pPr>
        <w:spacing w:before="120" w:after="120" w:line="360" w:lineRule="auto"/>
        <w:ind w:left="850" w:hanging="850"/>
        <w:rPr>
          <w:szCs w:val="24"/>
          <w:lang w:eastAsia="en-US"/>
        </w:rPr>
      </w:pPr>
      <w:r w:rsidRPr="00092171">
        <w:rPr>
          <w:szCs w:val="24"/>
          <w:lang w:eastAsia="en-US"/>
        </w:rPr>
        <w:t>h)</w:t>
      </w:r>
      <w:r w:rsidRPr="00092171">
        <w:rPr>
          <w:szCs w:val="24"/>
          <w:lang w:eastAsia="en-US"/>
        </w:rPr>
        <w:tab/>
        <w:t>w stosownych przypadkach: nazwa i numer identyfikacyjny jednostki notyfikowanej, która brała udział w procedurze oceny zgodności i która wydała certyfikat, a także odniesienie do tego certyfikatu;</w:t>
      </w:r>
    </w:p>
    <w:p w:rsidR="00092171" w:rsidRPr="00092171" w:rsidRDefault="00092171" w:rsidP="00092171">
      <w:pPr>
        <w:spacing w:before="120" w:after="120" w:line="360" w:lineRule="auto"/>
        <w:ind w:left="850" w:hanging="850"/>
        <w:rPr>
          <w:szCs w:val="24"/>
          <w:lang w:eastAsia="en-US"/>
        </w:rPr>
      </w:pPr>
      <w:r w:rsidRPr="00092171">
        <w:rPr>
          <w:szCs w:val="24"/>
          <w:lang w:eastAsia="en-US"/>
        </w:rPr>
        <w:t>i)</w:t>
      </w:r>
      <w:r w:rsidRPr="00092171">
        <w:rPr>
          <w:szCs w:val="24"/>
          <w:lang w:eastAsia="en-US"/>
        </w:rPr>
        <w:tab/>
        <w:t>oznakowanie CE;</w:t>
      </w:r>
    </w:p>
    <w:p w:rsidR="00092171" w:rsidRPr="00092171" w:rsidRDefault="00092171" w:rsidP="00092171">
      <w:pPr>
        <w:spacing w:before="120" w:after="120" w:line="360" w:lineRule="auto"/>
        <w:ind w:left="850" w:hanging="850"/>
        <w:rPr>
          <w:szCs w:val="24"/>
          <w:lang w:eastAsia="en-US"/>
        </w:rPr>
      </w:pPr>
      <w:r w:rsidRPr="00092171">
        <w:rPr>
          <w:szCs w:val="24"/>
          <w:lang w:eastAsia="en-US"/>
        </w:rPr>
        <w:t>j)</w:t>
      </w:r>
      <w:r w:rsidRPr="00092171">
        <w:rPr>
          <w:szCs w:val="24"/>
          <w:lang w:eastAsia="en-US"/>
        </w:rPr>
        <w:tab/>
        <w:t>wykaz substancji zapachowych mogących powodować alergie występujących w zabawce, które podlegają szczególnym wymogom dotyczącym etykietowania określonym w części B pkt 1 dodatku do załącznika II;</w:t>
      </w:r>
    </w:p>
    <w:p w:rsidR="00092171" w:rsidRPr="00843637" w:rsidRDefault="00843637" w:rsidP="00092171">
      <w:pPr>
        <w:spacing w:before="120" w:after="120" w:line="360" w:lineRule="auto"/>
        <w:rPr>
          <w:b/>
          <w:szCs w:val="24"/>
          <w:lang w:eastAsia="en-US"/>
        </w:rPr>
      </w:pPr>
      <w:r>
        <w:rPr>
          <w:b/>
          <w:i/>
          <w:szCs w:val="24"/>
          <w:lang w:eastAsia="en-US"/>
        </w:rPr>
        <w:t>ja)</w:t>
      </w:r>
      <w:r>
        <w:rPr>
          <w:b/>
          <w:i/>
          <w:szCs w:val="24"/>
          <w:lang w:eastAsia="en-US"/>
        </w:rPr>
        <w:tab/>
      </w:r>
      <w:r w:rsidR="00092171" w:rsidRPr="00092171">
        <w:rPr>
          <w:b/>
          <w:i/>
          <w:szCs w:val="24"/>
          <w:lang w:eastAsia="en-US"/>
        </w:rPr>
        <w:t>kanał komunikacji przewidziany w art. 7 ust. 11;</w:t>
      </w:r>
      <w:r>
        <w:rPr>
          <w:b/>
          <w:szCs w:val="24"/>
          <w:lang w:eastAsia="en-US"/>
        </w:rPr>
        <w:t xml:space="preserve"> [Popr. 236]</w:t>
      </w:r>
    </w:p>
    <w:p w:rsidR="00843637" w:rsidRDefault="00843637">
      <w:pPr>
        <w:widowControl/>
        <w:rPr>
          <w:b/>
          <w:i/>
          <w:szCs w:val="24"/>
          <w:lang w:eastAsia="en-US"/>
        </w:rPr>
      </w:pPr>
      <w:r>
        <w:rPr>
          <w:b/>
          <w:i/>
          <w:szCs w:val="24"/>
          <w:lang w:eastAsia="en-US"/>
        </w:rPr>
        <w:br w:type="page"/>
      </w:r>
    </w:p>
    <w:p w:rsidR="00092171" w:rsidRPr="00843637" w:rsidRDefault="00843637" w:rsidP="00092171">
      <w:pPr>
        <w:spacing w:before="120" w:after="120" w:line="360" w:lineRule="auto"/>
        <w:rPr>
          <w:b/>
          <w:szCs w:val="24"/>
          <w:lang w:eastAsia="en-US"/>
        </w:rPr>
      </w:pPr>
      <w:r>
        <w:rPr>
          <w:b/>
          <w:i/>
          <w:szCs w:val="24"/>
          <w:lang w:eastAsia="en-US"/>
        </w:rPr>
        <w:lastRenderedPageBreak/>
        <w:t>jb)</w:t>
      </w:r>
      <w:r>
        <w:rPr>
          <w:b/>
          <w:i/>
          <w:szCs w:val="24"/>
          <w:lang w:eastAsia="en-US"/>
        </w:rPr>
        <w:tab/>
      </w:r>
      <w:r w:rsidR="00092171" w:rsidRPr="00092171">
        <w:rPr>
          <w:b/>
          <w:i/>
          <w:szCs w:val="24"/>
          <w:lang w:eastAsia="en-US"/>
        </w:rPr>
        <w:t>jeżeli zabawka zawiera urządzenie radiowe, informacje przewidziane w załączniku VI do dyrektywy Parlamentu Europejskiego i Rady 2014/53/UE;</w:t>
      </w:r>
      <w:r>
        <w:rPr>
          <w:b/>
          <w:szCs w:val="24"/>
          <w:lang w:eastAsia="en-US"/>
        </w:rPr>
        <w:t xml:space="preserve"> [Popr. 237]</w:t>
      </w:r>
    </w:p>
    <w:p w:rsidR="00092171" w:rsidRPr="00843637" w:rsidRDefault="00843637" w:rsidP="000826DC">
      <w:pPr>
        <w:spacing w:before="120" w:after="120" w:line="360" w:lineRule="auto"/>
        <w:rPr>
          <w:b/>
          <w:szCs w:val="24"/>
          <w:lang w:eastAsia="en-US"/>
        </w:rPr>
      </w:pPr>
      <w:r>
        <w:rPr>
          <w:b/>
          <w:i/>
          <w:szCs w:val="24"/>
          <w:lang w:eastAsia="en-US"/>
        </w:rPr>
        <w:t>j</w:t>
      </w:r>
      <w:bookmarkStart w:id="8" w:name="_GoBack"/>
      <w:bookmarkEnd w:id="8"/>
      <w:r>
        <w:rPr>
          <w:b/>
          <w:i/>
          <w:szCs w:val="24"/>
          <w:lang w:eastAsia="en-US"/>
        </w:rPr>
        <w:t>c)</w:t>
      </w:r>
      <w:r>
        <w:rPr>
          <w:b/>
          <w:i/>
          <w:szCs w:val="24"/>
          <w:lang w:eastAsia="en-US"/>
        </w:rPr>
        <w:tab/>
      </w:r>
      <w:r w:rsidR="00092171" w:rsidRPr="00092171">
        <w:rPr>
          <w:b/>
          <w:i/>
          <w:szCs w:val="24"/>
          <w:lang w:eastAsia="en-US"/>
        </w:rPr>
        <w:t xml:space="preserve">link do portalu Safety Business Gateway oraz do części portalu Safety Gate, o których mowa w art. 27 i art. 34 ust. 3 rozporządzenia </w:t>
      </w:r>
      <w:r>
        <w:rPr>
          <w:b/>
          <w:i/>
          <w:szCs w:val="24"/>
          <w:lang w:eastAsia="en-US"/>
        </w:rPr>
        <w:t xml:space="preserve">(UE) </w:t>
      </w:r>
      <w:r w:rsidR="00092171" w:rsidRPr="00092171">
        <w:rPr>
          <w:b/>
          <w:i/>
          <w:szCs w:val="24"/>
          <w:lang w:eastAsia="en-US"/>
        </w:rPr>
        <w:t>2023/988, na potrzeby przekazywania informacji o zabawkach, które mogą stanowić zagrożenie dla zdrowia i bezpieczeństwa konsumentów.</w:t>
      </w:r>
      <w:r>
        <w:rPr>
          <w:b/>
          <w:szCs w:val="24"/>
          <w:lang w:eastAsia="en-US"/>
        </w:rPr>
        <w:t xml:space="preserve"> [Popr. 238]</w:t>
      </w:r>
    </w:p>
    <w:p w:rsidR="00092171" w:rsidRPr="00092171" w:rsidRDefault="00092171" w:rsidP="00092171">
      <w:pPr>
        <w:spacing w:before="120" w:after="120" w:line="360" w:lineRule="auto"/>
        <w:ind w:left="850" w:hanging="850"/>
        <w:rPr>
          <w:szCs w:val="24"/>
          <w:lang w:eastAsia="en-US"/>
        </w:rPr>
      </w:pPr>
      <w:r w:rsidRPr="00092171">
        <w:rPr>
          <w:strike/>
          <w:szCs w:val="24"/>
          <w:lang w:eastAsia="en-US"/>
        </w:rPr>
        <w:t>k)</w:t>
      </w:r>
      <w:r w:rsidRPr="00092171">
        <w:rPr>
          <w:szCs w:val="24"/>
          <w:lang w:eastAsia="en-US"/>
        </w:rPr>
        <w:tab/>
      </w:r>
      <w:r w:rsidRPr="00092171">
        <w:rPr>
          <w:strike/>
          <w:szCs w:val="24"/>
          <w:lang w:eastAsia="en-US"/>
        </w:rPr>
        <w:t>informacje o wszelkich substancjach potencjalnie niebezpiecznych występujących w zabawce.</w:t>
      </w:r>
    </w:p>
    <w:p w:rsidR="00092171" w:rsidRPr="00092171" w:rsidRDefault="00092171" w:rsidP="00843637">
      <w:pPr>
        <w:spacing w:before="120" w:after="120" w:line="360" w:lineRule="auto"/>
        <w:rPr>
          <w:szCs w:val="24"/>
          <w:lang w:eastAsia="en-US"/>
        </w:rPr>
      </w:pPr>
      <w:r w:rsidRPr="00092171">
        <w:rPr>
          <w:szCs w:val="24"/>
          <w:lang w:eastAsia="en-US"/>
        </w:rPr>
        <w:t>Część II</w:t>
      </w:r>
      <w:r w:rsidR="00843637" w:rsidRPr="00FD7FCD">
        <w:rPr>
          <w:szCs w:val="24"/>
          <w:lang w:eastAsia="en-US"/>
        </w:rPr>
        <w:t xml:space="preserve"> –</w:t>
      </w:r>
      <w:r w:rsidR="00843637" w:rsidRPr="00D24A31">
        <w:rPr>
          <w:strike/>
          <w:szCs w:val="24"/>
          <w:lang w:eastAsia="en-US"/>
        </w:rPr>
        <w:t xml:space="preserve"> </w:t>
      </w:r>
      <w:r w:rsidRPr="00092171">
        <w:rPr>
          <w:szCs w:val="24"/>
          <w:lang w:eastAsia="en-US"/>
        </w:rPr>
        <w:t xml:space="preserve">Informacje, które można uwzględnić w </w:t>
      </w:r>
      <w:r w:rsidRPr="00092171">
        <w:rPr>
          <w:b/>
          <w:i/>
          <w:szCs w:val="24"/>
          <w:lang w:eastAsia="en-US"/>
        </w:rPr>
        <w:t xml:space="preserve">cyfrowym </w:t>
      </w:r>
      <w:r w:rsidRPr="00092171">
        <w:rPr>
          <w:szCs w:val="24"/>
          <w:lang w:eastAsia="en-US"/>
        </w:rPr>
        <w:t>paszporcie produktu</w:t>
      </w:r>
    </w:p>
    <w:p w:rsidR="00092171" w:rsidRPr="00092171" w:rsidRDefault="00092171" w:rsidP="00092171">
      <w:pPr>
        <w:spacing w:before="120" w:after="120" w:line="360" w:lineRule="auto"/>
        <w:ind w:left="850" w:hanging="850"/>
        <w:rPr>
          <w:szCs w:val="24"/>
          <w:lang w:eastAsia="en-US"/>
        </w:rPr>
      </w:pPr>
      <w:r w:rsidRPr="00092171">
        <w:rPr>
          <w:szCs w:val="24"/>
          <w:lang w:eastAsia="en-US"/>
        </w:rPr>
        <w:t>a)</w:t>
      </w:r>
      <w:r w:rsidRPr="00092171">
        <w:rPr>
          <w:szCs w:val="24"/>
          <w:lang w:eastAsia="en-US"/>
        </w:rPr>
        <w:tab/>
        <w:t>informacje na temat bezpieczeństwa i ostrzeżenia;</w:t>
      </w:r>
    </w:p>
    <w:p w:rsidR="00092171" w:rsidRPr="00092171" w:rsidRDefault="00092171" w:rsidP="00092171">
      <w:pPr>
        <w:spacing w:before="120" w:after="120" w:line="360" w:lineRule="auto"/>
        <w:ind w:left="850" w:hanging="850"/>
        <w:rPr>
          <w:szCs w:val="24"/>
          <w:lang w:eastAsia="en-US"/>
        </w:rPr>
      </w:pPr>
      <w:r w:rsidRPr="00092171">
        <w:rPr>
          <w:szCs w:val="24"/>
          <w:lang w:eastAsia="en-US"/>
        </w:rPr>
        <w:t>b)</w:t>
      </w:r>
      <w:r w:rsidRPr="00092171">
        <w:rPr>
          <w:szCs w:val="24"/>
          <w:lang w:eastAsia="en-US"/>
        </w:rPr>
        <w:tab/>
        <w:t>instrukcje dotyczące stosowania.</w:t>
      </w:r>
    </w:p>
    <w:p w:rsidR="00092171" w:rsidRPr="00843637" w:rsidRDefault="00843637" w:rsidP="00092171">
      <w:pPr>
        <w:spacing w:before="120" w:after="120" w:line="360" w:lineRule="auto"/>
        <w:rPr>
          <w:b/>
          <w:szCs w:val="24"/>
          <w:lang w:eastAsia="en-US"/>
        </w:rPr>
      </w:pPr>
      <w:r>
        <w:rPr>
          <w:b/>
          <w:i/>
          <w:szCs w:val="24"/>
          <w:lang w:eastAsia="en-US"/>
        </w:rPr>
        <w:t>ba)</w:t>
      </w:r>
      <w:r>
        <w:rPr>
          <w:b/>
          <w:i/>
          <w:szCs w:val="24"/>
          <w:lang w:eastAsia="en-US"/>
        </w:rPr>
        <w:tab/>
      </w:r>
      <w:r w:rsidR="00092171" w:rsidRPr="00092171">
        <w:rPr>
          <w:b/>
          <w:i/>
          <w:szCs w:val="24"/>
          <w:lang w:eastAsia="en-US"/>
        </w:rPr>
        <w:t>obraz lub szkic zabawki.</w:t>
      </w:r>
      <w:r>
        <w:rPr>
          <w:b/>
          <w:szCs w:val="24"/>
          <w:lang w:eastAsia="en-US"/>
        </w:rPr>
        <w:t xml:space="preserve"> [Popr. 241]</w:t>
      </w:r>
    </w:p>
    <w:p w:rsidR="00092171" w:rsidRPr="00092171" w:rsidRDefault="00092171" w:rsidP="00092171">
      <w:pPr>
        <w:widowControl/>
        <w:spacing w:line="360" w:lineRule="auto"/>
        <w:rPr>
          <w:szCs w:val="24"/>
          <w:lang w:eastAsia="en-US"/>
        </w:rPr>
        <w:sectPr w:rsidR="00092171" w:rsidRPr="00092171">
          <w:footnotePr>
            <w:numRestart w:val="eachSect"/>
          </w:footnotePr>
          <w:pgSz w:w="11909" w:h="16834"/>
          <w:pgMar w:top="1134" w:right="1417" w:bottom="1417" w:left="1417" w:header="1134" w:footer="567" w:gutter="0"/>
          <w:cols w:space="720"/>
        </w:sectPr>
      </w:pPr>
    </w:p>
    <w:p w:rsidR="00092171" w:rsidRPr="00092171" w:rsidRDefault="00092171" w:rsidP="00092171">
      <w:pPr>
        <w:spacing w:before="120" w:after="120" w:line="360" w:lineRule="auto"/>
        <w:rPr>
          <w:szCs w:val="24"/>
          <w:lang w:eastAsia="en-US"/>
        </w:rPr>
      </w:pPr>
    </w:p>
    <w:p w:rsidR="00092171" w:rsidRPr="00092171" w:rsidRDefault="00092171" w:rsidP="00092171">
      <w:pPr>
        <w:spacing w:before="120" w:after="120" w:line="360" w:lineRule="auto"/>
        <w:jc w:val="center"/>
        <w:rPr>
          <w:lang w:eastAsia="en-US"/>
        </w:rPr>
      </w:pPr>
      <w:r w:rsidRPr="00092171">
        <w:rPr>
          <w:lang w:eastAsia="en-US"/>
        </w:rPr>
        <w:t>ZAŁĄCZNIK VII</w:t>
      </w:r>
      <w:r w:rsidRPr="00092171">
        <w:rPr>
          <w:lang w:eastAsia="en-US"/>
        </w:rPr>
        <w:br/>
        <w:t>WYKAZ KODÓW TOWARÓW I OPISÓW PRODUKTÓW WYKORZYSTYWANYCH DO CELÓW ART. 20 UST.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800"/>
        <w:gridCol w:w="8265"/>
      </w:tblGrid>
      <w:tr w:rsidR="00092171" w:rsidRPr="00092171" w:rsidTr="00092171">
        <w:trPr>
          <w:tblHeader/>
        </w:trPr>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ex 3604; Zabawki pirotechniczne</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ex 61, ex 62 Stroje maskaradowe dla dzieci poniżej 14. roku życia, z wyjątkiem towarów sklasyfikowanych w ramach kodów 6111, 6112, 6115, 6116, 6209, 6211, 6212, 6213, 6216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ex 8711, ex 8712, ex 8714 Rowery dla dzieci, nawet z silnikiem, i ich części</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ex 9503 Rowery trzykołowe, skutery, samochodziki poruszane pedałami i podobne zabawki na kołach; wózki dla lalek; lalki; pozostałe zabawki; modele redukcyjne (zmniejszone w skali) i podobne modele służące do zabawy, z napędem lub bez; układanki dowolnego rodzaju</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ex 9505 Artykuły świąteczne, karnawałowe lub inne rozrywkowe, włączając akcesoria do sztuk magicznych i żartów</w:t>
            </w:r>
          </w:p>
        </w:tc>
      </w:tr>
    </w:tbl>
    <w:p w:rsidR="00092171" w:rsidRPr="00092171" w:rsidRDefault="00092171" w:rsidP="00092171">
      <w:pPr>
        <w:widowControl/>
        <w:spacing w:line="360" w:lineRule="auto"/>
        <w:rPr>
          <w:szCs w:val="24"/>
          <w:lang w:eastAsia="en-US"/>
        </w:rPr>
        <w:sectPr w:rsidR="00092171" w:rsidRPr="00092171">
          <w:pgSz w:w="11909" w:h="16834"/>
          <w:pgMar w:top="1134" w:right="1417" w:bottom="1417" w:left="1417" w:header="1134" w:footer="567" w:gutter="0"/>
          <w:cols w:space="720"/>
        </w:sectPr>
      </w:pPr>
    </w:p>
    <w:p w:rsidR="00092171" w:rsidRPr="00092171" w:rsidRDefault="00092171" w:rsidP="00092171">
      <w:pPr>
        <w:spacing w:before="120" w:after="120" w:line="360" w:lineRule="auto"/>
        <w:jc w:val="center"/>
        <w:rPr>
          <w:lang w:val="en-GB" w:eastAsia="en-US"/>
        </w:rPr>
      </w:pPr>
      <w:r w:rsidRPr="00092171">
        <w:rPr>
          <w:lang w:val="en-GB" w:eastAsia="en-US"/>
        </w:rPr>
        <w:lastRenderedPageBreak/>
        <w:t>ZAŁĄCZNIK VIII</w:t>
      </w:r>
    </w:p>
    <w:p w:rsidR="00092171" w:rsidRPr="00092171" w:rsidRDefault="00092171" w:rsidP="00331468">
      <w:pPr>
        <w:spacing w:before="120" w:after="120" w:line="360" w:lineRule="auto"/>
        <w:jc w:val="center"/>
        <w:rPr>
          <w:szCs w:val="24"/>
          <w:lang w:val="en-GB" w:eastAsia="en-US"/>
        </w:rPr>
      </w:pPr>
      <w:r w:rsidRPr="00092171">
        <w:rPr>
          <w:szCs w:val="24"/>
          <w:lang w:val="en-GB" w:eastAsia="en-US"/>
        </w:rPr>
        <w:t>TABELA KORELACJI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191"/>
        <w:gridCol w:w="6437"/>
      </w:tblGrid>
      <w:tr w:rsidR="00092171" w:rsidRPr="00092171" w:rsidTr="00092171">
        <w:trPr>
          <w:tblHeader/>
        </w:trPr>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Dyrektywa 2009/48/WE</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Niniejsze rozporządzenie</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 xml:space="preserve">— </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Art. 3 pkt 16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19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30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31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32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33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34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35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 pkt 29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Art. 4 ust. 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8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8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8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 ust. 2 lit. b)</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 ust.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 ust. 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 ust. 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 ust. 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10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10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10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10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7 ust. 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10 ust.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Art. 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10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10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10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11 ust. 1 akapit pierwszy</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11 ust. 1 akapit drugi</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11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6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11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16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15 akapit pierwszy</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16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15 akapit drugi</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16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16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17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16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17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16 ust. 2 i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Art. 18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19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22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19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22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19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22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21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23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21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23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21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23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21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23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23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25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23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25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23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25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23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25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24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24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24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24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24 ust. 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24 ust. 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Art. 25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10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10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26 ust. 11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 ust. 11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29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30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29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30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29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30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29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30 ust.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30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31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30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31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Art. 30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31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32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31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32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31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32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31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31 ust. 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32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31 ust. 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32 ust.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32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33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32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33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33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34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33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34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34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35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34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35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34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35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34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35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35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36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35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36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35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36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35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36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35 ust. 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36 ust.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Art. 36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38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36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38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39</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40</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38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2 i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5</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5</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6</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7</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41 ust. 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43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43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43 ust.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42 ust.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44</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lastRenderedPageBreak/>
              <w:t>Art. 45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43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45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43 ust.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47 ust. 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47 ust.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47 ust. 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52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I</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I</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II</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II</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1–2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1–2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4</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6</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Dodatek do załącznika II część C</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7</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8</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Dodatek do załącznika II część A pkt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lastRenderedPageBreak/>
              <w:t>Załącznik II część III pkt 9</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Art. 46 ust. 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10</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8</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11</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Dodatek do załącznika II część A pkt 4 i do załącznika II część B pkt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12</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Dodatek do załącznika II część B pkt 2</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Załącznik II część III pkt 13</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Dodatek do załącznika II część A pkt 1</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IV</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IV</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V</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V</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VI</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 część VI</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Dodatek A</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Dodatek do załącznika II część C</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Dodatek B</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Dodatek C</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eastAsia="en-US"/>
              </w:rPr>
            </w:pPr>
            <w:r w:rsidRPr="00092171">
              <w:rPr>
                <w:szCs w:val="24"/>
                <w:lang w:eastAsia="en-US"/>
              </w:rPr>
              <w:t>Dodatek do załącznika II część A pkt 3</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III</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IV</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V</w:t>
            </w:r>
          </w:p>
        </w:tc>
      </w:tr>
      <w:tr w:rsidR="00092171" w:rsidRPr="00092171" w:rsidTr="00092171">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V</w:t>
            </w:r>
          </w:p>
        </w:tc>
        <w:tc>
          <w:tcPr>
            <w:tcW w:w="0" w:type="auto"/>
            <w:tcBorders>
              <w:top w:val="single" w:sz="4" w:space="0" w:color="auto"/>
              <w:left w:val="single" w:sz="4" w:space="0" w:color="auto"/>
              <w:bottom w:val="single" w:sz="4" w:space="0" w:color="auto"/>
              <w:right w:val="single" w:sz="4" w:space="0" w:color="auto"/>
            </w:tcBorders>
            <w:hideMark/>
          </w:tcPr>
          <w:p w:rsidR="00092171" w:rsidRPr="00092171" w:rsidRDefault="00092171" w:rsidP="00092171">
            <w:pPr>
              <w:spacing w:before="120" w:after="120" w:line="360" w:lineRule="auto"/>
              <w:rPr>
                <w:szCs w:val="24"/>
                <w:lang w:val="en-GB" w:eastAsia="en-US"/>
              </w:rPr>
            </w:pPr>
            <w:r w:rsidRPr="00092171">
              <w:rPr>
                <w:szCs w:val="24"/>
                <w:lang w:val="en-GB" w:eastAsia="en-US"/>
              </w:rPr>
              <w:t>Załącznik III</w:t>
            </w:r>
          </w:p>
        </w:tc>
      </w:tr>
    </w:tbl>
    <w:p w:rsidR="00E365E1" w:rsidRPr="00092171" w:rsidRDefault="00E365E1" w:rsidP="00092171">
      <w:pPr>
        <w:pStyle w:val="AmNumberTabs"/>
        <w:rPr>
          <w:lang w:val="en-GB"/>
        </w:rPr>
      </w:pPr>
    </w:p>
    <w:sectPr w:rsidR="00E365E1" w:rsidRPr="00092171" w:rsidSect="00092171">
      <w:footnotePr>
        <w:numRestart w:val="eachSect"/>
      </w:footnotePr>
      <w:endnotePr>
        <w:numFmt w:val="decimal"/>
      </w:endnotePr>
      <w:pgSz w:w="11906" w:h="16838" w:code="9"/>
      <w:pgMar w:top="1134" w:right="1134" w:bottom="1134" w:left="1134"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763" w:rsidRPr="000F708B" w:rsidRDefault="00134763">
      <w:r w:rsidRPr="000F708B">
        <w:separator/>
      </w:r>
    </w:p>
  </w:endnote>
  <w:endnote w:type="continuationSeparator" w:id="0">
    <w:p w:rsidR="00134763" w:rsidRPr="000F708B" w:rsidRDefault="00134763">
      <w:r w:rsidRPr="000F70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63" w:rsidRPr="000F708B" w:rsidRDefault="0013476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63" w:rsidRPr="000F708B" w:rsidRDefault="0013476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63" w:rsidRPr="000F708B" w:rsidRDefault="0013476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763" w:rsidRPr="000F708B" w:rsidRDefault="00134763">
      <w:r w:rsidRPr="000F708B">
        <w:separator/>
      </w:r>
    </w:p>
  </w:footnote>
  <w:footnote w:type="continuationSeparator" w:id="0">
    <w:p w:rsidR="00134763" w:rsidRPr="000F708B" w:rsidRDefault="00134763">
      <w:r w:rsidRPr="000F708B">
        <w:continuationSeparator/>
      </w:r>
    </w:p>
  </w:footnote>
  <w:footnote w:id="1">
    <w:p w:rsidR="00134763" w:rsidRPr="00770204" w:rsidRDefault="00134763">
      <w:pPr>
        <w:pStyle w:val="FootnoteText"/>
        <w:rPr>
          <w:sz w:val="24"/>
          <w:szCs w:val="24"/>
          <w:lang w:val="fi-FI"/>
        </w:rPr>
      </w:pPr>
      <w:r w:rsidRPr="00770204">
        <w:rPr>
          <w:rStyle w:val="FootnoteReference"/>
          <w:sz w:val="24"/>
          <w:szCs w:val="24"/>
        </w:rPr>
        <w:footnoteRef/>
      </w:r>
      <w:r w:rsidRPr="00770204">
        <w:rPr>
          <w:sz w:val="24"/>
          <w:szCs w:val="24"/>
          <w:lang w:val="fi-FI"/>
        </w:rPr>
        <w:t xml:space="preserve"> </w:t>
      </w:r>
      <w:r w:rsidRPr="00770204">
        <w:rPr>
          <w:sz w:val="24"/>
          <w:szCs w:val="24"/>
          <w:lang w:val="fi-FI"/>
        </w:rPr>
        <w:tab/>
        <w:t xml:space="preserve">Dz.U. C, 2024/1577, 5.3.2024, ELI: </w:t>
      </w:r>
      <w:hyperlink r:id="rId1" w:history="1">
        <w:r w:rsidRPr="00770204">
          <w:rPr>
            <w:rStyle w:val="Hyperlink"/>
            <w:sz w:val="24"/>
            <w:szCs w:val="24"/>
            <w:lang w:val="fi-FI"/>
          </w:rPr>
          <w:t>http://data.europa.eu/eli/C/2024/1577/oj</w:t>
        </w:r>
      </w:hyperlink>
      <w:r w:rsidRPr="00770204">
        <w:rPr>
          <w:sz w:val="24"/>
          <w:szCs w:val="24"/>
          <w:lang w:val="fi-FI"/>
        </w:rPr>
        <w:t>.</w:t>
      </w:r>
    </w:p>
  </w:footnote>
  <w:footnote w:id="2">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Dz.U. C […] z […], s. […].</w:t>
      </w:r>
    </w:p>
  </w:footnote>
  <w:footnote w:id="3">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Dyrektywa Parlamentu Europejskiego i Rady 2009/48/WE z dnia 18 czerwca 2009 r. w sprawie bezpieczeństwa zabawek (Dz.U. L 170 z 30.6.2009, s. 1).</w:t>
      </w:r>
    </w:p>
  </w:footnote>
  <w:footnote w:id="4">
    <w:p w:rsidR="00134763" w:rsidRPr="00770204" w:rsidRDefault="00134763" w:rsidP="00092171">
      <w:pPr>
        <w:pStyle w:val="FootnoteTextForceStyle"/>
        <w:rPr>
          <w:szCs w:val="24"/>
          <w:lang w:val="pt-PT"/>
        </w:rPr>
      </w:pPr>
      <w:r w:rsidRPr="00770204">
        <w:rPr>
          <w:szCs w:val="24"/>
          <w:vertAlign w:val="superscript"/>
        </w:rPr>
        <w:footnoteRef/>
      </w:r>
      <w:r w:rsidRPr="00770204">
        <w:rPr>
          <w:szCs w:val="24"/>
          <w:lang w:val="pt-PT"/>
        </w:rPr>
        <w:tab/>
        <w:t>COM(2020) 667 final.</w:t>
      </w:r>
    </w:p>
  </w:footnote>
  <w:footnote w:id="5">
    <w:p w:rsidR="00134763" w:rsidRPr="00770204" w:rsidRDefault="00134763" w:rsidP="00092171">
      <w:pPr>
        <w:pStyle w:val="FootnoteTextForceStyle"/>
        <w:rPr>
          <w:szCs w:val="24"/>
          <w:lang w:val="pt-PT"/>
        </w:rPr>
      </w:pPr>
      <w:r w:rsidRPr="00770204">
        <w:rPr>
          <w:szCs w:val="24"/>
          <w:vertAlign w:val="superscript"/>
        </w:rPr>
        <w:footnoteRef/>
      </w:r>
      <w:r w:rsidRPr="00770204">
        <w:rPr>
          <w:szCs w:val="24"/>
          <w:lang w:val="pt-PT"/>
        </w:rPr>
        <w:tab/>
        <w:t>Dz.U. L 11 z 15.1.2002, s. 4.</w:t>
      </w:r>
    </w:p>
  </w:footnote>
  <w:footnote w:id="6">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Rozporządzenie Parlamentu Europejskiego i Rady (WE) nr 765/2008 z dnia 9 lipca 2008 r. ustanawiające wymagania w zakresie akredytacji i nadzoru rynku odnoszące się do warunków wprowadzania produktów do obrotu i uchylające rozporządzenie (EWG) nr 339/93 (Dz.U. L 218 z 13.8.2008, s. 30).</w:t>
      </w:r>
    </w:p>
  </w:footnote>
  <w:footnote w:id="7">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Decyzja Parlamentu Europejskiego i Rady nr 768/2008/WE z dnia 9 lipca 2008 r. w sprawie wspólnych ram dotyczących wprowadzania produktów do obrotu, uchylająca decyzję Rady 93/465/EWG (Dz.U. L 218 z 13.8.2008, s. 82).</w:t>
      </w:r>
    </w:p>
  </w:footnote>
  <w:footnote w:id="8">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Rozporządzenie Parlamentu Europejskiego i Rady (UE) 2023/988 z dnia 10 maja 2023 r. w sprawie ogólnego bezpieczeństwa produktów, zmieniające rozporządzenie Parlamentu Europejskiego i Rady (UE) nr 1025/2012 i dyrektywę Parlamentu Europejskiego i Rady (UE) 2020/1828 oraz uchylające dyrektywę 2001/95/WE Parlamentu Europejskiego i Rady i dyrektywę Rady 87/357/EWG (Dz.U. L 135 z 23.5.2023, s. 1).</w:t>
      </w:r>
    </w:p>
  </w:footnote>
  <w:footnote w:id="9">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Rozporządzenie Parlamentu Europejskiego i Rady (UE) 2019/1020 z dnia 20 czerwca 2019 r. w sprawie nadzoru rynku i zgodności produktów oraz zmieniające dyrektywę 2004/42/WE oraz rozporządzenia (WE) nr 765/2008 i (UE) nr 305/2011 (Dz.U. L 169 z 25.6.2019, s. 1).</w:t>
      </w:r>
    </w:p>
  </w:footnote>
  <w:footnote w:id="10">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Dyrektywa Parlamentu Europejskiego i Rady 2014/53/UE z dnia 16 kwietnia 2014 r. w sprawie harmonizacji ustawodawstw państw członkowskich dotyczących udostępniania na rynku urządzeń radiowych i uchylająca dyrektywę 1999/5/WE (Dz.U. L 153 z 22.5.2014, s. 62).</w:t>
      </w:r>
    </w:p>
  </w:footnote>
  <w:footnote w:id="11">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Urząd Publikacji: Proszę wstawić w tekście numer rozporządzenia, a w przypisie umieścić numer, datę, tytuł i odniesienie do Dz.U. dotyczące tego rozporządzenia.</w:t>
      </w:r>
    </w:p>
  </w:footnote>
  <w:footnote w:id="12">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Rozporządzenie (WE) nr 1935/2004 Parlamentu Europejskiego i Rady z dnia 27 października 2004 r. w sprawie materiałów i wyrobów przeznaczonych do kontaktu z żywnością oraz uchylające dyrektywy 80/590/EWG i 89/109/EWG (Dz.U. L 338 z 13.11.2004, s. 4).</w:t>
      </w:r>
    </w:p>
  </w:footnote>
  <w:footnote w:id="13">
    <w:p w:rsidR="00134763" w:rsidRPr="003F02B7" w:rsidRDefault="00134763" w:rsidP="003F02B7">
      <w:pPr>
        <w:pStyle w:val="FootnoteTextForceStyle"/>
        <w:rPr>
          <w:b/>
          <w:bCs/>
          <w:i/>
          <w:iCs/>
          <w:szCs w:val="24"/>
          <w:lang w:val="pl-PL"/>
        </w:rPr>
      </w:pPr>
      <w:r w:rsidRPr="003F02B7">
        <w:rPr>
          <w:b/>
          <w:bCs/>
          <w:i/>
          <w:iCs/>
          <w:szCs w:val="24"/>
          <w:vertAlign w:val="superscript"/>
        </w:rPr>
        <w:footnoteRef/>
      </w:r>
      <w:r w:rsidRPr="003F02B7">
        <w:rPr>
          <w:b/>
          <w:bCs/>
          <w:i/>
          <w:iCs/>
          <w:szCs w:val="24"/>
          <w:lang w:val="pl-PL"/>
        </w:rPr>
        <w:tab/>
      </w:r>
      <w:r w:rsidR="003F02B7" w:rsidRPr="003F02B7">
        <w:rPr>
          <w:b/>
          <w:bCs/>
          <w:i/>
          <w:iCs/>
          <w:szCs w:val="24"/>
          <w:lang w:val="pl-PL"/>
        </w:rPr>
        <w:t>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w:t>
      </w:r>
    </w:p>
  </w:footnote>
  <w:footnote w:id="14">
    <w:p w:rsidR="00134763" w:rsidRPr="00770204" w:rsidRDefault="00134763" w:rsidP="003F02B7">
      <w:pPr>
        <w:pStyle w:val="FootnoteTextForceStyle"/>
        <w:rPr>
          <w:szCs w:val="24"/>
          <w:lang w:val="pl-PL"/>
        </w:rPr>
      </w:pPr>
      <w:r w:rsidRPr="00770204">
        <w:rPr>
          <w:szCs w:val="24"/>
          <w:vertAlign w:val="superscript"/>
        </w:rPr>
        <w:footnoteRef/>
      </w:r>
      <w:r w:rsidRPr="00770204">
        <w:rPr>
          <w:szCs w:val="24"/>
          <w:lang w:val="pl-PL"/>
        </w:rPr>
        <w:tab/>
      </w:r>
      <w:r w:rsidR="003F02B7" w:rsidRPr="003F02B7">
        <w:rPr>
          <w:szCs w:val="24"/>
          <w:lang w:val="pl-PL"/>
        </w:rPr>
        <w:t>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w:t>
      </w:r>
    </w:p>
  </w:footnote>
  <w:footnote w:id="15">
    <w:p w:rsidR="003F02B7" w:rsidRPr="003F02B7" w:rsidRDefault="003F02B7" w:rsidP="003F02B7">
      <w:pPr>
        <w:pStyle w:val="FootnoteText"/>
        <w:ind w:left="851" w:hanging="851"/>
        <w:rPr>
          <w:strike/>
          <w:sz w:val="24"/>
          <w:szCs w:val="24"/>
        </w:rPr>
      </w:pPr>
      <w:r w:rsidRPr="003F02B7">
        <w:rPr>
          <w:rStyle w:val="FootnoteReference"/>
          <w:strike/>
          <w:sz w:val="24"/>
          <w:szCs w:val="24"/>
        </w:rPr>
        <w:footnoteRef/>
      </w:r>
      <w:r w:rsidRPr="003F02B7">
        <w:rPr>
          <w:strike/>
          <w:sz w:val="24"/>
          <w:szCs w:val="24"/>
        </w:rPr>
        <w:tab/>
        <w:t>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w:t>
      </w:r>
    </w:p>
  </w:footnote>
  <w:footnote w:id="16">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Urząd Publikacji: Proszę wstawić w tekście numer rozporządzenia ..., a w przypisie umieścić numer, datę, tytuł i odniesienie do Dz.U. dotyczące tego rozporządzenia.</w:t>
      </w:r>
    </w:p>
  </w:footnote>
  <w:footnote w:id="17">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r>
      <w:r w:rsidRPr="00770204">
        <w:rPr>
          <w:b/>
          <w:i/>
          <w:szCs w:val="24"/>
          <w:lang w:val="pl-PL"/>
        </w:rPr>
        <w:t>Dyrektywa Parlamentu Europejskiego i Rady (UE) 2020/2184 z dnia 16 grudnia 2020 r. w sprawie jakości wody przeznaczonej do spożycia przez ludzi (wersja przekształcona), Dz.U. L 435, 23.12.2020, s. 1–62.</w:t>
      </w:r>
    </w:p>
  </w:footnote>
  <w:footnote w:id="18">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Rozporządzenie Parlamentu Europejskiego i Rady (UE) nr 1025/2012 z dnia 25 października 2012 r. w sprawie normalizacji europejskiej, zmieniające dyrektywy Rady 89/686/EWG i 93/15/EWG oraz dyrektywy Parlamentu Europejskiego i Rady 94/9/WE, 94/25/WE, 95/16/WE, 97/23/WE, 98/34/WE, 2004/22/WE, 2007/23/WE, 2009/23/WE i 2009/105/WE oraz uchylające decyzję Rady 87/95/EWG i decyzję Parlamentu Europejskiego i Rady nr 1673/2006/WE (Dz.U. L 316 z 14.11.2012, s. 12).</w:t>
      </w:r>
    </w:p>
  </w:footnote>
  <w:footnote w:id="19">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Urząd Publikacji: proszę wstawić w tekście numer rozporządzenia ustanawiającego ramy ustalania wymogów dotyczących ekoprojektu dla zrównoważonych produktów i uchylającego dyrektywę 2009/125/WE ..., a w przypisie umieścić numer, datę, tytuł i odniesienie do Dz.U. dotyczące tego rozporządzenia.</w:t>
      </w:r>
    </w:p>
  </w:footnote>
  <w:footnote w:id="20">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Rozporządzenie Parlamentu Europejskiego i Rady (UE) nr 952/2013 z dnia 9 października 2013 r. ustanawiające unijny kodeks celny (wersja przekształcona) (Dz.U. L 269 z 10.10.2013, s. 1).</w:t>
      </w:r>
    </w:p>
  </w:footnote>
  <w:footnote w:id="21">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Rozporządzenie Rady (EWG) nr 2658/87 z dnia 23 lipca 1987 r. w sprawie nomenklatury taryfowej i statystycznej oraz w sprawie Wspólnej Taryfy Celnej, Dz.U. L 256 z 7.9.1987, s. 1.</w:t>
      </w:r>
    </w:p>
  </w:footnote>
  <w:footnote w:id="22">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Dz.U. L 123 z 12.5.2016, s. 1.</w:t>
      </w:r>
    </w:p>
  </w:footnote>
  <w:footnote w:id="23">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24">
    <w:p w:rsidR="00134763" w:rsidRPr="00770204" w:rsidRDefault="00134763" w:rsidP="00092171">
      <w:pPr>
        <w:pStyle w:val="FootnoteTextForceStyle"/>
        <w:rPr>
          <w:szCs w:val="24"/>
          <w:lang w:val="pl-PL"/>
        </w:rPr>
      </w:pPr>
      <w:r w:rsidRPr="00770204">
        <w:rPr>
          <w:szCs w:val="24"/>
          <w:vertAlign w:val="superscript"/>
        </w:rPr>
        <w:footnoteRef/>
      </w:r>
      <w:r w:rsidRPr="00770204">
        <w:rPr>
          <w:szCs w:val="24"/>
          <w:lang w:val="pl-PL"/>
        </w:rPr>
        <w:tab/>
        <w:t>Rozporządzenie Parlamentu Europejskiego i Rady (UE) 2022/2399 z dnia 23 listopada 2022 r. ustanawiające unijne środowisko jednego okienka w dziedzinie ceł oraz zmieniające rozporządzenie (UE) nr 952/2013 (Dz.U. L 317 z 9.12.2022, s. 1).</w:t>
      </w:r>
    </w:p>
  </w:footnote>
  <w:footnote w:id="25">
    <w:p w:rsidR="00134763" w:rsidRPr="00770204" w:rsidRDefault="00134763" w:rsidP="00092171">
      <w:pPr>
        <w:pStyle w:val="FootnoteTextForceStyle"/>
        <w:rPr>
          <w:szCs w:val="24"/>
          <w:lang w:val="pl-PL"/>
        </w:rPr>
      </w:pPr>
      <w:r w:rsidRPr="00770204">
        <w:rPr>
          <w:szCs w:val="24"/>
          <w:vertAlign w:val="superscript"/>
          <w:lang w:val="pl-PL"/>
        </w:rPr>
        <w:t>1</w:t>
      </w:r>
      <w:r w:rsidRPr="00770204">
        <w:rPr>
          <w:szCs w:val="24"/>
          <w:lang w:val="pl-PL"/>
        </w:rPr>
        <w:tab/>
        <w:t>Rozporządzenie Parlamentu Europejskiego i Rady (WE) nr 1223/2009 z dnia 30 listopada 2009 r. dotyczące produktów kosmetycznych (Dz.U. L 342 z 22.12.2009, s. 59).</w:t>
      </w:r>
    </w:p>
  </w:footnote>
  <w:footnote w:id="26">
    <w:p w:rsidR="00134763" w:rsidRPr="00770204" w:rsidRDefault="00134763" w:rsidP="00092171">
      <w:pPr>
        <w:pStyle w:val="FootnoteTextForceStyle"/>
        <w:rPr>
          <w:szCs w:val="24"/>
          <w:lang w:val="pl-PL"/>
        </w:rPr>
      </w:pPr>
      <w:r w:rsidRPr="00770204">
        <w:rPr>
          <w:szCs w:val="24"/>
          <w:vertAlign w:val="superscript"/>
          <w:lang w:val="pl-PL"/>
        </w:rPr>
        <w:t>1</w:t>
      </w:r>
      <w:r w:rsidRPr="00770204">
        <w:rPr>
          <w:szCs w:val="24"/>
          <w:lang w:val="pl-PL"/>
        </w:rPr>
        <w:tab/>
        <w:t>Wiek określony przez producenta.</w:t>
      </w:r>
    </w:p>
  </w:footnote>
  <w:footnote w:id="27">
    <w:p w:rsidR="00134763" w:rsidRPr="00770204" w:rsidRDefault="00134763" w:rsidP="00092171">
      <w:pPr>
        <w:pStyle w:val="FootnoteTextForceStyle"/>
        <w:rPr>
          <w:szCs w:val="24"/>
          <w:lang w:val="pl-PL"/>
        </w:rPr>
      </w:pPr>
      <w:r w:rsidRPr="00770204">
        <w:rPr>
          <w:szCs w:val="24"/>
          <w:vertAlign w:val="superscript"/>
          <w:lang w:val="pl-PL"/>
        </w:rPr>
        <w:t>1</w:t>
      </w:r>
      <w:r w:rsidRPr="00770204">
        <w:rPr>
          <w:szCs w:val="24"/>
          <w:lang w:val="pl-PL"/>
        </w:rPr>
        <w:tab/>
        <w:t>Rozporządzenie Rady (EWG) nr 2658/87 z dnia 23 lipca 1987 r. w sprawie nomenklatury taryfowej i statystycznej oraz w sprawie Wspólnej Taryfy Celnej (Dz.U. L 256 z 7.9.1987,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63" w:rsidRPr="000F708B" w:rsidRDefault="0013476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63" w:rsidRPr="000F708B" w:rsidRDefault="0013476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763" w:rsidRPr="000F708B" w:rsidRDefault="0013476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C9018D"/>
    <w:multiLevelType w:val="hybridMultilevel"/>
    <w:tmpl w:val="6A641B60"/>
    <w:lvl w:ilvl="0" w:tplc="12C8F9D0">
      <w:start w:val="1"/>
      <w:numFmt w:val="decimal"/>
      <w:lvlText w:val="%1."/>
      <w:lvlJc w:val="left"/>
      <w:pPr>
        <w:ind w:left="720" w:hanging="360"/>
      </w:pPr>
    </w:lvl>
    <w:lvl w:ilvl="1" w:tplc="6B227342" w:tentative="1">
      <w:start w:val="1"/>
      <w:numFmt w:val="lowerLetter"/>
      <w:lvlText w:val="%2."/>
      <w:lvlJc w:val="left"/>
      <w:pPr>
        <w:ind w:left="1440" w:hanging="360"/>
      </w:pPr>
    </w:lvl>
    <w:lvl w:ilvl="2" w:tplc="2286E7B4" w:tentative="1">
      <w:start w:val="1"/>
      <w:numFmt w:val="lowerRoman"/>
      <w:lvlText w:val="%3."/>
      <w:lvlJc w:val="right"/>
      <w:pPr>
        <w:ind w:left="2160" w:hanging="180"/>
      </w:pPr>
    </w:lvl>
    <w:lvl w:ilvl="3" w:tplc="92E619BA" w:tentative="1">
      <w:start w:val="1"/>
      <w:numFmt w:val="decimal"/>
      <w:lvlText w:val="%4."/>
      <w:lvlJc w:val="left"/>
      <w:pPr>
        <w:ind w:left="2880" w:hanging="360"/>
      </w:pPr>
    </w:lvl>
    <w:lvl w:ilvl="4" w:tplc="3D3A4BB8" w:tentative="1">
      <w:start w:val="1"/>
      <w:numFmt w:val="lowerLetter"/>
      <w:lvlText w:val="%5."/>
      <w:lvlJc w:val="left"/>
      <w:pPr>
        <w:ind w:left="3600" w:hanging="360"/>
      </w:pPr>
    </w:lvl>
    <w:lvl w:ilvl="5" w:tplc="3A88DE54" w:tentative="1">
      <w:start w:val="1"/>
      <w:numFmt w:val="lowerRoman"/>
      <w:lvlText w:val="%6."/>
      <w:lvlJc w:val="right"/>
      <w:pPr>
        <w:ind w:left="4320" w:hanging="180"/>
      </w:pPr>
    </w:lvl>
    <w:lvl w:ilvl="6" w:tplc="BDCA6EB4" w:tentative="1">
      <w:start w:val="1"/>
      <w:numFmt w:val="decimal"/>
      <w:lvlText w:val="%7."/>
      <w:lvlJc w:val="left"/>
      <w:pPr>
        <w:ind w:left="5040" w:hanging="360"/>
      </w:pPr>
    </w:lvl>
    <w:lvl w:ilvl="7" w:tplc="4F108650" w:tentative="1">
      <w:start w:val="1"/>
      <w:numFmt w:val="lowerLetter"/>
      <w:lvlText w:val="%8."/>
      <w:lvlJc w:val="left"/>
      <w:pPr>
        <w:ind w:left="5760" w:hanging="360"/>
      </w:pPr>
    </w:lvl>
    <w:lvl w:ilvl="8" w:tplc="2B9EB4C2" w:tentative="1">
      <w:start w:val="1"/>
      <w:numFmt w:val="lowerRoman"/>
      <w:lvlText w:val="%9."/>
      <w:lvlJc w:val="right"/>
      <w:pPr>
        <w:ind w:left="6480" w:hanging="180"/>
      </w:pPr>
    </w:lvl>
  </w:abstractNum>
  <w:abstractNum w:abstractNumId="12" w15:restartNumberingAfterBreak="0">
    <w:nsid w:val="2FC9683B"/>
    <w:multiLevelType w:val="hybridMultilevel"/>
    <w:tmpl w:val="2252E97C"/>
    <w:lvl w:ilvl="0" w:tplc="7F485C48">
      <w:start w:val="1"/>
      <w:numFmt w:val="decimal"/>
      <w:lvlText w:val="%1."/>
      <w:lvlJc w:val="left"/>
      <w:pPr>
        <w:ind w:left="720" w:hanging="360"/>
      </w:pPr>
    </w:lvl>
    <w:lvl w:ilvl="1" w:tplc="CA56E17E" w:tentative="1">
      <w:start w:val="1"/>
      <w:numFmt w:val="lowerLetter"/>
      <w:lvlText w:val="%2."/>
      <w:lvlJc w:val="left"/>
      <w:pPr>
        <w:ind w:left="1440" w:hanging="360"/>
      </w:pPr>
    </w:lvl>
    <w:lvl w:ilvl="2" w:tplc="650CE1EE" w:tentative="1">
      <w:start w:val="1"/>
      <w:numFmt w:val="lowerRoman"/>
      <w:lvlText w:val="%3."/>
      <w:lvlJc w:val="right"/>
      <w:pPr>
        <w:ind w:left="2160" w:hanging="180"/>
      </w:pPr>
    </w:lvl>
    <w:lvl w:ilvl="3" w:tplc="27AA03FC" w:tentative="1">
      <w:start w:val="1"/>
      <w:numFmt w:val="decimal"/>
      <w:lvlText w:val="%4."/>
      <w:lvlJc w:val="left"/>
      <w:pPr>
        <w:ind w:left="2880" w:hanging="360"/>
      </w:pPr>
    </w:lvl>
    <w:lvl w:ilvl="4" w:tplc="1BA869D0" w:tentative="1">
      <w:start w:val="1"/>
      <w:numFmt w:val="lowerLetter"/>
      <w:lvlText w:val="%5."/>
      <w:lvlJc w:val="left"/>
      <w:pPr>
        <w:ind w:left="3600" w:hanging="360"/>
      </w:pPr>
    </w:lvl>
    <w:lvl w:ilvl="5" w:tplc="D7D0EC8E" w:tentative="1">
      <w:start w:val="1"/>
      <w:numFmt w:val="lowerRoman"/>
      <w:lvlText w:val="%6."/>
      <w:lvlJc w:val="right"/>
      <w:pPr>
        <w:ind w:left="4320" w:hanging="180"/>
      </w:pPr>
    </w:lvl>
    <w:lvl w:ilvl="6" w:tplc="946468F8" w:tentative="1">
      <w:start w:val="1"/>
      <w:numFmt w:val="decimal"/>
      <w:lvlText w:val="%7."/>
      <w:lvlJc w:val="left"/>
      <w:pPr>
        <w:ind w:left="5040" w:hanging="360"/>
      </w:pPr>
    </w:lvl>
    <w:lvl w:ilvl="7" w:tplc="60446FC8" w:tentative="1">
      <w:start w:val="1"/>
      <w:numFmt w:val="lowerLetter"/>
      <w:lvlText w:val="%8."/>
      <w:lvlJc w:val="left"/>
      <w:pPr>
        <w:ind w:left="5760" w:hanging="360"/>
      </w:pPr>
    </w:lvl>
    <w:lvl w:ilvl="8" w:tplc="C2C8F9A8"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PL"/>
    <w:docVar w:name="dvnumam" w:val="297"/>
    <w:docVar w:name="dvpe" w:val="754.649"/>
    <w:docVar w:name="dvrapporteur" w:val="Sprawozdawca: "/>
    <w:docVar w:name="dvstar" w:val="***I"/>
    <w:docVar w:name="dvtitre" w:val="Rezolucja ustawodawcza Parlamentu Europejskiego z dnia  2024 r. w sprawie wniosku dotyczącego rozporządzenia Parlamentu Europejskiego i Rady w sprawie bezpieczeństwa zabawek i uchylającego dyrektywę 2009/48/WE(COM(2023)0462 – C9-0317/2023 – 2023/0290(COD))"/>
  </w:docVars>
  <w:rsids>
    <w:rsidRoot w:val="00B54915"/>
    <w:rsid w:val="00002272"/>
    <w:rsid w:val="00040518"/>
    <w:rsid w:val="00046627"/>
    <w:rsid w:val="00064002"/>
    <w:rsid w:val="000677B9"/>
    <w:rsid w:val="000826DC"/>
    <w:rsid w:val="000831BA"/>
    <w:rsid w:val="00092171"/>
    <w:rsid w:val="000A42CC"/>
    <w:rsid w:val="000E7DD9"/>
    <w:rsid w:val="000F708B"/>
    <w:rsid w:val="0010095E"/>
    <w:rsid w:val="00125B37"/>
    <w:rsid w:val="00134763"/>
    <w:rsid w:val="00187494"/>
    <w:rsid w:val="001F32AE"/>
    <w:rsid w:val="00222A26"/>
    <w:rsid w:val="00234E17"/>
    <w:rsid w:val="002767FF"/>
    <w:rsid w:val="002B18FE"/>
    <w:rsid w:val="002B5493"/>
    <w:rsid w:val="002F71CA"/>
    <w:rsid w:val="00331468"/>
    <w:rsid w:val="00343214"/>
    <w:rsid w:val="00361C00"/>
    <w:rsid w:val="00395FA1"/>
    <w:rsid w:val="0039693D"/>
    <w:rsid w:val="003E15D4"/>
    <w:rsid w:val="003F02B7"/>
    <w:rsid w:val="003F7B6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0204"/>
    <w:rsid w:val="00786EC0"/>
    <w:rsid w:val="007D1690"/>
    <w:rsid w:val="007E22AD"/>
    <w:rsid w:val="00817416"/>
    <w:rsid w:val="00842779"/>
    <w:rsid w:val="00843637"/>
    <w:rsid w:val="00865F67"/>
    <w:rsid w:val="00881A7B"/>
    <w:rsid w:val="008840E5"/>
    <w:rsid w:val="00886ECA"/>
    <w:rsid w:val="00887B3E"/>
    <w:rsid w:val="008A6B42"/>
    <w:rsid w:val="008C2AC6"/>
    <w:rsid w:val="00930C23"/>
    <w:rsid w:val="0093193B"/>
    <w:rsid w:val="009509D8"/>
    <w:rsid w:val="00950B64"/>
    <w:rsid w:val="00981893"/>
    <w:rsid w:val="00A1687D"/>
    <w:rsid w:val="00A2210D"/>
    <w:rsid w:val="00A43E52"/>
    <w:rsid w:val="00A4678D"/>
    <w:rsid w:val="00A778C7"/>
    <w:rsid w:val="00AB441E"/>
    <w:rsid w:val="00AB6293"/>
    <w:rsid w:val="00AC4B99"/>
    <w:rsid w:val="00AE0928"/>
    <w:rsid w:val="00AF3B82"/>
    <w:rsid w:val="00B12E95"/>
    <w:rsid w:val="00B22876"/>
    <w:rsid w:val="00B54915"/>
    <w:rsid w:val="00B558F0"/>
    <w:rsid w:val="00BD48FE"/>
    <w:rsid w:val="00BD7BD8"/>
    <w:rsid w:val="00BE6ADC"/>
    <w:rsid w:val="00C05BFE"/>
    <w:rsid w:val="00C23CD4"/>
    <w:rsid w:val="00C32D04"/>
    <w:rsid w:val="00C61C0C"/>
    <w:rsid w:val="00C941CB"/>
    <w:rsid w:val="00CC2357"/>
    <w:rsid w:val="00CF071A"/>
    <w:rsid w:val="00D058B8"/>
    <w:rsid w:val="00D474C8"/>
    <w:rsid w:val="00D56C11"/>
    <w:rsid w:val="00D834A0"/>
    <w:rsid w:val="00D872DF"/>
    <w:rsid w:val="00D91E21"/>
    <w:rsid w:val="00DA1558"/>
    <w:rsid w:val="00DA7FCD"/>
    <w:rsid w:val="00E25CD8"/>
    <w:rsid w:val="00E365E1"/>
    <w:rsid w:val="00E820A4"/>
    <w:rsid w:val="00EB006A"/>
    <w:rsid w:val="00EB4772"/>
    <w:rsid w:val="00ED169E"/>
    <w:rsid w:val="00ED4235"/>
    <w:rsid w:val="00F04346"/>
    <w:rsid w:val="00F075DC"/>
    <w:rsid w:val="00F149E9"/>
    <w:rsid w:val="00F2557C"/>
    <w:rsid w:val="00F5134D"/>
    <w:rsid w:val="00F74202"/>
    <w:rsid w:val="00F87713"/>
    <w:rsid w:val="00FB4360"/>
    <w:rsid w:val="00FD0C70"/>
    <w:rsid w:val="00FD7D0D"/>
    <w:rsid w:val="00FD7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3721B5-10D8-4895-9B43-C13F43E0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semiHidden/>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32D04"/>
    <w:rPr>
      <w:b/>
      <w:kern w:val="28"/>
      <w:sz w:val="28"/>
      <w:lang w:val="fr-FR" w:eastAsia="fr-FR"/>
    </w:rPr>
  </w:style>
  <w:style w:type="character" w:customStyle="1" w:styleId="Heading2Char">
    <w:name w:val="Heading 2 Char"/>
    <w:basedOn w:val="DefaultParagraphFont"/>
    <w:link w:val="Heading2"/>
    <w:rsid w:val="00C32D04"/>
    <w:rPr>
      <w:sz w:val="24"/>
      <w:lang w:val="fr-FR" w:eastAsia="fr-FR"/>
    </w:rPr>
  </w:style>
  <w:style w:type="character" w:customStyle="1" w:styleId="Heading3Char">
    <w:name w:val="Heading 3 Char"/>
    <w:basedOn w:val="DefaultParagraphFont"/>
    <w:link w:val="Heading3"/>
    <w:rsid w:val="00C32D04"/>
    <w:rPr>
      <w:rFonts w:ascii="Arial" w:hAnsi="Arial"/>
      <w:sz w:val="24"/>
      <w:lang w:val="fr-FR" w:eastAsia="fr-FR"/>
    </w:rPr>
  </w:style>
  <w:style w:type="character" w:customStyle="1" w:styleId="Heading4Char">
    <w:name w:val="Heading 4 Char"/>
    <w:basedOn w:val="DefaultParagraphFont"/>
    <w:link w:val="Heading4"/>
    <w:rsid w:val="00C32D04"/>
    <w:rPr>
      <w:sz w:val="24"/>
      <w:lang w:val="en-US" w:eastAsia="fr-FR"/>
    </w:rPr>
  </w:style>
  <w:style w:type="character" w:customStyle="1" w:styleId="Heading5Char">
    <w:name w:val="Heading 5 Char"/>
    <w:basedOn w:val="DefaultParagraphFont"/>
    <w:link w:val="Heading5"/>
    <w:semiHidden/>
    <w:rsid w:val="00C32D04"/>
    <w:rPr>
      <w:sz w:val="24"/>
      <w:lang w:val="en-US" w:eastAsia="fr-FR"/>
    </w:rPr>
  </w:style>
  <w:style w:type="character" w:customStyle="1" w:styleId="Heading6Char">
    <w:name w:val="Heading 6 Char"/>
    <w:basedOn w:val="DefaultParagraphFont"/>
    <w:link w:val="Heading6"/>
    <w:semiHidden/>
    <w:rsid w:val="00C32D04"/>
    <w:rPr>
      <w:i/>
      <w:sz w:val="22"/>
      <w:lang w:val="pl-PL"/>
    </w:rPr>
  </w:style>
  <w:style w:type="character" w:customStyle="1" w:styleId="Heading7Char">
    <w:name w:val="Heading 7 Char"/>
    <w:basedOn w:val="DefaultParagraphFont"/>
    <w:link w:val="Heading7"/>
    <w:semiHidden/>
    <w:rsid w:val="00C32D04"/>
    <w:rPr>
      <w:rFonts w:ascii="Arial" w:hAnsi="Arial"/>
      <w:sz w:val="24"/>
      <w:lang w:val="pl-PL"/>
    </w:rPr>
  </w:style>
  <w:style w:type="character" w:customStyle="1" w:styleId="Heading8Char">
    <w:name w:val="Heading 8 Char"/>
    <w:basedOn w:val="DefaultParagraphFont"/>
    <w:link w:val="Heading8"/>
    <w:semiHidden/>
    <w:rsid w:val="00C32D04"/>
    <w:rPr>
      <w:rFonts w:ascii="Arial" w:hAnsi="Arial"/>
      <w:i/>
      <w:sz w:val="24"/>
      <w:lang w:val="pl-PL"/>
    </w:rPr>
  </w:style>
  <w:style w:type="character" w:customStyle="1" w:styleId="Heading9Char">
    <w:name w:val="Heading 9 Char"/>
    <w:basedOn w:val="DefaultParagraphFont"/>
    <w:link w:val="Heading9"/>
    <w:semiHidden/>
    <w:rsid w:val="00C32D04"/>
    <w:rPr>
      <w:rFonts w:ascii="Arial" w:hAnsi="Arial"/>
      <w:b/>
      <w:i/>
      <w:sz w:val="18"/>
      <w:lang w:val="pl-PL"/>
    </w:rPr>
  </w:style>
  <w:style w:type="paragraph" w:styleId="TOCHeading">
    <w:name w:val="TOC Heading"/>
    <w:basedOn w:val="Normal"/>
    <w:next w:val="Normal"/>
    <w:uiPriority w:val="39"/>
    <w:unhideWhenUsed/>
    <w:qFormat/>
    <w:rsid w:val="00C32D04"/>
    <w:pPr>
      <w:widowControl/>
      <w:spacing w:after="240"/>
    </w:pPr>
    <w:rPr>
      <w:lang w:val="en-GB"/>
    </w:rPr>
  </w:style>
  <w:style w:type="paragraph" w:customStyle="1" w:styleId="EPFooter2">
    <w:name w:val="EPFooter2"/>
    <w:basedOn w:val="Normal"/>
    <w:next w:val="Normal"/>
    <w:rsid w:val="00C32D0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32D04"/>
    <w:pPr>
      <w:keepNext/>
      <w:spacing w:after="240"/>
      <w:jc w:val="right"/>
    </w:pPr>
    <w:rPr>
      <w:rFonts w:ascii="Arial" w:hAnsi="Arial"/>
      <w:b/>
    </w:rPr>
  </w:style>
  <w:style w:type="paragraph" w:customStyle="1" w:styleId="Normal6a">
    <w:name w:val="Normal6a"/>
    <w:basedOn w:val="Normal"/>
    <w:rsid w:val="00C32D04"/>
    <w:pPr>
      <w:spacing w:after="120"/>
    </w:pPr>
  </w:style>
  <w:style w:type="paragraph" w:customStyle="1" w:styleId="PageHeading">
    <w:name w:val="PageHeading"/>
    <w:basedOn w:val="Normal"/>
    <w:rsid w:val="00C32D04"/>
    <w:pPr>
      <w:keepNext/>
      <w:spacing w:after="480"/>
      <w:jc w:val="center"/>
    </w:pPr>
    <w:rPr>
      <w:rFonts w:ascii="Arial" w:hAnsi="Arial" w:cs="Arial"/>
      <w:b/>
    </w:rPr>
  </w:style>
  <w:style w:type="paragraph" w:customStyle="1" w:styleId="NormalBold">
    <w:name w:val="NormalBold"/>
    <w:basedOn w:val="Normal"/>
    <w:link w:val="NormalBoldChar"/>
    <w:rsid w:val="00C32D04"/>
    <w:rPr>
      <w:b/>
    </w:rPr>
  </w:style>
  <w:style w:type="paragraph" w:customStyle="1" w:styleId="NormalBold12a">
    <w:name w:val="NormalBold12a"/>
    <w:basedOn w:val="Normal"/>
    <w:rsid w:val="00C32D04"/>
    <w:pPr>
      <w:spacing w:after="240"/>
    </w:pPr>
    <w:rPr>
      <w:b/>
    </w:rPr>
  </w:style>
  <w:style w:type="paragraph" w:customStyle="1" w:styleId="AmJustText">
    <w:name w:val="AmJustText"/>
    <w:basedOn w:val="Normal"/>
    <w:rsid w:val="00C32D04"/>
    <w:pPr>
      <w:spacing w:after="240"/>
    </w:pPr>
    <w:rPr>
      <w:i/>
    </w:rPr>
  </w:style>
  <w:style w:type="paragraph" w:customStyle="1" w:styleId="NormalHanging12a">
    <w:name w:val="NormalHanging12a"/>
    <w:basedOn w:val="Normal"/>
    <w:rsid w:val="00C32D04"/>
    <w:pPr>
      <w:spacing w:after="240"/>
      <w:ind w:left="567" w:hanging="567"/>
    </w:pPr>
  </w:style>
  <w:style w:type="paragraph" w:customStyle="1" w:styleId="CoverNormal24a">
    <w:name w:val="CoverNormal24a"/>
    <w:basedOn w:val="Normal"/>
    <w:rsid w:val="00C32D04"/>
    <w:pPr>
      <w:spacing w:after="480"/>
      <w:ind w:left="1417"/>
    </w:pPr>
  </w:style>
  <w:style w:type="paragraph" w:customStyle="1" w:styleId="CoverNormal">
    <w:name w:val="CoverNormal"/>
    <w:basedOn w:val="Normal"/>
    <w:rsid w:val="00C32D04"/>
    <w:pPr>
      <w:ind w:left="1418"/>
    </w:pPr>
  </w:style>
  <w:style w:type="paragraph" w:customStyle="1" w:styleId="AmCrossRef">
    <w:name w:val="AmCrossRef"/>
    <w:basedOn w:val="Normal"/>
    <w:rsid w:val="00C32D04"/>
    <w:pPr>
      <w:spacing w:before="240" w:after="240"/>
      <w:jc w:val="center"/>
    </w:pPr>
    <w:rPr>
      <w:i/>
    </w:rPr>
  </w:style>
  <w:style w:type="paragraph" w:customStyle="1" w:styleId="AmJustTitle">
    <w:name w:val="AmJustTitle"/>
    <w:basedOn w:val="Normal"/>
    <w:next w:val="AmJustText"/>
    <w:rsid w:val="00C32D04"/>
    <w:pPr>
      <w:keepNext/>
      <w:spacing w:before="240" w:after="240"/>
      <w:jc w:val="center"/>
    </w:pPr>
    <w:rPr>
      <w:i/>
    </w:rPr>
  </w:style>
  <w:style w:type="paragraph" w:customStyle="1" w:styleId="CoverReference">
    <w:name w:val="CoverReference"/>
    <w:basedOn w:val="Normal"/>
    <w:rsid w:val="00C32D04"/>
    <w:pPr>
      <w:spacing w:before="1080"/>
      <w:jc w:val="right"/>
    </w:pPr>
    <w:rPr>
      <w:rFonts w:ascii="Arial" w:hAnsi="Arial" w:cs="Arial"/>
      <w:b/>
    </w:rPr>
  </w:style>
  <w:style w:type="paragraph" w:customStyle="1" w:styleId="CoverDocType">
    <w:name w:val="CoverDocType"/>
    <w:basedOn w:val="Normal"/>
    <w:rsid w:val="00C32D04"/>
    <w:pPr>
      <w:ind w:left="1418"/>
    </w:pPr>
    <w:rPr>
      <w:rFonts w:ascii="Arial" w:hAnsi="Arial"/>
      <w:b/>
      <w:sz w:val="48"/>
    </w:rPr>
  </w:style>
  <w:style w:type="paragraph" w:customStyle="1" w:styleId="CoverDocType24a">
    <w:name w:val="CoverDocType24a"/>
    <w:basedOn w:val="Normal"/>
    <w:rsid w:val="00C32D04"/>
    <w:pPr>
      <w:spacing w:after="480"/>
      <w:ind w:left="1418"/>
    </w:pPr>
    <w:rPr>
      <w:rFonts w:ascii="Arial" w:hAnsi="Arial"/>
      <w:b/>
      <w:sz w:val="48"/>
    </w:rPr>
  </w:style>
  <w:style w:type="paragraph" w:customStyle="1" w:styleId="CoverDate">
    <w:name w:val="CoverDate"/>
    <w:basedOn w:val="Normal"/>
    <w:rsid w:val="00C32D04"/>
    <w:pPr>
      <w:spacing w:before="240" w:after="1200"/>
    </w:pPr>
  </w:style>
  <w:style w:type="paragraph" w:styleId="Header">
    <w:name w:val="header"/>
    <w:basedOn w:val="Normal"/>
    <w:link w:val="HeaderChar"/>
    <w:rsid w:val="00C32D04"/>
    <w:pPr>
      <w:tabs>
        <w:tab w:val="center" w:pos="4513"/>
        <w:tab w:val="right" w:pos="9026"/>
      </w:tabs>
    </w:pPr>
  </w:style>
  <w:style w:type="character" w:customStyle="1" w:styleId="HeaderChar">
    <w:name w:val="Header Char"/>
    <w:basedOn w:val="DefaultParagraphFont"/>
    <w:link w:val="Header"/>
    <w:rsid w:val="00C32D04"/>
    <w:rPr>
      <w:sz w:val="24"/>
      <w:lang w:val="pl-PL"/>
    </w:rPr>
  </w:style>
  <w:style w:type="paragraph" w:customStyle="1" w:styleId="AmOrLang">
    <w:name w:val="AmOrLang"/>
    <w:basedOn w:val="Normal"/>
    <w:rsid w:val="00C32D04"/>
    <w:pPr>
      <w:spacing w:before="240" w:after="240"/>
      <w:jc w:val="right"/>
    </w:pPr>
  </w:style>
  <w:style w:type="paragraph" w:customStyle="1" w:styleId="AmColumnHeading">
    <w:name w:val="AmColumnHeading"/>
    <w:basedOn w:val="Normal"/>
    <w:rsid w:val="00C32D04"/>
    <w:pPr>
      <w:spacing w:after="240"/>
      <w:jc w:val="center"/>
    </w:pPr>
    <w:rPr>
      <w:i/>
    </w:rPr>
  </w:style>
  <w:style w:type="paragraph" w:customStyle="1" w:styleId="AmNumberTabs">
    <w:name w:val="AmNumberTabs"/>
    <w:basedOn w:val="Normal"/>
    <w:link w:val="AmNumberTabsChar"/>
    <w:rsid w:val="00C32D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32D04"/>
    <w:pPr>
      <w:spacing w:before="240"/>
    </w:pPr>
    <w:rPr>
      <w:b/>
    </w:rPr>
  </w:style>
  <w:style w:type="paragraph" w:customStyle="1" w:styleId="EPBody">
    <w:name w:val="EPBody"/>
    <w:basedOn w:val="Normal"/>
    <w:rsid w:val="00C32D04"/>
    <w:pPr>
      <w:jc w:val="center"/>
    </w:pPr>
    <w:rPr>
      <w:rFonts w:ascii="Arial" w:hAnsi="Arial" w:cs="Arial"/>
      <w:i/>
      <w:sz w:val="22"/>
      <w:szCs w:val="22"/>
    </w:rPr>
  </w:style>
  <w:style w:type="paragraph" w:customStyle="1" w:styleId="EPFooter">
    <w:name w:val="EPFooter"/>
    <w:basedOn w:val="Normal"/>
    <w:rsid w:val="00C32D04"/>
    <w:pPr>
      <w:tabs>
        <w:tab w:val="center" w:pos="4535"/>
        <w:tab w:val="right" w:pos="9071"/>
      </w:tabs>
      <w:spacing w:before="240" w:after="240"/>
    </w:pPr>
    <w:rPr>
      <w:color w:val="010000"/>
      <w:sz w:val="22"/>
    </w:rPr>
  </w:style>
  <w:style w:type="paragraph" w:customStyle="1" w:styleId="EPComma">
    <w:name w:val="EPComma"/>
    <w:basedOn w:val="Normal"/>
    <w:rsid w:val="00C32D04"/>
    <w:pPr>
      <w:spacing w:before="480" w:after="240"/>
    </w:pPr>
  </w:style>
  <w:style w:type="paragraph" w:customStyle="1" w:styleId="Lgendesigne">
    <w:name w:val="Légende signe"/>
    <w:basedOn w:val="Normal"/>
    <w:rsid w:val="00C32D04"/>
    <w:pPr>
      <w:tabs>
        <w:tab w:val="right" w:pos="454"/>
        <w:tab w:val="left" w:pos="737"/>
      </w:tabs>
      <w:ind w:left="737" w:hanging="737"/>
    </w:pPr>
    <w:rPr>
      <w:snapToGrid w:val="0"/>
      <w:sz w:val="18"/>
      <w:lang w:eastAsia="en-US"/>
    </w:rPr>
  </w:style>
  <w:style w:type="paragraph" w:customStyle="1" w:styleId="Lgendetitre">
    <w:name w:val="Légende titre"/>
    <w:basedOn w:val="Normal"/>
    <w:rsid w:val="00C32D04"/>
    <w:pPr>
      <w:spacing w:before="240" w:after="240"/>
    </w:pPr>
    <w:rPr>
      <w:b/>
      <w:i/>
      <w:snapToGrid w:val="0"/>
      <w:lang w:eastAsia="en-US"/>
    </w:rPr>
  </w:style>
  <w:style w:type="paragraph" w:customStyle="1" w:styleId="Lgendestandard">
    <w:name w:val="Légende standard"/>
    <w:basedOn w:val="Normal"/>
    <w:rsid w:val="00C32D04"/>
    <w:rPr>
      <w:sz w:val="18"/>
    </w:rPr>
  </w:style>
  <w:style w:type="paragraph" w:customStyle="1" w:styleId="msonormal0">
    <w:name w:val="msonormal"/>
    <w:basedOn w:val="Normal"/>
    <w:rsid w:val="00C32D04"/>
    <w:pPr>
      <w:widowControl/>
      <w:spacing w:before="100" w:beforeAutospacing="1" w:after="100" w:afterAutospacing="1"/>
    </w:pPr>
    <w:rPr>
      <w:szCs w:val="24"/>
    </w:rPr>
  </w:style>
  <w:style w:type="character" w:customStyle="1" w:styleId="Normal12Char">
    <w:name w:val="Normal12 Char"/>
    <w:basedOn w:val="DefaultParagraphFont"/>
    <w:link w:val="Normal12"/>
    <w:locked/>
    <w:rsid w:val="00C32D04"/>
    <w:rPr>
      <w:noProof/>
      <w:sz w:val="24"/>
    </w:rPr>
  </w:style>
  <w:style w:type="paragraph" w:customStyle="1" w:styleId="Normal12">
    <w:name w:val="Normal12"/>
    <w:basedOn w:val="Normal"/>
    <w:link w:val="Normal12Char"/>
    <w:rsid w:val="00C32D04"/>
    <w:pPr>
      <w:spacing w:after="240"/>
    </w:pPr>
    <w:rPr>
      <w:noProof/>
      <w:lang w:val="en-GB"/>
    </w:rPr>
  </w:style>
  <w:style w:type="paragraph" w:customStyle="1" w:styleId="CommitteeAM">
    <w:name w:val="CommitteeAM"/>
    <w:basedOn w:val="Normal"/>
    <w:rsid w:val="00C32D04"/>
    <w:pPr>
      <w:spacing w:before="240" w:after="600"/>
      <w:jc w:val="center"/>
    </w:pPr>
    <w:rPr>
      <w:i/>
    </w:rPr>
  </w:style>
  <w:style w:type="paragraph" w:customStyle="1" w:styleId="ZDateAM">
    <w:name w:val="ZDateAM"/>
    <w:basedOn w:val="Normal"/>
    <w:rsid w:val="00C32D04"/>
    <w:pPr>
      <w:tabs>
        <w:tab w:val="right" w:pos="9356"/>
      </w:tabs>
      <w:spacing w:after="480"/>
    </w:pPr>
    <w:rPr>
      <w:noProof/>
    </w:rPr>
  </w:style>
  <w:style w:type="paragraph" w:customStyle="1" w:styleId="ProjRap">
    <w:name w:val="ProjRap"/>
    <w:basedOn w:val="Normal"/>
    <w:rsid w:val="00C32D04"/>
    <w:pPr>
      <w:tabs>
        <w:tab w:val="right" w:pos="9356"/>
      </w:tabs>
    </w:pPr>
    <w:rPr>
      <w:b/>
      <w:noProof/>
    </w:rPr>
  </w:style>
  <w:style w:type="paragraph" w:customStyle="1" w:styleId="PELeft">
    <w:name w:val="PELeft"/>
    <w:basedOn w:val="Normal"/>
    <w:rsid w:val="00C32D04"/>
    <w:pPr>
      <w:spacing w:before="40" w:after="40"/>
    </w:pPr>
    <w:rPr>
      <w:rFonts w:ascii="Arial" w:hAnsi="Arial" w:cs="Arial"/>
      <w:sz w:val="22"/>
      <w:szCs w:val="22"/>
    </w:rPr>
  </w:style>
  <w:style w:type="paragraph" w:customStyle="1" w:styleId="PERight">
    <w:name w:val="PERight"/>
    <w:basedOn w:val="Normal"/>
    <w:next w:val="Normal"/>
    <w:rsid w:val="00C32D04"/>
    <w:pPr>
      <w:jc w:val="right"/>
    </w:pPr>
    <w:rPr>
      <w:rFonts w:ascii="Arial" w:hAnsi="Arial" w:cs="Arial"/>
      <w:sz w:val="22"/>
      <w:szCs w:val="22"/>
    </w:rPr>
  </w:style>
  <w:style w:type="character" w:customStyle="1" w:styleId="Normal6Char">
    <w:name w:val="Normal6 Char"/>
    <w:basedOn w:val="DefaultParagraphFont"/>
    <w:link w:val="Normal6"/>
    <w:locked/>
    <w:rsid w:val="00C32D04"/>
    <w:rPr>
      <w:sz w:val="24"/>
      <w:lang w:val="pl-PL"/>
    </w:rPr>
  </w:style>
  <w:style w:type="paragraph" w:customStyle="1" w:styleId="Normal6">
    <w:name w:val="Normal6"/>
    <w:basedOn w:val="Normal"/>
    <w:link w:val="Normal6Char"/>
    <w:rsid w:val="00C32D04"/>
    <w:pPr>
      <w:spacing w:after="120"/>
    </w:pPr>
  </w:style>
  <w:style w:type="character" w:customStyle="1" w:styleId="NormalBoldChar">
    <w:name w:val="NormalBold Char"/>
    <w:basedOn w:val="DefaultParagraphFont"/>
    <w:link w:val="NormalBold"/>
    <w:locked/>
    <w:rsid w:val="00C32D04"/>
    <w:rPr>
      <w:b/>
      <w:sz w:val="24"/>
      <w:lang w:val="pl-PL"/>
    </w:rPr>
  </w:style>
  <w:style w:type="paragraph" w:customStyle="1" w:styleId="Normal12Italic">
    <w:name w:val="Normal12Italic"/>
    <w:basedOn w:val="Normal12"/>
    <w:rsid w:val="00C32D04"/>
    <w:rPr>
      <w:i/>
    </w:rPr>
  </w:style>
  <w:style w:type="paragraph" w:customStyle="1" w:styleId="JustificationTitle">
    <w:name w:val="JustificationTitle"/>
    <w:basedOn w:val="Normal"/>
    <w:next w:val="Normal12"/>
    <w:rsid w:val="00C32D04"/>
    <w:pPr>
      <w:keepNext/>
      <w:spacing w:before="240" w:after="240"/>
      <w:jc w:val="center"/>
    </w:pPr>
    <w:rPr>
      <w:i/>
      <w:noProof/>
    </w:rPr>
  </w:style>
  <w:style w:type="paragraph" w:customStyle="1" w:styleId="Olang">
    <w:name w:val="Olang"/>
    <w:basedOn w:val="Normal"/>
    <w:rsid w:val="00C32D04"/>
    <w:pPr>
      <w:spacing w:before="240" w:after="240"/>
      <w:jc w:val="right"/>
    </w:pPr>
    <w:rPr>
      <w:noProof/>
      <w:szCs w:val="24"/>
    </w:rPr>
  </w:style>
  <w:style w:type="paragraph" w:customStyle="1" w:styleId="ColumnHeading">
    <w:name w:val="ColumnHeading"/>
    <w:basedOn w:val="Normal"/>
    <w:rsid w:val="00C32D04"/>
    <w:pPr>
      <w:spacing w:after="240"/>
      <w:jc w:val="center"/>
    </w:pPr>
    <w:rPr>
      <w:i/>
    </w:rPr>
  </w:style>
  <w:style w:type="paragraph" w:customStyle="1" w:styleId="AMNumberTabs0">
    <w:name w:val="AMNumberTabs"/>
    <w:basedOn w:val="Normal"/>
    <w:rsid w:val="00C32D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32D04"/>
    <w:pPr>
      <w:spacing w:before="240"/>
      <w:jc w:val="center"/>
    </w:pPr>
    <w:rPr>
      <w:i/>
    </w:rPr>
  </w:style>
  <w:style w:type="character" w:customStyle="1" w:styleId="Footer2Middle">
    <w:name w:val="Footer2Middle"/>
    <w:rsid w:val="00C32D04"/>
    <w:rPr>
      <w:rFonts w:ascii="Arial" w:hAnsi="Arial" w:cs="Arial" w:hint="default"/>
      <w:b w:val="0"/>
      <w:bCs w:val="0"/>
      <w:i/>
      <w:iCs w:val="0"/>
      <w:color w:val="C0C0C0"/>
      <w:sz w:val="22"/>
    </w:rPr>
  </w:style>
  <w:style w:type="paragraph" w:customStyle="1" w:styleId="EntPE">
    <w:name w:val="EntPE"/>
    <w:basedOn w:val="Normal12"/>
    <w:rsid w:val="00C32D04"/>
    <w:pPr>
      <w:jc w:val="center"/>
    </w:pPr>
    <w:rPr>
      <w:noProof w:val="0"/>
      <w:sz w:val="56"/>
    </w:rPr>
  </w:style>
  <w:style w:type="paragraph" w:styleId="BalloonText">
    <w:name w:val="Balloon Text"/>
    <w:basedOn w:val="Normal"/>
    <w:link w:val="BalloonTextChar"/>
    <w:unhideWhenUsed/>
    <w:rsid w:val="00C32D04"/>
    <w:rPr>
      <w:rFonts w:ascii="Segoe UI" w:hAnsi="Segoe UI" w:cs="Segoe UI"/>
      <w:sz w:val="18"/>
      <w:szCs w:val="18"/>
    </w:rPr>
  </w:style>
  <w:style w:type="character" w:customStyle="1" w:styleId="BalloonTextChar">
    <w:name w:val="Balloon Text Char"/>
    <w:basedOn w:val="DefaultParagraphFont"/>
    <w:link w:val="BalloonText"/>
    <w:rsid w:val="00C32D04"/>
    <w:rPr>
      <w:rFonts w:ascii="Segoe UI" w:hAnsi="Segoe UI" w:cs="Segoe UI"/>
      <w:sz w:val="18"/>
      <w:szCs w:val="18"/>
      <w:lang w:val="pl-PL"/>
    </w:rPr>
  </w:style>
  <w:style w:type="character" w:styleId="CommentReference">
    <w:name w:val="annotation reference"/>
    <w:basedOn w:val="DefaultParagraphFont"/>
    <w:rsid w:val="00C32D04"/>
    <w:rPr>
      <w:sz w:val="16"/>
      <w:szCs w:val="16"/>
    </w:rPr>
  </w:style>
  <w:style w:type="paragraph" w:styleId="CommentText">
    <w:name w:val="annotation text"/>
    <w:basedOn w:val="Normal"/>
    <w:link w:val="CommentTextChar"/>
    <w:rsid w:val="00C32D04"/>
    <w:rPr>
      <w:sz w:val="20"/>
    </w:rPr>
  </w:style>
  <w:style w:type="character" w:customStyle="1" w:styleId="CommentTextChar">
    <w:name w:val="Comment Text Char"/>
    <w:basedOn w:val="DefaultParagraphFont"/>
    <w:link w:val="CommentText"/>
    <w:rsid w:val="00C32D04"/>
    <w:rPr>
      <w:lang w:val="pl-PL"/>
    </w:rPr>
  </w:style>
  <w:style w:type="paragraph" w:styleId="CommentSubject">
    <w:name w:val="annotation subject"/>
    <w:basedOn w:val="CommentText"/>
    <w:next w:val="CommentText"/>
    <w:link w:val="CommentSubjectChar"/>
    <w:unhideWhenUsed/>
    <w:rsid w:val="00C32D04"/>
    <w:rPr>
      <w:b/>
      <w:bCs/>
    </w:rPr>
  </w:style>
  <w:style w:type="character" w:customStyle="1" w:styleId="CommentSubjectChar">
    <w:name w:val="Comment Subject Char"/>
    <w:basedOn w:val="CommentTextChar"/>
    <w:link w:val="CommentSubject"/>
    <w:rsid w:val="00C32D04"/>
    <w:rPr>
      <w:b/>
      <w:bCs/>
      <w:lang w:val="pl-PL"/>
    </w:rPr>
  </w:style>
  <w:style w:type="character" w:customStyle="1" w:styleId="AmNumberTabsChar">
    <w:name w:val="AmNumberTabs Char"/>
    <w:basedOn w:val="DefaultParagraphFont"/>
    <w:link w:val="AmNumberTabs"/>
    <w:rsid w:val="00C32D04"/>
    <w:rPr>
      <w:b/>
      <w:sz w:val="24"/>
      <w:lang w:val="pl-PL"/>
    </w:rPr>
  </w:style>
  <w:style w:type="character" w:customStyle="1" w:styleId="NormalBold12bChar">
    <w:name w:val="NormalBold12b Char"/>
    <w:basedOn w:val="AmNumberTabsChar"/>
    <w:link w:val="NormalBold12b"/>
    <w:rsid w:val="00C32D04"/>
    <w:rPr>
      <w:b/>
      <w:sz w:val="24"/>
      <w:lang w:val="pl-PL"/>
    </w:rPr>
  </w:style>
  <w:style w:type="paragraph" w:customStyle="1" w:styleId="Normal12a">
    <w:name w:val="Normal12a"/>
    <w:basedOn w:val="Normal"/>
    <w:rsid w:val="00C32D04"/>
    <w:pPr>
      <w:spacing w:after="240"/>
    </w:pPr>
  </w:style>
  <w:style w:type="paragraph" w:customStyle="1" w:styleId="PageHeadingNotTOC">
    <w:name w:val="PageHeadingNotTOC"/>
    <w:basedOn w:val="Normal"/>
    <w:rsid w:val="00C32D04"/>
    <w:pPr>
      <w:keepNext/>
      <w:spacing w:after="480"/>
      <w:jc w:val="center"/>
    </w:pPr>
    <w:rPr>
      <w:rFonts w:ascii="Arial" w:hAnsi="Arial" w:cs="Arial"/>
      <w:b/>
    </w:rPr>
  </w:style>
  <w:style w:type="paragraph" w:customStyle="1" w:styleId="AmHeadingPA">
    <w:name w:val="AmHeadingPA"/>
    <w:basedOn w:val="Normal"/>
    <w:next w:val="Normal"/>
    <w:rsid w:val="00C32D04"/>
    <w:pPr>
      <w:spacing w:before="480" w:after="240"/>
      <w:jc w:val="center"/>
    </w:pPr>
    <w:rPr>
      <w:rFonts w:ascii="Arial" w:hAnsi="Arial"/>
      <w:b/>
      <w:caps/>
      <w:snapToGrid w:val="0"/>
      <w:szCs w:val="24"/>
      <w:lang w:eastAsia="en-US"/>
    </w:rPr>
  </w:style>
  <w:style w:type="paragraph" w:styleId="NormalWeb">
    <w:name w:val="Normal (Web)"/>
    <w:basedOn w:val="Normal"/>
    <w:unhideWhenUsed/>
    <w:rsid w:val="00C32D04"/>
    <w:pPr>
      <w:widowControl/>
      <w:spacing w:before="100" w:beforeAutospacing="1" w:after="100" w:afterAutospacing="1"/>
    </w:pPr>
    <w:rPr>
      <w:szCs w:val="24"/>
      <w:lang w:eastAsia="pt-PT"/>
    </w:rPr>
  </w:style>
  <w:style w:type="paragraph" w:customStyle="1" w:styleId="RollCallSymbols14pt">
    <w:name w:val="RollCallSymbols14pt"/>
    <w:basedOn w:val="Normal"/>
    <w:rsid w:val="00C32D0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32D04"/>
    <w:pPr>
      <w:tabs>
        <w:tab w:val="center" w:pos="284"/>
        <w:tab w:val="left" w:pos="426"/>
      </w:tabs>
    </w:pPr>
    <w:rPr>
      <w:snapToGrid w:val="0"/>
      <w:lang w:eastAsia="en-US"/>
    </w:rPr>
  </w:style>
  <w:style w:type="paragraph" w:customStyle="1" w:styleId="RollCallVotes">
    <w:name w:val="RollCallVotes"/>
    <w:basedOn w:val="Normal"/>
    <w:rsid w:val="00C32D04"/>
    <w:pPr>
      <w:spacing w:before="120" w:after="120"/>
      <w:jc w:val="center"/>
    </w:pPr>
    <w:rPr>
      <w:b/>
      <w:bCs/>
      <w:snapToGrid w:val="0"/>
      <w:sz w:val="16"/>
      <w:lang w:eastAsia="en-US"/>
    </w:rPr>
  </w:style>
  <w:style w:type="paragraph" w:customStyle="1" w:styleId="RollCallTable">
    <w:name w:val="RollCallTable"/>
    <w:basedOn w:val="Normal"/>
    <w:rsid w:val="00C32D04"/>
    <w:pPr>
      <w:spacing w:before="120" w:after="120"/>
    </w:pPr>
    <w:rPr>
      <w:snapToGrid w:val="0"/>
      <w:sz w:val="16"/>
      <w:lang w:eastAsia="en-US"/>
    </w:rPr>
  </w:style>
  <w:style w:type="paragraph" w:customStyle="1" w:styleId="Normal24a">
    <w:name w:val="Normal24a"/>
    <w:basedOn w:val="Normal"/>
    <w:rsid w:val="00C32D04"/>
    <w:pPr>
      <w:spacing w:after="480"/>
    </w:pPr>
  </w:style>
  <w:style w:type="paragraph" w:customStyle="1" w:styleId="NormalBoldCenter">
    <w:name w:val="NormalBoldCenter"/>
    <w:basedOn w:val="Normal"/>
    <w:rsid w:val="00C32D04"/>
    <w:pPr>
      <w:jc w:val="center"/>
    </w:pPr>
    <w:rPr>
      <w:b/>
    </w:rPr>
  </w:style>
  <w:style w:type="paragraph" w:styleId="Footer">
    <w:name w:val="footer"/>
    <w:basedOn w:val="Normal"/>
    <w:link w:val="FooterChar"/>
    <w:rsid w:val="00C32D04"/>
    <w:pPr>
      <w:tabs>
        <w:tab w:val="center" w:pos="4513"/>
        <w:tab w:val="right" w:pos="9026"/>
      </w:tabs>
    </w:pPr>
  </w:style>
  <w:style w:type="character" w:customStyle="1" w:styleId="FooterChar">
    <w:name w:val="Footer Char"/>
    <w:basedOn w:val="DefaultParagraphFont"/>
    <w:link w:val="Footer"/>
    <w:rsid w:val="00C32D04"/>
    <w:rPr>
      <w:sz w:val="24"/>
      <w:lang w:val="pl-PL"/>
    </w:rPr>
  </w:style>
  <w:style w:type="character" w:styleId="Hyperlink">
    <w:name w:val="Hyperlink"/>
    <w:basedOn w:val="DefaultParagraphFont"/>
    <w:rsid w:val="002F71CA"/>
    <w:rPr>
      <w:color w:val="0563C1" w:themeColor="hyperlink"/>
      <w:u w:val="single"/>
    </w:rPr>
  </w:style>
  <w:style w:type="character" w:styleId="FollowedHyperlink">
    <w:name w:val="FollowedHyperlink"/>
    <w:basedOn w:val="DefaultParagraphFont"/>
    <w:rsid w:val="002F71CA"/>
    <w:rPr>
      <w:color w:val="954F72" w:themeColor="followedHyperlink"/>
      <w:u w:val="single"/>
    </w:rPr>
  </w:style>
  <w:style w:type="paragraph" w:customStyle="1" w:styleId="AmDocTypeTab">
    <w:name w:val="AmDocTypeTab"/>
    <w:basedOn w:val="Normal"/>
    <w:rsid w:val="00A2210D"/>
    <w:pPr>
      <w:tabs>
        <w:tab w:val="right" w:pos="9072"/>
      </w:tabs>
    </w:pPr>
    <w:rPr>
      <w:b/>
    </w:rPr>
  </w:style>
  <w:style w:type="numbering" w:customStyle="1" w:styleId="NoList1">
    <w:name w:val="No List1"/>
    <w:next w:val="NoList"/>
    <w:uiPriority w:val="99"/>
    <w:semiHidden/>
    <w:unhideWhenUsed/>
    <w:rsid w:val="00092171"/>
  </w:style>
  <w:style w:type="paragraph" w:customStyle="1" w:styleId="SignaturePersonne">
    <w:name w:val="Signature Personne"/>
    <w:basedOn w:val="Normal"/>
    <w:rsid w:val="00092171"/>
    <w:pPr>
      <w:widowControl/>
      <w:tabs>
        <w:tab w:val="left" w:pos="4252"/>
      </w:tabs>
      <w:spacing w:line="360" w:lineRule="auto"/>
    </w:pPr>
    <w:rPr>
      <w:i/>
      <w:szCs w:val="24"/>
      <w:lang w:val="en-GB" w:eastAsia="en-US"/>
    </w:rPr>
  </w:style>
  <w:style w:type="paragraph" w:customStyle="1" w:styleId="Considrant">
    <w:name w:val="Considérant"/>
    <w:basedOn w:val="Normal"/>
    <w:rsid w:val="0009217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92171"/>
    <w:pPr>
      <w:keepNext/>
      <w:spacing w:before="600" w:after="120" w:line="360" w:lineRule="auto"/>
    </w:pPr>
    <w:rPr>
      <w:szCs w:val="24"/>
      <w:lang w:val="en-GB" w:eastAsia="en-US"/>
    </w:rPr>
  </w:style>
  <w:style w:type="paragraph" w:customStyle="1" w:styleId="Institutionquisigne">
    <w:name w:val="Institution qui signe"/>
    <w:basedOn w:val="Normal"/>
    <w:next w:val="Normal"/>
    <w:rsid w:val="00092171"/>
    <w:pPr>
      <w:keepNext/>
      <w:tabs>
        <w:tab w:val="left" w:pos="4252"/>
      </w:tabs>
      <w:spacing w:before="720" w:line="360" w:lineRule="auto"/>
    </w:pPr>
    <w:rPr>
      <w:i/>
      <w:szCs w:val="24"/>
      <w:lang w:val="en-GB" w:eastAsia="en-US"/>
    </w:rPr>
  </w:style>
  <w:style w:type="paragraph" w:customStyle="1" w:styleId="Fait">
    <w:name w:val="Fait à"/>
    <w:basedOn w:val="Normal"/>
    <w:rsid w:val="00092171"/>
    <w:pPr>
      <w:keepNext/>
      <w:widowControl/>
      <w:spacing w:before="120" w:line="360" w:lineRule="auto"/>
    </w:pPr>
    <w:rPr>
      <w:szCs w:val="24"/>
      <w:lang w:val="en-GB" w:eastAsia="en-US"/>
    </w:rPr>
  </w:style>
  <w:style w:type="paragraph" w:customStyle="1" w:styleId="FootnoteTextForceStyle">
    <w:name w:val="Footnote Text ForceStyle"/>
    <w:rsid w:val="00092171"/>
    <w:pPr>
      <w:keepLines/>
      <w:widowControl w:val="0"/>
      <w:ind w:left="850" w:hanging="850"/>
    </w:pPr>
    <w:rPr>
      <w:sz w:val="24"/>
      <w:lang w:eastAsia="en-US"/>
    </w:rPr>
  </w:style>
  <w:style w:type="paragraph" w:customStyle="1" w:styleId="Applicationdirecte">
    <w:name w:val="Application directe"/>
    <w:basedOn w:val="Normal"/>
    <w:next w:val="Normal"/>
    <w:rsid w:val="00092171"/>
    <w:pPr>
      <w:spacing w:before="120" w:after="120" w:line="360" w:lineRule="auto"/>
    </w:pPr>
    <w:rPr>
      <w:szCs w:val="24"/>
      <w:lang w:val="en-GB" w:eastAsia="en-US"/>
    </w:rPr>
  </w:style>
  <w:style w:type="paragraph" w:customStyle="1" w:styleId="Normale">
    <w:name w:val="Normale"/>
    <w:rsid w:val="00092171"/>
    <w:pPr>
      <w:widowControl w:val="0"/>
      <w:spacing w:before="120" w:after="120" w:line="360" w:lineRule="auto"/>
    </w:pPr>
    <w:rPr>
      <w:sz w:val="24"/>
      <w:lang w:eastAsia="en-US"/>
    </w:rPr>
  </w:style>
  <w:style w:type="paragraph" w:customStyle="1" w:styleId="Formuledadoption">
    <w:name w:val="Formule d'adoption"/>
    <w:basedOn w:val="Normal"/>
    <w:next w:val="Normal"/>
    <w:rsid w:val="0009217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92171"/>
    <w:pPr>
      <w:widowControl/>
      <w:spacing w:after="240" w:line="360" w:lineRule="auto"/>
      <w:ind w:left="5102"/>
    </w:pPr>
    <w:rPr>
      <w:szCs w:val="24"/>
      <w:lang w:val="en-GB" w:eastAsia="en-US"/>
    </w:rPr>
  </w:style>
  <w:style w:type="paragraph" w:customStyle="1" w:styleId="Footer1">
    <w:name w:val="Footer1"/>
    <w:basedOn w:val="Normal"/>
    <w:rsid w:val="0009217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9217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92171"/>
    <w:pPr>
      <w:widowControl/>
      <w:spacing w:before="840" w:line="360" w:lineRule="auto"/>
      <w:jc w:val="center"/>
    </w:pPr>
    <w:rPr>
      <w:szCs w:val="24"/>
      <w:lang w:val="en-GB" w:eastAsia="en-US"/>
    </w:rPr>
  </w:style>
  <w:style w:type="paragraph" w:customStyle="1" w:styleId="Typedudocument">
    <w:name w:val="Type du document"/>
    <w:basedOn w:val="Normal"/>
    <w:next w:val="Normal"/>
    <w:rsid w:val="00092171"/>
    <w:pPr>
      <w:widowControl/>
      <w:spacing w:before="360" w:line="360" w:lineRule="auto"/>
      <w:jc w:val="center"/>
    </w:pPr>
    <w:rPr>
      <w:b/>
      <w:szCs w:val="24"/>
      <w:lang w:val="en-GB" w:eastAsia="en-US"/>
    </w:rPr>
  </w:style>
  <w:style w:type="paragraph" w:customStyle="1" w:styleId="Titreobjet">
    <w:name w:val="Titre objet"/>
    <w:basedOn w:val="Normal"/>
    <w:next w:val="Normal"/>
    <w:rsid w:val="0009217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92171"/>
    <w:pPr>
      <w:widowControl/>
      <w:spacing w:before="360" w:after="240" w:line="360" w:lineRule="auto"/>
      <w:jc w:val="center"/>
    </w:pPr>
    <w:rPr>
      <w:szCs w:val="24"/>
      <w:lang w:val="en-GB" w:eastAsia="en-US"/>
    </w:rPr>
  </w:style>
  <w:style w:type="paragraph" w:customStyle="1" w:styleId="PMissingStyle">
    <w:name w:val="P_MissingStyle"/>
    <w:basedOn w:val="Normal"/>
    <w:rsid w:val="00092171"/>
    <w:pPr>
      <w:shd w:val="clear" w:color="auto" w:fill="000000"/>
      <w:spacing w:before="120" w:after="120" w:line="360" w:lineRule="auto"/>
    </w:pPr>
    <w:rPr>
      <w:color w:val="FFFFFF"/>
      <w:szCs w:val="24"/>
      <w:lang w:val="en-GB" w:eastAsia="en-US"/>
    </w:rPr>
  </w:style>
  <w:style w:type="character" w:customStyle="1" w:styleId="Footer2">
    <w:name w:val="Footer2"/>
    <w:rsid w:val="00092171"/>
    <w:rPr>
      <w:rFonts w:ascii="Arial" w:hAnsi="Arial" w:cs="Arial" w:hint="default"/>
      <w:b/>
      <w:bCs w:val="0"/>
      <w:sz w:val="48"/>
    </w:rPr>
  </w:style>
  <w:style w:type="character" w:customStyle="1" w:styleId="CMissingStyle">
    <w:name w:val="C_MissingStyle"/>
    <w:rsid w:val="00092171"/>
    <w:rPr>
      <w:color w:val="FFFFFF"/>
      <w:sz w:val="22"/>
      <w:shd w:val="clear" w:color="auto" w:fil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9705790">
      <w:bodyDiv w:val="1"/>
      <w:marLeft w:val="0"/>
      <w:marRight w:val="0"/>
      <w:marTop w:val="0"/>
      <w:marBottom w:val="0"/>
      <w:divBdr>
        <w:top w:val="none" w:sz="0" w:space="0" w:color="auto"/>
        <w:left w:val="none" w:sz="0" w:space="0" w:color="auto"/>
        <w:bottom w:val="none" w:sz="0" w:space="0" w:color="auto"/>
        <w:right w:val="none" w:sz="0" w:space="0" w:color="auto"/>
      </w:divBdr>
    </w:div>
    <w:div w:id="197232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5B61D-7B0E-4796-B71A-E9C21FE67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235</Pages>
  <Words>30122</Words>
  <Characters>194774</Characters>
  <Application>Microsoft Office Word</Application>
  <DocSecurity>4</DocSecurity>
  <Lines>1623</Lines>
  <Paragraphs>448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GOROPECNIK Tina</cp:lastModifiedBy>
  <cp:revision>2</cp:revision>
  <cp:lastPrinted>2004-11-19T15:42:00Z</cp:lastPrinted>
  <dcterms:created xsi:type="dcterms:W3CDTF">2024-12-17T12:01:00Z</dcterms:created>
  <dcterms:modified xsi:type="dcterms:W3CDTF">2024-12-17T12:01:00Z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P9_TA(2024)0144_</vt:lpwstr>
  </property>
  <property fmtid="{D5CDD505-2E9C-101B-9397-08002B2CF9AE}" pid="4" name="&lt;Type&gt;">
    <vt:lpwstr>RR</vt:lpwstr>
  </property>
</Properties>
</file>