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23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230B" w:rsidRDefault="00495994" w:rsidP="0010095E">
            <w:pPr>
              <w:pStyle w:val="EPName"/>
            </w:pPr>
            <w:r w:rsidRPr="002D230B">
              <w:t>Parlamentul European</w:t>
            </w:r>
          </w:p>
          <w:p w:rsidR="00751A4A" w:rsidRPr="002D23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6455">
              <w:t>2019</w:t>
            </w:r>
            <w:r w:rsidRPr="002D230B">
              <w:t>-</w:t>
            </w:r>
            <w:r w:rsidRPr="009E645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D230B" w:rsidRDefault="00187494" w:rsidP="0010095E">
            <w:pPr>
              <w:pStyle w:val="EPLogo"/>
            </w:pPr>
            <w:r w:rsidRPr="002D230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230B" w:rsidRDefault="00D058B8" w:rsidP="004C5D52">
      <w:pPr>
        <w:pStyle w:val="LineTop"/>
      </w:pPr>
    </w:p>
    <w:p w:rsidR="00680577" w:rsidRPr="002D230B" w:rsidRDefault="00495994" w:rsidP="00680577">
      <w:pPr>
        <w:pStyle w:val="EPBodyTA1"/>
      </w:pPr>
      <w:r w:rsidRPr="002D230B">
        <w:t>TEXTE ADOPTATE</w:t>
      </w:r>
    </w:p>
    <w:p w:rsidR="00D058B8" w:rsidRPr="002D230B" w:rsidRDefault="00D058B8" w:rsidP="00D058B8">
      <w:pPr>
        <w:pStyle w:val="LineBottom"/>
      </w:pPr>
    </w:p>
    <w:p w:rsidR="00495994" w:rsidRPr="002D230B" w:rsidRDefault="00495994" w:rsidP="00495994">
      <w:pPr>
        <w:pStyle w:val="ATHeading1"/>
      </w:pPr>
      <w:bookmarkStart w:id="0" w:name="TANumber"/>
      <w:r w:rsidRPr="002D230B">
        <w:t>P</w:t>
      </w:r>
      <w:r w:rsidRPr="009E6455">
        <w:t>9</w:t>
      </w:r>
      <w:r w:rsidRPr="002D230B">
        <w:t>_TA(</w:t>
      </w:r>
      <w:r w:rsidRPr="009E6455">
        <w:t>2024</w:t>
      </w:r>
      <w:r w:rsidRPr="002D230B">
        <w:t>)</w:t>
      </w:r>
      <w:r w:rsidRPr="009E6455">
        <w:t>0</w:t>
      </w:r>
      <w:bookmarkEnd w:id="0"/>
      <w:r w:rsidR="002D230B" w:rsidRPr="009E6455">
        <w:t>150</w:t>
      </w:r>
    </w:p>
    <w:p w:rsidR="00495994" w:rsidRPr="002D230B" w:rsidRDefault="00495994" w:rsidP="00495994">
      <w:pPr>
        <w:pStyle w:val="ATHeading2"/>
      </w:pPr>
      <w:bookmarkStart w:id="1" w:name="title"/>
      <w:r w:rsidRPr="002D230B">
        <w:t>Cerințele minime privind pauzele minime și perioadele minime de repaus zilnic și săptămânal în sectorul transportului ocazional de călători</w:t>
      </w:r>
      <w:bookmarkEnd w:id="1"/>
    </w:p>
    <w:p w:rsidR="00495994" w:rsidRPr="002D230B" w:rsidRDefault="00495994" w:rsidP="00495994">
      <w:pPr>
        <w:rPr>
          <w:i/>
          <w:vanish/>
        </w:rPr>
      </w:pPr>
      <w:r w:rsidRPr="002D230B">
        <w:rPr>
          <w:i/>
        </w:rPr>
        <w:fldChar w:fldCharType="begin"/>
      </w:r>
      <w:r w:rsidRPr="002D230B">
        <w:rPr>
          <w:i/>
        </w:rPr>
        <w:instrText xml:space="preserve"> TC"(</w:instrText>
      </w:r>
      <w:bookmarkStart w:id="2" w:name="DocNumber"/>
      <w:r w:rsidRPr="002D230B">
        <w:rPr>
          <w:i/>
        </w:rPr>
        <w:instrText>A</w:instrText>
      </w:r>
      <w:r w:rsidRPr="009E6455">
        <w:rPr>
          <w:i/>
        </w:rPr>
        <w:instrText>9</w:instrText>
      </w:r>
      <w:r w:rsidRPr="002D230B">
        <w:rPr>
          <w:i/>
        </w:rPr>
        <w:instrText>-</w:instrText>
      </w:r>
      <w:r w:rsidRPr="009E6455">
        <w:rPr>
          <w:i/>
        </w:rPr>
        <w:instrText>0370</w:instrText>
      </w:r>
      <w:r w:rsidRPr="002D230B">
        <w:rPr>
          <w:i/>
        </w:rPr>
        <w:instrText>/</w:instrText>
      </w:r>
      <w:r w:rsidRPr="009E6455">
        <w:rPr>
          <w:i/>
        </w:rPr>
        <w:instrText>2023</w:instrText>
      </w:r>
      <w:bookmarkEnd w:id="2"/>
      <w:r w:rsidRPr="002D230B">
        <w:rPr>
          <w:i/>
        </w:rPr>
        <w:instrText xml:space="preserve"> - Raportoare: Henna Virkkunen)"\l</w:instrText>
      </w:r>
      <w:r w:rsidRPr="009E6455">
        <w:rPr>
          <w:i/>
        </w:rPr>
        <w:instrText>3</w:instrText>
      </w:r>
      <w:r w:rsidRPr="002D230B">
        <w:rPr>
          <w:i/>
        </w:rPr>
        <w:instrText xml:space="preserve"> \n&gt; \* MERGEFORMAT </w:instrText>
      </w:r>
      <w:r w:rsidRPr="002D230B">
        <w:rPr>
          <w:i/>
        </w:rPr>
        <w:fldChar w:fldCharType="end"/>
      </w:r>
    </w:p>
    <w:p w:rsidR="00495994" w:rsidRPr="002D230B" w:rsidRDefault="00495994" w:rsidP="00495994">
      <w:pPr>
        <w:rPr>
          <w:vanish/>
        </w:rPr>
      </w:pPr>
      <w:bookmarkStart w:id="3" w:name="Commission"/>
      <w:r w:rsidRPr="002D230B">
        <w:rPr>
          <w:vanish/>
        </w:rPr>
        <w:t>Comisia pentru transport și turism</w:t>
      </w:r>
      <w:bookmarkEnd w:id="3"/>
    </w:p>
    <w:p w:rsidR="00495994" w:rsidRPr="002D230B" w:rsidRDefault="00495994" w:rsidP="00495994">
      <w:pPr>
        <w:rPr>
          <w:vanish/>
        </w:rPr>
      </w:pPr>
      <w:bookmarkStart w:id="4" w:name="PE"/>
      <w:r w:rsidRPr="002D230B">
        <w:rPr>
          <w:vanish/>
        </w:rPr>
        <w:t>PE</w:t>
      </w:r>
      <w:r w:rsidRPr="009E6455">
        <w:rPr>
          <w:vanish/>
        </w:rPr>
        <w:t>752</w:t>
      </w:r>
      <w:r w:rsidRPr="002D230B">
        <w:rPr>
          <w:vanish/>
        </w:rPr>
        <w:t>.</w:t>
      </w:r>
      <w:r w:rsidRPr="009E6455">
        <w:rPr>
          <w:vanish/>
        </w:rPr>
        <w:t>842</w:t>
      </w:r>
      <w:bookmarkEnd w:id="4"/>
    </w:p>
    <w:p w:rsidR="00495994" w:rsidRPr="002D230B" w:rsidRDefault="00495994" w:rsidP="00495994">
      <w:pPr>
        <w:pStyle w:val="ATHeading3"/>
      </w:pPr>
      <w:bookmarkStart w:id="5" w:name="Sujet"/>
      <w:r w:rsidRPr="002D230B">
        <w:t xml:space="preserve">Rezoluția legislativă a Parlamentului European din </w:t>
      </w:r>
      <w:r w:rsidRPr="009E6455">
        <w:t>13</w:t>
      </w:r>
      <w:r w:rsidRPr="002D230B">
        <w:t xml:space="preserve"> martie </w:t>
      </w:r>
      <w:r w:rsidRPr="009E6455">
        <w:t>2024</w:t>
      </w:r>
      <w:r w:rsidRPr="002D230B">
        <w:t xml:space="preserve"> referitoare la propunerea de regulament al Parlamentului European și al Consiliului de modificare a Regulamentului (CE) nr. </w:t>
      </w:r>
      <w:r w:rsidRPr="009E6455">
        <w:t>561</w:t>
      </w:r>
      <w:r w:rsidRPr="002D230B">
        <w:t>/</w:t>
      </w:r>
      <w:r w:rsidRPr="009E6455">
        <w:t>2006</w:t>
      </w:r>
      <w:r w:rsidRPr="002D230B">
        <w:t xml:space="preserve"> în ceea ce privește cerințele minime privind pauzele minime și perioadele minime de repaus zilnic și săptămânal în sectorul transportului ocazional de călători</w:t>
      </w:r>
      <w:bookmarkEnd w:id="5"/>
      <w:r w:rsidRPr="002D230B">
        <w:t xml:space="preserve"> </w:t>
      </w:r>
      <w:bookmarkStart w:id="6" w:name="References"/>
      <w:r w:rsidRPr="002D230B">
        <w:t>(COM(</w:t>
      </w:r>
      <w:r w:rsidRPr="009E6455">
        <w:t>2023</w:t>
      </w:r>
      <w:r w:rsidRPr="002D230B">
        <w:t>)</w:t>
      </w:r>
      <w:r w:rsidRPr="009E6455">
        <w:t>0256</w:t>
      </w:r>
      <w:r w:rsidRPr="002D230B">
        <w:t xml:space="preserve"> – C</w:t>
      </w:r>
      <w:r w:rsidRPr="009E6455">
        <w:t>9</w:t>
      </w:r>
      <w:r w:rsidRPr="002D230B">
        <w:t>-</w:t>
      </w:r>
      <w:r w:rsidRPr="009E6455">
        <w:t>0178</w:t>
      </w:r>
      <w:r w:rsidRPr="002D230B">
        <w:t>/</w:t>
      </w:r>
      <w:r w:rsidRPr="009E6455">
        <w:t>2023</w:t>
      </w:r>
      <w:r w:rsidRPr="002D230B">
        <w:t xml:space="preserve"> – </w:t>
      </w:r>
      <w:r w:rsidRPr="009E6455">
        <w:t>2023</w:t>
      </w:r>
      <w:r w:rsidRPr="002D230B">
        <w:t>/</w:t>
      </w:r>
      <w:r w:rsidRPr="009E6455">
        <w:t>0155</w:t>
      </w:r>
      <w:r w:rsidRPr="002D230B">
        <w:t>(COD))</w:t>
      </w:r>
      <w:bookmarkEnd w:id="6"/>
    </w:p>
    <w:p w:rsidR="00F10E7C" w:rsidRPr="002D230B" w:rsidRDefault="00F10E7C" w:rsidP="00F10E7C">
      <w:pPr>
        <w:pStyle w:val="NormalBold"/>
      </w:pPr>
      <w:bookmarkStart w:id="7" w:name="TextBodyBegin"/>
      <w:bookmarkEnd w:id="7"/>
      <w:r w:rsidRPr="002D230B">
        <w:t>(Procedura legislativă ordinară: prima lectură)</w:t>
      </w:r>
    </w:p>
    <w:p w:rsidR="00F10E7C" w:rsidRPr="002D230B" w:rsidRDefault="00F10E7C" w:rsidP="00F10E7C">
      <w:pPr>
        <w:pStyle w:val="EPComma"/>
      </w:pPr>
      <w:r w:rsidRPr="002D230B">
        <w:rPr>
          <w:i/>
        </w:rPr>
        <w:t>Parlamentul European</w:t>
      </w:r>
      <w:r w:rsidRPr="002D230B">
        <w:t>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>având în vedere propunerea Comisiei prezentată Parlamentului European și Consiliului (COM(</w:t>
      </w:r>
      <w:r w:rsidRPr="009E6455">
        <w:t>2023</w:t>
      </w:r>
      <w:r w:rsidRPr="002D230B">
        <w:t>)</w:t>
      </w:r>
      <w:r w:rsidRPr="009E6455">
        <w:t>0256</w:t>
      </w:r>
      <w:r w:rsidRPr="002D230B">
        <w:t>),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>având în vedere articolul </w:t>
      </w:r>
      <w:r w:rsidRPr="009E6455">
        <w:t>294</w:t>
      </w:r>
      <w:r w:rsidRPr="002D230B">
        <w:t xml:space="preserve"> alineatul (</w:t>
      </w:r>
      <w:r w:rsidRPr="009E6455">
        <w:t>2</w:t>
      </w:r>
      <w:r w:rsidRPr="002D230B">
        <w:t>) și articolul </w:t>
      </w:r>
      <w:r w:rsidRPr="009E6455">
        <w:t>91</w:t>
      </w:r>
      <w:r w:rsidRPr="002D230B">
        <w:t xml:space="preserve"> alineatul (</w:t>
      </w:r>
      <w:r w:rsidRPr="009E6455">
        <w:t>1</w:t>
      </w:r>
      <w:r w:rsidRPr="002D230B">
        <w:t>) din Tratatul privind funcționarea Uniunii Europene, în temeiul cărora propunerea a fost prezentată de către Comisie (C</w:t>
      </w:r>
      <w:r w:rsidRPr="009E6455">
        <w:t>9</w:t>
      </w:r>
      <w:r w:rsidRPr="002D230B">
        <w:noBreakHyphen/>
      </w:r>
      <w:r w:rsidRPr="009E6455">
        <w:t>0178</w:t>
      </w:r>
      <w:r w:rsidRPr="002D230B">
        <w:t>/</w:t>
      </w:r>
      <w:r w:rsidRPr="009E6455">
        <w:t>2023</w:t>
      </w:r>
      <w:r w:rsidRPr="002D230B">
        <w:t>),</w:t>
      </w:r>
    </w:p>
    <w:p w:rsidR="00F2685D" w:rsidRPr="002D230B" w:rsidRDefault="00F2685D" w:rsidP="00F2685D">
      <w:pPr>
        <w:pStyle w:val="NormalHanging12a"/>
      </w:pPr>
      <w:r w:rsidRPr="002D230B">
        <w:t>–</w:t>
      </w:r>
      <w:r w:rsidRPr="002D230B">
        <w:tab/>
        <w:t xml:space="preserve">având în vedere articolul </w:t>
      </w:r>
      <w:r w:rsidRPr="009E6455">
        <w:t>294</w:t>
      </w:r>
      <w:r w:rsidRPr="002D230B">
        <w:t xml:space="preserve"> alineatul (</w:t>
      </w:r>
      <w:r w:rsidRPr="009E6455">
        <w:t>3</w:t>
      </w:r>
      <w:r w:rsidRPr="002D230B">
        <w:t>) din Tratatul privind funcționarea Uniunii Europene,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 xml:space="preserve">având în vedere avizul Comitetului Economic și Social European din </w:t>
      </w:r>
      <w:r w:rsidRPr="009E6455">
        <w:t>11</w:t>
      </w:r>
      <w:r w:rsidRPr="002D230B">
        <w:t xml:space="preserve"> septembrie </w:t>
      </w:r>
      <w:r w:rsidRPr="009E6455">
        <w:t>2023</w:t>
      </w:r>
      <w:r w:rsidRPr="002D230B">
        <w:rPr>
          <w:rStyle w:val="FootnoteReference"/>
        </w:rPr>
        <w:footnoteReference w:id="1"/>
      </w:r>
      <w:r w:rsidRPr="002D230B">
        <w:t>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</w:r>
      <w:r w:rsidR="00F2685D" w:rsidRPr="002D230B">
        <w:t>după consultarea</w:t>
      </w:r>
      <w:r w:rsidRPr="002D230B">
        <w:t xml:space="preserve"> Comitetului Regiunilor</w:t>
      </w:r>
      <w:r w:rsidR="00262A98" w:rsidRPr="002D230B">
        <w:t>,</w:t>
      </w:r>
    </w:p>
    <w:p w:rsidR="00F2685D" w:rsidRPr="002D230B" w:rsidRDefault="00F2685D" w:rsidP="00F2685D">
      <w:pPr>
        <w:spacing w:after="240"/>
        <w:ind w:left="567" w:hanging="567"/>
      </w:pPr>
      <w:r w:rsidRPr="002D230B">
        <w:t>–</w:t>
      </w:r>
      <w:r w:rsidRPr="002D230B">
        <w:tab/>
        <w:t xml:space="preserve">având în vedere acordul provizoriu aprobat de comisia competentă în temeiul articolului </w:t>
      </w:r>
      <w:r w:rsidRPr="009E6455">
        <w:t>74</w:t>
      </w:r>
      <w:r w:rsidRPr="002D230B">
        <w:t xml:space="preserve"> alineatul (</w:t>
      </w:r>
      <w:r w:rsidRPr="009E6455">
        <w:t>4</w:t>
      </w:r>
      <w:r w:rsidRPr="002D230B">
        <w:t xml:space="preserve">) din Regulamentul său de procedură și angajamentul reprezentantului Consiliului, exprimat în scrisoarea din </w:t>
      </w:r>
      <w:r w:rsidRPr="009E6455">
        <w:t>9</w:t>
      </w:r>
      <w:r w:rsidRPr="002D230B">
        <w:t xml:space="preserve"> februarie </w:t>
      </w:r>
      <w:r w:rsidRPr="009E6455">
        <w:t>2024</w:t>
      </w:r>
      <w:r w:rsidRPr="002D230B">
        <w:t xml:space="preserve">, de a aproba poziția Parlamentului în conformitate cu articolul </w:t>
      </w:r>
      <w:r w:rsidRPr="009E6455">
        <w:t>294</w:t>
      </w:r>
      <w:r w:rsidRPr="002D230B">
        <w:t xml:space="preserve"> alineatul (</w:t>
      </w:r>
      <w:r w:rsidRPr="009E6455">
        <w:t>4</w:t>
      </w:r>
      <w:r w:rsidRPr="002D230B">
        <w:t>) din Tratatul privind funcționarea Uniunii Europene,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 xml:space="preserve">având în vedere articolul </w:t>
      </w:r>
      <w:r w:rsidRPr="009E6455">
        <w:t>59</w:t>
      </w:r>
      <w:r w:rsidRPr="002D230B">
        <w:t xml:space="preserve"> din Regulamentul său de procedură,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>având în vedere avizul Comisiei pentru ocuparea forței de muncă și afaceri sociale,</w:t>
      </w:r>
    </w:p>
    <w:p w:rsidR="00F10E7C" w:rsidRPr="002D230B" w:rsidRDefault="00F10E7C" w:rsidP="00F10E7C">
      <w:pPr>
        <w:pStyle w:val="NormalHanging12a"/>
      </w:pPr>
      <w:r w:rsidRPr="002D230B">
        <w:t>–</w:t>
      </w:r>
      <w:r w:rsidRPr="002D230B">
        <w:tab/>
        <w:t>având în vedere raportul Comisiei pentru transport și turism (A</w:t>
      </w:r>
      <w:r w:rsidRPr="009E6455">
        <w:t>9</w:t>
      </w:r>
      <w:r w:rsidRPr="002D230B">
        <w:t>-</w:t>
      </w:r>
      <w:r w:rsidRPr="009E6455">
        <w:t>0370</w:t>
      </w:r>
      <w:r w:rsidRPr="002D230B">
        <w:t>/</w:t>
      </w:r>
      <w:r w:rsidRPr="009E6455">
        <w:t>2023</w:t>
      </w:r>
      <w:r w:rsidRPr="002D230B">
        <w:t>),</w:t>
      </w:r>
    </w:p>
    <w:p w:rsidR="00F10E7C" w:rsidRPr="002D230B" w:rsidRDefault="00F10E7C" w:rsidP="00F10E7C">
      <w:pPr>
        <w:pStyle w:val="NormalHanging12a"/>
      </w:pPr>
      <w:r w:rsidRPr="009E6455">
        <w:lastRenderedPageBreak/>
        <w:t>1</w:t>
      </w:r>
      <w:r w:rsidRPr="002D230B">
        <w:t>.</w:t>
      </w:r>
      <w:r w:rsidRPr="002D230B">
        <w:tab/>
        <w:t>adoptă poziția sa în primă lectură prezentată în continuare</w:t>
      </w:r>
      <w:r w:rsidR="00C77E22" w:rsidRPr="002D230B">
        <w:rPr>
          <w:rStyle w:val="FootnoteReference"/>
        </w:rPr>
        <w:footnoteReference w:id="2"/>
      </w:r>
      <w:r w:rsidRPr="002D230B">
        <w:t>;</w:t>
      </w:r>
    </w:p>
    <w:p w:rsidR="00F10E7C" w:rsidRPr="002D230B" w:rsidRDefault="00F10E7C" w:rsidP="00F10E7C">
      <w:pPr>
        <w:pStyle w:val="NormalHanging12a"/>
      </w:pPr>
      <w:r w:rsidRPr="009E6455">
        <w:t>2</w:t>
      </w:r>
      <w:r w:rsidRPr="002D230B">
        <w:t>.</w:t>
      </w:r>
      <w:r w:rsidRPr="002D230B">
        <w:tab/>
        <w:t xml:space="preserve">solicită Comisiei să îl sesizeze din nou în cazul în care își înlocuiește, își modifică în mod substanțial sau intenționează să-și modifice în mod substanțial propunerea; </w:t>
      </w:r>
    </w:p>
    <w:p w:rsidR="00F10E7C" w:rsidRPr="002D230B" w:rsidRDefault="00F10E7C" w:rsidP="00F10E7C">
      <w:pPr>
        <w:pStyle w:val="NormalHanging12a"/>
      </w:pPr>
      <w:r w:rsidRPr="009E6455">
        <w:t>3</w:t>
      </w:r>
      <w:r w:rsidRPr="002D230B">
        <w:t>.</w:t>
      </w:r>
      <w:r w:rsidRPr="002D230B">
        <w:tab/>
        <w:t>încredințează Președintei sarcina de a transmite Consiliului și Comisiei, precum și parlamentelor naționale poziția Parlamentului.</w:t>
      </w:r>
    </w:p>
    <w:p w:rsidR="00F2685D" w:rsidRPr="002D230B" w:rsidRDefault="00F2685D" w:rsidP="00F10E7C">
      <w:pPr>
        <w:sectPr w:rsidR="00F2685D" w:rsidRPr="002D230B" w:rsidSect="00B32526"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2685D" w:rsidRPr="002D230B" w:rsidRDefault="00F2685D" w:rsidP="00F2685D">
      <w:pPr>
        <w:rPr>
          <w:b/>
        </w:rPr>
      </w:pPr>
      <w:r w:rsidRPr="002D230B">
        <w:rPr>
          <w:b/>
        </w:rPr>
        <w:lastRenderedPageBreak/>
        <w:t>P</w:t>
      </w:r>
      <w:r w:rsidRPr="009E6455">
        <w:rPr>
          <w:b/>
        </w:rPr>
        <w:t>9</w:t>
      </w:r>
      <w:r w:rsidRPr="002D230B">
        <w:rPr>
          <w:b/>
        </w:rPr>
        <w:t>_TC</w:t>
      </w:r>
      <w:r w:rsidRPr="009E6455">
        <w:rPr>
          <w:b/>
        </w:rPr>
        <w:t>1</w:t>
      </w:r>
      <w:r w:rsidRPr="002D230B">
        <w:rPr>
          <w:b/>
        </w:rPr>
        <w:t>-COD(</w:t>
      </w:r>
      <w:r w:rsidRPr="009E6455">
        <w:rPr>
          <w:b/>
        </w:rPr>
        <w:t>2023</w:t>
      </w:r>
      <w:r w:rsidRPr="002D230B">
        <w:rPr>
          <w:b/>
        </w:rPr>
        <w:t>)</w:t>
      </w:r>
      <w:r w:rsidRPr="009E6455">
        <w:rPr>
          <w:b/>
        </w:rPr>
        <w:t>0155</w:t>
      </w:r>
    </w:p>
    <w:p w:rsidR="00C77E22" w:rsidRPr="00EC7B39" w:rsidRDefault="00F2685D" w:rsidP="00C77E22">
      <w:pPr>
        <w:spacing w:before="240"/>
        <w:rPr>
          <w:color w:val="000000"/>
          <w:w w:val="0"/>
          <w:szCs w:val="24"/>
          <w14:ligatures w14:val="standardContextual"/>
        </w:rPr>
      </w:pPr>
      <w:r w:rsidRPr="002D230B">
        <w:rPr>
          <w:b/>
        </w:rPr>
        <w:t xml:space="preserve">Poziția Parlamentului European adoptată în primă lectură la </w:t>
      </w:r>
      <w:r w:rsidRPr="009E6455">
        <w:rPr>
          <w:b/>
        </w:rPr>
        <w:t>13</w:t>
      </w:r>
      <w:r w:rsidRPr="002D230B">
        <w:rPr>
          <w:b/>
        </w:rPr>
        <w:t xml:space="preserve"> martie </w:t>
      </w:r>
      <w:r w:rsidRPr="009E6455">
        <w:rPr>
          <w:b/>
        </w:rPr>
        <w:t>2024</w:t>
      </w:r>
      <w:r w:rsidRPr="002D230B">
        <w:rPr>
          <w:b/>
        </w:rPr>
        <w:t xml:space="preserve"> în vederea adoptării Regulamentului (UE) </w:t>
      </w:r>
      <w:r w:rsidRPr="009E6455">
        <w:rPr>
          <w:b/>
        </w:rPr>
        <w:t>2024</w:t>
      </w:r>
      <w:r w:rsidRPr="002D230B">
        <w:rPr>
          <w:b/>
        </w:rPr>
        <w:t xml:space="preserve">/... al Parlamentului European și al Consiliului </w:t>
      </w:r>
      <w:r w:rsidR="00C77E22" w:rsidRPr="002D230B">
        <w:rPr>
          <w:b/>
          <w:color w:val="000000"/>
        </w:rPr>
        <w:t>de modificare a Regulamentului (CE) nr. </w:t>
      </w:r>
      <w:r w:rsidR="00C77E22" w:rsidRPr="009E6455">
        <w:rPr>
          <w:b/>
          <w:color w:val="000000"/>
        </w:rPr>
        <w:t>561</w:t>
      </w:r>
      <w:r w:rsidR="00C77E22" w:rsidRPr="002D230B">
        <w:rPr>
          <w:b/>
          <w:color w:val="000000"/>
        </w:rPr>
        <w:t>/</w:t>
      </w:r>
      <w:r w:rsidR="00C77E22" w:rsidRPr="009E6455">
        <w:rPr>
          <w:b/>
          <w:color w:val="000000"/>
        </w:rPr>
        <w:t>2006</w:t>
      </w:r>
      <w:r w:rsidR="00C77E22" w:rsidRPr="002D230B">
        <w:rPr>
          <w:b/>
          <w:color w:val="000000"/>
        </w:rPr>
        <w:t xml:space="preserve"> în ceea ce privește cerințele minime privind pauzele minime și </w:t>
      </w:r>
      <w:r w:rsidR="00C77E22" w:rsidRPr="00EC7B39">
        <w:rPr>
          <w:b/>
          <w:color w:val="000000"/>
        </w:rPr>
        <w:t>perioadele de repaus zilnic și săptămânal în sectorul transportului ocazional de călători și în ceea ce privește competența statelor membre de a aplica sancțiuni în cazul încălcărilor Regulamentului (UE) nr. 165/2014</w:t>
      </w:r>
      <w:r w:rsidR="00EC7B39">
        <w:rPr>
          <w:b/>
          <w:color w:val="000000"/>
        </w:rPr>
        <w:t xml:space="preserve"> săvârșite într</w:t>
      </w:r>
      <w:r w:rsidR="00EC7B39">
        <w:rPr>
          <w:b/>
          <w:color w:val="000000"/>
        </w:rPr>
        <w:noBreakHyphen/>
      </w:r>
      <w:r w:rsidR="00C77E22" w:rsidRPr="00EC7B39">
        <w:rPr>
          <w:b/>
          <w:color w:val="000000"/>
        </w:rPr>
        <w:t>un alt stat membru</w:t>
      </w:r>
      <w:r w:rsidR="00C77E22" w:rsidRPr="00EC7B39">
        <w:rPr>
          <w:color w:val="000000"/>
        </w:rPr>
        <w:t xml:space="preserve"> </w:t>
      </w:r>
      <w:r w:rsidR="00C77E22" w:rsidRPr="00EC7B39">
        <w:rPr>
          <w:b/>
          <w:color w:val="000000"/>
        </w:rPr>
        <w:t>sau într-o țară terță</w:t>
      </w:r>
    </w:p>
    <w:p w:rsidR="00C77E22" w:rsidRPr="002D230B" w:rsidRDefault="00EC7B39" w:rsidP="00EC7B39">
      <w:pPr>
        <w:spacing w:before="360"/>
        <w:rPr>
          <w:i/>
          <w:color w:val="000000"/>
          <w14:ligatures w14:val="standardContextual"/>
        </w:rPr>
      </w:pPr>
      <w:r w:rsidRPr="00EC7B39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1258</w:t>
      </w:r>
      <w:r w:rsidRPr="00EC7B39">
        <w:rPr>
          <w:rStyle w:val="ATHeading3Char"/>
          <w:b w:val="0"/>
          <w:i/>
        </w:rPr>
        <w:t>.)</w:t>
      </w:r>
      <w:bookmarkStart w:id="8" w:name="_GoBack"/>
      <w:bookmarkEnd w:id="8"/>
    </w:p>
    <w:sectPr w:rsidR="00C77E22" w:rsidRPr="002D230B" w:rsidSect="00B3252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994" w:rsidRPr="00B32526" w:rsidRDefault="00495994">
      <w:r w:rsidRPr="00B32526">
        <w:separator/>
      </w:r>
    </w:p>
  </w:endnote>
  <w:endnote w:type="continuationSeparator" w:id="0">
    <w:p w:rsidR="00495994" w:rsidRPr="00B32526" w:rsidRDefault="00495994">
      <w:r w:rsidRPr="00B325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994" w:rsidRPr="00B32526" w:rsidRDefault="00495994">
      <w:r w:rsidRPr="00B32526">
        <w:separator/>
      </w:r>
    </w:p>
  </w:footnote>
  <w:footnote w:type="continuationSeparator" w:id="0">
    <w:p w:rsidR="00495994" w:rsidRPr="00B32526" w:rsidRDefault="00495994">
      <w:r w:rsidRPr="00B32526">
        <w:continuationSeparator/>
      </w:r>
    </w:p>
  </w:footnote>
  <w:footnote w:id="1">
    <w:p w:rsidR="00F10E7C" w:rsidRPr="002D230B" w:rsidRDefault="00F10E7C" w:rsidP="00B32526">
      <w:pPr>
        <w:pStyle w:val="FootnoteText"/>
        <w:ind w:left="567" w:hanging="567"/>
        <w:rPr>
          <w:sz w:val="24"/>
          <w:lang w:val="ro-RO"/>
        </w:rPr>
      </w:pPr>
      <w:r w:rsidRPr="002D230B">
        <w:rPr>
          <w:rStyle w:val="FootnoteReference"/>
          <w:sz w:val="24"/>
          <w:lang w:val="ro-RO"/>
        </w:rPr>
        <w:footnoteRef/>
      </w:r>
      <w:r w:rsidR="00B32526" w:rsidRPr="002D230B">
        <w:rPr>
          <w:sz w:val="24"/>
          <w:lang w:val="ro-RO"/>
        </w:rPr>
        <w:t xml:space="preserve"> </w:t>
      </w:r>
      <w:r w:rsidR="00B32526" w:rsidRPr="002D230B">
        <w:rPr>
          <w:sz w:val="24"/>
          <w:lang w:val="ro-RO"/>
        </w:rPr>
        <w:tab/>
      </w:r>
      <w:r w:rsidR="00F2685D" w:rsidRPr="002D230B">
        <w:rPr>
          <w:sz w:val="24"/>
          <w:szCs w:val="24"/>
          <w:lang w:val="ro-RO"/>
        </w:rPr>
        <w:t>JO C, C/</w:t>
      </w:r>
      <w:r w:rsidR="00F2685D" w:rsidRPr="009E6455">
        <w:rPr>
          <w:sz w:val="24"/>
          <w:szCs w:val="24"/>
          <w:lang w:val="ro-RO"/>
        </w:rPr>
        <w:t>2023</w:t>
      </w:r>
      <w:r w:rsidR="00F2685D" w:rsidRPr="002D230B">
        <w:rPr>
          <w:sz w:val="24"/>
          <w:szCs w:val="24"/>
          <w:lang w:val="ro-RO"/>
        </w:rPr>
        <w:t>/</w:t>
      </w:r>
      <w:r w:rsidR="00F2685D" w:rsidRPr="009E6455">
        <w:rPr>
          <w:sz w:val="24"/>
          <w:szCs w:val="24"/>
          <w:lang w:val="ro-RO"/>
        </w:rPr>
        <w:t>882</w:t>
      </w:r>
      <w:r w:rsidR="00F2685D" w:rsidRPr="002D230B">
        <w:rPr>
          <w:sz w:val="24"/>
          <w:szCs w:val="24"/>
          <w:lang w:val="ro-RO"/>
        </w:rPr>
        <w:t xml:space="preserve">, </w:t>
      </w:r>
      <w:r w:rsidR="00F2685D" w:rsidRPr="009E6455">
        <w:rPr>
          <w:sz w:val="24"/>
          <w:szCs w:val="24"/>
          <w:lang w:val="ro-RO"/>
        </w:rPr>
        <w:t>8</w:t>
      </w:r>
      <w:r w:rsidR="00F2685D" w:rsidRPr="002D230B">
        <w:rPr>
          <w:sz w:val="24"/>
          <w:szCs w:val="24"/>
          <w:lang w:val="ro-RO"/>
        </w:rPr>
        <w:t>.</w:t>
      </w:r>
      <w:r w:rsidR="00F2685D" w:rsidRPr="009E6455">
        <w:rPr>
          <w:sz w:val="24"/>
          <w:szCs w:val="24"/>
          <w:lang w:val="ro-RO"/>
        </w:rPr>
        <w:t>12</w:t>
      </w:r>
      <w:r w:rsidR="00F2685D" w:rsidRPr="002D230B">
        <w:rPr>
          <w:sz w:val="24"/>
          <w:szCs w:val="24"/>
          <w:lang w:val="ro-RO"/>
        </w:rPr>
        <w:t>.</w:t>
      </w:r>
      <w:r w:rsidR="00F2685D" w:rsidRPr="009E6455">
        <w:rPr>
          <w:sz w:val="24"/>
          <w:szCs w:val="24"/>
          <w:lang w:val="ro-RO"/>
        </w:rPr>
        <w:t>2023</w:t>
      </w:r>
      <w:r w:rsidR="00F2685D" w:rsidRPr="002D230B">
        <w:rPr>
          <w:sz w:val="24"/>
          <w:szCs w:val="24"/>
          <w:lang w:val="ro-RO"/>
        </w:rPr>
        <w:t xml:space="preserve">, ELI: </w:t>
      </w:r>
      <w:hyperlink r:id="rId1" w:history="1">
        <w:r w:rsidR="00EC7B39" w:rsidRPr="00FD4E34">
          <w:rPr>
            <w:rStyle w:val="Hyperlink"/>
            <w:lang w:val="ro-RO"/>
          </w:rPr>
          <w:t>http://data.europa.eu/eli/C/2023/882/oj</w:t>
        </w:r>
      </w:hyperlink>
      <w:r w:rsidR="00F2685D" w:rsidRPr="002D230B">
        <w:rPr>
          <w:sz w:val="24"/>
          <w:szCs w:val="24"/>
          <w:lang w:val="ro-RO"/>
        </w:rPr>
        <w:t>.</w:t>
      </w:r>
    </w:p>
  </w:footnote>
  <w:footnote w:id="2">
    <w:p w:rsidR="00C77E22" w:rsidRPr="002D230B" w:rsidRDefault="00C77E22" w:rsidP="00C77E22">
      <w:pPr>
        <w:pStyle w:val="FootnoteText"/>
        <w:ind w:left="567" w:hanging="567"/>
        <w:rPr>
          <w:lang w:val="ro-RO"/>
        </w:rPr>
      </w:pPr>
      <w:r w:rsidRPr="002D230B">
        <w:rPr>
          <w:rStyle w:val="FootnoteReference"/>
          <w:sz w:val="24"/>
          <w:lang w:val="ro-RO"/>
        </w:rPr>
        <w:footnoteRef/>
      </w:r>
      <w:r w:rsidRPr="002D230B">
        <w:rPr>
          <w:sz w:val="24"/>
          <w:lang w:val="ro-RO"/>
        </w:rPr>
        <w:t xml:space="preserve"> </w:t>
      </w:r>
      <w:r w:rsidRPr="002D230B">
        <w:rPr>
          <w:sz w:val="24"/>
          <w:lang w:val="ro-RO"/>
        </w:rPr>
        <w:tab/>
        <w:t xml:space="preserve">Prezenta poziție înlocuiește amendamentele adoptate la </w:t>
      </w:r>
      <w:r w:rsidRPr="009E6455">
        <w:rPr>
          <w:sz w:val="24"/>
          <w:lang w:val="ro-RO"/>
        </w:rPr>
        <w:t>12</w:t>
      </w:r>
      <w:r w:rsidRPr="002D230B">
        <w:rPr>
          <w:sz w:val="24"/>
          <w:lang w:val="ro-RO"/>
        </w:rPr>
        <w:t xml:space="preserve"> decembrie </w:t>
      </w:r>
      <w:r w:rsidRPr="009E6455">
        <w:rPr>
          <w:sz w:val="24"/>
          <w:lang w:val="ro-RO"/>
        </w:rPr>
        <w:t>2023</w:t>
      </w:r>
      <w:r w:rsidRPr="002D230B">
        <w:rPr>
          <w:sz w:val="24"/>
          <w:lang w:val="ro-RO"/>
        </w:rPr>
        <w:t xml:space="preserve"> (Texte adoptate, P</w:t>
      </w:r>
      <w:r w:rsidRPr="009E6455">
        <w:rPr>
          <w:sz w:val="24"/>
          <w:lang w:val="ro-RO"/>
        </w:rPr>
        <w:t>9</w:t>
      </w:r>
      <w:r w:rsidRPr="002D230B">
        <w:rPr>
          <w:sz w:val="24"/>
          <w:lang w:val="ro-RO"/>
        </w:rPr>
        <w:t>_TA(</w:t>
      </w:r>
      <w:r w:rsidRPr="009E6455">
        <w:rPr>
          <w:sz w:val="24"/>
          <w:lang w:val="ro-RO"/>
        </w:rPr>
        <w:t>2023</w:t>
      </w:r>
      <w:r w:rsidRPr="002D230B">
        <w:rPr>
          <w:sz w:val="24"/>
          <w:lang w:val="ro-RO"/>
        </w:rPr>
        <w:t>)</w:t>
      </w:r>
      <w:r w:rsidRPr="009E6455">
        <w:rPr>
          <w:sz w:val="24"/>
          <w:lang w:val="ro-RO"/>
        </w:rPr>
        <w:t>0453</w:t>
      </w:r>
      <w:r w:rsidRPr="002D230B">
        <w:rPr>
          <w:sz w:val="24"/>
          <w:lang w:val="ro-RO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RO"/>
    <w:docVar w:name="dvnumam" w:val="36"/>
    <w:docVar w:name="dvpe" w:val="752.842"/>
    <w:docVar w:name="dvrapporteur" w:val="Raportoare: "/>
    <w:docVar w:name="dvstar" w:val="***I"/>
    <w:docVar w:name="dvtitre" w:val="Rezoluția legislativă a Parlamentului European din 13 martie 2024 referitoare la propunerea de regulament al Parlamentului European și al Consiliului de modificare a Regulamentului (CE) nr. 561/2006 în ceea ce privește cerințele minime privind pauzele minime și perioadele minime de repaus zilnic și săptămânal în sectorul transportului ocazional de călători(COM(2023)0256 – C9-0178/2023 – 2023/0155(COD))"/>
  </w:docVars>
  <w:rsids>
    <w:rsidRoot w:val="004959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407"/>
    <w:rsid w:val="001F32AE"/>
    <w:rsid w:val="00262A98"/>
    <w:rsid w:val="002767FF"/>
    <w:rsid w:val="002B18FE"/>
    <w:rsid w:val="002B5493"/>
    <w:rsid w:val="002D1ED7"/>
    <w:rsid w:val="002D23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994"/>
    <w:rsid w:val="004C0004"/>
    <w:rsid w:val="004C5D52"/>
    <w:rsid w:val="0050519A"/>
    <w:rsid w:val="005072A1"/>
    <w:rsid w:val="00514517"/>
    <w:rsid w:val="00545827"/>
    <w:rsid w:val="00560270"/>
    <w:rsid w:val="0056722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455"/>
    <w:rsid w:val="00A12BA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526"/>
    <w:rsid w:val="00B558F0"/>
    <w:rsid w:val="00BD48FE"/>
    <w:rsid w:val="00BD7BD8"/>
    <w:rsid w:val="00BE6ADC"/>
    <w:rsid w:val="00C05BFE"/>
    <w:rsid w:val="00C23CD4"/>
    <w:rsid w:val="00C61C0C"/>
    <w:rsid w:val="00C77E2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B39"/>
    <w:rsid w:val="00ED169E"/>
    <w:rsid w:val="00ED4235"/>
    <w:rsid w:val="00F04346"/>
    <w:rsid w:val="00F075DC"/>
    <w:rsid w:val="00F10E7C"/>
    <w:rsid w:val="00F149E9"/>
    <w:rsid w:val="00F2685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AA8BD"/>
  <w15:chartTrackingRefBased/>
  <w15:docId w15:val="{427A43E2-F01E-4D01-81BF-08799BA8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10E7C"/>
    <w:rPr>
      <w:b/>
    </w:rPr>
  </w:style>
  <w:style w:type="paragraph" w:customStyle="1" w:styleId="NormalHanging12a">
    <w:name w:val="NormalHanging12a"/>
    <w:basedOn w:val="Normal"/>
    <w:rsid w:val="00F10E7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10E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10E7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10E7C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F10E7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10E7C"/>
    <w:rPr>
      <w:b/>
      <w:sz w:val="24"/>
      <w:lang w:val="ro-RO"/>
    </w:rPr>
  </w:style>
  <w:style w:type="paragraph" w:customStyle="1" w:styleId="ColumnHeading">
    <w:name w:val="ColumnHeading"/>
    <w:basedOn w:val="Normal"/>
    <w:rsid w:val="00F10E7C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F268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685D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rsid w:val="00F2685D"/>
    <w:rPr>
      <w:color w:val="0563C1" w:themeColor="hyperlink"/>
      <w:u w:val="single"/>
    </w:rPr>
  </w:style>
  <w:style w:type="character" w:customStyle="1" w:styleId="ATHeading3Char">
    <w:name w:val="AT Heading 3 Char"/>
    <w:link w:val="ATHeading3"/>
    <w:locked/>
    <w:rsid w:val="00EC7B39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F412D-EA5F-4EBF-A025-0BC626433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2024-06-25T15:39:00Z</dcterms:created>
  <dcterms:modified xsi:type="dcterms:W3CDTF">2024-06-25T15:39:00Z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