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BC0" w14:paraId="4216A1DD" w14:textId="77777777" w:rsidTr="0010095E">
        <w:trPr>
          <w:trHeight w:hRule="exact" w:val="1418"/>
        </w:trPr>
        <w:tc>
          <w:tcPr>
            <w:tcW w:w="6804" w:type="dxa"/>
            <w:shd w:val="clear" w:color="auto" w:fill="auto"/>
            <w:vAlign w:val="center"/>
          </w:tcPr>
          <w:p w14:paraId="2AB0DB8C" w14:textId="77777777" w:rsidR="00751A4A" w:rsidRPr="002E5BC0" w:rsidRDefault="004373AC" w:rsidP="0010095E">
            <w:pPr>
              <w:pStyle w:val="EPName"/>
            </w:pPr>
            <w:r w:rsidRPr="002E5BC0">
              <w:t>Europa-Parlamentet</w:t>
            </w:r>
          </w:p>
          <w:p w14:paraId="5DE355AF" w14:textId="77777777" w:rsidR="00751A4A" w:rsidRPr="002E5BC0" w:rsidRDefault="00817416" w:rsidP="00756632">
            <w:pPr>
              <w:pStyle w:val="EPTerm"/>
              <w:rPr>
                <w:rStyle w:val="HideTWBExt"/>
                <w:noProof w:val="0"/>
                <w:vanish w:val="0"/>
                <w:color w:val="auto"/>
              </w:rPr>
            </w:pPr>
            <w:r w:rsidRPr="002E5BC0">
              <w:t>2019-2024</w:t>
            </w:r>
          </w:p>
        </w:tc>
        <w:tc>
          <w:tcPr>
            <w:tcW w:w="2268" w:type="dxa"/>
            <w:shd w:val="clear" w:color="auto" w:fill="auto"/>
          </w:tcPr>
          <w:p w14:paraId="755B13E1" w14:textId="77777777" w:rsidR="00751A4A" w:rsidRPr="002E5BC0" w:rsidRDefault="00187494" w:rsidP="0010095E">
            <w:pPr>
              <w:pStyle w:val="EPLogo"/>
            </w:pPr>
            <w:r w:rsidRPr="002E5BC0">
              <w:rPr>
                <w:noProof/>
                <w:lang w:val="en-GB"/>
              </w:rPr>
              <w:drawing>
                <wp:inline distT="0" distB="0" distL="0" distR="0" wp14:anchorId="316DED05" wp14:editId="612A98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C7053" w14:textId="77777777" w:rsidR="00D058B8" w:rsidRPr="002E5BC0" w:rsidRDefault="00D058B8" w:rsidP="004C5D52">
      <w:pPr>
        <w:pStyle w:val="LineTop"/>
      </w:pPr>
    </w:p>
    <w:p w14:paraId="047E2694" w14:textId="77777777" w:rsidR="00680577" w:rsidRPr="002E5BC0" w:rsidRDefault="004373AC" w:rsidP="00680577">
      <w:pPr>
        <w:pStyle w:val="EPBodyTA1"/>
      </w:pPr>
      <w:r w:rsidRPr="002E5BC0">
        <w:t>VEDTAGNE TEKSTER</w:t>
      </w:r>
    </w:p>
    <w:p w14:paraId="769AAA25" w14:textId="77777777" w:rsidR="00D058B8" w:rsidRPr="002E5BC0" w:rsidRDefault="00D058B8" w:rsidP="00D058B8">
      <w:pPr>
        <w:pStyle w:val="LineBottom"/>
      </w:pPr>
    </w:p>
    <w:p w14:paraId="267E37FE" w14:textId="64441ED8" w:rsidR="004373AC" w:rsidRPr="002E5BC0" w:rsidRDefault="004373AC" w:rsidP="004373AC">
      <w:pPr>
        <w:pStyle w:val="ATHeading1"/>
      </w:pPr>
      <w:bookmarkStart w:id="0" w:name="TANumber"/>
      <w:r w:rsidRPr="002E5BC0">
        <w:t>P9_TA(2024)0</w:t>
      </w:r>
      <w:bookmarkEnd w:id="0"/>
      <w:r w:rsidR="001E07D6">
        <w:t>151</w:t>
      </w:r>
    </w:p>
    <w:p w14:paraId="5336CA23" w14:textId="77777777" w:rsidR="004373AC" w:rsidRPr="002E5BC0" w:rsidRDefault="004373AC" w:rsidP="004373AC">
      <w:pPr>
        <w:pStyle w:val="ATHeading2"/>
      </w:pPr>
      <w:bookmarkStart w:id="1" w:name="title"/>
      <w:r w:rsidRPr="002E5BC0">
        <w:t>EU-toldkodeksen og oprettelse af Den Europæiske Unions Toldmyndighed og om ophævelse af forordning (EU) nr. 952/2013</w:t>
      </w:r>
      <w:bookmarkEnd w:id="1"/>
    </w:p>
    <w:p w14:paraId="77F589C3" w14:textId="0302A5E9" w:rsidR="004373AC" w:rsidRPr="002E5BC0" w:rsidRDefault="004373AC" w:rsidP="004373AC">
      <w:pPr>
        <w:rPr>
          <w:i/>
          <w:vanish/>
        </w:rPr>
      </w:pPr>
      <w:r w:rsidRPr="002E5BC0">
        <w:rPr>
          <w:i/>
        </w:rPr>
        <w:fldChar w:fldCharType="begin"/>
      </w:r>
      <w:r w:rsidRPr="002E5BC0">
        <w:rPr>
          <w:i/>
        </w:rPr>
        <w:instrText xml:space="preserve"> TC"(</w:instrText>
      </w:r>
      <w:bookmarkStart w:id="2" w:name="DocNumber"/>
      <w:r w:rsidRPr="002E5BC0">
        <w:rPr>
          <w:i/>
        </w:rPr>
        <w:instrText>A9-0065/2024</w:instrText>
      </w:r>
      <w:bookmarkEnd w:id="2"/>
      <w:r w:rsidRPr="002E5BC0">
        <w:rPr>
          <w:i/>
        </w:rPr>
        <w:instrText xml:space="preserve"> - Ordfører: Deirdre Clune)"\l3 \n&gt; \* MERGEFORMAT </w:instrText>
      </w:r>
      <w:r w:rsidRPr="002E5BC0">
        <w:rPr>
          <w:i/>
        </w:rPr>
        <w:fldChar w:fldCharType="end"/>
      </w:r>
    </w:p>
    <w:p w14:paraId="21B2F102" w14:textId="77777777" w:rsidR="004373AC" w:rsidRPr="002E5BC0" w:rsidRDefault="004373AC" w:rsidP="004373AC">
      <w:pPr>
        <w:rPr>
          <w:vanish/>
        </w:rPr>
      </w:pPr>
      <w:bookmarkStart w:id="3" w:name="Commission"/>
      <w:r w:rsidRPr="002E5BC0">
        <w:rPr>
          <w:vanish/>
        </w:rPr>
        <w:t>Udvalget om det Indre Marked og Forbrugerbeskyttelse</w:t>
      </w:r>
      <w:bookmarkEnd w:id="3"/>
    </w:p>
    <w:p w14:paraId="68D4943E" w14:textId="77777777" w:rsidR="004373AC" w:rsidRPr="002E5BC0" w:rsidRDefault="004373AC" w:rsidP="004373AC">
      <w:pPr>
        <w:rPr>
          <w:vanish/>
        </w:rPr>
      </w:pPr>
      <w:bookmarkStart w:id="4" w:name="PE"/>
      <w:r w:rsidRPr="002E5BC0">
        <w:rPr>
          <w:vanish/>
        </w:rPr>
        <w:t>PE755.046</w:t>
      </w:r>
      <w:bookmarkEnd w:id="4"/>
    </w:p>
    <w:p w14:paraId="3E480968" w14:textId="70D53AD9" w:rsidR="004373AC" w:rsidRPr="002E5BC0" w:rsidRDefault="004373AC" w:rsidP="004373AC">
      <w:pPr>
        <w:pStyle w:val="ATHeading3"/>
      </w:pPr>
      <w:bookmarkStart w:id="5" w:name="Sujet"/>
      <w:r w:rsidRPr="002E5BC0">
        <w:t xml:space="preserve">Europa-Parlamentets lovgivningsmæssige beslutning af </w:t>
      </w:r>
      <w:r w:rsidR="00461D8B">
        <w:t>13</w:t>
      </w:r>
      <w:r w:rsidRPr="002E5BC0">
        <w:t>.</w:t>
      </w:r>
      <w:r w:rsidR="00F07597">
        <w:t xml:space="preserve"> marts</w:t>
      </w:r>
      <w:r w:rsidRPr="002E5BC0">
        <w:t xml:space="preserve"> 2024 om forslag til Europa-Parlamentets og Rådets forordning om EU-toldkodeksen og oprettelse af Den Europæiske Unions Toldmyndighed og om ophævelse af forordning (EU) nr. 952/2013</w:t>
      </w:r>
      <w:bookmarkEnd w:id="5"/>
      <w:r w:rsidRPr="002E5BC0">
        <w:t xml:space="preserve"> </w:t>
      </w:r>
      <w:bookmarkStart w:id="6" w:name="References"/>
      <w:r w:rsidRPr="002E5BC0">
        <w:t>(COM(2023)0258 – C9-0175/2023 – 2023/0156(COD))</w:t>
      </w:r>
      <w:bookmarkEnd w:id="6"/>
    </w:p>
    <w:p w14:paraId="788610AC" w14:textId="77777777" w:rsidR="0003388D" w:rsidRPr="002E5BC0" w:rsidRDefault="0003388D" w:rsidP="0003388D">
      <w:pPr>
        <w:pStyle w:val="NormalBold"/>
      </w:pPr>
      <w:bookmarkStart w:id="7" w:name="TextBodyBegin"/>
      <w:bookmarkEnd w:id="7"/>
      <w:r w:rsidRPr="002E5BC0">
        <w:t>(Almindelig lovgivningsprocedure: førstebehandling)</w:t>
      </w:r>
    </w:p>
    <w:p w14:paraId="4A3A96FC" w14:textId="77777777" w:rsidR="0003388D" w:rsidRPr="002E5BC0" w:rsidRDefault="0003388D" w:rsidP="0003388D">
      <w:pPr>
        <w:pStyle w:val="EPComma"/>
      </w:pPr>
      <w:r w:rsidRPr="002E5BC0">
        <w:rPr>
          <w:i/>
        </w:rPr>
        <w:t>Europa-Parlamentet</w:t>
      </w:r>
      <w:r w:rsidRPr="002E5BC0">
        <w:t>,</w:t>
      </w:r>
    </w:p>
    <w:p w14:paraId="44BF2F2B" w14:textId="77777777" w:rsidR="0003388D" w:rsidRPr="002E5BC0" w:rsidRDefault="0003388D" w:rsidP="0003388D">
      <w:pPr>
        <w:pStyle w:val="NormalHanging12a"/>
      </w:pPr>
      <w:r w:rsidRPr="002E5BC0">
        <w:t>–</w:t>
      </w:r>
      <w:r w:rsidRPr="002E5BC0">
        <w:tab/>
        <w:t>der henviser til Kommissionens forslag til Europa-Parlamentet og Rådet (COM(2023)0258),</w:t>
      </w:r>
    </w:p>
    <w:p w14:paraId="7581547E" w14:textId="77777777" w:rsidR="0003388D" w:rsidRPr="002E5BC0" w:rsidRDefault="0003388D" w:rsidP="0003388D">
      <w:pPr>
        <w:pStyle w:val="NormalHanging12a"/>
      </w:pPr>
      <w:r w:rsidRPr="002E5BC0">
        <w:t>–</w:t>
      </w:r>
      <w:r w:rsidRPr="002E5BC0">
        <w:tab/>
        <w:t>der henviser til artikel 294, stk. 2, og artikel 33, artikel 207 og artikel 114 i traktaten om Den Europæiske Unions funktionsmåde, på grundlag af hvilke Kommissionen har forelagt forslaget for Europa-Parlamentet (C9</w:t>
      </w:r>
      <w:r w:rsidRPr="002E5BC0">
        <w:noBreakHyphen/>
        <w:t>0175/2023),</w:t>
      </w:r>
    </w:p>
    <w:p w14:paraId="7D9357BC" w14:textId="77777777" w:rsidR="0003388D" w:rsidRPr="002E5BC0" w:rsidRDefault="0003388D" w:rsidP="0003388D">
      <w:pPr>
        <w:pStyle w:val="NormalHanging12a"/>
      </w:pPr>
      <w:r w:rsidRPr="002E5BC0">
        <w:t>–</w:t>
      </w:r>
      <w:r w:rsidRPr="002E5BC0">
        <w:tab/>
        <w:t>der henviser til artikel 294, stk. 3, i traktaten om Den Europæiske Unions funktionsmåde,</w:t>
      </w:r>
    </w:p>
    <w:p w14:paraId="1899D224" w14:textId="77777777" w:rsidR="00847D5D" w:rsidRDefault="00847D5D" w:rsidP="00847D5D">
      <w:pPr>
        <w:pStyle w:val="Normal12Hanging"/>
      </w:pPr>
      <w:r w:rsidRPr="008F5A03">
        <w:t>–</w:t>
      </w:r>
      <w:r w:rsidRPr="008F5A03">
        <w:tab/>
        <w:t>der henviser til</w:t>
      </w:r>
      <w:r>
        <w:t xml:space="preserve"> </w:t>
      </w:r>
      <w:r w:rsidRPr="00E262E4">
        <w:t xml:space="preserve">udtalelse af </w:t>
      </w:r>
      <w:r>
        <w:t>17. januar 2024</w:t>
      </w:r>
      <w:r w:rsidRPr="00E262E4">
        <w:t xml:space="preserve"> fra Det Europæiske Økonomiske og Sociale Udvalg</w:t>
      </w:r>
      <w:r w:rsidRPr="00E262E4">
        <w:rPr>
          <w:rStyle w:val="FootnoteReference"/>
        </w:rPr>
        <w:footnoteReference w:id="1"/>
      </w:r>
      <w:r w:rsidRPr="00E262E4">
        <w:t>,</w:t>
      </w:r>
    </w:p>
    <w:p w14:paraId="601F78E2" w14:textId="77777777" w:rsidR="0003388D" w:rsidRPr="002E5BC0" w:rsidRDefault="0003388D" w:rsidP="0003388D">
      <w:pPr>
        <w:pStyle w:val="NormalHanging12a"/>
      </w:pPr>
      <w:r w:rsidRPr="002E5BC0">
        <w:t>–</w:t>
      </w:r>
      <w:r w:rsidRPr="002E5BC0">
        <w:tab/>
        <w:t>der henviser til forretningsordenens artikel 59,</w:t>
      </w:r>
    </w:p>
    <w:p w14:paraId="326D4CB8" w14:textId="77777777" w:rsidR="0003388D" w:rsidRPr="002E5BC0" w:rsidRDefault="0003388D" w:rsidP="0003388D">
      <w:pPr>
        <w:pStyle w:val="NormalHanging12a"/>
      </w:pPr>
      <w:r w:rsidRPr="002E5BC0">
        <w:t>–</w:t>
      </w:r>
      <w:r w:rsidRPr="002E5BC0">
        <w:tab/>
        <w:t>der henviser til udtalelser fra Udvalget om International Handel, Budgetudvalget og Budgetkontroludvalget,</w:t>
      </w:r>
    </w:p>
    <w:p w14:paraId="262507C9" w14:textId="77777777" w:rsidR="0003388D" w:rsidRPr="002E5BC0" w:rsidRDefault="0003388D" w:rsidP="0003388D">
      <w:pPr>
        <w:pStyle w:val="NormalHanging12a"/>
      </w:pPr>
      <w:r w:rsidRPr="002E5BC0">
        <w:t>–</w:t>
      </w:r>
      <w:r w:rsidRPr="002E5BC0">
        <w:tab/>
        <w:t>der henviser til betænkning fra Udvalget om det Indre Marked og Forbrugerbeskyttelse (A9</w:t>
      </w:r>
      <w:r w:rsidRPr="002E5BC0">
        <w:noBreakHyphen/>
        <w:t>0065/2024),</w:t>
      </w:r>
    </w:p>
    <w:p w14:paraId="75A874CC" w14:textId="77777777" w:rsidR="0003388D" w:rsidRPr="002E5BC0" w:rsidRDefault="0003388D" w:rsidP="0003388D">
      <w:pPr>
        <w:pStyle w:val="NormalHanging12a"/>
      </w:pPr>
      <w:r w:rsidRPr="002E5BC0">
        <w:t>1.</w:t>
      </w:r>
      <w:r w:rsidRPr="002E5BC0">
        <w:tab/>
        <w:t>vedtager nedenstående holdning ved førstebehandling;</w:t>
      </w:r>
    </w:p>
    <w:p w14:paraId="5A959A96" w14:textId="77777777" w:rsidR="0003388D" w:rsidRPr="002E5BC0" w:rsidRDefault="0003388D" w:rsidP="0003388D">
      <w:pPr>
        <w:pStyle w:val="NormalHanging12a"/>
      </w:pPr>
      <w:r w:rsidRPr="002E5BC0">
        <w:t>2.</w:t>
      </w:r>
      <w:r w:rsidRPr="002E5BC0">
        <w:tab/>
        <w:t xml:space="preserve">anmoder om fornyet forelæggelse, hvis Kommissionen erstatter, i væsentlig grad ændrer </w:t>
      </w:r>
      <w:r w:rsidRPr="002E5BC0">
        <w:lastRenderedPageBreak/>
        <w:t>eller agter i væsentlig grad at ændre sit forslag;</w:t>
      </w:r>
    </w:p>
    <w:p w14:paraId="47C6BDDA" w14:textId="4168C26A" w:rsidR="003E0486" w:rsidRDefault="0003388D" w:rsidP="00A03A0B">
      <w:pPr>
        <w:pStyle w:val="NormalHanging12a"/>
      </w:pPr>
      <w:r w:rsidRPr="002E5BC0">
        <w:t>3.</w:t>
      </w:r>
      <w:r w:rsidRPr="002E5BC0">
        <w:tab/>
        <w:t>pålægger sin formand at sende Parlamentets holdning til Rådet og Kommissionen samt til de nationale parlamenter.</w:t>
      </w:r>
    </w:p>
    <w:p w14:paraId="6AF7337F" w14:textId="77777777" w:rsidR="00C53A66" w:rsidRDefault="00C53A66" w:rsidP="00A03A0B">
      <w:pPr>
        <w:pStyle w:val="NormalHanging12a"/>
        <w:sectPr w:rsidR="00C53A66" w:rsidSect="002E5BC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EBE5D1" w14:textId="0BBDEEDC" w:rsidR="003E0486" w:rsidRPr="00EF7590" w:rsidRDefault="003E0486" w:rsidP="005562E6">
      <w:pPr>
        <w:pStyle w:val="ATHeading3"/>
      </w:pPr>
      <w:r w:rsidRPr="00EF7590">
        <w:lastRenderedPageBreak/>
        <w:t>P9_TC1-COD(202</w:t>
      </w:r>
      <w:r>
        <w:t>3)0156</w:t>
      </w:r>
    </w:p>
    <w:p w14:paraId="10DC59C5" w14:textId="36BA27B1" w:rsidR="003E0486" w:rsidRPr="00BA0EC4" w:rsidRDefault="003E0486" w:rsidP="005562E6">
      <w:pPr>
        <w:pStyle w:val="Typedudocument"/>
        <w:spacing w:before="240" w:after="240"/>
        <w:jc w:val="left"/>
        <w:rPr>
          <w:noProof/>
        </w:rPr>
      </w:pPr>
      <w:r w:rsidRPr="00EF7590">
        <w:t xml:space="preserve">Europa-Parlamentets holdning fastlagt ved førstebehandlingen den </w:t>
      </w:r>
      <w:r>
        <w:t>13</w:t>
      </w:r>
      <w:r w:rsidRPr="002E5BC0">
        <w:t>.</w:t>
      </w:r>
      <w:r>
        <w:t xml:space="preserve"> marts</w:t>
      </w:r>
      <w:r w:rsidRPr="002E5BC0">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3E0486">
        <w:rPr>
          <w:szCs w:val="24"/>
        </w:rPr>
        <w:t xml:space="preserve">EU-toldkodeksen og oprettelse af Den Europæiske Unions Toldmyndighed og om ophævelse af forordning (EU) nr. </w:t>
      </w:r>
      <w:r w:rsidRPr="003740C4">
        <w:rPr>
          <w:szCs w:val="24"/>
        </w:rPr>
        <w:t>952/2013</w:t>
      </w:r>
      <w:r w:rsidR="00F16C50">
        <w:rPr>
          <w:i/>
          <w:szCs w:val="24"/>
        </w:rPr>
        <w:t xml:space="preserve"> </w:t>
      </w:r>
      <w:r w:rsidRPr="003E0486">
        <w:rPr>
          <w:i/>
          <w:szCs w:val="24"/>
        </w:rPr>
        <w:t>og forordning (EU) 2022/2399</w:t>
      </w:r>
      <w:r w:rsidR="00BA0EC4">
        <w:rPr>
          <w:szCs w:val="24"/>
        </w:rPr>
        <w:t xml:space="preserve"> [Ændring 1]</w:t>
      </w:r>
    </w:p>
    <w:p w14:paraId="5BC0BC66" w14:textId="77777777" w:rsidR="003E0486" w:rsidRPr="003E0486" w:rsidRDefault="003E0486" w:rsidP="003E0486">
      <w:pPr>
        <w:widowControl/>
        <w:spacing w:before="360" w:after="240" w:line="360" w:lineRule="auto"/>
        <w:jc w:val="center"/>
        <w:rPr>
          <w:szCs w:val="24"/>
          <w:lang w:eastAsia="en-US"/>
        </w:rPr>
      </w:pPr>
      <w:bookmarkStart w:id="8" w:name="TextBodyEnd"/>
      <w:bookmarkEnd w:id="8"/>
      <w:r w:rsidRPr="003E0486">
        <w:rPr>
          <w:szCs w:val="24"/>
          <w:lang w:eastAsia="en-US"/>
        </w:rPr>
        <w:t>(EØS-relevant tekst)</w:t>
      </w:r>
    </w:p>
    <w:p w14:paraId="0C088C6B" w14:textId="77777777" w:rsidR="003E0486" w:rsidRPr="003E0486" w:rsidRDefault="003E0486" w:rsidP="003E0486">
      <w:pPr>
        <w:keepNext/>
        <w:spacing w:before="600" w:after="120" w:line="360" w:lineRule="auto"/>
        <w:rPr>
          <w:szCs w:val="24"/>
          <w:lang w:eastAsia="en-US"/>
        </w:rPr>
      </w:pPr>
      <w:r w:rsidRPr="003E0486">
        <w:rPr>
          <w:szCs w:val="24"/>
          <w:lang w:eastAsia="en-US"/>
        </w:rPr>
        <w:t>EUROPA-PARLAMENTET OG RÅDET FOR DEN EUROPÆISKE UNION HAR —</w:t>
      </w:r>
    </w:p>
    <w:p w14:paraId="3EFFA5E9" w14:textId="77777777" w:rsidR="003E0486" w:rsidRPr="003E0486" w:rsidRDefault="003E0486" w:rsidP="003E0486">
      <w:pPr>
        <w:spacing w:before="120" w:after="120" w:line="360" w:lineRule="auto"/>
        <w:rPr>
          <w:lang w:eastAsia="en-US"/>
        </w:rPr>
      </w:pPr>
      <w:r w:rsidRPr="003E0486">
        <w:rPr>
          <w:lang w:eastAsia="en-US"/>
        </w:rPr>
        <w:t>under henvisning til traktaten om Den Europæiske Unions funktionsmåde, særlig artikel 33, 114 og 207,</w:t>
      </w:r>
    </w:p>
    <w:p w14:paraId="708CA898" w14:textId="77777777" w:rsidR="003E0486" w:rsidRPr="003E0486" w:rsidRDefault="003E0486" w:rsidP="003E0486">
      <w:pPr>
        <w:spacing w:before="120" w:after="120" w:line="360" w:lineRule="auto"/>
        <w:rPr>
          <w:lang w:eastAsia="en-US"/>
        </w:rPr>
      </w:pPr>
      <w:r w:rsidRPr="003E0486">
        <w:rPr>
          <w:lang w:eastAsia="en-US"/>
        </w:rPr>
        <w:t>under henvisning til forslag fra Europa-Kommissionen,</w:t>
      </w:r>
    </w:p>
    <w:p w14:paraId="5F2CBDF6" w14:textId="77777777" w:rsidR="003E0486" w:rsidRPr="003E0486" w:rsidRDefault="003E0486" w:rsidP="003E0486">
      <w:pPr>
        <w:spacing w:before="120" w:after="120" w:line="360" w:lineRule="auto"/>
        <w:rPr>
          <w:lang w:eastAsia="en-US"/>
        </w:rPr>
      </w:pPr>
      <w:r w:rsidRPr="003E0486">
        <w:rPr>
          <w:lang w:eastAsia="en-US"/>
        </w:rPr>
        <w:t>efter fremsendelse af udkast til lovgivningsmæssig retsakt til de nationale parlamenter,</w:t>
      </w:r>
    </w:p>
    <w:p w14:paraId="52807230" w14:textId="77777777" w:rsidR="003E0486" w:rsidRPr="003E0486" w:rsidRDefault="003E0486" w:rsidP="003E0486">
      <w:pPr>
        <w:spacing w:before="120" w:after="120" w:line="360" w:lineRule="auto"/>
        <w:rPr>
          <w:lang w:eastAsia="en-US"/>
        </w:rPr>
      </w:pPr>
      <w:r w:rsidRPr="003E0486">
        <w:rPr>
          <w:lang w:eastAsia="en-US"/>
        </w:rPr>
        <w:t>under henvisning til udtalelse fra Det Europæiske Økonomiske og Sociale Udvalg</w:t>
      </w:r>
      <w:r w:rsidRPr="003E0486">
        <w:rPr>
          <w:vertAlign w:val="superscript"/>
          <w:lang w:val="en-GB" w:eastAsia="en-US"/>
        </w:rPr>
        <w:footnoteReference w:id="2"/>
      </w:r>
      <w:r w:rsidRPr="003E0486">
        <w:rPr>
          <w:lang w:eastAsia="en-US"/>
        </w:rPr>
        <w:t>,</w:t>
      </w:r>
    </w:p>
    <w:p w14:paraId="24A983E4" w14:textId="77777777" w:rsidR="003E0486" w:rsidRPr="003E0486" w:rsidRDefault="003E0486" w:rsidP="003E0486">
      <w:pPr>
        <w:spacing w:before="120" w:after="120" w:line="360" w:lineRule="auto"/>
        <w:rPr>
          <w:lang w:eastAsia="en-US"/>
        </w:rPr>
      </w:pPr>
      <w:r w:rsidRPr="003E0486">
        <w:rPr>
          <w:lang w:eastAsia="en-US"/>
        </w:rPr>
        <w:t>efter den almindelige lovgivningsprocedure, og</w:t>
      </w:r>
    </w:p>
    <w:p w14:paraId="3A1AEC74" w14:textId="77777777" w:rsidR="003F593B" w:rsidRDefault="003F593B">
      <w:pPr>
        <w:widowControl/>
        <w:rPr>
          <w:lang w:eastAsia="en-US"/>
        </w:rPr>
      </w:pPr>
      <w:r>
        <w:rPr>
          <w:lang w:eastAsia="en-US"/>
        </w:rPr>
        <w:br w:type="page"/>
      </w:r>
    </w:p>
    <w:p w14:paraId="16357D40" w14:textId="48D8A411" w:rsidR="003E0486" w:rsidRPr="003E0486" w:rsidRDefault="003E0486" w:rsidP="003E0486">
      <w:pPr>
        <w:spacing w:before="120" w:after="120" w:line="360" w:lineRule="auto"/>
        <w:rPr>
          <w:lang w:eastAsia="en-US"/>
        </w:rPr>
      </w:pPr>
      <w:r w:rsidRPr="003E0486">
        <w:rPr>
          <w:lang w:eastAsia="en-US"/>
        </w:rPr>
        <w:lastRenderedPageBreak/>
        <w:t>ud fra følgende betragtninger:</w:t>
      </w:r>
    </w:p>
    <w:p w14:paraId="1D12B54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Unionen og det indre markeds funktion bygger på toldunionen. Af hensyn til både de økonomiske operatører og toldmyndighederne i Unionen blev toldlovgivningen, der havde fandtes i flere forskellige retsakter, samlet i Europa-Parlamentets og Rådets forordning (EU) nr. 952/2013 om EU-toldkodeksen</w:t>
      </w:r>
      <w:r w:rsidRPr="003E0486">
        <w:rPr>
          <w:szCs w:val="24"/>
          <w:vertAlign w:val="superscript"/>
          <w:lang w:val="en-GB" w:eastAsia="en-US"/>
        </w:rPr>
        <w:footnoteReference w:id="3"/>
      </w:r>
      <w:r w:rsidRPr="003E0486">
        <w:rPr>
          <w:szCs w:val="24"/>
          <w:lang w:eastAsia="en-US"/>
        </w:rPr>
        <w:t xml:space="preserve"> ("kodeksen"), hvori man finder de generelle regler og procedurer til sikring af gennemførelsen af de toldforanstaltninger og andre foranstaltninger, der er indført på EU-plan i forbindelse med handelen med varer mellem Unionen og lande eller områder uden for Unionens toldområde, og bestemmelserne om opkrævning af importafgifter. Medlemsstaternes toldmyndigheder er ansvarlige for at gennemføre disse regler gennem varetagelsen af operationelle opgaver såsom anvendelse af toldprocedurer, gennemførelse af risikoanalyse og kontrol og pålæggelse af sanktioner i tilfælde af toldovertrædelser.</w:t>
      </w:r>
    </w:p>
    <w:p w14:paraId="04CAEFCF" w14:textId="77777777" w:rsidR="003F593B" w:rsidRDefault="003F593B">
      <w:pPr>
        <w:widowControl/>
        <w:rPr>
          <w:szCs w:val="24"/>
          <w:lang w:eastAsia="en-US"/>
        </w:rPr>
      </w:pPr>
      <w:r>
        <w:rPr>
          <w:szCs w:val="24"/>
          <w:lang w:eastAsia="en-US"/>
        </w:rPr>
        <w:br w:type="page"/>
      </w:r>
    </w:p>
    <w:p w14:paraId="71C21586" w14:textId="35EDF48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Gennemførelsen af forordning (EU) nr. 952/2013 har afdækket svagheder på flere områder. Disse omfatter: den utilstrækkelige/ineffektive indsats med hensyn til den beskyttelse af Unionen og dens borgere mod ikkefinansielle risici i forbindelse med varer, der er fastlagt i andre EU-politikker end toldlovgivningen; toldmyndighedernes kapacitet til effektivt at håndtere den stigende mængde varer, der importeres fra tredjelande via fjernsalg (e-handelstransaktioner); kapaciteten i den IT-systemarkitektur, der er oprettet ved forordning (EU) nr. 952/2013, til at digitalisere toldprocesser for at holde trit med den teknologiske udvikling, navnlig med teknologier baseret på udnyttelse af data; manglen på effektive strukturer til forvaltning af toldunionen, hvilket resulterer i forskellig praksis og uensartet gennemførelse af reglerne i medlemsstaterne. Disse svagheder fører til, at der opstår hindringer for at toldunionen og dermed det indre marked fungerer efter hensigten på grund af interne og eksterne risici og trusler.</w:t>
      </w:r>
    </w:p>
    <w:p w14:paraId="5DB9C22C" w14:textId="77777777" w:rsidR="003F593B" w:rsidRDefault="003F593B">
      <w:pPr>
        <w:widowControl/>
        <w:rPr>
          <w:szCs w:val="24"/>
          <w:lang w:eastAsia="en-US"/>
        </w:rPr>
      </w:pPr>
      <w:r>
        <w:rPr>
          <w:szCs w:val="24"/>
          <w:lang w:eastAsia="en-US"/>
        </w:rPr>
        <w:br w:type="page"/>
      </w:r>
    </w:p>
    <w:p w14:paraId="3DC0AB9E" w14:textId="40A9C144"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(3)</w:t>
      </w:r>
      <w:r w:rsidRPr="003E0486">
        <w:rPr>
          <w:szCs w:val="24"/>
          <w:lang w:eastAsia="en-US"/>
        </w:rPr>
        <w:tab/>
        <w:t>Toldlovgivningen bør tage hensyn til den hurtige udvikling af globale handelsmønstre, teknologi, forretningsmodeller og interessenternes, herunder</w:t>
      </w:r>
      <w:r w:rsidRPr="003E0486">
        <w:rPr>
          <w:b/>
          <w:i/>
          <w:szCs w:val="24"/>
          <w:lang w:eastAsia="en-US"/>
        </w:rPr>
        <w:t xml:space="preserve"> virksomhedernes, forbrugernes og</w:t>
      </w:r>
      <w:r w:rsidRPr="003E0486">
        <w:rPr>
          <w:szCs w:val="24"/>
          <w:lang w:eastAsia="en-US"/>
        </w:rPr>
        <w:t xml:space="preserve"> borgernes, behov. Der er derfor behov for en lang række ændringer af forordning (EU) nr. 952/2013. Forordningen bør af klarhedshensyn ophæves og erstattes.</w:t>
      </w:r>
      <w:r w:rsidR="00BA0EC4">
        <w:rPr>
          <w:b/>
          <w:szCs w:val="24"/>
          <w:lang w:eastAsia="en-US"/>
        </w:rPr>
        <w:t xml:space="preserve"> [Ændring 2]</w:t>
      </w:r>
    </w:p>
    <w:p w14:paraId="2384A2A5" w14:textId="19582FD1" w:rsidR="003E0486" w:rsidRPr="00BA0EC4"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For at sikre effektive midler til at nå toldunionens mål bør en række regler og procedurer, der regulerer, hvordan varer føres ind i eller ud af Unionens toldområde, revideres</w:t>
      </w:r>
      <w:r w:rsidRPr="003E0486">
        <w:rPr>
          <w:strike/>
          <w:szCs w:val="24"/>
          <w:lang w:eastAsia="en-US"/>
        </w:rPr>
        <w:t xml:space="preserve"> og</w:t>
      </w:r>
      <w:r w:rsidRPr="003E0486">
        <w:rPr>
          <w:b/>
          <w:i/>
          <w:szCs w:val="24"/>
          <w:lang w:eastAsia="en-US"/>
        </w:rPr>
        <w:t>,</w:t>
      </w:r>
      <w:r w:rsidRPr="003E0486">
        <w:rPr>
          <w:szCs w:val="24"/>
          <w:lang w:eastAsia="en-US"/>
        </w:rPr>
        <w:t xml:space="preserve"> forenkles</w:t>
      </w:r>
      <w:r w:rsidRPr="003E0486">
        <w:rPr>
          <w:b/>
          <w:i/>
          <w:szCs w:val="24"/>
          <w:lang w:eastAsia="en-US"/>
        </w:rPr>
        <w:t xml:space="preserve"> og harmoniseres</w:t>
      </w:r>
      <w:r w:rsidRPr="003E0486">
        <w:rPr>
          <w:szCs w:val="24"/>
          <w:lang w:eastAsia="en-US"/>
        </w:rPr>
        <w:t>. Der bør stilles en række moderne, integrerede interoperable elektroniske tjenester til rådighed til indsamling, behandling og udveksling af de oplysninger, der er relevante for gennemførelsen af toldlovgivningen (Den Europæiske Unions tolddatacenter, "EU's tolddatacenter"). Der bør oprettes en toldmyndighed for Den Europæiske Union ("Den Europæiske Unions Toldmyndighed"/"EU-Toldmyndigheden") som en central, operationel kapacitet til koordineret forvaltning af toldunionen på specifikke områder.</w:t>
      </w:r>
      <w:r w:rsidR="00BA0EC4">
        <w:rPr>
          <w:b/>
          <w:szCs w:val="24"/>
          <w:lang w:eastAsia="en-US"/>
        </w:rPr>
        <w:t xml:space="preserve"> [Ændring 3]</w:t>
      </w:r>
    </w:p>
    <w:p w14:paraId="5206966C" w14:textId="77777777" w:rsidR="003F593B" w:rsidRDefault="003F593B">
      <w:pPr>
        <w:widowControl/>
        <w:rPr>
          <w:szCs w:val="24"/>
          <w:lang w:eastAsia="en-US"/>
        </w:rPr>
      </w:pPr>
      <w:r>
        <w:rPr>
          <w:szCs w:val="24"/>
          <w:lang w:eastAsia="en-US"/>
        </w:rPr>
        <w:br w:type="page"/>
      </w:r>
    </w:p>
    <w:p w14:paraId="32604A0A" w14:textId="3E63B2B2"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(5)</w:t>
      </w:r>
      <w:r w:rsidRPr="003E0486">
        <w:rPr>
          <w:szCs w:val="24"/>
          <w:lang w:eastAsia="en-US"/>
        </w:rPr>
        <w:tab/>
        <w:t xml:space="preserve">Siden vedtagelsen af forordning (EU) nr. 952/2013 har toldmyndighedernes rolle udviklet sig til i stigende grad at omfatte anvendelsen af EU-lovgivning og national lovgivning, der fastsætter krav til varer, der er underlagt toldtilsyn, navnlig de ikkefinansielle krav til varer, der er nødvendige for, at disse varer kan indføres og omsættes i det indre marked. Antallet af sådanne ikkefinansielle opgaver er steget eksponentielt i årenes løb i takt med </w:t>
      </w:r>
      <w:r w:rsidRPr="003E0486">
        <w:rPr>
          <w:strike/>
          <w:szCs w:val="24"/>
          <w:lang w:eastAsia="en-US"/>
        </w:rPr>
        <w:t>EU's</w:t>
      </w:r>
      <w:r w:rsidRPr="003E0486">
        <w:rPr>
          <w:b/>
          <w:i/>
          <w:szCs w:val="24"/>
          <w:lang w:eastAsia="en-US"/>
        </w:rPr>
        <w:t>Unionens</w:t>
      </w:r>
      <w:r w:rsidRPr="003E0486">
        <w:rPr>
          <w:szCs w:val="24"/>
          <w:lang w:eastAsia="en-US"/>
        </w:rPr>
        <w:t xml:space="preserve"> virksomheders og borgeres voksende forventninger med hensyn til sikkerhed, tilgængelighed for personer med handicap, bæredygtighed, menneskers, dyrs og planters sundhed og liv, miljøet, beskyttelsen af menneskerettighederne og Unionens værdier. Der skal indføres nye værktøjer såsom det digitale produktpas for at sikre, at anden lovgivning, der anvendes af toldmyndighederne i forbindelse med produkter, fortsat opfylder disse forventninger. Det er derfor nødvendigt at afspejle det stigende antal og kompleksiteten af ikkefinansielle risici ved i toldmyndighedernes opgave at medtage en specifik henvisning til beskyttelse af alle disse offentlige interesser og, hvor det er relevant, til national lovgivning, og til tæt samarbejde med andre myndigheder i den forbindelse.</w:t>
      </w:r>
      <w:r w:rsidRPr="003E0486">
        <w:rPr>
          <w:b/>
          <w:i/>
          <w:szCs w:val="24"/>
          <w:lang w:eastAsia="en-US"/>
        </w:rPr>
        <w:t xml:space="preserve"> Det er ligeledes vigtigt at bemærke, at betydelige mængder varer, der håndteres i større havne og lufthavne, bliver omladet, idet de kommer fra og er bestemt for andre kontinenter og ikke indføres på EU-markedet. Disse varer behøver ikke altid at opfylde de EU-sikkerheds- og produktstandarder, som kræves af varer, der indføres på det indre marked.</w:t>
      </w:r>
      <w:r w:rsidR="00BA0EC4">
        <w:rPr>
          <w:b/>
          <w:szCs w:val="24"/>
          <w:lang w:eastAsia="en-US"/>
        </w:rPr>
        <w:t xml:space="preserve"> [Ændring 4]</w:t>
      </w:r>
    </w:p>
    <w:p w14:paraId="704387F0" w14:textId="77777777" w:rsidR="003F593B" w:rsidRDefault="003F593B">
      <w:pPr>
        <w:widowControl/>
        <w:rPr>
          <w:szCs w:val="24"/>
          <w:lang w:eastAsia="en-US"/>
        </w:rPr>
      </w:pPr>
      <w:r>
        <w:rPr>
          <w:szCs w:val="24"/>
          <w:lang w:eastAsia="en-US"/>
        </w:rPr>
        <w:br w:type="page"/>
      </w:r>
    </w:p>
    <w:p w14:paraId="33054105" w14:textId="61C57C6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I lyset af udviklingen i deres rolle og de forretningsmodeller, som de opererer i, og for at toldmyndighederne kan "fungere som én enhed" og bidrage til et velfungerende indre marked, er det nødvendigt mere præcist at beskrive de opgaver, som toldmyndighederne skal udføre, ved at angive deres mål og opgaver mere præcist.</w:t>
      </w:r>
    </w:p>
    <w:p w14:paraId="74E43A40" w14:textId="77777777" w:rsidR="003F593B" w:rsidRDefault="003F593B">
      <w:pPr>
        <w:widowControl/>
        <w:rPr>
          <w:szCs w:val="24"/>
          <w:lang w:eastAsia="en-US"/>
        </w:rPr>
      </w:pPr>
      <w:r>
        <w:rPr>
          <w:szCs w:val="24"/>
          <w:lang w:eastAsia="en-US"/>
        </w:rPr>
        <w:br w:type="page"/>
      </w:r>
    </w:p>
    <w:p w14:paraId="6B9C190E" w14:textId="21E623CE"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(7)</w:t>
      </w:r>
      <w:r w:rsidRPr="003E0486">
        <w:rPr>
          <w:szCs w:val="24"/>
          <w:lang w:eastAsia="en-US"/>
        </w:rPr>
        <w:tab/>
        <w:t>Visse definitioner, der nu er fastlagt i forordning (EU) nr. 952/2013, bør tilpasses, så de tager højde for nærværende forordnings bredere anvendelsesområde, bringes på linje med dem, som er fastlagt i andre EU-retsakter, og præcisere terminologi med forskellige betydninger i forskellige sektorer. Der bør indføjes nye definitioner i toldlovgivningen for at præcisere visse aktørers roller og ansvarsområder i toldprocesserne. For importørens og eksportørens vedkommende</w:t>
      </w:r>
      <w:r w:rsidRPr="003E0486">
        <w:rPr>
          <w:b/>
          <w:i/>
          <w:szCs w:val="24"/>
          <w:lang w:eastAsia="en-US"/>
        </w:rPr>
        <w:t>, hvormed menes enhver person, der er involveret i fjernsalg af varer,</w:t>
      </w:r>
      <w:r w:rsidRPr="003E0486">
        <w:rPr>
          <w:szCs w:val="24"/>
          <w:lang w:eastAsia="en-US"/>
        </w:rPr>
        <w:t xml:space="preserve"> bør de nye definitioner gøre disse personer ansvarlige</w:t>
      </w:r>
      <w:r w:rsidRPr="003E0486">
        <w:rPr>
          <w:b/>
          <w:i/>
          <w:szCs w:val="24"/>
          <w:lang w:eastAsia="en-US"/>
        </w:rPr>
        <w:t xml:space="preserve"> over for toldmyndighederne</w:t>
      </w:r>
      <w:r w:rsidRPr="003E0486">
        <w:rPr>
          <w:szCs w:val="24"/>
          <w:lang w:eastAsia="en-US"/>
        </w:rPr>
        <w:t xml:space="preserve"> for varernes overholdelse af forskrifterne, herunder for så vidt angår finansielle og ikkefinansielle risici</w:t>
      </w:r>
      <w:r w:rsidRPr="003E0486">
        <w:rPr>
          <w:b/>
          <w:i/>
          <w:szCs w:val="24"/>
          <w:lang w:eastAsia="en-US"/>
        </w:rPr>
        <w:t>, i overensstemmelse med lovgivningen om produktoverensstemmelse</w:t>
      </w:r>
      <w:r w:rsidRPr="003E0486">
        <w:rPr>
          <w:szCs w:val="24"/>
          <w:lang w:eastAsia="en-US"/>
        </w:rPr>
        <w:t>, med henblik på at styrke toldtilsynet. I forbindelse med det nye begreb "formel importør" bør nye definitioner sikre, at en økonomisk operatør og ikke forbrugeren i visse tilfælde i forbindelse med onlinesalg fra lande uden for Unionen betragtes som importør og bærer det deraf følgende ansvar</w:t>
      </w:r>
      <w:r w:rsidRPr="003E0486">
        <w:rPr>
          <w:b/>
          <w:i/>
          <w:szCs w:val="24"/>
          <w:lang w:eastAsia="en-US"/>
        </w:rPr>
        <w:t>, og sikre, at den pågældende økonomiske operatør har overholdt den relevante lovgivning, der anvendes af toldmyndighederne, når varerne føres ind i eller ud af Unionens toldområde, og meddeler, opbevarer og sørger for tilgængelighed af passende regnskab for en sådan overholdelse</w:t>
      </w:r>
      <w:r w:rsidRPr="003E0486">
        <w:rPr>
          <w:szCs w:val="24"/>
          <w:lang w:eastAsia="en-US"/>
        </w:rPr>
        <w:t>. Der bør også indføres nye definitioner i forbindelse med det bredere anvendelsesområde for bestemmelserne om toldtilsyn, risikoforvaltning og toldkontrol.</w:t>
      </w:r>
      <w:r w:rsidR="00BA0EC4">
        <w:rPr>
          <w:b/>
          <w:szCs w:val="24"/>
          <w:lang w:eastAsia="en-US"/>
        </w:rPr>
        <w:t xml:space="preserve"> [Ændring 5]</w:t>
      </w:r>
    </w:p>
    <w:p w14:paraId="57E342EB" w14:textId="77777777" w:rsidR="003F593B" w:rsidRDefault="003F593B">
      <w:pPr>
        <w:widowControl/>
        <w:rPr>
          <w:szCs w:val="24"/>
          <w:lang w:eastAsia="en-US"/>
        </w:rPr>
      </w:pPr>
      <w:r>
        <w:rPr>
          <w:szCs w:val="24"/>
          <w:lang w:eastAsia="en-US"/>
        </w:rPr>
        <w:br w:type="page"/>
      </w:r>
    </w:p>
    <w:p w14:paraId="5E7A2FC9" w14:textId="7C757E80"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(8)</w:t>
      </w:r>
      <w:r w:rsidRPr="003E0486">
        <w:rPr>
          <w:szCs w:val="24"/>
          <w:lang w:eastAsia="en-US"/>
        </w:rPr>
        <w:tab/>
        <w:t>Ud over deres traditionelle rolle med at opkræve told, moms og punktafgifter og anvende toldlovgivningen spiller toldmyndighederne også en afgørende rolle i håndhævelsen af anden EU-lovgivning og, hvor det er relevant, anden national lovgivning vedrørende toldspørgsmål. Der bør indføres en definition af denne "anden lovgivning, der anvendes af toldmyndighederne" for at skabe en effektiv ramme for regulering af anvendelsen af og tilsynet med disse særlige krav til varer</w:t>
      </w:r>
      <w:r w:rsidRPr="003E0486">
        <w:rPr>
          <w:b/>
          <w:i/>
          <w:szCs w:val="24"/>
          <w:lang w:eastAsia="en-US"/>
        </w:rPr>
        <w:t xml:space="preserve"> i overensstemmelse med Europa-Parlamentets og Rådets forordning (EU) 2019/1020</w:t>
      </w:r>
      <w:r w:rsidRPr="003E0486">
        <w:rPr>
          <w:szCs w:val="24"/>
          <w:vertAlign w:val="superscript"/>
          <w:lang w:val="en-GB" w:eastAsia="en-US"/>
        </w:rPr>
        <w:footnoteReference w:id="4"/>
      </w:r>
      <w:r w:rsidRPr="003E0486">
        <w:rPr>
          <w:b/>
          <w:i/>
          <w:szCs w:val="24"/>
          <w:lang w:eastAsia="en-US"/>
        </w:rPr>
        <w:t xml:space="preserve"> om markedsovervågning og produktoverensstemmelse og inden for rammerne af de særlige toldkontroller og -procedurer, der oprettes i medfør af </w:t>
      </w:r>
      <w:r w:rsidR="00AA7064">
        <w:rPr>
          <w:b/>
          <w:i/>
          <w:szCs w:val="24"/>
          <w:lang w:eastAsia="en-US"/>
        </w:rPr>
        <w:t>nærværende</w:t>
      </w:r>
      <w:r w:rsidR="00AA7064" w:rsidRPr="003E0486">
        <w:rPr>
          <w:b/>
          <w:i/>
          <w:szCs w:val="24"/>
          <w:lang w:eastAsia="en-US"/>
        </w:rPr>
        <w:t xml:space="preserve"> </w:t>
      </w:r>
      <w:r w:rsidRPr="003E0486">
        <w:rPr>
          <w:b/>
          <w:i/>
          <w:szCs w:val="24"/>
          <w:lang w:eastAsia="en-US"/>
        </w:rPr>
        <w:t>forordning</w:t>
      </w:r>
      <w:r w:rsidRPr="003E0486">
        <w:rPr>
          <w:szCs w:val="24"/>
          <w:lang w:eastAsia="en-US"/>
        </w:rPr>
        <w:t>.</w:t>
      </w:r>
      <w:r w:rsidR="00C94A47">
        <w:rPr>
          <w:szCs w:val="24"/>
          <w:lang w:eastAsia="en-US"/>
        </w:rPr>
        <w:t xml:space="preserve"> </w:t>
      </w:r>
      <w:r w:rsidRPr="003E0486">
        <w:rPr>
          <w:szCs w:val="24"/>
          <w:lang w:eastAsia="en-US"/>
        </w:rPr>
        <w:t>Sådanne forbud og restriktioner kan begrundes i hensynet til bl.a. den offentlige moral, den offentlige orden, den offentlige sikkerhed, beskyttelse af menneskers, dyrs og planters liv og sundhed, beskyttelse af miljøet, beskyttelse af nationale skatte af kunstnerisk, historisk eller arkæologisk værdi og beskyttelse af industriel og kommerciel ejendomsret og andre offentlige interesser, herunder kontrol med narkotikaprækursorer, varer, der krænker visse intellektuelle ejendomsrettigheder, og penge. Begrebet anden lovgivning, der anvendes af toldmyndighederne, bør også omfatte handelspolitiske foranstaltninger</w:t>
      </w:r>
      <w:r w:rsidRPr="003E0486">
        <w:rPr>
          <w:b/>
          <w:i/>
          <w:szCs w:val="24"/>
          <w:lang w:eastAsia="en-US"/>
        </w:rPr>
        <w:t>, herunder bl.a. multilaterale miljøaftaler,</w:t>
      </w:r>
      <w:r w:rsidRPr="003E0486">
        <w:rPr>
          <w:szCs w:val="24"/>
          <w:lang w:eastAsia="en-US"/>
        </w:rPr>
        <w:t xml:space="preserve"> og foranstaltninger til bevarelse og forvaltning af fiskeressourcerne samt restriktive foranstaltninger vedtaget på grundlag af artikel 215 i TEUF.</w:t>
      </w:r>
      <w:r w:rsidRPr="003E0486">
        <w:rPr>
          <w:b/>
          <w:i/>
          <w:szCs w:val="24"/>
          <w:lang w:eastAsia="en-US"/>
        </w:rPr>
        <w:t xml:space="preserve"> Forskelle mellem de nationale lister over forbud og restriktioner volder betydelige vanskeligheder for enheder, der importerer til flere medlemsstater. For at lette handelen og sikre velfungerende toldprocedurer bør Unionen arbejde for en gradvis harmonisering af de nationale lister over forbud og restriktioner. Desuden bør der vedtages harmoniserede definitioner af de juridiske termer, der anvendes ved fastsættelsen af forbud og restriktioner, for at undgå, at medlemsstaterne fortolker dem forskelligt.</w:t>
      </w:r>
      <w:r w:rsidR="00BA0EC4">
        <w:rPr>
          <w:b/>
          <w:szCs w:val="24"/>
          <w:lang w:eastAsia="en-US"/>
        </w:rPr>
        <w:t xml:space="preserve"> [Ændring 6]</w:t>
      </w:r>
    </w:p>
    <w:p w14:paraId="28D1BEE8" w14:textId="77777777" w:rsidR="003F593B" w:rsidRDefault="003F593B">
      <w:pPr>
        <w:widowControl/>
        <w:rPr>
          <w:szCs w:val="24"/>
          <w:lang w:eastAsia="en-US"/>
        </w:rPr>
      </w:pPr>
      <w:r>
        <w:rPr>
          <w:szCs w:val="24"/>
          <w:lang w:eastAsia="en-US"/>
        </w:rPr>
        <w:br w:type="page"/>
      </w:r>
    </w:p>
    <w:p w14:paraId="10881C0C" w14:textId="448B233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(9)</w:t>
      </w:r>
      <w:r w:rsidRPr="003E0486">
        <w:rPr>
          <w:szCs w:val="24"/>
          <w:lang w:eastAsia="en-US"/>
        </w:rPr>
        <w:tab/>
        <w:t>For at øge den juridiske klarhed bør visse regler vedrørende toldafgørelser ændres. For det første bør det præciseres, at toldmyndigheden med kompetence til at træffe en toldafgørelse, er toldmyndigheden på det sted, hvor ansøgeren er etableret, idet etableringen bliver det hovedprincip, hvorefter bestemte økonomiske operatører på visse betingelser og inden for en forud fastsat tidsramme, der er underlagt revision, kan drage fordel af de forenklinger, der indføres ved denne forordning, og betale told, hvor de er etableret. For det andet bør der også af hensyn til fuldstændigheden og den juridiske klarhed indføres en frist på højst 30 dage, inden for hvilken en ansøger skal forelægge toldmyndighederne yderligere oplysninger i tilfælde, hvor sidstnævnte mener, at ansøgningen om en afgørelse ikke indeholder alle de nødvendige oplysninger.</w:t>
      </w:r>
    </w:p>
    <w:p w14:paraId="50A8ACA9" w14:textId="356219A6" w:rsidR="003E0486" w:rsidRPr="00BA0EC4" w:rsidRDefault="003E0486" w:rsidP="003E0486">
      <w:pPr>
        <w:spacing w:before="120" w:after="120" w:line="360" w:lineRule="auto"/>
        <w:ind w:left="850" w:hanging="850"/>
        <w:rPr>
          <w:b/>
          <w:szCs w:val="24"/>
          <w:lang w:eastAsia="en-US"/>
        </w:rPr>
      </w:pPr>
      <w:r w:rsidRPr="003E0486">
        <w:rPr>
          <w:szCs w:val="24"/>
          <w:lang w:eastAsia="en-US"/>
        </w:rPr>
        <w:t>(10)</w:t>
      </w:r>
      <w:r w:rsidRPr="003E0486">
        <w:rPr>
          <w:szCs w:val="24"/>
          <w:lang w:eastAsia="en-US"/>
        </w:rPr>
        <w:tab/>
        <w:t>Konsekvenserne af, at en toldmyndighed ikke træffer afgørelse efter ansøgning inden for de fastsatte frister, bør afklares. Princippet om, at ansøgningen i så fald anses for at være genstand for en negativ afgørelse, og at ansøgeren kan indbringe en sag i overensstemmelse med den generelle regel om toldafgørelser, bør også fastsættes.</w:t>
      </w:r>
      <w:r w:rsidRPr="003E0486">
        <w:rPr>
          <w:b/>
          <w:i/>
          <w:szCs w:val="24"/>
          <w:lang w:eastAsia="en-US"/>
        </w:rPr>
        <w:t xml:space="preserve"> For at sikre, at handelen ikke lammes i tilfælde af omfattende nedbrud i de centraliserede elektroniske systemer, bør Kommissionen og EU-Toldmyndigheden samarbejde med medlemsstaterne om etablering af nødprocedurer.</w:t>
      </w:r>
      <w:r w:rsidR="00BA0EC4">
        <w:rPr>
          <w:b/>
          <w:szCs w:val="24"/>
          <w:lang w:eastAsia="en-US"/>
        </w:rPr>
        <w:t xml:space="preserve"> [Ændring 7]</w:t>
      </w:r>
    </w:p>
    <w:p w14:paraId="328CE48B" w14:textId="77777777" w:rsidR="003F593B" w:rsidRDefault="003F593B">
      <w:pPr>
        <w:widowControl/>
        <w:rPr>
          <w:szCs w:val="24"/>
          <w:lang w:eastAsia="en-US"/>
        </w:rPr>
      </w:pPr>
      <w:r>
        <w:rPr>
          <w:szCs w:val="24"/>
          <w:lang w:eastAsia="en-US"/>
        </w:rPr>
        <w:br w:type="page"/>
      </w:r>
    </w:p>
    <w:p w14:paraId="71F4A0FD" w14:textId="1195954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(11)</w:t>
      </w:r>
      <w:r w:rsidRPr="003E0486">
        <w:rPr>
          <w:szCs w:val="24"/>
          <w:lang w:eastAsia="en-US"/>
        </w:rPr>
        <w:tab/>
        <w:t>Som fremhævet af Den Europæiske Revisionsret</w:t>
      </w:r>
      <w:r w:rsidRPr="003E0486">
        <w:rPr>
          <w:szCs w:val="24"/>
          <w:vertAlign w:val="superscript"/>
          <w:lang w:val="en-GB" w:eastAsia="en-US"/>
        </w:rPr>
        <w:footnoteReference w:id="5"/>
      </w:r>
      <w:r w:rsidRPr="003E0486">
        <w:rPr>
          <w:szCs w:val="24"/>
          <w:lang w:eastAsia="en-US"/>
        </w:rPr>
        <w:t xml:space="preserve"> og i evalueringen af gennemførelsen af forordning (EU) nr. 952/2013 er det også ønskeligt at afhjælpe manglen på ensartet overvågning af overholdelsen af de kriterier og forpligtelser, der fastsættes i toldafgørelser, ved at styrke de relevante bestemmelser. På den ene side bør indehavere af afgørelser ikke blot overholde de forpligtelser, der er fastsat i den relevante afgørelse, men også konstant overvåge deres overholdelse deraf og sørge for en intern organisation, hvori sådanne [egen-]overvågningsaktiviteter kan forebygge, afbøde eller afhjælpe eventuelle fejl i deres toldprocesser. På den anden side bør toldmyndighederne regelmæssigt overvåge indehaverne af toldafgørelsers gennemførelse af sådanne afgørelser, navnlig når disse har været etableret i mindre end tre år og derfor potentielt er mere tilbøjelige til at udgøre risici, for at sikre, at den pågældende person opfylder de forpligtelser, der er fastsat i toldafgørelserne. Dette er især relevant, når disse personer har en særlig status såsom autoriseret økonomisk operatør eller tillid og kontrol-erhvervsdrivende ("Trust and Check trader") og derfor nyder godt af en række lettelser i toldprocesserne. For at styrke risikoforvaltningen på EU-plan bør toldmyndighederne desuden underrette EU-Toldmyndigheden om alle afgørelser, der træffes efter ansøgning, og underrette denne myndighed om overvågningsaktiviteterne, således at der kan tages hensyn til disse oplysninger i forbindelse med risikoforvaltningen.</w:t>
      </w:r>
    </w:p>
    <w:p w14:paraId="42D8A00F" w14:textId="77777777" w:rsidR="003F593B" w:rsidRDefault="003F593B">
      <w:pPr>
        <w:widowControl/>
        <w:rPr>
          <w:szCs w:val="24"/>
          <w:lang w:eastAsia="en-US"/>
        </w:rPr>
      </w:pPr>
      <w:r>
        <w:rPr>
          <w:szCs w:val="24"/>
          <w:lang w:eastAsia="en-US"/>
        </w:rPr>
        <w:br w:type="page"/>
      </w:r>
    </w:p>
    <w:p w14:paraId="50D102B2" w14:textId="4CA6497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(12)</w:t>
      </w:r>
      <w:r w:rsidRPr="003E0486">
        <w:rPr>
          <w:szCs w:val="24"/>
          <w:lang w:eastAsia="en-US"/>
        </w:rPr>
        <w:tab/>
        <w:t>Ud over afgørelser vedrørende bindende tariferingsoplysninger (BTO-afgørelser) eller afgørelser vedrørende bindende oprindelsesoplysninger (BOO-afgørelser), som vedtages af toldmyndighederne efter ansøgning og på visse betingelser, er der nu blevet indført afgørelser vedrørende bindende værdiansættelsesoplysninger (BVO-afgørelser) i toldlovgivningen ved Kommissionens delegerede forordning (EU)</w:t>
      </w:r>
      <w:r w:rsidR="00813C65">
        <w:rPr>
          <w:szCs w:val="24"/>
          <w:lang w:eastAsia="en-US"/>
        </w:rPr>
        <w:t xml:space="preserve"> </w:t>
      </w:r>
      <w:r w:rsidRPr="003E0486">
        <w:rPr>
          <w:szCs w:val="24"/>
          <w:lang w:eastAsia="en-US"/>
        </w:rPr>
        <w:t>.../...</w:t>
      </w:r>
      <w:r w:rsidRPr="003E0486">
        <w:rPr>
          <w:szCs w:val="24"/>
          <w:vertAlign w:val="superscript"/>
          <w:lang w:val="en-GB" w:eastAsia="en-US"/>
        </w:rPr>
        <w:footnoteReference w:id="6"/>
      </w:r>
      <w:r w:rsidRPr="003E0486">
        <w:rPr>
          <w:szCs w:val="24"/>
          <w:lang w:eastAsia="en-US"/>
        </w:rPr>
        <w:t>. Af hensyn til dem, der anvender toldlovgivningen, bør der fastsættes regler for disse tre typer afgørelser vedrørende bindende oplysninger i samme retsakt.</w:t>
      </w:r>
    </w:p>
    <w:p w14:paraId="7665EA3A" w14:textId="77777777" w:rsidR="003F593B" w:rsidRDefault="003F593B">
      <w:pPr>
        <w:widowControl/>
        <w:rPr>
          <w:szCs w:val="24"/>
          <w:lang w:eastAsia="en-US"/>
        </w:rPr>
      </w:pPr>
      <w:r>
        <w:rPr>
          <w:szCs w:val="24"/>
          <w:lang w:eastAsia="en-US"/>
        </w:rPr>
        <w:br w:type="page"/>
      </w:r>
    </w:p>
    <w:p w14:paraId="7D613902" w14:textId="0B8131F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(13)</w:t>
      </w:r>
      <w:r w:rsidRPr="003E0486">
        <w:rPr>
          <w:szCs w:val="24"/>
          <w:lang w:eastAsia="en-US"/>
        </w:rPr>
        <w:tab/>
        <w:t>Rettighederne og forpligtelserne for de personer, der har ansvaret for varer, der føres ind i og ud af Unionens toldområde, bør fastlægges mere klart. Den første forpligtelse for personer, der udfører almindelige toldtransaktioner, bør fortsat være, at de er registreret hos de toldmyndigheder, der er ansvarlige for det sted, hvor de er etableret. En enkelt registrering bør være gyldig for hele toldunionen, men den bør holdes ajour. Økonomiske operatører bør derfor have pligt til at meddele toldmyndighederne enhver ændring i deres registreringsoplysninger. De personer, der har ansvaret for de varer, der føres ind i og ud af Unionens toldområde, er ansvarlige for enhver risiko, som varerne udgør for borgernes sikkerhed, samt for enhver risiko for menneskers, dyrs eller planters sundhed og liv, miljøet eller forbrugerne. Importørens forpligtelser bør også fastlægges, navnlig forpligtelsen til at være etableret i Unionens toldområde og undtagelserne fra denne forpligtelse. Disse bør følge de eksisterende regler om, at klarereren skal være etableret i Unionen. På samme måde bør eksportørens forpligtelser fastlægges.</w:t>
      </w:r>
    </w:p>
    <w:p w14:paraId="713C763F" w14:textId="77777777" w:rsidR="003F593B" w:rsidRDefault="003F593B">
      <w:pPr>
        <w:widowControl/>
        <w:rPr>
          <w:szCs w:val="24"/>
          <w:lang w:eastAsia="en-US"/>
        </w:rPr>
      </w:pPr>
      <w:r>
        <w:rPr>
          <w:szCs w:val="24"/>
          <w:lang w:eastAsia="en-US"/>
        </w:rPr>
        <w:br w:type="page"/>
      </w:r>
    </w:p>
    <w:p w14:paraId="15D4F378" w14:textId="5985298A"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(14)</w:t>
      </w:r>
      <w:r w:rsidRPr="003E0486">
        <w:rPr>
          <w:szCs w:val="24"/>
          <w:lang w:eastAsia="en-US"/>
        </w:rPr>
        <w:tab/>
        <w:t>Forpligtelserne for de formelle importører, som adskiller sig fra de forpligtelser, der gælder for [de øvrige] importører, bør også præciseres. Det bør navnlig</w:t>
      </w:r>
      <w:r w:rsidRPr="003E0486">
        <w:rPr>
          <w:b/>
          <w:i/>
          <w:szCs w:val="24"/>
          <w:lang w:eastAsia="en-US"/>
        </w:rPr>
        <w:t xml:space="preserve"> præciseres, at begrebet en "formel importør" indføres med henblik på en effektiv toldopkrævning. Den formelle importør er normalt ikke i besiddelse af varerne, og overdragelsen af ejendomsretten til varerne foregår mellem importøren og kunden. Den formelle importør vil derfor ofte være afhængig af nøjagtigheden af de oplysninger, som importørerne opgiver før eller senest ved udtjekningen, for at kunne sikre en korrekt toldbehandling (betalings- og rapporteringsforpligtelser) af transaktionen. Det bør også</w:t>
      </w:r>
      <w:r w:rsidRPr="003E0486">
        <w:rPr>
          <w:szCs w:val="24"/>
          <w:lang w:eastAsia="en-US"/>
        </w:rPr>
        <w:t xml:space="preserve"> fastsættes, at den formelle importør ikke blot skal meddele toldmyndighederne de oplysninger, der er nødvendige for de solgte varers overgang til fri omsætning, men også de oplysninger, som den formelle importør skal indsamle med henblik på moms. Disse oplysninger er nærmere beskrevet i Rådets gennemførelsesforordning (EU) nr. 282/2011</w:t>
      </w:r>
      <w:r w:rsidRPr="003E0486">
        <w:rPr>
          <w:szCs w:val="24"/>
          <w:vertAlign w:val="superscript"/>
          <w:lang w:val="en-GB" w:eastAsia="en-US"/>
        </w:rPr>
        <w:footnoteReference w:id="7"/>
      </w:r>
      <w:r w:rsidRPr="003E0486">
        <w:rPr>
          <w:szCs w:val="24"/>
          <w:lang w:eastAsia="en-US"/>
        </w:rPr>
        <w:t>.</w:t>
      </w:r>
      <w:r w:rsidR="00BA0EC4">
        <w:rPr>
          <w:b/>
          <w:szCs w:val="24"/>
          <w:lang w:eastAsia="en-US"/>
        </w:rPr>
        <w:t xml:space="preserve"> [Ændring 8]</w:t>
      </w:r>
    </w:p>
    <w:p w14:paraId="5B7D23B8" w14:textId="77777777" w:rsidR="003F593B" w:rsidRDefault="003F593B">
      <w:pPr>
        <w:widowControl/>
        <w:rPr>
          <w:szCs w:val="24"/>
          <w:lang w:eastAsia="en-US"/>
        </w:rPr>
      </w:pPr>
      <w:r>
        <w:rPr>
          <w:szCs w:val="24"/>
          <w:lang w:eastAsia="en-US"/>
        </w:rPr>
        <w:br w:type="page"/>
      </w:r>
    </w:p>
    <w:p w14:paraId="258D123F" w14:textId="6FBE7277"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(15)</w:t>
      </w:r>
      <w:r w:rsidRPr="003E0486">
        <w:rPr>
          <w:szCs w:val="24"/>
          <w:lang w:eastAsia="en-US"/>
        </w:rPr>
        <w:tab/>
        <w:t>Økonomiske operatører, der opfylder visse kriterier og betingelser, således at de af toldmyndighederne anses for at overholde reglerne og være pålidelige erhvervsdrivende, kan få status som autoriseret økonomisk operatør og derigennem nyde godt af lettelser i toldprocesserne. Selv om ordningen med autoriserede økonomiske operatører sikrer, at de erhvervsdrivende, der beskæftiger sig med størstedelen af Unionens handel, er pålidelige, har den visse svagheder, der påpeges i evalueringen af forordning (EU) nr. 952/2013 og i Den Europæiske Revisionsrets konklusioner. For at håndtere disse problemer, navnlig med hensyn til de forskellige nationale praksisser og udfordringer med hensyn til overvågning af de autoriserede økonomiske operatørers overholdelse af forskrifterne, bør reglerne ændres for at indføre toldmyndighedernes forpligtelse til at overvåge overholdelsen mindst hvert tredje år.</w:t>
      </w:r>
      <w:r w:rsidRPr="003E0486">
        <w:rPr>
          <w:b/>
          <w:i/>
          <w:szCs w:val="24"/>
          <w:lang w:eastAsia="en-US"/>
        </w:rPr>
        <w:t xml:space="preserve"> Denne forpligtelse bør også overvåges af den nye EU-Toldmyndighed.</w:t>
      </w:r>
      <w:r w:rsidR="00BA0EC4">
        <w:rPr>
          <w:b/>
          <w:szCs w:val="24"/>
          <w:lang w:eastAsia="en-US"/>
        </w:rPr>
        <w:t xml:space="preserve"> [Ændring 9]</w:t>
      </w:r>
    </w:p>
    <w:p w14:paraId="52652F29" w14:textId="77777777" w:rsidR="003F593B" w:rsidRDefault="003F593B">
      <w:pPr>
        <w:widowControl/>
        <w:rPr>
          <w:szCs w:val="24"/>
          <w:lang w:eastAsia="en-US"/>
        </w:rPr>
      </w:pPr>
      <w:r>
        <w:rPr>
          <w:szCs w:val="24"/>
          <w:lang w:eastAsia="en-US"/>
        </w:rPr>
        <w:br w:type="page"/>
      </w:r>
    </w:p>
    <w:p w14:paraId="3001B196" w14:textId="363334E4"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(16)</w:t>
      </w:r>
      <w:r w:rsidRPr="003E0486">
        <w:rPr>
          <w:szCs w:val="24"/>
          <w:lang w:eastAsia="en-US"/>
        </w:rPr>
        <w:tab/>
        <w:t xml:space="preserve">Ændringerne i toldprocesserne og den måde, hvorpå toldmyndighederne fungerer, kræver et nyt partnerskab med de økonomiske operatører, i form af ordningen med tillid og kontrol-erhvervsdrivende. Kriterierne og betingelserne for at blive en tillid og kontrol-erhvervsdrivende bør bygge på kriterierne for autoriserede økonomiske operatører, men bør også sikre, at den erhvervsdrivende anses for at være gennemsigtig over for toldmyndighederne. Det er derfor hensigtsmæssigt at kræve, at tillid og kontrol-erhvervsdrivende giver toldmyndighederne adgang til deres elektroniske systemer med regnskaber </w:t>
      </w:r>
      <w:r w:rsidRPr="003E0486">
        <w:rPr>
          <w:b/>
          <w:i/>
          <w:szCs w:val="24"/>
          <w:lang w:eastAsia="en-US"/>
        </w:rPr>
        <w:t xml:space="preserve">over </w:t>
      </w:r>
      <w:r w:rsidRPr="003E0486">
        <w:rPr>
          <w:szCs w:val="24"/>
          <w:lang w:eastAsia="en-US"/>
        </w:rPr>
        <w:t>deres overholdelse af forskrifterne og deres varers bevægelser</w:t>
      </w:r>
      <w:r w:rsidRPr="003E0486">
        <w:rPr>
          <w:b/>
          <w:i/>
          <w:szCs w:val="24"/>
          <w:lang w:eastAsia="en-US"/>
        </w:rPr>
        <w:t>, forudsat at en sådan adgang er forholdsmæssig og strengt nødvendig</w:t>
      </w:r>
      <w:r w:rsidRPr="003E0486">
        <w:rPr>
          <w:szCs w:val="24"/>
          <w:lang w:eastAsia="en-US"/>
        </w:rPr>
        <w:t>. Gennemsigtigheden bør ledsages af visse fordele, navnlig muligheden for at frigive varerne på vegne af toldmyndighederne uden behov for deres aktive medvirken, medmindre der kræves en godkendelse forud for frigivelse i henhold til anden lovgivning, der anvendes af toldmyndighederne, og muligheden for at udsætte betalingen af toldskylden.</w:t>
      </w:r>
      <w:r w:rsidRPr="003E0486">
        <w:rPr>
          <w:strike/>
          <w:szCs w:val="24"/>
          <w:lang w:eastAsia="en-US"/>
        </w:rPr>
        <w:t xml:space="preserve"> Da denne arbejdsmetode gradvist bør erstatte den, der er baseret på toldangivelser, bør toldmyndighederne forpligtes til at foretage en fornyet vurdering af de eksisterende bevillinger til autoriserede økonomiske operatører til at udnytte forenklede toldbestemmelser indtil overgangsperiodens udløb.</w:t>
      </w:r>
      <w:r w:rsidR="00BA0EC4">
        <w:rPr>
          <w:b/>
          <w:szCs w:val="24"/>
          <w:lang w:eastAsia="en-US"/>
        </w:rPr>
        <w:t xml:space="preserve"> [Ændring 10]</w:t>
      </w:r>
    </w:p>
    <w:p w14:paraId="3C1E45FB" w14:textId="77777777" w:rsidR="003F593B" w:rsidRDefault="003F593B">
      <w:pPr>
        <w:widowControl/>
        <w:rPr>
          <w:szCs w:val="24"/>
          <w:lang w:eastAsia="en-US"/>
        </w:rPr>
      </w:pPr>
      <w:r>
        <w:rPr>
          <w:szCs w:val="24"/>
          <w:lang w:eastAsia="en-US"/>
        </w:rPr>
        <w:br w:type="page"/>
      </w:r>
    </w:p>
    <w:p w14:paraId="4C0691E5" w14:textId="6F82D93E"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(17)</w:t>
      </w:r>
      <w:r w:rsidRPr="003E0486">
        <w:rPr>
          <w:szCs w:val="24"/>
          <w:lang w:eastAsia="en-US"/>
        </w:rPr>
        <w:tab/>
        <w:t>Ændringerne i toldprocesserne kræver også en præcisering af toldrepræsentanternes rolle. Både direkte og indirekte repræsentation bør fortsat være mulig, men det bør præciseres, at den indirekte repræsentant for en importør eller eksportør påtager sig alle importørernes eller eksportørernes forpligtelser, ikke blot forpligtelsen til at betale eller stille sikkerhed for toldskylden, men også overholdelsen af anden lovgivning, der anvendes af toldmyndighederne. Derfor kræves det, at toldrepræsentanter er hjemmehørende i Unionens toldområde, når de repræsenterer importører eller eksportører, for at sikre passende ansvarlighed for finansielle og ikkefinansielle aspekter. Anvendelsen af en indirekte toldrepræsentant, der er etableret i Unionen, er derfor et tilgængeligt og forholdsmæssigt alternativ for importører og eksportører, der ikke har en handelsmæssig tilstedeværelse i Unionen. Desuden kan toldrepræsentanter, der er etableret i tredjelande, fortsat levere deres tjenesteydelser i Unionen, hvis de repræsenterer personer, for hvilke det ikke er et krav at være etableret i Unionens toldområde.</w:t>
      </w:r>
      <w:r w:rsidRPr="003E0486">
        <w:rPr>
          <w:b/>
          <w:i/>
          <w:szCs w:val="24"/>
          <w:lang w:eastAsia="en-US"/>
        </w:rPr>
        <w:t xml:space="preserve"> For økonomiske operatører, især mikrovirksomheder og små og mellemstore virksomheder, er det vanskeligt at finde pålidelige toldrepræsentanter.</w:t>
      </w:r>
      <w:r w:rsidR="00BA0EC4">
        <w:rPr>
          <w:b/>
          <w:szCs w:val="24"/>
          <w:lang w:eastAsia="en-US"/>
        </w:rPr>
        <w:t xml:space="preserve"> [Ændring 11]</w:t>
      </w:r>
    </w:p>
    <w:p w14:paraId="03490E44" w14:textId="77777777" w:rsidR="003F593B" w:rsidRDefault="003F593B">
      <w:pPr>
        <w:widowControl/>
        <w:rPr>
          <w:b/>
          <w:i/>
          <w:szCs w:val="24"/>
          <w:lang w:eastAsia="en-US"/>
        </w:rPr>
      </w:pPr>
      <w:r>
        <w:rPr>
          <w:b/>
          <w:i/>
          <w:szCs w:val="24"/>
          <w:lang w:eastAsia="en-US"/>
        </w:rPr>
        <w:br w:type="page"/>
      </w:r>
    </w:p>
    <w:p w14:paraId="3317E631" w14:textId="4282F53A" w:rsidR="003E0486" w:rsidRPr="00BA0EC4" w:rsidRDefault="003E0486" w:rsidP="003E0486">
      <w:pPr>
        <w:spacing w:before="120" w:after="120" w:line="360" w:lineRule="auto"/>
        <w:ind w:left="850" w:hanging="850"/>
        <w:rPr>
          <w:b/>
          <w:szCs w:val="24"/>
          <w:lang w:eastAsia="en-US"/>
        </w:rPr>
      </w:pPr>
      <w:r w:rsidRPr="003E0486">
        <w:rPr>
          <w:b/>
          <w:i/>
          <w:szCs w:val="24"/>
          <w:lang w:eastAsia="en-US"/>
        </w:rPr>
        <w:lastRenderedPageBreak/>
        <w:t>(17a)</w:t>
      </w:r>
      <w:r w:rsidRPr="003E0486">
        <w:rPr>
          <w:szCs w:val="24"/>
          <w:lang w:eastAsia="en-US"/>
        </w:rPr>
        <w:tab/>
      </w:r>
      <w:r w:rsidRPr="003E0486">
        <w:rPr>
          <w:b/>
          <w:i/>
          <w:szCs w:val="24"/>
          <w:lang w:eastAsia="en-US"/>
        </w:rPr>
        <w:t>Det er også vigtigt at anerkende de specifikke udfordringer for mikrovirksomheder og små og mellemstore virksomheder som defineret i Kommissionens henstilling 2003/361/EF</w:t>
      </w:r>
      <w:r w:rsidRPr="003E0486">
        <w:rPr>
          <w:szCs w:val="24"/>
          <w:vertAlign w:val="superscript"/>
          <w:lang w:val="en-GB" w:eastAsia="en-US"/>
        </w:rPr>
        <w:footnoteReference w:id="8"/>
      </w:r>
      <w:r w:rsidRPr="003E0486">
        <w:rPr>
          <w:b/>
          <w:i/>
          <w:szCs w:val="24"/>
          <w:lang w:eastAsia="en-US"/>
        </w:rPr>
        <w:t xml:space="preserve"> med hensyn til overholdelse af toldreglerne, og hvordan dette kan lettes gennem direkte og indirekte repræsentation. Dette gælder navnlig i tilfælde, hvor en mikrovirksomhed eller en lille eller mellemstor virksomhed ikke har status som en tillid og kontrol-erhvervsdrivende. De bør fortsat kunne nyde godt af indirekte repræsentation. Kommissionen og EU-Toldmyndigheden bør på grundlag af oplysninger fra relevante myndigheder evaluere, hvordan denne ordning fungerer. Kommissionen bør forelægge Europa-Parlamentet og Rådet denne evaluering i form af en rapport. På grundlag af denne rapport bør Kommissionen afgøre, om den vil foreslå en lovgivningsmæssig løsning til en specifik ordning for bedre at fastlægge forholdet mellem mikro</w:t>
      </w:r>
      <w:r w:rsidR="00AA7064">
        <w:rPr>
          <w:b/>
          <w:i/>
          <w:szCs w:val="24"/>
          <w:lang w:eastAsia="en-US"/>
        </w:rPr>
        <w:t>virksomheder og</w:t>
      </w:r>
      <w:r w:rsidRPr="003E0486">
        <w:rPr>
          <w:b/>
          <w:i/>
          <w:szCs w:val="24"/>
          <w:lang w:eastAsia="en-US"/>
        </w:rPr>
        <w:t xml:space="preserve"> små og mellemstore virksomheder og toldrepræsentanter med henblik på at lette handelen og sikre en rimelig balance med hensyn til ansvar. </w:t>
      </w:r>
      <w:r w:rsidR="00BA0EC4">
        <w:rPr>
          <w:b/>
          <w:szCs w:val="24"/>
          <w:lang w:eastAsia="en-US"/>
        </w:rPr>
        <w:t xml:space="preserve"> [Ændring 12]</w:t>
      </w:r>
    </w:p>
    <w:p w14:paraId="5021EF09" w14:textId="77777777" w:rsidR="003F593B" w:rsidRDefault="003F593B">
      <w:pPr>
        <w:widowControl/>
        <w:rPr>
          <w:szCs w:val="24"/>
          <w:lang w:eastAsia="en-US"/>
        </w:rPr>
      </w:pPr>
      <w:r>
        <w:rPr>
          <w:szCs w:val="24"/>
          <w:lang w:eastAsia="en-US"/>
        </w:rPr>
        <w:br w:type="page"/>
      </w:r>
    </w:p>
    <w:p w14:paraId="36E6C423" w14:textId="24B508D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(18)</w:t>
      </w:r>
      <w:r w:rsidRPr="003E0486">
        <w:rPr>
          <w:szCs w:val="24"/>
          <w:lang w:eastAsia="en-US"/>
        </w:rPr>
        <w:tab/>
        <w:t>For at sikre et ensartet digitaliseringsniveau og skabe lige vilkår for økonomiske operatører i alle medlemsstater bør der oprettes et EU-tolddatacenter sammensat af en række centraliserede, sikre og cyberrobuste elektroniske tjenester og systemer til toldformål. EU's tolddatacenter bør sikre kvaliteten, integriteten, sporbarheden og uafviseligheden af de data, der behandles deri, så hverken afsender eller modtager senere kan anfægte, at dataudvekslingen har fundet sted. EU's tolddatacenter bør overholde de relevante bestemmelser om behandling af personoplysninger og cybersikkerhed. Kommissionen og medlemsstaterne bør i fællesskab udvikle EU's tolddatacenter. Kommissionen bør også have til opgave at forvalte, gennemføre og vedligeholde EU's tolddatacenter, men den kan uddelegere opgaven til et andet EU-organ.</w:t>
      </w:r>
    </w:p>
    <w:p w14:paraId="4DFF407D" w14:textId="462397FD" w:rsidR="003E0486" w:rsidRPr="00BA0EC4" w:rsidRDefault="003E0486" w:rsidP="003E0486">
      <w:pPr>
        <w:spacing w:before="120" w:after="120" w:line="360" w:lineRule="auto"/>
        <w:ind w:left="850" w:hanging="850"/>
        <w:rPr>
          <w:b/>
          <w:szCs w:val="24"/>
          <w:lang w:eastAsia="en-US"/>
        </w:rPr>
      </w:pPr>
      <w:r w:rsidRPr="003E0486">
        <w:rPr>
          <w:b/>
          <w:i/>
          <w:szCs w:val="24"/>
          <w:lang w:eastAsia="en-US"/>
        </w:rPr>
        <w:t>(18a)</w:t>
      </w:r>
      <w:r w:rsidRPr="003E0486">
        <w:rPr>
          <w:szCs w:val="24"/>
          <w:lang w:eastAsia="en-US"/>
        </w:rPr>
        <w:tab/>
      </w:r>
      <w:r w:rsidRPr="003E0486">
        <w:rPr>
          <w:b/>
          <w:i/>
          <w:szCs w:val="24"/>
          <w:lang w:eastAsia="en-US"/>
        </w:rPr>
        <w:t>Inden EU's tolddatacenter bliver fuldt operationelt, bør Kommissionen have mulighed for at planlægge og iværksætte en pilotfase med henblik på at teste de funktioner, der er relevante for centret. En sådan pilotfase bør være frivillig for toldmyndigheder, andre myndigheder og økonomiske operatører.</w:t>
      </w:r>
      <w:r w:rsidR="00BA0EC4">
        <w:rPr>
          <w:b/>
          <w:szCs w:val="24"/>
          <w:lang w:eastAsia="en-US"/>
        </w:rPr>
        <w:t xml:space="preserve"> [Ændring 13]</w:t>
      </w:r>
    </w:p>
    <w:p w14:paraId="56F3EE89" w14:textId="77777777" w:rsidR="003F593B" w:rsidRDefault="003F593B">
      <w:pPr>
        <w:widowControl/>
        <w:rPr>
          <w:szCs w:val="24"/>
          <w:lang w:eastAsia="en-US"/>
        </w:rPr>
      </w:pPr>
      <w:r>
        <w:rPr>
          <w:szCs w:val="24"/>
          <w:lang w:eastAsia="en-US"/>
        </w:rPr>
        <w:br w:type="page"/>
      </w:r>
    </w:p>
    <w:p w14:paraId="5459EA14" w14:textId="40DC1A9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(19)</w:t>
      </w:r>
      <w:r w:rsidRPr="003E0486">
        <w:rPr>
          <w:szCs w:val="24"/>
          <w:lang w:eastAsia="en-US"/>
        </w:rPr>
        <w:tab/>
        <w:t>I overensstemmelse med EU-Domstolens seneste praksis er det hensigtsmæssigt at præcisere</w:t>
      </w:r>
      <w:r w:rsidRPr="003E0486">
        <w:rPr>
          <w:szCs w:val="24"/>
          <w:vertAlign w:val="superscript"/>
          <w:lang w:val="en-GB" w:eastAsia="en-US"/>
        </w:rPr>
        <w:footnoteReference w:id="9"/>
      </w:r>
      <w:r w:rsidRPr="003E0486">
        <w:rPr>
          <w:szCs w:val="24"/>
          <w:lang w:eastAsia="en-US"/>
        </w:rPr>
        <w:t>, at automatisk udveksling af oplysninger mellem økonomiske operatører og toldmyndigheder gennem og af EU's tolddatacenter ikke udelukker disse myndigheders eller disse operatørers ansvar i forbindelse med de pågældende toldprocesser. Selv når toldmyndighedernes involvering er begrænset til denne elektroniske kommunikation via EU's tolddatacenter, bør det antages, at disse myndigheder har truffet en foranstaltning, som om EU's tolddatacenter handlede på vegne af de pågældende myndigheder.</w:t>
      </w:r>
    </w:p>
    <w:p w14:paraId="5CB4C180" w14:textId="77777777" w:rsidR="003F593B" w:rsidRDefault="003F593B">
      <w:pPr>
        <w:widowControl/>
        <w:rPr>
          <w:szCs w:val="24"/>
          <w:lang w:eastAsia="en-US"/>
        </w:rPr>
      </w:pPr>
      <w:r>
        <w:rPr>
          <w:szCs w:val="24"/>
          <w:lang w:eastAsia="en-US"/>
        </w:rPr>
        <w:br w:type="page"/>
      </w:r>
    </w:p>
    <w:p w14:paraId="1875E5F9" w14:textId="0BBAE21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(20)</w:t>
      </w:r>
      <w:r w:rsidRPr="003E0486">
        <w:rPr>
          <w:szCs w:val="24"/>
          <w:lang w:eastAsia="en-US"/>
        </w:rPr>
        <w:tab/>
        <w:t>EU's tolddatacenter bør muliggøre udveksling af data med andre systemer, platforme eller miljøer med henblik på at øge kvaliteten af de data, som toldmyndighederne anvender til at udføre deres opgaver, samt for at dele relevante tolddata med andre myndigheder med henblik på at øge effektiviteten af kontrollen på det indre marked. I overensstemmelse med tilgangen i Europa-Parlamentets og Rådets forordning (EU)</w:t>
      </w:r>
      <w:r w:rsidR="00813C65">
        <w:rPr>
          <w:szCs w:val="24"/>
          <w:lang w:eastAsia="en-US"/>
        </w:rPr>
        <w:t xml:space="preserve"> </w:t>
      </w:r>
      <w:r w:rsidRPr="003E0486">
        <w:rPr>
          <w:szCs w:val="24"/>
          <w:lang w:eastAsia="en-US"/>
        </w:rPr>
        <w:t>.../...</w:t>
      </w:r>
      <w:r w:rsidRPr="003E0486">
        <w:rPr>
          <w:szCs w:val="24"/>
          <w:vertAlign w:val="superscript"/>
          <w:lang w:val="en-GB" w:eastAsia="en-US"/>
        </w:rPr>
        <w:footnoteReference w:id="10"/>
      </w:r>
      <w:r w:rsidRPr="003E0486">
        <w:rPr>
          <w:szCs w:val="24"/>
          <w:lang w:eastAsia="en-US"/>
        </w:rPr>
        <w:t xml:space="preserve"> og den europæiske interoperabilitetsramme</w:t>
      </w:r>
      <w:r w:rsidRPr="003E0486">
        <w:rPr>
          <w:szCs w:val="24"/>
          <w:vertAlign w:val="superscript"/>
          <w:lang w:val="en-GB" w:eastAsia="en-US"/>
        </w:rPr>
        <w:footnoteReference w:id="11"/>
      </w:r>
      <w:r w:rsidRPr="003E0486">
        <w:rPr>
          <w:szCs w:val="24"/>
          <w:lang w:eastAsia="en-US"/>
        </w:rPr>
        <w:t xml:space="preserve"> bør EU's tolddatacenter fremme interoperabilitet på tværs af grænser og sektorer i Europa. Det bør udnytte potentialet i eksisterende kilder til risikooplysninger, der er tilgængelige på EU-plan, såsom de hurtige varslingssystemer for fødevarer og foder (RASFF) og for nonfoodprodukter (Safety Gate), informations- og kommunikationssystemet for markedsovervågning (ICSMS) og IP-håndhævelsesportalen. Det bør understøtte udviklingen af strategisk og operationelt samarbejde, herunder informationsudveksling og interoperabilitet, mellem toldmyndigheder og andre myndigheder, organer og tjenester inden for rammerne af deres respektive beføjelser. Desuden bør EU's tolddatacenter levere en bred vifte af avancerede dataanalyser, herunder gennem anvendelse af kunstig intelligens. Denne dataanalyse bør være en katalysator for risikoanalyse, økonomisk analyse og prædiktiv analyse med henblik på at foregribe eventuelle risici i forbindelse med forsendelser, der kommer til eller forlader Unionen. For at sikre et bedre tilsyn med handelsstrømmene og en strømlinet måde at samarbejde med andre myndigheder end toldmyndighederne på bør EU's tolddatacenter være i stand til at anvende samarbejdsrammen i EU-kvikskrankemiljøet på toldområdet og, hvis denne ramme ikke kan anvendes, tilbyde disse myndigheder en specifik tjeneste, hvorigennem de kan indhente de relevante data, meddele og dele oplysninger til toldmyndighederne og sikre, at de sektorspecifikke krav overholdes. Dette vil være nødvendigt, hvis de andre myndigheder ikke har et elektronisk system, der kan kobles sammen med EU's tolddatacenter.</w:t>
      </w:r>
    </w:p>
    <w:p w14:paraId="7E0439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(21)</w:t>
      </w:r>
      <w:r w:rsidRPr="003E0486">
        <w:rPr>
          <w:szCs w:val="24"/>
          <w:lang w:eastAsia="en-US"/>
        </w:rPr>
        <w:tab/>
        <w:t xml:space="preserve">Ved siden af EU's tolddatacenter kan medlemsstaterne udvikle deres egne </w:t>
      </w:r>
      <w:r w:rsidRPr="003E0486">
        <w:rPr>
          <w:szCs w:val="24"/>
          <w:lang w:eastAsia="en-US"/>
        </w:rPr>
        <w:lastRenderedPageBreak/>
        <w:t>applikationer til anvendelse af data fra EU's tolddatacenter. Med henblik herpå og for at reducere produktionstiden kan medlemsstaterne overdrage finansieringen og mandatet til udvikling af sådanne applikationer til EU-Toldmyndigheden. I så fald bør EU-Toldmyndigheden udvikle applikationerne til gavn for alle medlemsstater. Dette kan gøres ved at udvikle applikationer baseret på open source-kode i overensstemmelse med rammen for udveksling og genanvendelse.</w:t>
      </w:r>
    </w:p>
    <w:p w14:paraId="03277E3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(22)</w:t>
      </w:r>
      <w:r w:rsidRPr="003E0486">
        <w:rPr>
          <w:szCs w:val="24"/>
          <w:lang w:eastAsia="en-US"/>
        </w:rPr>
        <w:tab/>
        <w:t>EU's tolddatacenter bør muliggøre følgende datastrømme. Økonomiske operatører bør kunne fremsende alle relevante data, der er nødvendige for at overholde toldlovgivningen, til EU's tolddatacenter eller gøre dem tilgængelige deri. Disse data bør behandles på EU-plan og suppleres med en EU-dækkende risikoanalyse. De som resultat heraf fremkomne data bør stilles til rådighed for medlemsstaternes toldmyndigheder, således at de kan anvende dataene til at opfylde deres forpligtelser. Endelig bør resultatet af de kontroller, der er foretaget efter indhentelse af data fra EU's tolddatacenter, rapporteres tilbage til dette datacenter.</w:t>
      </w:r>
    </w:p>
    <w:p w14:paraId="759F8662" w14:textId="77777777" w:rsidR="003F593B" w:rsidRDefault="003F593B">
      <w:pPr>
        <w:widowControl/>
        <w:rPr>
          <w:szCs w:val="24"/>
          <w:lang w:eastAsia="en-US"/>
        </w:rPr>
      </w:pPr>
      <w:r>
        <w:rPr>
          <w:szCs w:val="24"/>
          <w:lang w:eastAsia="en-US"/>
        </w:rPr>
        <w:br w:type="page"/>
      </w:r>
    </w:p>
    <w:p w14:paraId="1D2208AE" w14:textId="1D703B4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(23)</w:t>
      </w:r>
      <w:r w:rsidRPr="003E0486">
        <w:rPr>
          <w:szCs w:val="24"/>
          <w:lang w:eastAsia="en-US"/>
        </w:rPr>
        <w:tab/>
        <w:t>De data, der fremsendes til EU's tolddatacenter, er i vid udstrækning ikkepersonoplysninger, som fremsendes af økonomiske operatører for de varer, de handler med. Oplysningerne vil dog også omfatte personoplysninger, navnlig navne på personer, der handler på vegne af en økonomisk operatør eller en myndighed. For at sikre, at personoplysninger og forretningsmæssige oplysninger beskyttes på samme måde, er det hensigtsmæssigt, at der ved denne forordning fastsættes specifikke regler for adgang, regler for fortrolighed og betingelser for anvendelsen af EU's tolddatacenter. Det bør navnlig fastsættes, hvilke enheder der udover de berørte personer, Kommissionen, toldmyndighederne og EU-Toldmyndigheden må tilgå eller behandle data, som er lagret eller på anden måde er tilgængelige i EU's tolddatacenter, og i den forbindelse bør der både tages hensyn til disse enheders behov og behovet for at sikre, at de til toldmæssige formål indsamlede personoplysninger og fortrolige data kun anvendes til yderligere formål i mindst muligt omfang.</w:t>
      </w:r>
    </w:p>
    <w:p w14:paraId="3DB3C8FD" w14:textId="35068E4F" w:rsidR="003E0486" w:rsidRPr="00BA0EC4" w:rsidRDefault="003E0486" w:rsidP="003E0486">
      <w:pPr>
        <w:spacing w:before="120" w:after="120" w:line="360" w:lineRule="auto"/>
        <w:ind w:left="850" w:hanging="850"/>
        <w:rPr>
          <w:b/>
          <w:szCs w:val="24"/>
          <w:lang w:eastAsia="en-US"/>
        </w:rPr>
      </w:pPr>
      <w:r w:rsidRPr="003E0486">
        <w:rPr>
          <w:b/>
          <w:i/>
          <w:szCs w:val="24"/>
          <w:lang w:eastAsia="en-US"/>
        </w:rPr>
        <w:t>(23a)</w:t>
      </w:r>
      <w:r w:rsidRPr="003E0486">
        <w:rPr>
          <w:szCs w:val="24"/>
          <w:lang w:eastAsia="en-US"/>
        </w:rPr>
        <w:tab/>
      </w:r>
      <w:r w:rsidRPr="003E0486">
        <w:rPr>
          <w:b/>
          <w:i/>
          <w:szCs w:val="24"/>
          <w:lang w:eastAsia="en-US"/>
        </w:rPr>
        <w:t xml:space="preserve">Uden at det berører databeskyttelsesreglerne, navnlig reglerne om følsomme tolddata og kommercielt følsomme oplysninger, bør ikkepersonoplysninger gøres tilgængelige for tredjeparter til specifikke formål med passende begrundelse og efter anmodning. Økonomiske aktører bør kunne vælge ikke at tillade en sådan </w:t>
      </w:r>
      <w:r w:rsidR="00AA7064">
        <w:rPr>
          <w:b/>
          <w:i/>
          <w:szCs w:val="24"/>
          <w:lang w:eastAsia="en-US"/>
        </w:rPr>
        <w:t>tilgængeliggørelse</w:t>
      </w:r>
      <w:r w:rsidRPr="003E0486">
        <w:rPr>
          <w:b/>
          <w:i/>
          <w:szCs w:val="24"/>
          <w:lang w:eastAsia="en-US"/>
        </w:rPr>
        <w:t>.</w:t>
      </w:r>
      <w:r w:rsidR="00BA0EC4">
        <w:rPr>
          <w:b/>
          <w:szCs w:val="24"/>
          <w:lang w:eastAsia="en-US"/>
        </w:rPr>
        <w:t xml:space="preserve"> [Ændring 14]</w:t>
      </w:r>
    </w:p>
    <w:p w14:paraId="2796B9DD" w14:textId="77777777" w:rsidR="003F593B" w:rsidRDefault="003F593B">
      <w:pPr>
        <w:widowControl/>
        <w:rPr>
          <w:szCs w:val="24"/>
          <w:lang w:eastAsia="en-US"/>
        </w:rPr>
      </w:pPr>
      <w:r>
        <w:rPr>
          <w:szCs w:val="24"/>
          <w:lang w:eastAsia="en-US"/>
        </w:rPr>
        <w:br w:type="page"/>
      </w:r>
    </w:p>
    <w:p w14:paraId="35327138" w14:textId="21E40329" w:rsidR="003E0486" w:rsidRPr="00BA0EC4" w:rsidRDefault="003E0486" w:rsidP="003E0486">
      <w:pPr>
        <w:spacing w:before="120" w:after="120" w:line="360" w:lineRule="auto"/>
        <w:ind w:left="850" w:hanging="850"/>
        <w:rPr>
          <w:b/>
          <w:szCs w:val="24"/>
          <w:lang w:eastAsia="en-US"/>
        </w:rPr>
      </w:pPr>
      <w:r w:rsidRPr="003E0486">
        <w:rPr>
          <w:szCs w:val="24"/>
          <w:lang w:eastAsia="en-US"/>
        </w:rPr>
        <w:lastRenderedPageBreak/>
        <w:t>(24)</w:t>
      </w:r>
      <w:r w:rsidRPr="003E0486">
        <w:rPr>
          <w:szCs w:val="24"/>
          <w:lang w:eastAsia="en-US"/>
        </w:rPr>
        <w:tab/>
        <w:t>For at sikre, at Det Europæiske Kontor for Bekæmpelse af Svig ("OLAF") kan udøve sine undersøgelsesbeføjelser i forbindelse med svigagtige aktiviteter, der skader Unionens interesser, bør OLAF have en adgang til data fra EU's tolddatacenter, som er meget lig Kommissionens adgang. OLAF bør derfor have ret til at behandle oplysningerne i overensstemmelse med betingelserne vedrørende databeskyttelse i den relevante EU-lovgivning, herunder Europa-Parlamentets og Rådets forordning (EU, Euratom) nr. 883/2013</w:t>
      </w:r>
      <w:r w:rsidRPr="003E0486">
        <w:rPr>
          <w:szCs w:val="24"/>
          <w:vertAlign w:val="superscript"/>
          <w:lang w:val="en-GB" w:eastAsia="en-US"/>
        </w:rPr>
        <w:footnoteReference w:id="12"/>
      </w:r>
      <w:r w:rsidRPr="003E0486">
        <w:rPr>
          <w:szCs w:val="24"/>
          <w:lang w:eastAsia="en-US"/>
        </w:rPr>
        <w:t xml:space="preserve"> og Rådets forordning (EF) nr. 515/97</w:t>
      </w:r>
      <w:r w:rsidRPr="003E0486">
        <w:rPr>
          <w:szCs w:val="24"/>
          <w:vertAlign w:val="superscript"/>
          <w:lang w:val="en-GB" w:eastAsia="en-US"/>
        </w:rPr>
        <w:footnoteReference w:id="13"/>
      </w:r>
      <w:r w:rsidRPr="003E0486">
        <w:rPr>
          <w:szCs w:val="24"/>
          <w:lang w:eastAsia="en-US"/>
        </w:rPr>
        <w:t xml:space="preserve">. For at sikre, at EPPO kan foretage sin efterforskning i toldrelaterede spørgsmål, bør kontoret have ret til at </w:t>
      </w:r>
      <w:r w:rsidRPr="003E0486">
        <w:rPr>
          <w:strike/>
          <w:szCs w:val="24"/>
          <w:lang w:eastAsia="en-US"/>
        </w:rPr>
        <w:t>anmode om</w:t>
      </w:r>
      <w:r w:rsidRPr="003E0486">
        <w:rPr>
          <w:b/>
          <w:i/>
          <w:szCs w:val="24"/>
          <w:lang w:eastAsia="en-US"/>
        </w:rPr>
        <w:t>få</w:t>
      </w:r>
      <w:r w:rsidRPr="003E0486">
        <w:rPr>
          <w:szCs w:val="24"/>
          <w:lang w:eastAsia="en-US"/>
        </w:rPr>
        <w:t xml:space="preserve"> adgang til</w:t>
      </w:r>
      <w:r w:rsidRPr="003E0486">
        <w:rPr>
          <w:b/>
          <w:i/>
          <w:szCs w:val="24"/>
          <w:lang w:eastAsia="en-US"/>
        </w:rPr>
        <w:t xml:space="preserve"> og behandle</w:t>
      </w:r>
      <w:r w:rsidRPr="003E0486">
        <w:rPr>
          <w:szCs w:val="24"/>
          <w:lang w:eastAsia="en-US"/>
        </w:rPr>
        <w:t xml:space="preserve"> data i EU's tolddatacenter. For at bevare de funktioner, der udføres i medlemsstaternes nationale IT-systemer, bør medlemsstaternes skattemyndigheder enten gives mulighed for at behandle data direkte inden for EU's tolddatacenter eller udtrække data fra EU's tolddatacenter og behandle dem ved hjælp af andre midler. Myndigheder med ansvar for fødevaresikkerhed i overensstemmelse med Europa-Parlamentets og Rådets forordning (EU) 2017/625</w:t>
      </w:r>
      <w:r w:rsidRPr="003E0486">
        <w:rPr>
          <w:szCs w:val="24"/>
          <w:vertAlign w:val="superscript"/>
          <w:lang w:val="en-GB" w:eastAsia="en-US"/>
        </w:rPr>
        <w:footnoteReference w:id="14"/>
      </w:r>
      <w:r w:rsidRPr="003E0486">
        <w:rPr>
          <w:szCs w:val="24"/>
          <w:lang w:eastAsia="en-US"/>
        </w:rPr>
        <w:t xml:space="preserve"> og de myndigheder, der er ansvarlige for markedsovervågning i overensstemmelse med forordning (EU) 2019/1020, bør have stillet de rette tjenester og værktøjer til rådighed i EU's tolddatacenter, således at de kan anvende de relevante tolddata til at bidrage til at håndhæve den relevante EU-lovgivning og til at samarbejde med toldmyndighederne for at minimere risikoen for, </w:t>
      </w:r>
      <w:r w:rsidRPr="003E0486">
        <w:rPr>
          <w:szCs w:val="24"/>
          <w:lang w:eastAsia="en-US"/>
        </w:rPr>
        <w:lastRenderedPageBreak/>
        <w:t>at produkter, der ikke opfylder kravene, indføres i Unionen. Europol bør efter anmodning have adgang til oplysninger i EU's tolddatacenter for at kunne udføre sine opgaver som fastsat i Europa-Parlamentets og Rådets forordning (EU) 2016/794</w:t>
      </w:r>
      <w:r w:rsidRPr="003E0486">
        <w:rPr>
          <w:szCs w:val="24"/>
          <w:vertAlign w:val="superscript"/>
          <w:lang w:val="en-GB" w:eastAsia="en-US"/>
        </w:rPr>
        <w:footnoteReference w:id="15"/>
      </w:r>
      <w:r w:rsidRPr="003E0486">
        <w:rPr>
          <w:szCs w:val="24"/>
          <w:lang w:eastAsia="en-US"/>
        </w:rPr>
        <w:t>. Alle andre EU-organer og nationale organer og myndigheder, herunder Det Europæiske Agentur for Grænse- og Kystbevogtning (Frontex), bør have adgang til ikkepersonoplysninger i EU's tolddatacenter.</w:t>
      </w:r>
      <w:r w:rsidR="00BA0EC4">
        <w:rPr>
          <w:b/>
          <w:szCs w:val="24"/>
          <w:lang w:eastAsia="en-US"/>
        </w:rPr>
        <w:t xml:space="preserve"> [Ændring 15]</w:t>
      </w:r>
    </w:p>
    <w:p w14:paraId="2B53D1EB" w14:textId="77777777" w:rsidR="003F593B" w:rsidRDefault="003F593B">
      <w:pPr>
        <w:widowControl/>
        <w:rPr>
          <w:b/>
          <w:i/>
          <w:szCs w:val="24"/>
          <w:lang w:eastAsia="en-US"/>
        </w:rPr>
      </w:pPr>
      <w:r>
        <w:rPr>
          <w:b/>
          <w:i/>
          <w:szCs w:val="24"/>
          <w:lang w:eastAsia="en-US"/>
        </w:rPr>
        <w:br w:type="page"/>
      </w:r>
    </w:p>
    <w:p w14:paraId="6B2E4CFB" w14:textId="05E7A852" w:rsidR="003E0486" w:rsidRPr="00BA0EC4" w:rsidRDefault="003E0486" w:rsidP="003E0486">
      <w:pPr>
        <w:spacing w:before="120" w:after="120" w:line="360" w:lineRule="auto"/>
        <w:ind w:left="850" w:hanging="850"/>
        <w:rPr>
          <w:b/>
          <w:szCs w:val="24"/>
          <w:lang w:eastAsia="en-US"/>
        </w:rPr>
      </w:pPr>
      <w:r w:rsidRPr="003E0486">
        <w:rPr>
          <w:b/>
          <w:i/>
          <w:szCs w:val="24"/>
          <w:lang w:eastAsia="en-US"/>
        </w:rPr>
        <w:lastRenderedPageBreak/>
        <w:t>(24a)</w:t>
      </w:r>
      <w:r w:rsidRPr="003E0486">
        <w:rPr>
          <w:szCs w:val="24"/>
          <w:lang w:eastAsia="en-US"/>
        </w:rPr>
        <w:tab/>
      </w:r>
      <w:r w:rsidRPr="003E0486">
        <w:rPr>
          <w:b/>
          <w:i/>
          <w:szCs w:val="24"/>
          <w:lang w:eastAsia="en-US"/>
        </w:rPr>
        <w:t>I henhold til artikel 24 i Rådets forordning (EU) 2017/1939</w:t>
      </w:r>
      <w:r w:rsidRPr="003E0486">
        <w:rPr>
          <w:szCs w:val="24"/>
          <w:vertAlign w:val="superscript"/>
          <w:lang w:val="en-GB" w:eastAsia="en-US"/>
        </w:rPr>
        <w:footnoteReference w:id="16"/>
      </w:r>
      <w:r w:rsidRPr="003E0486">
        <w:rPr>
          <w:b/>
          <w:i/>
          <w:szCs w:val="24"/>
          <w:lang w:eastAsia="en-US"/>
        </w:rPr>
        <w:t xml:space="preserve"> underretter de kompetente toldmyndigheder uden unødig</w:t>
      </w:r>
      <w:r w:rsidR="00AA7064">
        <w:rPr>
          <w:b/>
          <w:i/>
          <w:szCs w:val="24"/>
          <w:lang w:eastAsia="en-US"/>
        </w:rPr>
        <w:t>t</w:t>
      </w:r>
      <w:r w:rsidRPr="003E0486">
        <w:rPr>
          <w:b/>
          <w:i/>
          <w:szCs w:val="24"/>
          <w:lang w:eastAsia="en-US"/>
        </w:rPr>
        <w:t xml:space="preserve"> </w:t>
      </w:r>
      <w:r w:rsidR="00AA7064">
        <w:rPr>
          <w:b/>
          <w:i/>
          <w:szCs w:val="24"/>
          <w:lang w:eastAsia="en-US"/>
        </w:rPr>
        <w:t>ophold</w:t>
      </w:r>
      <w:r w:rsidRPr="003E0486">
        <w:rPr>
          <w:b/>
          <w:i/>
          <w:szCs w:val="24"/>
          <w:lang w:eastAsia="en-US"/>
        </w:rPr>
        <w:t xml:space="preserve"> EPPO om enhver strafbar adfærd, i forhold til hvilken den kan udøve sin kompetence i overensstemmelse med </w:t>
      </w:r>
      <w:r w:rsidR="00AA7064" w:rsidRPr="003E0486">
        <w:rPr>
          <w:b/>
          <w:i/>
          <w:szCs w:val="24"/>
          <w:lang w:eastAsia="en-US"/>
        </w:rPr>
        <w:t>nævnte forordning</w:t>
      </w:r>
      <w:r w:rsidR="00AA7064">
        <w:rPr>
          <w:b/>
          <w:i/>
          <w:szCs w:val="24"/>
          <w:lang w:eastAsia="en-US"/>
        </w:rPr>
        <w:t>s</w:t>
      </w:r>
      <w:r w:rsidR="00AA7064" w:rsidRPr="003E0486">
        <w:rPr>
          <w:b/>
          <w:i/>
          <w:szCs w:val="24"/>
          <w:lang w:eastAsia="en-US"/>
        </w:rPr>
        <w:t xml:space="preserve"> </w:t>
      </w:r>
      <w:r w:rsidRPr="003E0486">
        <w:rPr>
          <w:b/>
          <w:i/>
          <w:szCs w:val="24"/>
          <w:lang w:eastAsia="en-US"/>
        </w:rPr>
        <w:t>artikel 22 og artikel 25, stk. 2 og 3. De kompetente toldmyndigheder bør undlade at træffe foranstaltninger, der kan bringe fortroligheden af den kompetente nationale retslige eller retshåndhævende myndigheds eller EPPO's strafferetslige efterforskninger af de samme forhold i fare, når disse myndigheder anmoder herom.</w:t>
      </w:r>
      <w:r w:rsidR="00BA0EC4">
        <w:rPr>
          <w:b/>
          <w:szCs w:val="24"/>
          <w:lang w:eastAsia="en-US"/>
        </w:rPr>
        <w:t xml:space="preserve"> [Ændring 16]</w:t>
      </w:r>
    </w:p>
    <w:p w14:paraId="6A4C18A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(25)</w:t>
      </w:r>
      <w:r w:rsidRPr="003E0486">
        <w:rPr>
          <w:szCs w:val="24"/>
          <w:lang w:eastAsia="en-US"/>
        </w:rPr>
        <w:tab/>
        <w:t>Reglerne og bestemmelserne vedrørende adgang til EU's tolddatacenter og udveksling af oplysninger bør ikke berøre toldinformationssystemet ("CIS"), der blev oprettet ved Rådets forordning (EF) nr. 515/97, og rapporteringsforpligtelserne i henhold til artikel 24 i Europa-Parlamentets og Rådets forordning (EU) 2019/1896 om den europæiske grænse- og kystvagt.</w:t>
      </w:r>
    </w:p>
    <w:p w14:paraId="045A354E" w14:textId="26E836BF" w:rsidR="003E0486" w:rsidRPr="00BA0EC4" w:rsidRDefault="003E0486" w:rsidP="003E0486">
      <w:pPr>
        <w:spacing w:before="120" w:after="120" w:line="360" w:lineRule="auto"/>
        <w:ind w:left="850" w:hanging="850"/>
        <w:rPr>
          <w:b/>
          <w:szCs w:val="24"/>
          <w:lang w:eastAsia="en-US"/>
        </w:rPr>
      </w:pPr>
      <w:r w:rsidRPr="003E0486">
        <w:rPr>
          <w:strike/>
          <w:szCs w:val="24"/>
          <w:lang w:eastAsia="en-US"/>
        </w:rPr>
        <w:t>(26)</w:t>
      </w:r>
      <w:r w:rsidRPr="00B27E53">
        <w:rPr>
          <w:strike/>
          <w:szCs w:val="24"/>
          <w:lang w:eastAsia="en-US"/>
        </w:rPr>
        <w:tab/>
      </w:r>
      <w:r w:rsidRPr="003E0486">
        <w:rPr>
          <w:strike/>
          <w:szCs w:val="24"/>
          <w:lang w:eastAsia="en-US"/>
        </w:rPr>
        <w:t>Kommissionen bør fastsætte de nærmere bestemmelser for adgang for alle disse myndigheder i gennemførelsesregler efter at have vurderet de eksisterende beskyttelsesforanstaltninger, som hver myndighed eller kategori af myndigheder har indført for at sikre korrekt behandling af personoplysninger og forretningsmæssigt følsomme oplysninger.</w:t>
      </w:r>
      <w:r w:rsidR="00BA0EC4">
        <w:rPr>
          <w:b/>
          <w:szCs w:val="24"/>
          <w:lang w:eastAsia="en-US"/>
        </w:rPr>
        <w:t xml:space="preserve"> [Ændring 17]</w:t>
      </w:r>
    </w:p>
    <w:p w14:paraId="705BAFBF" w14:textId="77777777" w:rsidR="003F593B" w:rsidRDefault="003F593B">
      <w:pPr>
        <w:widowControl/>
        <w:rPr>
          <w:szCs w:val="24"/>
          <w:lang w:eastAsia="en-US"/>
        </w:rPr>
      </w:pPr>
      <w:r>
        <w:rPr>
          <w:szCs w:val="24"/>
          <w:lang w:eastAsia="en-US"/>
        </w:rPr>
        <w:br w:type="page"/>
      </w:r>
    </w:p>
    <w:p w14:paraId="13BBB021" w14:textId="000BBFF5"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(27)</w:t>
      </w:r>
      <w:r w:rsidRPr="003E0486">
        <w:rPr>
          <w:szCs w:val="24"/>
          <w:lang w:eastAsia="en-US"/>
        </w:rPr>
        <w:tab/>
        <w:t>EU's tolddatacenter bør højst lagre personoplysninger i en periode på ti år. Denne periode er begrundet i toldmyndighedernes mulighed for at anmelde toldskylden op til ti år efter at have modtaget de nødvendige oplysninger om en forsendelse og for at sikre, at Kommissionen, EU-Toldmyndigheden, OLAF</w:t>
      </w:r>
      <w:r w:rsidRPr="003E0486">
        <w:rPr>
          <w:b/>
          <w:i/>
          <w:szCs w:val="24"/>
          <w:lang w:eastAsia="en-US"/>
        </w:rPr>
        <w:t>, EPPO</w:t>
      </w:r>
      <w:r w:rsidRPr="003E0486">
        <w:rPr>
          <w:szCs w:val="24"/>
          <w:lang w:eastAsia="en-US"/>
        </w:rPr>
        <w:t>, toldmyndighederne og andre myndigheder end toldmyndighederne kan krydstjekke oplysningerne i EU's tolddatacenter med de oplysninger, der er lagret i og udvekslet med andre systemer. Denne periode bør desuden tilpasses den opbevaringsperiode, der kræves i henhold til anden lovgivning, der anvendes af toldmyndighederne, når en sådan lovgivning er relevant for toldkontrollen. Opbevaringsperioden bør også suspenderes, når der er behov for personoplysninger med henblik på retslige og administrative procedurer, undersøgelser eller efterforskning og efterfølgende kontrol, for at undgå, at personoplysninger slettes og ikke kan anvendes til disse formål.</w:t>
      </w:r>
      <w:r w:rsidR="005B1591">
        <w:rPr>
          <w:b/>
          <w:szCs w:val="24"/>
          <w:lang w:eastAsia="en-US"/>
        </w:rPr>
        <w:t xml:space="preserve"> [Ændring 18]</w:t>
      </w:r>
    </w:p>
    <w:p w14:paraId="1FC3BFEA" w14:textId="77777777" w:rsidR="003F593B" w:rsidRDefault="003F593B">
      <w:pPr>
        <w:widowControl/>
        <w:rPr>
          <w:szCs w:val="24"/>
          <w:lang w:eastAsia="en-US"/>
        </w:rPr>
      </w:pPr>
      <w:r>
        <w:rPr>
          <w:szCs w:val="24"/>
          <w:lang w:eastAsia="en-US"/>
        </w:rPr>
        <w:br w:type="page"/>
      </w:r>
    </w:p>
    <w:p w14:paraId="22609DB5" w14:textId="087230B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(28)</w:t>
      </w:r>
      <w:r w:rsidRPr="003E0486">
        <w:rPr>
          <w:szCs w:val="24"/>
          <w:lang w:eastAsia="en-US"/>
        </w:rPr>
        <w:tab/>
        <w:t>Beskyttelsen af personoplysninger og andre data i EU's tolddatacenter bør også omfatte regler om begrænsning af registreredes rettigheder. Det er derfor hensigtsmæssigt, at toldmyndighederne, Kommissionen eller EU-Toldmyndigheden om nødvendigt kan begrænse de registreredes rettigheder for at sikre, at håndhævelsesaktiviteter, risikoanalyse og toldkontrol ikke bringes i fare. Sådanne begrænsninger kan eventuelt også anvendes, når det er nødvendigt for at beskytte retslige eller administrative procedurer efter håndhævelsesaktiviteter. Begrænsningerne bør være behørigt begrundede i forhold til toldmyndighedernes aktiviteter og beføjelser og begrænses til den tid, der er nødvendig for at udøve disse beføjelser.</w:t>
      </w:r>
    </w:p>
    <w:p w14:paraId="6F8EF9A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(29)</w:t>
      </w:r>
      <w:r w:rsidRPr="003E0486">
        <w:rPr>
          <w:szCs w:val="24"/>
          <w:lang w:eastAsia="en-US"/>
        </w:rPr>
        <w:tab/>
        <w:t>Enhver behandling af personoplysninger i henhold til denne forordning bør foretages under overholdelse af bestemmelserne i Europa-Parlamentets og Rådets forordning (EU) 2016/679 og (EU) 2018/1725 og Europa-Parlamentets og Rådets direktiv (EU) 2016/680 inden for deres respektive anvendelsesområder.</w:t>
      </w:r>
    </w:p>
    <w:p w14:paraId="087C2F44" w14:textId="77777777" w:rsidR="003F593B" w:rsidRDefault="003F593B">
      <w:pPr>
        <w:widowControl/>
        <w:rPr>
          <w:szCs w:val="24"/>
          <w:lang w:eastAsia="en-US"/>
        </w:rPr>
      </w:pPr>
      <w:r>
        <w:rPr>
          <w:szCs w:val="24"/>
          <w:lang w:eastAsia="en-US"/>
        </w:rPr>
        <w:br w:type="page"/>
      </w:r>
    </w:p>
    <w:p w14:paraId="5B0D4247" w14:textId="25BB8039"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(30)</w:t>
      </w:r>
      <w:r w:rsidRPr="003E0486">
        <w:rPr>
          <w:szCs w:val="24"/>
          <w:lang w:eastAsia="en-US"/>
        </w:rPr>
        <w:tab/>
        <w:t xml:space="preserve">Den Europæiske Tilsynsførende for Databeskyttelse </w:t>
      </w:r>
      <w:r w:rsidRPr="003E0486">
        <w:rPr>
          <w:strike/>
          <w:szCs w:val="24"/>
          <w:lang w:eastAsia="en-US"/>
        </w:rPr>
        <w:t>blev</w:t>
      </w:r>
      <w:r w:rsidRPr="003E0486">
        <w:rPr>
          <w:b/>
          <w:i/>
          <w:szCs w:val="24"/>
          <w:lang w:eastAsia="en-US"/>
        </w:rPr>
        <w:t>er blevet</w:t>
      </w:r>
      <w:r w:rsidRPr="003E0486">
        <w:rPr>
          <w:szCs w:val="24"/>
          <w:lang w:eastAsia="en-US"/>
        </w:rPr>
        <w:t xml:space="preserve"> hørt i overensstemmelse med artikel 42, stk. 1, i forordning (EU) 2018/1725</w:t>
      </w:r>
      <w:r w:rsidRPr="003E0486">
        <w:rPr>
          <w:strike/>
          <w:szCs w:val="24"/>
          <w:lang w:eastAsia="en-US"/>
        </w:rPr>
        <w:t>,</w:t>
      </w:r>
      <w:r w:rsidRPr="003E0486">
        <w:rPr>
          <w:szCs w:val="24"/>
          <w:lang w:eastAsia="en-US"/>
        </w:rPr>
        <w:t xml:space="preserve"> og afgav</w:t>
      </w:r>
      <w:r w:rsidRPr="003E0486">
        <w:rPr>
          <w:b/>
          <w:i/>
          <w:szCs w:val="24"/>
          <w:lang w:eastAsia="en-US"/>
        </w:rPr>
        <w:t xml:space="preserve"> en</w:t>
      </w:r>
      <w:r w:rsidRPr="003E0486">
        <w:rPr>
          <w:szCs w:val="24"/>
          <w:lang w:eastAsia="en-US"/>
        </w:rPr>
        <w:t xml:space="preserve"> udtalelse den </w:t>
      </w:r>
      <w:r w:rsidRPr="003E0486">
        <w:rPr>
          <w:strike/>
          <w:szCs w:val="24"/>
          <w:lang w:eastAsia="en-US"/>
        </w:rPr>
        <w:t>[</w:t>
      </w:r>
      <w:r w:rsidRPr="003E0486">
        <w:rPr>
          <w:b/>
          <w:i/>
          <w:szCs w:val="24"/>
          <w:lang w:eastAsia="en-US"/>
        </w:rPr>
        <w:t>11</w:t>
      </w:r>
      <w:r w:rsidRPr="003E0486">
        <w:rPr>
          <w:szCs w:val="24"/>
          <w:lang w:eastAsia="en-US"/>
        </w:rPr>
        <w:t>.</w:t>
      </w:r>
      <w:r w:rsidRPr="003E0486">
        <w:rPr>
          <w:strike/>
          <w:szCs w:val="24"/>
          <w:lang w:eastAsia="en-US"/>
        </w:rPr>
        <w:t>..]</w:t>
      </w:r>
      <w:r w:rsidRPr="003E0486">
        <w:rPr>
          <w:b/>
          <w:i/>
          <w:szCs w:val="24"/>
          <w:lang w:eastAsia="en-US"/>
        </w:rPr>
        <w:t xml:space="preserve"> juli 2023</w:t>
      </w:r>
      <w:r w:rsidRPr="003E0486">
        <w:rPr>
          <w:szCs w:val="24"/>
          <w:lang w:eastAsia="en-US"/>
        </w:rPr>
        <w:t>.</w:t>
      </w:r>
      <w:r w:rsidRPr="003E0486">
        <w:rPr>
          <w:b/>
          <w:i/>
          <w:szCs w:val="24"/>
          <w:lang w:eastAsia="en-US"/>
        </w:rPr>
        <w:t xml:space="preserve"> Den Europæiske Tilsynsførende for Databeskyttelse minder fra sine ni henstillinger om, at de risikokriterier, der skal anvendes til at udvælge personer ved hjælp af automatisk behandling, når de resulterer i individuelle afgørelser, bør baseres på omstændigheder, som er pålidelige og direkte knyttet til objektive faktorer, ikke bør medføre en direkte eller indirekte risiko for forskelsbehandling på grundlag af f.eks. race, etnisk oprindelse, religion eller politisk eller seksuel orientering, og ikke være alt for brede.</w:t>
      </w:r>
      <w:r w:rsidR="005B1591">
        <w:rPr>
          <w:b/>
          <w:szCs w:val="24"/>
          <w:lang w:eastAsia="en-US"/>
        </w:rPr>
        <w:t xml:space="preserve"> [Ændring 19]</w:t>
      </w:r>
    </w:p>
    <w:p w14:paraId="26B4954E" w14:textId="233105A4" w:rsidR="003E0486" w:rsidRPr="005B1591" w:rsidRDefault="003E0486" w:rsidP="003E0486">
      <w:pPr>
        <w:spacing w:before="120" w:after="120" w:line="360" w:lineRule="auto"/>
        <w:ind w:left="850" w:hanging="850"/>
        <w:rPr>
          <w:b/>
          <w:szCs w:val="24"/>
          <w:lang w:eastAsia="en-US"/>
        </w:rPr>
      </w:pPr>
      <w:r w:rsidRPr="003E0486">
        <w:rPr>
          <w:b/>
          <w:i/>
          <w:szCs w:val="24"/>
          <w:lang w:eastAsia="en-US"/>
        </w:rPr>
        <w:t>(30a)</w:t>
      </w:r>
      <w:r w:rsidRPr="003E0486">
        <w:rPr>
          <w:szCs w:val="24"/>
          <w:lang w:eastAsia="en-US"/>
        </w:rPr>
        <w:tab/>
      </w:r>
      <w:r w:rsidRPr="003E0486">
        <w:rPr>
          <w:b/>
          <w:i/>
          <w:szCs w:val="24"/>
          <w:lang w:eastAsia="en-US"/>
        </w:rPr>
        <w:t>For at fastlægge en fælles ramme for toldunionen er det nødvendigt at integrere Den Europæiske Unions kvikskrankemiljø på toldområdet (EU-kvikskrankemiljøet på toldområdet) i EU-toldkodeksen. Europa-Parlamentets og Rådets forordning (EU) 2022/2399</w:t>
      </w:r>
      <w:r w:rsidRPr="003E0486">
        <w:rPr>
          <w:szCs w:val="24"/>
          <w:vertAlign w:val="superscript"/>
          <w:lang w:val="en-GB" w:eastAsia="en-US"/>
        </w:rPr>
        <w:footnoteReference w:id="17"/>
      </w:r>
      <w:r w:rsidRPr="003E0486">
        <w:rPr>
          <w:b/>
          <w:i/>
          <w:szCs w:val="24"/>
          <w:lang w:eastAsia="en-US"/>
        </w:rPr>
        <w:t xml:space="preserve"> bør derfor ophæves, og EU-kvikskrankemiljøet på toldområdet tilføjes </w:t>
      </w:r>
      <w:r w:rsidR="007B7FE2">
        <w:rPr>
          <w:b/>
          <w:i/>
          <w:szCs w:val="24"/>
          <w:lang w:eastAsia="en-US"/>
        </w:rPr>
        <w:t>nærværende</w:t>
      </w:r>
      <w:r w:rsidR="007B7FE2" w:rsidRPr="003E0486">
        <w:rPr>
          <w:b/>
          <w:i/>
          <w:szCs w:val="24"/>
          <w:lang w:eastAsia="en-US"/>
        </w:rPr>
        <w:t xml:space="preserve"> </w:t>
      </w:r>
      <w:r w:rsidRPr="003E0486">
        <w:rPr>
          <w:b/>
          <w:i/>
          <w:szCs w:val="24"/>
          <w:lang w:eastAsia="en-US"/>
        </w:rPr>
        <w:t>forordning.</w:t>
      </w:r>
      <w:r w:rsidR="005B1591">
        <w:rPr>
          <w:b/>
          <w:szCs w:val="24"/>
          <w:lang w:eastAsia="en-US"/>
        </w:rPr>
        <w:t xml:space="preserve"> [Ændring 20]</w:t>
      </w:r>
    </w:p>
    <w:p w14:paraId="4122D4E0" w14:textId="77777777" w:rsidR="003F593B" w:rsidRDefault="003F593B">
      <w:pPr>
        <w:widowControl/>
        <w:rPr>
          <w:b/>
          <w:i/>
          <w:szCs w:val="24"/>
          <w:lang w:eastAsia="en-US"/>
        </w:rPr>
      </w:pPr>
      <w:r>
        <w:rPr>
          <w:b/>
          <w:i/>
          <w:szCs w:val="24"/>
          <w:lang w:eastAsia="en-US"/>
        </w:rPr>
        <w:br w:type="page"/>
      </w:r>
    </w:p>
    <w:p w14:paraId="78D0A04F" w14:textId="580EF2AC" w:rsidR="003E0486" w:rsidRPr="005B1591" w:rsidRDefault="003E0486" w:rsidP="003E0486">
      <w:pPr>
        <w:spacing w:before="120" w:after="120" w:line="360" w:lineRule="auto"/>
        <w:ind w:left="850" w:hanging="850"/>
        <w:rPr>
          <w:b/>
          <w:szCs w:val="24"/>
          <w:lang w:eastAsia="en-US"/>
        </w:rPr>
      </w:pPr>
      <w:r w:rsidRPr="003E0486">
        <w:rPr>
          <w:b/>
          <w:i/>
          <w:szCs w:val="24"/>
          <w:lang w:eastAsia="en-US"/>
        </w:rPr>
        <w:lastRenderedPageBreak/>
        <w:t>(30b)</w:t>
      </w:r>
      <w:r w:rsidRPr="003E0486">
        <w:rPr>
          <w:szCs w:val="24"/>
          <w:lang w:eastAsia="en-US"/>
        </w:rPr>
        <w:tab/>
      </w:r>
      <w:r w:rsidRPr="003E0486">
        <w:rPr>
          <w:b/>
          <w:i/>
          <w:szCs w:val="24"/>
          <w:lang w:eastAsia="en-US"/>
        </w:rPr>
        <w:t>For at opnå et fuldt digitalt miljø og en effektiv toldbehandling af varer for alle de parter, der er involveret i international handel, er det nødvendigt at fastsætte fælles regler for et harmoniseret og integreret EU-kvikskrankemiljø på toldområdet. Dette miljø bør omfatte EU-tolddatacentret og de ikketoldrelaterede EU-systemer, der er omhandlet i bilag Ia til denne forordning. EU-tolddatacentret bør muliggøre udveksling af oplysninger med ikketoldrelaterede EU-systemer i overensstemmelse med kvikskrankemiljøet på toldområdet. EU-kvikskrankemiljøet på toldområdet bør udvikles under hensyntagen til mulighederne for troværdig identifikation og autentifikation i henhold til Europa-Parlamentets og Rådets forordning (EU) nr. 910/2014</w:t>
      </w:r>
      <w:r w:rsidRPr="003E0486">
        <w:rPr>
          <w:szCs w:val="24"/>
          <w:vertAlign w:val="superscript"/>
          <w:lang w:val="en-GB" w:eastAsia="en-US"/>
        </w:rPr>
        <w:footnoteReference w:id="18"/>
      </w:r>
      <w:r w:rsidRPr="003E0486">
        <w:rPr>
          <w:b/>
          <w:i/>
          <w:szCs w:val="24"/>
          <w:lang w:eastAsia="en-US"/>
        </w:rPr>
        <w:t xml:space="preserve"> og, hvis det er relevant, til engangsprincippet som gentaget i Europa-Parlamentets og Rådets forordning (EU) 2018/1724</w:t>
      </w:r>
      <w:r w:rsidRPr="003E0486">
        <w:rPr>
          <w:szCs w:val="24"/>
          <w:vertAlign w:val="superscript"/>
          <w:lang w:val="en-GB" w:eastAsia="en-US"/>
        </w:rPr>
        <w:footnoteReference w:id="19"/>
      </w:r>
      <w:r w:rsidRPr="003E0486">
        <w:rPr>
          <w:b/>
          <w:i/>
          <w:szCs w:val="24"/>
          <w:lang w:eastAsia="en-US"/>
        </w:rPr>
        <w:t>. For at gennemføre EU-kvikskrankemiljøet på toldområdet er det på grundlag af pilotprojektet nødvendigt at etablere et system for udveksling af certifikater, nemlig den elektroniske EU-kvikskranke for udveksling af certifikater på toldområdet (EU CSW-CERTEX), der sammenkobler EU-tolddatacentret og de ikketoldrelaterede EU-systemer, der varetager specifikke ikketoldrelaterede formaliteter. Det er også nødvendigt at integrere EU-tolddatacentret i EU-kvikskrankemiljøet på toldområdet og fastlægge et sæt regler for digitalt administrativt samarbejde inden for rammerne af EU-kvikskrankemiljøet på toldområdet.</w:t>
      </w:r>
      <w:r w:rsidR="005B1591">
        <w:rPr>
          <w:b/>
          <w:szCs w:val="24"/>
          <w:lang w:eastAsia="en-US"/>
        </w:rPr>
        <w:t xml:space="preserve"> [Ændring 21]</w:t>
      </w:r>
    </w:p>
    <w:p w14:paraId="650C8A06" w14:textId="77777777" w:rsidR="003F593B" w:rsidRDefault="003F593B">
      <w:pPr>
        <w:widowControl/>
        <w:rPr>
          <w:b/>
          <w:i/>
          <w:szCs w:val="24"/>
          <w:lang w:eastAsia="en-US"/>
        </w:rPr>
      </w:pPr>
      <w:r>
        <w:rPr>
          <w:b/>
          <w:i/>
          <w:szCs w:val="24"/>
          <w:lang w:eastAsia="en-US"/>
        </w:rPr>
        <w:br w:type="page"/>
      </w:r>
    </w:p>
    <w:p w14:paraId="76A2E1C5" w14:textId="2A55C4E2" w:rsidR="003E0486" w:rsidRPr="005B1591" w:rsidRDefault="003E0486" w:rsidP="003E0486">
      <w:pPr>
        <w:spacing w:before="120" w:after="120" w:line="360" w:lineRule="auto"/>
        <w:ind w:left="850" w:hanging="850"/>
        <w:rPr>
          <w:b/>
          <w:szCs w:val="24"/>
          <w:lang w:eastAsia="en-US"/>
        </w:rPr>
      </w:pPr>
      <w:r w:rsidRPr="003E0486">
        <w:rPr>
          <w:b/>
          <w:i/>
          <w:szCs w:val="24"/>
          <w:lang w:eastAsia="en-US"/>
        </w:rPr>
        <w:lastRenderedPageBreak/>
        <w:t>(30c)</w:t>
      </w:r>
      <w:r w:rsidRPr="003E0486">
        <w:rPr>
          <w:szCs w:val="24"/>
          <w:lang w:eastAsia="en-US"/>
        </w:rPr>
        <w:tab/>
      </w:r>
      <w:r w:rsidRPr="003E0486">
        <w:rPr>
          <w:b/>
          <w:i/>
          <w:szCs w:val="24"/>
          <w:lang w:eastAsia="en-US"/>
        </w:rPr>
        <w:t>EU-kvikskrankemiljøet på toldområdet bør tilpasses og gøres så interoperabelt som muligt med andre eksisterende eller fremtidige toldrelaterede systemer såsom systemet til centraliseret toldbehandling i henhold til denne forordning. Hvor det er relevant, bør der tilstræbes synergier mellem det europæiske søfartsmiljø med ét kontaktpunkt, der er oprettet ved Europa-Parlamentets og Rådets forordning (EU) 2019/1239</w:t>
      </w:r>
      <w:r w:rsidRPr="003E0486">
        <w:rPr>
          <w:szCs w:val="24"/>
          <w:vertAlign w:val="superscript"/>
          <w:lang w:val="en-GB" w:eastAsia="en-US"/>
        </w:rPr>
        <w:footnoteReference w:id="20"/>
      </w:r>
      <w:r w:rsidRPr="003E0486">
        <w:rPr>
          <w:b/>
          <w:i/>
          <w:szCs w:val="24"/>
          <w:lang w:eastAsia="en-US"/>
        </w:rPr>
        <w:t>, og EU-kvikskrankemiljøet på toldområdet.</w:t>
      </w:r>
      <w:r w:rsidR="005B1591">
        <w:rPr>
          <w:b/>
          <w:szCs w:val="24"/>
          <w:lang w:eastAsia="en-US"/>
        </w:rPr>
        <w:t xml:space="preserve"> [Ændring 22]</w:t>
      </w:r>
    </w:p>
    <w:p w14:paraId="61BC3222" w14:textId="601ED8C3" w:rsidR="003E0486" w:rsidRPr="005B1591" w:rsidRDefault="003E0486" w:rsidP="003E0486">
      <w:pPr>
        <w:spacing w:before="120" w:after="120" w:line="360" w:lineRule="auto"/>
        <w:ind w:left="850" w:hanging="850"/>
        <w:rPr>
          <w:b/>
          <w:szCs w:val="24"/>
          <w:lang w:eastAsia="en-US"/>
        </w:rPr>
      </w:pPr>
      <w:r w:rsidRPr="003E0486">
        <w:rPr>
          <w:b/>
          <w:i/>
          <w:szCs w:val="24"/>
          <w:lang w:eastAsia="en-US"/>
        </w:rPr>
        <w:t>(30d)</w:t>
      </w:r>
      <w:r w:rsidRPr="003E0486">
        <w:rPr>
          <w:szCs w:val="24"/>
          <w:lang w:eastAsia="en-US"/>
        </w:rPr>
        <w:tab/>
      </w:r>
      <w:r w:rsidRPr="003E0486">
        <w:rPr>
          <w:b/>
          <w:i/>
          <w:szCs w:val="24"/>
          <w:lang w:eastAsia="en-US"/>
        </w:rPr>
        <w:t>Det er nødvendigt, at EU-kvikskrankemiljøet på toldområdet integrerer løsninger, der sikrer et højt cybersikkerhedsniveau, for så vidt muligt at forebygge angreb, der kan forstyrre de toldrelaterede og ikketoldrelaterede systemer, skade handelssikkerheden eller skade Unionens økonomi. Cybersikkerhedsstandarderne bør udformes, så de udvikler sig i samme tempo som de reguleringsmæssige krav til netværksinformationssikkerhed. Kommissionen og medlemsstaterne bør i forbindelse med udviklingen, driften og vedligeholdelsen af EU-kvikskrankemiljøet på toldområdet følge passende retningslinjer vedrørende cybersikkerhed fra Den Europæiske Unions Agentur for Cybersikkerhed (ENISA).</w:t>
      </w:r>
      <w:r w:rsidR="005B1591">
        <w:rPr>
          <w:b/>
          <w:szCs w:val="24"/>
          <w:lang w:eastAsia="en-US"/>
        </w:rPr>
        <w:t xml:space="preserve"> [Ændring 23]</w:t>
      </w:r>
    </w:p>
    <w:p w14:paraId="72050834" w14:textId="77777777" w:rsidR="002125A1" w:rsidRDefault="002125A1">
      <w:pPr>
        <w:widowControl/>
        <w:rPr>
          <w:b/>
          <w:i/>
          <w:szCs w:val="24"/>
          <w:lang w:eastAsia="en-US"/>
        </w:rPr>
      </w:pPr>
      <w:r>
        <w:rPr>
          <w:b/>
          <w:i/>
          <w:szCs w:val="24"/>
          <w:lang w:eastAsia="en-US"/>
        </w:rPr>
        <w:br w:type="page"/>
      </w:r>
    </w:p>
    <w:p w14:paraId="0BDC2E07" w14:textId="52E032DC" w:rsidR="003E0486" w:rsidRPr="005B1591" w:rsidRDefault="003E0486" w:rsidP="003E0486">
      <w:pPr>
        <w:spacing w:before="120" w:after="120" w:line="360" w:lineRule="auto"/>
        <w:ind w:left="850" w:hanging="850"/>
        <w:rPr>
          <w:b/>
          <w:szCs w:val="24"/>
          <w:lang w:eastAsia="en-US"/>
        </w:rPr>
      </w:pPr>
      <w:r w:rsidRPr="003E0486">
        <w:rPr>
          <w:b/>
          <w:i/>
          <w:szCs w:val="24"/>
          <w:lang w:eastAsia="en-US"/>
        </w:rPr>
        <w:lastRenderedPageBreak/>
        <w:t>(30e)</w:t>
      </w:r>
      <w:r w:rsidRPr="003E0486">
        <w:rPr>
          <w:szCs w:val="24"/>
          <w:lang w:eastAsia="en-US"/>
        </w:rPr>
        <w:tab/>
      </w:r>
      <w:r w:rsidRPr="003E0486">
        <w:rPr>
          <w:b/>
          <w:i/>
          <w:szCs w:val="24"/>
          <w:lang w:eastAsia="en-US"/>
        </w:rPr>
        <w:t>Udvekslingen af digitale oplysninger gennem EU CSW-CERTEX bør omfatte de ikketoldrelaterede EU-formaliteter, der er fastsat i anden EU-lovgivning end toldlovgivningen, men som toldmyndighedernes har fået til opgave at håndhæve. Ikketoldrelaterede EU-formaliteter omfatter alle transaktioner, der skal udføres af en fysisk person, en økonomisk operatør eller en kompetent partnermyndighed med hensyn til internationale varebevægelser, herunder den del af transporten, der foregår mellem medlemsstater, når det er påkrævet. Disse formaliteter indebærer forskellige forpligtelser i forbindelse med import, eksport eller transit af bestemte varer, og verificeringen af dem ved hjælp af toldkontroller er af grundlæggende betydning for, at EU-kvikskrankemiljøet på toldområdet kan fungere effektivt. EU CSW-CERTEX bør omfatte de digitaliserede formaliteter, der er fastlagt i EU-lovgivningen og forvaltes af de kompetente partnermyndigheder i de elektroniske ikketoldrelaterede EU-systemer, og lagre relevante oplysninger fra samtlige medlemsstater, der er nødvendige for toldbehandlingen. Det er derfor hensigtsmæssigt at udpege de ikketoldrelaterede EU-formaliteter og respektive ikketoldrelaterede EU-systemer, som bør være omfattet af et digitalt samarbejde gennem EU CSW-CERTEX. Navnlig bør definitionen af ikketoldrelaterede EU-systemer være bred og omfatte de forskellige situationer og retlige formuleringer i de EU-retsakter, der har gjort eller vil gøre det muligt at oprette og anvende disse systemer. Datoerne for, hvornår det specifikke ikketoldrelaterede EU-system, der omfatter en ikketoldmæssig EU-formalitet, og de nationale kvikskrankemiljøer på toldområdet senest bør være sammenkoblet med EU CSW-CERTEX, bør desuden præciseres. Disse datoer bør afspejle de datoer for opfyldelse af den specifikke ikketoldrelaterede EU-formalitet, der er fastsat i anden EU-lovgivning end toldlovgivningen, for at muliggøre overholdelse gennem EU-kvikskrankemiljøet på toldområdet. EU CSW-CERTEX bør navnlig i første omgang dække sundhedsmæssige og plantesundhedsmæssige krav, regler for import af økologiske produkter, miljøkrav til fluorholdige drivhusgasser og ozonnedbrydende stoffer samt formaliteter med hensyn til import af kulturgenstande.</w:t>
      </w:r>
      <w:r w:rsidR="005B1591">
        <w:rPr>
          <w:b/>
          <w:szCs w:val="24"/>
          <w:lang w:eastAsia="en-US"/>
        </w:rPr>
        <w:t xml:space="preserve"> [Ændring 24]</w:t>
      </w:r>
    </w:p>
    <w:p w14:paraId="3CB2706E" w14:textId="77777777" w:rsidR="002125A1" w:rsidRDefault="002125A1">
      <w:pPr>
        <w:widowControl/>
        <w:rPr>
          <w:b/>
          <w:i/>
          <w:szCs w:val="24"/>
          <w:lang w:eastAsia="en-US"/>
        </w:rPr>
      </w:pPr>
      <w:r>
        <w:rPr>
          <w:b/>
          <w:i/>
          <w:szCs w:val="24"/>
          <w:lang w:eastAsia="en-US"/>
        </w:rPr>
        <w:br w:type="page"/>
      </w:r>
    </w:p>
    <w:p w14:paraId="18DE76B2" w14:textId="362216DA" w:rsidR="003E0486" w:rsidRPr="005B1591" w:rsidRDefault="003E0486" w:rsidP="003E0486">
      <w:pPr>
        <w:spacing w:before="120" w:after="120" w:line="360" w:lineRule="auto"/>
        <w:ind w:left="850" w:hanging="850"/>
        <w:rPr>
          <w:b/>
          <w:szCs w:val="24"/>
          <w:lang w:eastAsia="en-US"/>
        </w:rPr>
      </w:pPr>
      <w:r w:rsidRPr="003E0486">
        <w:rPr>
          <w:b/>
          <w:i/>
          <w:szCs w:val="24"/>
          <w:lang w:eastAsia="en-US"/>
        </w:rPr>
        <w:lastRenderedPageBreak/>
        <w:t>(30f)</w:t>
      </w:r>
      <w:r w:rsidRPr="003E0486">
        <w:rPr>
          <w:szCs w:val="24"/>
          <w:lang w:eastAsia="en-US"/>
        </w:rPr>
        <w:tab/>
      </w:r>
      <w:r w:rsidRPr="003E0486">
        <w:rPr>
          <w:b/>
          <w:i/>
          <w:szCs w:val="24"/>
          <w:lang w:eastAsia="en-US"/>
        </w:rPr>
        <w:t xml:space="preserve">EU CSW-CERTEX bør lette informationsudvekslingen mellem EU-tolddatacentret og de ikketoldrelaterede EU-systemer. Følgelig bør toldmyndighederne og de kompetente partnermyndigheder, når en økonomisk operatør indgiver en toldangivelse eller reeksportangivelse, som kræver, at ikketoldrelaterede EU-formaliteter er blevet opfyldt, automatisk og effektivt kunne udveksle og kontrollere de oplysninger, der er nødvendige for toldbehandlingen. Et forbedret digitalt samarbejde og en bedre koordinering mellem toldmyndighederne og de kompetente partnermyndigheder bør føre til mere integrerede, hurtigere og enklere papirløse procedurer for toldbehandling af varer og bedre håndhævelse og overholdelse af ikketoldrelaterede EU-formaliteter. </w:t>
      </w:r>
      <w:r w:rsidR="005B1591">
        <w:rPr>
          <w:b/>
          <w:szCs w:val="24"/>
          <w:lang w:eastAsia="en-US"/>
        </w:rPr>
        <w:t xml:space="preserve"> [Ændring 25]</w:t>
      </w:r>
    </w:p>
    <w:p w14:paraId="297C4E53" w14:textId="12CE11EE" w:rsidR="003E0486" w:rsidRPr="005B1591" w:rsidRDefault="003E0486" w:rsidP="003E0486">
      <w:pPr>
        <w:spacing w:before="120" w:after="120" w:line="360" w:lineRule="auto"/>
        <w:ind w:left="850" w:hanging="850"/>
        <w:rPr>
          <w:b/>
          <w:szCs w:val="24"/>
          <w:lang w:eastAsia="en-US"/>
        </w:rPr>
      </w:pPr>
      <w:r w:rsidRPr="003E0486">
        <w:rPr>
          <w:b/>
          <w:i/>
          <w:szCs w:val="24"/>
          <w:lang w:eastAsia="en-US"/>
        </w:rPr>
        <w:t>(30g)</w:t>
      </w:r>
      <w:r w:rsidRPr="003E0486">
        <w:rPr>
          <w:szCs w:val="24"/>
          <w:lang w:eastAsia="en-US"/>
        </w:rPr>
        <w:tab/>
      </w:r>
      <w:r w:rsidRPr="003E0486">
        <w:rPr>
          <w:b/>
          <w:i/>
          <w:szCs w:val="24"/>
          <w:lang w:eastAsia="en-US"/>
        </w:rPr>
        <w:t>Kommissionen bør i samarbejde med medlemsstaterne udvikle, integrere og drive EU CSW-CERTEX, herunder tilbyde medlemsstaterne passende uddannelse i dets funktionsmåde og implementering. Med henblik på at levere hensigtsmæssige, harmoniserede og standardiserede kvikskranketjenester på EU-plan til ikketoldrelaterede EU-formaliteter bør Kommissionen forbinde hvert af de ikketoldrelaterede EU-systemer med EU CSW-CERTEX. Kommissionen bør være ansvarlig for at sammenkoble EU's tolddatacenter med EU CSW-CERTEX, om nødvendigt med EU-Toldmyndighedens bistand.</w:t>
      </w:r>
      <w:r w:rsidR="005B1591">
        <w:rPr>
          <w:b/>
          <w:szCs w:val="24"/>
          <w:lang w:eastAsia="en-US"/>
        </w:rPr>
        <w:t xml:space="preserve"> [Ændring 26]</w:t>
      </w:r>
    </w:p>
    <w:p w14:paraId="46046695" w14:textId="77777777" w:rsidR="002125A1" w:rsidRDefault="002125A1">
      <w:pPr>
        <w:widowControl/>
        <w:rPr>
          <w:szCs w:val="24"/>
          <w:lang w:eastAsia="en-US"/>
        </w:rPr>
      </w:pPr>
      <w:r>
        <w:rPr>
          <w:szCs w:val="24"/>
          <w:lang w:eastAsia="en-US"/>
        </w:rPr>
        <w:br w:type="page"/>
      </w:r>
    </w:p>
    <w:p w14:paraId="20D5A0D1" w14:textId="0A4E469B"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(31)</w:t>
      </w:r>
      <w:r w:rsidRPr="003E0486">
        <w:rPr>
          <w:szCs w:val="24"/>
          <w:lang w:eastAsia="en-US"/>
        </w:rPr>
        <w:tab/>
        <w:t>Et toldrisikoforvaltningslag på EU-plan er afgørende for at sikre en harmoniseret anvendelse af toldkontrol i medlemsstaterne.  Der findes i øjeblikket en fælles ramme for risikoforvaltning, der giver mulighed for at identificere fælles prioriterede kontrolområder og fælles risikokriterier og -standarder med hensyn til finansielle risici med henblik på at udføre toldkontrol, men den har betydelige mangler. For at afhjælpe manglen på harmoniseret anvendelse af toldkontrol og harmoniseret risikoforvaltning, der skader Unionens og medlemsstaternes finansielle og ikkefinansielle interesser, bør reglerne revideres for at fastlægge en mere solid tilgang til risikoforvaltning, der tager højde for både finansielle og ikkefinansielle risici. Dette omfatter håndtering af de strukturelle udfordringer i forbindelse med risikoforvaltning af finansielle risici, som Den Europæiske Revisionsret har identificeret. Det er navnlig hensigtsmæssigt at beskrive, hvilke aktiviteter der indgår i toldrisikoforvaltning, ved hjælp af en cyklisk tilgang. Det er også vigtigt at fastlægge Kommissionens, EU-Toldmyndighedens og medlemsstaternes toldmyndigheders roller og ansvarsområder. Det er også af afgørende betydning at fastsætte, at Kommissionen kan fastlægge fælles prioriterede kontrolområder og fælles risikokriterier og -standarder, og at den kan udpege specifikke områder inden for anden lovgivning, der anvendes af toldmyndighederne, når disse fortjener prioritet behandling med hensyn til fælles risikoforvaltning og kontrol, uden at det går ud over sikkerheden.</w:t>
      </w:r>
      <w:r w:rsidRPr="003E0486">
        <w:rPr>
          <w:b/>
          <w:i/>
          <w:szCs w:val="24"/>
          <w:lang w:eastAsia="en-US"/>
        </w:rPr>
        <w:t xml:space="preserve"> Dette kræver tæt samarbejde med kompetente myndigheder, der håndhæver anden lovgivning, som anvendes af toldmyndighederne, med særligt fokus på samarbejde med markedsovervågningsmyndigheder.</w:t>
      </w:r>
      <w:r w:rsidR="005B1591">
        <w:rPr>
          <w:b/>
          <w:szCs w:val="24"/>
          <w:lang w:eastAsia="en-US"/>
        </w:rPr>
        <w:t xml:space="preserve"> [Ændring 27]</w:t>
      </w:r>
    </w:p>
    <w:p w14:paraId="01E250D9" w14:textId="77777777" w:rsidR="002125A1" w:rsidRDefault="002125A1">
      <w:pPr>
        <w:widowControl/>
        <w:rPr>
          <w:szCs w:val="24"/>
          <w:lang w:eastAsia="en-US"/>
        </w:rPr>
      </w:pPr>
      <w:r>
        <w:rPr>
          <w:szCs w:val="24"/>
          <w:lang w:eastAsia="en-US"/>
        </w:rPr>
        <w:br w:type="page"/>
      </w:r>
    </w:p>
    <w:p w14:paraId="3E874386" w14:textId="2AA1E941"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(32)</w:t>
      </w:r>
      <w:r w:rsidRPr="003E0486">
        <w:rPr>
          <w:szCs w:val="24"/>
          <w:lang w:eastAsia="en-US"/>
        </w:rPr>
        <w:tab/>
        <w:t>Der bør derfor indføres risikoforvaltningsaktiviteter og -bestemmelser for at sikre indsamling på EU-plan af omfattende risikoforvaltningsrelevante data, herunder resultater og evaluering af alle kontroller. I risikoforvaltningen på EU-plan indgår bestemmelser om fælles risikoanalyse og udstedelse af tilsvarende EU-kontrolanbefalinger til toldmyndighederne. Disse kontrolanbefalinger bør gennemføres, eller der bør gives en begrundelse for, hvorfor de ikke er blevet anvendt</w:t>
      </w:r>
      <w:r w:rsidRPr="003E0486">
        <w:rPr>
          <w:b/>
          <w:i/>
          <w:szCs w:val="24"/>
          <w:lang w:eastAsia="en-US"/>
        </w:rPr>
        <w:t>. I overensstemmelse med princippet om at "overholde eller forklare" bør disse kontrolanbefalinger gennemføres, medmindre der anføres tvingende grunde til ikke at anvende dem. Der bør etableres en ramme med henblik på at skabe sikkerhed om situationer, hvor det er tilladt at afvige fra disse anbefalinger, eksempelvis når andre presserende prioriteter har forrang</w:t>
      </w:r>
      <w:r w:rsidRPr="003E0486">
        <w:rPr>
          <w:szCs w:val="24"/>
          <w:lang w:eastAsia="en-US"/>
        </w:rPr>
        <w:t>. Der bør også gives mulighed for at give instruks om, at varer bestemt til Unionen ikke må lastes eller transporteres. Analysen af risici og trusler på EU-plan bør baseres på konstant ajourførte data på EU-plan og bør identificere de foranstaltninger og kontroller, der skal gennemføres ved grænseovergangsstederne for ind- og udpassage af Unionens område. I forbindelse med samarbejdet med navnlig retshåndhævende myndigheder og sikkerhedsmyndigheder bør risikoforvaltning på EU-plan, hvor det er muligt, bidrage til og drage fordel af strategiske analyser og trusselsvurderinger, der foretages på EU-plan, herunder dem, der foretages af Den Europæiske Unions Agentur for Retshåndhævelsessamarbejde (Europol) og Det Europæiske Agentur for Grænse- og Kystbevogtning (Frontex), med henblik på at bidrage til en effektiv forebyggelse og bekæmpelse af kriminalitet.</w:t>
      </w:r>
      <w:r w:rsidRPr="003E0486">
        <w:rPr>
          <w:b/>
          <w:i/>
          <w:szCs w:val="24"/>
          <w:lang w:eastAsia="en-US"/>
        </w:rPr>
        <w:t xml:space="preserve"> Alvorlige eller gentagne overtrædelser af anden lovgivning anvendt af toldmyndigheder, som afsløres af toldmyndigheder eller andre kompetente myndigheder, bør indvirke på importørers, eksportørers eller formelle importørers risikoprofil.</w:t>
      </w:r>
      <w:r w:rsidR="005B1591">
        <w:rPr>
          <w:b/>
          <w:szCs w:val="24"/>
          <w:lang w:eastAsia="en-US"/>
        </w:rPr>
        <w:t xml:space="preserve"> [Ændring 28]</w:t>
      </w:r>
    </w:p>
    <w:p w14:paraId="70CD6DEA" w14:textId="77777777" w:rsidR="002125A1" w:rsidRDefault="002125A1">
      <w:pPr>
        <w:widowControl/>
        <w:rPr>
          <w:szCs w:val="24"/>
          <w:lang w:eastAsia="en-US"/>
        </w:rPr>
      </w:pPr>
      <w:r>
        <w:rPr>
          <w:szCs w:val="24"/>
          <w:lang w:eastAsia="en-US"/>
        </w:rPr>
        <w:br w:type="page"/>
      </w:r>
    </w:p>
    <w:p w14:paraId="66363E19" w14:textId="624449B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(33)</w:t>
      </w:r>
      <w:r w:rsidRPr="003E0486">
        <w:rPr>
          <w:szCs w:val="24"/>
          <w:lang w:eastAsia="en-US"/>
        </w:rPr>
        <w:tab/>
        <w:t>Processen med at henføre varer under en toldprocedure skal tages op til fornyet overvejelse for at afspejle de nye roller og ansvarsområder for de personer, der er involveret i proceduren. Ansvaret for at give toldmyndighederne oplysningerne skal således påhvile den person, der er ansvarlig for varerne: importøren, eksportøren eller den ansvarlige for forsendelsesproceduren i stedet for klarereren. De bør meddele dataene til toldmyndighederne eller gøre dem tilgængelige for dem, så snart de foreligger, og under alle omstændigheder inden varernes frigivelse til en toldprocedure, således at toldmyndighederne kan foretage en risikoanalyse og træffe passende foranstaltninger. Da de formelle importører inden for e-handel har en større mængde transaktioner og er forpligtede til at beregne toldskylden på salgstidspunktet i modsætning til det tidspunkt, hvor varerne frigives, er det hensigtsmæssigt at tilpasse tidspunktet for deres indberetningsforpligtelse. Formelle importører bør derfor meddele data om deres salg af varer, der skal importeres, senest dagen efter, at betalingen modtages. Derimod bør toldmyndighederne under behørigt begrundede omstændigheder kunne tillade, at tillid og kontrol-erhvervsdrivende færdiggør indberetningen af data om deres frigivne varer på et senere tidspunkt, da disse erhvervsdrivende konstant udveksler data om deres transaktioner med toldmyndighederne og bør betragtes som pålidelige. Sådanne omstændigheder kan være, at det er umuligt at fastsætte varernes endelige toldværdi på tidspunktet for frigivelsen, fordi den er knyttet til en futures-kontrakt, eller at det er nødvendigt at indhente den relevante dokumentation, uden at denne har indflydelse på beregningen af toldskylden.</w:t>
      </w:r>
    </w:p>
    <w:p w14:paraId="2939C95F" w14:textId="77777777" w:rsidR="002125A1" w:rsidRDefault="002125A1">
      <w:pPr>
        <w:widowControl/>
        <w:rPr>
          <w:szCs w:val="24"/>
          <w:lang w:eastAsia="en-US"/>
        </w:rPr>
      </w:pPr>
      <w:r>
        <w:rPr>
          <w:szCs w:val="24"/>
          <w:lang w:eastAsia="en-US"/>
        </w:rPr>
        <w:br w:type="page"/>
      </w:r>
    </w:p>
    <w:p w14:paraId="49F93DCB" w14:textId="13FE98D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(34)</w:t>
      </w:r>
      <w:r w:rsidRPr="003E0486">
        <w:rPr>
          <w:szCs w:val="24"/>
          <w:lang w:eastAsia="en-US"/>
        </w:rPr>
        <w:tab/>
        <w:t>For at forenkle toldprocessen for varers indpassage i Unionens toldområde og samtidig sikre, at der kun er én person, der er ansvarlig for disse varer, bør forskellige aktører i forsyningskæden meddele deres del af de relevante oplysninger om de pågældende varer og knytte dem til en bestemt forsendelse. Varer bør kun føres ind, hvis der er en importør, der er etableret i Unionen, og som påtager sig ansvaret for disse varer. Importøren bør meddele oplysninger om varerne og den toldprocedure, som de bør henføres under, til toldvæsenet så tidligt som muligt, om muligt inden varernes fysiske ankomst. En tjenesteyder eller toldagent bør kunne meddele oplysninger i importørens navn og på dennes vegne, men importøren er fortsat ansvarlig for at sikre, at varerne er i overensstemmelse med de finansielle og ikke-finansielle risici. De transportører, der faktisk transporterer varerne, bør også meddele nogle oplysninger om varerne inden lastning eller ankomst ("forhåndsoplysninger for fragt") og bør knytte deres oplysninger til importørens oplysninger, hvis de tidligere er meddelt, uden nødvendigvis at have adgang til alle de data, som importøren har meddelt. For at tage højde for de mere komplekse forsyningskæder og transportnet kan det desuden kræves, at andre personer supplerer oplysningerne om de varer, der skal føres ind i Unionens toldområde. Importøren, transportøren eller enhver anden person, der indgiver oplysninger til toldmyndighederne, bør være forpligtet til at ændre dem, hvis de ved, at oplysningerne ikke længere er korrekte, men inden toldmyndighederne har opdaget uregelmæssigheder, som de ønsker at kontrollere.</w:t>
      </w:r>
    </w:p>
    <w:p w14:paraId="72C07980" w14:textId="77777777" w:rsidR="002125A1" w:rsidRDefault="002125A1">
      <w:pPr>
        <w:widowControl/>
        <w:rPr>
          <w:szCs w:val="24"/>
          <w:lang w:eastAsia="en-US"/>
        </w:rPr>
      </w:pPr>
      <w:r>
        <w:rPr>
          <w:szCs w:val="24"/>
          <w:lang w:eastAsia="en-US"/>
        </w:rPr>
        <w:br w:type="page"/>
      </w:r>
    </w:p>
    <w:p w14:paraId="79C4601F" w14:textId="7C762BE4"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(35)</w:t>
      </w:r>
      <w:r w:rsidRPr="003E0486">
        <w:rPr>
          <w:szCs w:val="24"/>
          <w:lang w:eastAsia="en-US"/>
        </w:rPr>
        <w:tab/>
        <w:t>De toldmyndigheder, der er ansvarlige for stedet for varernes første indpassage, bør foretage en risikoanalyse af de tilgængelige oplysninger om disse varer og være berettiget til at træffe en lang række afbødende foranstaltninger, hvis de konstaterer en risiko, herunder at anmode en anden toldmyndighed eller andre myndigheder om at foretage kontrol før lastning eller ved varernes ankomst til Unionens toldområde. Transportøren er generelt bedst i stand til at vide, hvornår varerne er ankommet, så de bør underrette toldmyndighederne om en sådan ankomst</w:t>
      </w:r>
      <w:r w:rsidRPr="003E0486">
        <w:rPr>
          <w:b/>
          <w:i/>
          <w:szCs w:val="24"/>
          <w:lang w:eastAsia="en-US"/>
        </w:rPr>
        <w:t>, om muligt ved at anvende det europæiske søfartsmiljø med ét kontaktpunkt i henhold til forordning (EU) 2019/1239</w:t>
      </w:r>
      <w:r w:rsidRPr="003E0486">
        <w:rPr>
          <w:szCs w:val="24"/>
          <w:lang w:eastAsia="en-US"/>
        </w:rPr>
        <w:t>. For at tage højde for de mere komplekse forsyningskæder og transportnet kan det desuden kræves, at andre personer foretager underretningen om varernes ankomst til toldmyndighederne med henblik på deres risikoanalyse. For at sikre, at toldmyndighederne har forhåndsoplysninger for fragt om alle varer, der føres ind i Unionens toldområde, bør transportøren forhindres i at losse varer, som der ikke foreligger oplysninger om, medmindre toldmyndighederne har anmodet transportøren om at frembyde varerne, eller der er en nødsituation, der kræver, at varerne losses. For at lette proceduren for indpassage af varer, for hvilke toldmyndighederne har de relevante forhåndsoplysninger for fragt, bør transportøren derimod ikke være forpligtet til at frembyde varerne for toldmyndighederne i alle tilfælde, men kun på toldmyndighedernes anmodning, eller hvis anden lovgivning, der anvendes af toldmyndighederne, kræver det.</w:t>
      </w:r>
      <w:r w:rsidR="005B1591">
        <w:rPr>
          <w:b/>
          <w:szCs w:val="24"/>
          <w:lang w:eastAsia="en-US"/>
        </w:rPr>
        <w:t xml:space="preserve"> [Ændring 29]</w:t>
      </w:r>
    </w:p>
    <w:p w14:paraId="35C76613" w14:textId="77777777" w:rsidR="002125A1" w:rsidRDefault="002125A1">
      <w:pPr>
        <w:widowControl/>
        <w:rPr>
          <w:szCs w:val="24"/>
          <w:lang w:eastAsia="en-US"/>
        </w:rPr>
      </w:pPr>
      <w:r>
        <w:rPr>
          <w:szCs w:val="24"/>
          <w:lang w:eastAsia="en-US"/>
        </w:rPr>
        <w:br w:type="page"/>
      </w:r>
    </w:p>
    <w:p w14:paraId="7DA87B1F" w14:textId="5D02216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(36)</w:t>
      </w:r>
      <w:r w:rsidRPr="003E0486">
        <w:rPr>
          <w:szCs w:val="24"/>
          <w:lang w:eastAsia="en-US"/>
        </w:rPr>
        <w:tab/>
        <w:t>Ikke-EU-varer, der føres ind i Unionens toldområde, bør anses for at være under midlertidig opbevaring fra det tidspunkt, hvor transportøren meddeler deres ankomst, og indtil de henføres under en toldprocedure, medmindre de allerede er henført under forsendelse. For at sikre passende toldtilsyn bør denne situation være tidsbegrænset. Den bør ikke vare længere end 10 dage, undtagen i særlige tilfælde. Hvis importøren har behov for at oplagre varerne i en længere periode, bør varerne befinde sig i et toldoplag, hvor varerne kan opbevares uden tidsbegrænsning. De eksisterende bevillinger til midlertidige opbevaringssteder bør derfor konverteres til toldoplagsbevillinger, hvis de relevante krav er opfyldt.</w:t>
      </w:r>
    </w:p>
    <w:p w14:paraId="438849D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(37)</w:t>
      </w:r>
      <w:r w:rsidRPr="003E0486">
        <w:rPr>
          <w:szCs w:val="24"/>
          <w:lang w:eastAsia="en-US"/>
        </w:rPr>
        <w:tab/>
        <w:t>Det er nødvendigt at opretholde de regler, der afgør, om varerne er EU-varer eller ikke-EU-varer, og om status som EU-varer kan formodes eller skal bevises, navnlig når varerne midlertidigt forlader Unionens toldområde.</w:t>
      </w:r>
    </w:p>
    <w:p w14:paraId="4A3AD7D4" w14:textId="77777777" w:rsidR="002125A1" w:rsidRDefault="002125A1">
      <w:pPr>
        <w:widowControl/>
        <w:rPr>
          <w:szCs w:val="24"/>
          <w:lang w:eastAsia="en-US"/>
        </w:rPr>
      </w:pPr>
      <w:r>
        <w:rPr>
          <w:szCs w:val="24"/>
          <w:lang w:eastAsia="en-US"/>
        </w:rPr>
        <w:br w:type="page"/>
      </w:r>
    </w:p>
    <w:p w14:paraId="5E84FD57" w14:textId="23D61A0C"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(38)</w:t>
      </w:r>
      <w:r w:rsidRPr="003E0486">
        <w:rPr>
          <w:szCs w:val="24"/>
          <w:lang w:eastAsia="en-US"/>
        </w:rPr>
        <w:tab/>
        <w:t>Når toldmyndighederne har de oplysninger, der er nødvendige for den relevante procedure, bør de på grundlag af en risikoanalysebeslutte, om de skal foretage yderligere kontrol af varerne, frigive dem, afvise eller suspendere deres frigivelse eller lade tiden gå, således at varerne betragtes som frigivet. Toldmyndighederne bør i den forbindelse samarbejde med andre myndigheder, hvor det er nødvendigt. Toldmyndighederne bør derfor afvise at frigive varerne, hvis de har bevis for, at varerne ikke opfylder gældende lovmæssige krav. Hvis toldmyndighederne skal høre andre myndigheder for at afgøre, om varerne opfylder kravene, bør de suspendere frigivelsen, i det mindste indtil denne høring finder sted. I disse tilfælde bør toldmyndighedernes efterfølgende afgørelse vedrørende varerne være afhængigt af de andre myndigheders svar. For at undgå at blokere både erhvervsdrivende og myndigheder i de tilfælde, hvor det tager nogen tid at nå frem til konklusioner med hensyn til overholdelsen, bør toldmyndighederne have mulighed for at frigive varerne på betingelse af, at den erhvervsdrivende fortsat oplyser, hvor varerne befinder sig</w:t>
      </w:r>
      <w:r w:rsidRPr="003E0486">
        <w:rPr>
          <w:strike/>
          <w:szCs w:val="24"/>
          <w:lang w:eastAsia="en-US"/>
        </w:rPr>
        <w:t>, dog højst i 15 dage</w:t>
      </w:r>
      <w:r w:rsidRPr="003E0486">
        <w:rPr>
          <w:szCs w:val="24"/>
          <w:lang w:eastAsia="en-US"/>
        </w:rPr>
        <w:t xml:space="preserve">. Af hensyn til retssikkerheden for de erhvervsdrivende, der har meddelt oplysningerne rettidigt, uden at toldmyndighederne forpligtes til at reagere på alle forsendelser, bør de varer, der ikke er blevet udtaget til kontrol </w:t>
      </w:r>
      <w:r w:rsidRPr="003E0486">
        <w:rPr>
          <w:b/>
          <w:i/>
          <w:szCs w:val="24"/>
          <w:lang w:eastAsia="en-US"/>
        </w:rPr>
        <w:t xml:space="preserve">hurtigst muligt og senest </w:t>
      </w:r>
      <w:r w:rsidRPr="003E0486">
        <w:rPr>
          <w:szCs w:val="24"/>
          <w:lang w:eastAsia="en-US"/>
        </w:rPr>
        <w:t xml:space="preserve">inden for </w:t>
      </w:r>
      <w:r w:rsidRPr="003E0486">
        <w:rPr>
          <w:strike/>
          <w:szCs w:val="24"/>
          <w:lang w:eastAsia="en-US"/>
        </w:rPr>
        <w:t>en rimelig frist</w:t>
      </w:r>
      <w:r w:rsidRPr="003E0486">
        <w:rPr>
          <w:b/>
          <w:i/>
          <w:szCs w:val="24"/>
          <w:lang w:eastAsia="en-US"/>
        </w:rPr>
        <w:t>30 kalenderdage</w:t>
      </w:r>
      <w:r w:rsidRPr="003E0486">
        <w:rPr>
          <w:szCs w:val="24"/>
          <w:lang w:eastAsia="en-US"/>
        </w:rPr>
        <w:t>, anses for at være frigivet.</w:t>
      </w:r>
      <w:r w:rsidRPr="003E0486">
        <w:rPr>
          <w:strike/>
          <w:szCs w:val="24"/>
          <w:lang w:eastAsia="en-US"/>
        </w:rPr>
        <w:t xml:space="preserve"> Kommissionen bør have ret til at fastsætte denne frist i delegerede regler og om nødvendigt tilpasse den til typen af trafik eller typen af grænseovergangssteder.</w:t>
      </w:r>
      <w:r w:rsidR="005B1591">
        <w:rPr>
          <w:b/>
          <w:szCs w:val="24"/>
          <w:lang w:eastAsia="en-US"/>
        </w:rPr>
        <w:t xml:space="preserve"> [Ændring 30]</w:t>
      </w:r>
    </w:p>
    <w:p w14:paraId="3E85188C" w14:textId="77777777" w:rsidR="002125A1" w:rsidRDefault="002125A1">
      <w:pPr>
        <w:widowControl/>
        <w:rPr>
          <w:szCs w:val="24"/>
          <w:lang w:eastAsia="en-US"/>
        </w:rPr>
      </w:pPr>
      <w:r>
        <w:rPr>
          <w:szCs w:val="24"/>
          <w:lang w:eastAsia="en-US"/>
        </w:rPr>
        <w:br w:type="page"/>
      </w:r>
    </w:p>
    <w:p w14:paraId="2EF7DCB5" w14:textId="08D35972"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(39)</w:t>
      </w:r>
      <w:r w:rsidRPr="003E0486">
        <w:rPr>
          <w:szCs w:val="24"/>
          <w:lang w:eastAsia="en-US"/>
        </w:rPr>
        <w:tab/>
        <w:t>I det omfang tillid og kontrol-erhvervsdrivende giver toldmyndighederne fuld adgang til deres systemer, regnskaber og transaktioner og anses for pålidelige, bør de kunne frigive deres varer under toldmyndighedernes tilsyn, men uden at afvente på deres indgriben. Tillid og kontrol-erhvervsdrivende bør derfor kunne frigive varer til en hvilken som helst indpassageprocedure ved modtagelsen på varernes endelige bestemmelsessted eller til en hvilken som helst udpassageprocedure på varernes leveringssted. Da tillid og kontrol-erhvervsdrivende anses for at være gennemsigtige, bør ankomsten og/eller leveringen registreres korrekt i EU's tolddatacenter. Disse operatører bør være forpligtet til at underrette toldmyndighederne, hvis der opstår et problem, således at disse myndigheder kan træffe en endelig afgørelse om frigivelsen. Hvis tillid og kontrol-erhvervsdrivende interne kontrolsystemer er tilstrækkeligt robuste, bør toldmyndighederne i samarbejde med andre myndigheder kunne give de erhvervsdrivende tilladelse til selv at foretage visse kontroller. Toldmyndighederne bør dog bevare muligheden for til enhver tid at kontrollere varerne.</w:t>
      </w:r>
      <w:r w:rsidRPr="003E0486">
        <w:rPr>
          <w:b/>
          <w:i/>
          <w:szCs w:val="24"/>
          <w:lang w:eastAsia="en-US"/>
        </w:rPr>
        <w:t xml:space="preserve"> Personer, der gentagne gange eller på alvorlig vis har overtrådt anden EU-lovgivning, som anvendes af toldmyndighederne, bør ikke tildeles tillid og kontrol-status. </w:t>
      </w:r>
      <w:r w:rsidR="005B1591">
        <w:rPr>
          <w:b/>
          <w:szCs w:val="24"/>
          <w:lang w:eastAsia="en-US"/>
        </w:rPr>
        <w:t xml:space="preserve"> [Ændring 31]</w:t>
      </w:r>
    </w:p>
    <w:p w14:paraId="3B3BB68E" w14:textId="77777777" w:rsidR="002125A1" w:rsidRDefault="002125A1">
      <w:pPr>
        <w:widowControl/>
        <w:rPr>
          <w:szCs w:val="24"/>
          <w:lang w:eastAsia="en-US"/>
        </w:rPr>
      </w:pPr>
      <w:r>
        <w:rPr>
          <w:szCs w:val="24"/>
          <w:lang w:eastAsia="en-US"/>
        </w:rPr>
        <w:br w:type="page"/>
      </w:r>
    </w:p>
    <w:p w14:paraId="75DAC705" w14:textId="130B800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(40)</w:t>
      </w:r>
      <w:r w:rsidRPr="003E0486">
        <w:rPr>
          <w:szCs w:val="24"/>
          <w:lang w:eastAsia="en-US"/>
        </w:rPr>
        <w:tab/>
        <w:t>Der bør træffes foranstaltninger til at regulere overgangen fra et system baseret på toldangivelser til et system baseret på indgivelse af oplysninger til EU's centrale tolddatacenter. Operatører bør have mulighed for at indgive toldangivelser for at angive, at de har til hensigt at henføre varer under en toldprocedure i overgangsperioden. Så snart funktionerne i EU's tolddatacenter er til rådighed, bør operatørerne dog også have mulighed for gennem EU's tolddatacenter at meddele oplysninger til toldmyndighederne eller gøre dem tilgængelige for dem, og toldmyndighederne bør ikke længere give operatører tilladelse til at ansøge om forenklinger i forbindelse med toldangivelsen. Ved overgangsperiodens udløb bør alle bevillinger ophøre med at være gyldige, da toldangivelser ikke længere vil eksistere.</w:t>
      </w:r>
    </w:p>
    <w:p w14:paraId="6511FEA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(41)</w:t>
      </w:r>
      <w:r w:rsidRPr="003E0486">
        <w:rPr>
          <w:szCs w:val="24"/>
          <w:lang w:eastAsia="en-US"/>
        </w:rPr>
        <w:tab/>
        <w:t>I henhold til artikel 29 i traktaten om Den Europæiske Unions funktionsmåde (TEUF) betragtes fra tredjeland hidrørende varer som varer, der frit kan omsættes, hvis formaliteterne i forbindelse med importen er blevet opfyldt, og der er opkrævet told og afgifter med tilsvarende virkning. Overgang til fri omsætning bør dog ikke forstås som et bevis for overholdelse af anden lovgivning, der anvendes af toldmyndighederne, når sidstnævnte stiller særlige krav til varer, der skal sælges eller forbruges på det indre marked.</w:t>
      </w:r>
    </w:p>
    <w:p w14:paraId="697AE0D4" w14:textId="77777777" w:rsidR="002125A1" w:rsidRDefault="002125A1">
      <w:pPr>
        <w:widowControl/>
        <w:rPr>
          <w:szCs w:val="24"/>
          <w:lang w:eastAsia="en-US"/>
        </w:rPr>
      </w:pPr>
      <w:r>
        <w:rPr>
          <w:szCs w:val="24"/>
          <w:lang w:eastAsia="en-US"/>
        </w:rPr>
        <w:br w:type="page"/>
      </w:r>
    </w:p>
    <w:p w14:paraId="7E6345F9" w14:textId="7CD744E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(42)</w:t>
      </w:r>
      <w:r w:rsidRPr="003E0486">
        <w:rPr>
          <w:szCs w:val="24"/>
          <w:lang w:eastAsia="en-US"/>
        </w:rPr>
        <w:tab/>
        <w:t>Processen med at føre varer ud af Unionens toldområde bør strømlines og forenkles i overensstemmelse med processen for at føre varer ind. Det bør derfor kræves, at en person, der er etableret i Unionen, er ansvarlig for varerne, dvs. eksportøren. Eksportøren bør meddele toldmyndighederne de relevante oplysninger eller gøre dem tilgængelige for dem, inden varerne føres ud af Unionen, med angivelse af, om der er tale om eksport af EU-varer eller ikke-EU-varer, og tilpasse de nødvendige oplysninger. For at forenkle processen og undgå potentielle smuthuller bør begrebet eksport omfatte udpassage af ikke-EU-varer og dermed også omfatte begrebet "reeksport", som tidligere blev reguleret som et særskilt begreb.</w:t>
      </w:r>
    </w:p>
    <w:p w14:paraId="4180649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(43)</w:t>
      </w:r>
      <w:r w:rsidRPr="003E0486">
        <w:rPr>
          <w:szCs w:val="24"/>
          <w:lang w:eastAsia="en-US"/>
        </w:rPr>
        <w:tab/>
        <w:t>For at sikre en korrekt risikoforvaltning med hensyn til varer, der føres ud af Unionens toldområde, bør det toldsted, der er ansvarligt for eksporten, pålægges at foretage en risikoanalyse af oplysningerne om varerne og træffe eller anmode om passende foranstaltninger inden varernes udpassage. Disse foranstaltninger bør omfatte anmodninger om, at det toldsted, der er ansvarligt for varernes afsendelsessted, udpassagetoldstedet og om nødvendigt andre myndigheder foretager kontrol, hvilket supplerer de foranstaltninger, der er fastsat i forbindelse med frigivelsen til en toldprocedure, som også finder anvendelse, når varerne skal henføres under eksport.</w:t>
      </w:r>
    </w:p>
    <w:p w14:paraId="438B5F67" w14:textId="77777777" w:rsidR="002125A1" w:rsidRDefault="002125A1">
      <w:pPr>
        <w:widowControl/>
        <w:rPr>
          <w:szCs w:val="24"/>
          <w:lang w:eastAsia="en-US"/>
        </w:rPr>
      </w:pPr>
      <w:r>
        <w:rPr>
          <w:szCs w:val="24"/>
          <w:lang w:eastAsia="en-US"/>
        </w:rPr>
        <w:br w:type="page"/>
      </w:r>
    </w:p>
    <w:p w14:paraId="759F7D2B" w14:textId="2A10048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(44)</w:t>
      </w:r>
      <w:r w:rsidRPr="003E0486">
        <w:rPr>
          <w:szCs w:val="24"/>
          <w:lang w:eastAsia="en-US"/>
        </w:rPr>
        <w:tab/>
        <w:t>For at sikre, at procedurerne vedrørende afgiftssuspension også er gennemsigtige, er det hensigtsmæssigt at strømline bestemmelserne om krav med henblik på bevillinger til særlige procedurer. Navnlig af hensyn til klarheden og retssikkerheden bør betingelserne for at afgøre, om en udtalelse på EU-plan er nødvendig for at vurdere, om indrømmelse af en bevilling berører EU-producenternes væsentlige interesser negativt, den såkaldte undersøgelse af de økonomiske forudsætninger, kodificeres i stedet for at lade den være reguleret i delegerede regler. Da indvirkningen på EU-producenternes interesser desuden kan afhænge af mængden af varer, der er henført under den særlige procedure, bør EU-Toldmyndigheden have ret til at foreslå en bestemt tærskel, hvorunder der skønnes ikke at være nogen negativ indvirkning på EU-producenternes interesser.</w:t>
      </w:r>
    </w:p>
    <w:p w14:paraId="74C11D49" w14:textId="77777777" w:rsidR="002125A1" w:rsidRDefault="002125A1">
      <w:pPr>
        <w:widowControl/>
        <w:rPr>
          <w:szCs w:val="24"/>
          <w:lang w:eastAsia="en-US"/>
        </w:rPr>
      </w:pPr>
      <w:r>
        <w:rPr>
          <w:szCs w:val="24"/>
          <w:lang w:eastAsia="en-US"/>
        </w:rPr>
        <w:br w:type="page"/>
      </w:r>
    </w:p>
    <w:p w14:paraId="0291E10C" w14:textId="54D7C58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(45)</w:t>
      </w:r>
      <w:r w:rsidRPr="003E0486">
        <w:rPr>
          <w:szCs w:val="24"/>
          <w:lang w:eastAsia="en-US"/>
        </w:rPr>
        <w:tab/>
        <w:t>Artikel 9 i den reviderede konvention om sejlads på Rhinen henviser til et bilag (Rhin-manifestet), der lettede varebevægelserne på Rhinen og de dermed forbundne bifloder ved at betragte dem som en toldforsendelsesprocedure over fem medlemsstaters nationale grænser.</w:t>
      </w:r>
      <w:r w:rsidRPr="003E0486">
        <w:rPr>
          <w:szCs w:val="24"/>
          <w:vertAlign w:val="superscript"/>
          <w:lang w:val="en-GB" w:eastAsia="en-US"/>
        </w:rPr>
        <w:footnoteReference w:id="21"/>
      </w:r>
      <w:r w:rsidRPr="003E0486">
        <w:rPr>
          <w:szCs w:val="24"/>
          <w:lang w:eastAsia="en-US"/>
        </w:rPr>
        <w:t xml:space="preserve"> Ifølge oplysninger fra toldmyndighederne anvendes Rhinmanifestet ikke længere i praksis som en toldforsendelsesprocedure i de stater, der grænser op til Rhinen. I stedet transporteres varer på Rhinen og dens bifloder nu via proceduren for EU-forsendelse, der er fastsat i kodeksen, gennem det nye IT-baserede forsendelsessystem (NCTS). Henvisningen til Rhinmanifestet bør derfor udgå for så vidt angår de tilfælde, hvor en varebevægelse betragtes som ekstern forsendelse eller som EU-forsendelse.</w:t>
      </w:r>
    </w:p>
    <w:p w14:paraId="5F8996B7" w14:textId="77777777" w:rsidR="002125A1" w:rsidRDefault="002125A1">
      <w:pPr>
        <w:widowControl/>
        <w:rPr>
          <w:szCs w:val="24"/>
          <w:lang w:eastAsia="en-US"/>
        </w:rPr>
      </w:pPr>
      <w:r>
        <w:rPr>
          <w:szCs w:val="24"/>
          <w:lang w:eastAsia="en-US"/>
        </w:rPr>
        <w:br w:type="page"/>
      </w:r>
    </w:p>
    <w:p w14:paraId="317337BE" w14:textId="1B81144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(46)</w:t>
      </w:r>
      <w:r w:rsidRPr="003E0486">
        <w:rPr>
          <w:szCs w:val="24"/>
          <w:lang w:eastAsia="en-US"/>
        </w:rPr>
        <w:tab/>
        <w:t>For at øge gennemsigtigheden med hensyn til den person, der er ansvarlig for at opfylde forpligtelserne i forbindelse med proceduren for EU-forsendelse, og med hensyn til indholdet af og risiciene i forbindelse med forsendelsen, bør det kræves, at den ansvarlige for forsendelsesproceduren som minimum giver oplysning om den importør eller eksportør, der motiverer bevægelsen, transportmidlet og identifikationen af de varer, der er henført under proceduren. Sådanne oplysninger vil gøre det muligt for toldmyndighederne at føre mere effektivt tilsyn med den berørte procedure for EU-forsendelse og foretage en risikoanalyse. Proceduren for EU-forsendelse bør være obligatorisk, medmindre varer henføres under en anden toldordning umiddelbart efter indpassage i eller udpassage fra Unionens toldområde. Hvis importøren eller eksportøren endnu ikke er kendt, bør ihændehaveren af varerne anses for at være importøren eller eksportøren af varerne og være betalingspligtig for told og andre skatter og afgifter. Proceduren for EU-forsendelse bør erstattes af toldtilsyn, hvis varer importeres eller eksporteres af en tillid og kontrol-erhvervsdrivende</w:t>
      </w:r>
      <w:r w:rsidR="00813C65">
        <w:rPr>
          <w:szCs w:val="24"/>
          <w:lang w:eastAsia="en-US"/>
        </w:rPr>
        <w:t>.</w:t>
      </w:r>
    </w:p>
    <w:p w14:paraId="74536A6A" w14:textId="77777777" w:rsidR="002125A1" w:rsidRDefault="002125A1">
      <w:pPr>
        <w:widowControl/>
        <w:rPr>
          <w:szCs w:val="24"/>
          <w:lang w:eastAsia="en-US"/>
        </w:rPr>
      </w:pPr>
      <w:r>
        <w:rPr>
          <w:szCs w:val="24"/>
          <w:lang w:eastAsia="en-US"/>
        </w:rPr>
        <w:br w:type="page"/>
      </w:r>
    </w:p>
    <w:p w14:paraId="2C2E3836" w14:textId="3C67C73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(47)</w:t>
      </w:r>
      <w:r w:rsidRPr="003E0486">
        <w:rPr>
          <w:szCs w:val="24"/>
          <w:lang w:eastAsia="en-US"/>
        </w:rPr>
        <w:tab/>
        <w:t>En ændring af bilag 6 til toldkonventionen om international godstransport på grundlag af TIR-carneter ("TIR-konventionen")</w:t>
      </w:r>
      <w:r w:rsidRPr="003E0486">
        <w:rPr>
          <w:szCs w:val="24"/>
          <w:vertAlign w:val="superscript"/>
          <w:lang w:val="en-GB" w:eastAsia="en-US"/>
        </w:rPr>
        <w:footnoteReference w:id="22"/>
      </w:r>
      <w:r w:rsidRPr="003E0486">
        <w:rPr>
          <w:szCs w:val="24"/>
          <w:lang w:eastAsia="en-US"/>
        </w:rPr>
        <w:t>, der trådte i kraft den 1. juni 2021, ændrede forklarende bemærkning 0.49 for at give økonomiske operatører, der opfylder visse krav, mulighed for at blive "godkendt afsender", hvilket afspejler de eksisterende lempelser, der indrømmes økonomiske operatører, der er anerkendt som "godkendt modtager". Det er derfor nødvendigt at medtage den nye mulighed, der er indført ved TIR-konventionen, for at bringe Unionens toldlovgivning i overensstemmelse med denne internationale aftale.</w:t>
      </w:r>
    </w:p>
    <w:p w14:paraId="3DCA591C" w14:textId="77777777" w:rsidR="002125A1" w:rsidRDefault="002125A1">
      <w:pPr>
        <w:widowControl/>
        <w:rPr>
          <w:szCs w:val="24"/>
          <w:lang w:eastAsia="en-US"/>
        </w:rPr>
      </w:pPr>
      <w:r>
        <w:rPr>
          <w:szCs w:val="24"/>
          <w:lang w:eastAsia="en-US"/>
        </w:rPr>
        <w:br w:type="page"/>
      </w:r>
    </w:p>
    <w:p w14:paraId="042F4557" w14:textId="34929731"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(48)</w:t>
      </w:r>
      <w:r w:rsidRPr="003E0486">
        <w:rPr>
          <w:szCs w:val="24"/>
          <w:lang w:eastAsia="en-US"/>
        </w:rPr>
        <w:tab/>
      </w:r>
      <w:r w:rsidRPr="003E0486">
        <w:rPr>
          <w:strike/>
          <w:szCs w:val="24"/>
          <w:lang w:eastAsia="en-US"/>
        </w:rPr>
        <w:t>Anvendelse af standardreglerne for beregning af told i forbindelse med e-handelstransaktioner vil i mange tilfælde medføre en uforholdsmæssig stor administrativ byrde for både toldadministrationerne og de økonomiske operatører, navnlig med hensyn til opkrævning. Med henblik på at en solid og effektiv skatte- og toldbehandling af varer, der importeres fra tredjelande via e-handelstransaktioner ("fjernsalg af importerede varer"), ændres EU-lovgivningen for at afskaffe den tærskel, under hvilken varer af ringe værdi, der ikke overstiger 150 EUR pr. forsendelse, fritages for told ved import, jf. Rådets forordning (EF) nr. 1186/2009</w:t>
      </w:r>
      <w:r w:rsidRPr="003E0486">
        <w:rPr>
          <w:szCs w:val="24"/>
          <w:vertAlign w:val="superscript"/>
          <w:lang w:val="en-GB" w:eastAsia="en-US"/>
        </w:rPr>
        <w:footnoteReference w:id="23"/>
      </w:r>
      <w:r w:rsidRPr="003E0486">
        <w:rPr>
          <w:strike/>
          <w:szCs w:val="24"/>
          <w:lang w:eastAsia="en-US"/>
        </w:rPr>
        <w:t>, og for at indføre en forenklet toldbehandling ved fjernsalg af varer importeret fra tredjelande, jf. Rådets forordning (EØF) nr. 2658/87</w:t>
      </w:r>
      <w:r w:rsidRPr="003E0486">
        <w:rPr>
          <w:szCs w:val="24"/>
          <w:vertAlign w:val="superscript"/>
          <w:lang w:val="en-GB" w:eastAsia="en-US"/>
        </w:rPr>
        <w:footnoteReference w:id="24"/>
      </w:r>
      <w:r w:rsidRPr="003E0486">
        <w:rPr>
          <w:strike/>
          <w:szCs w:val="24"/>
          <w:lang w:eastAsia="en-US"/>
        </w:rPr>
        <w:t xml:space="preserve"> (den kombinerede nomenklatur). I lyset af disse foreslåede ændringer bør </w:t>
      </w:r>
      <w:r w:rsidRPr="003E0486">
        <w:rPr>
          <w:szCs w:val="24"/>
          <w:lang w:eastAsia="en-US"/>
        </w:rPr>
        <w:t>Visse regler i kodeksen for tarifering, oprindelse og toldværdi</w:t>
      </w:r>
      <w:r w:rsidRPr="003E0486">
        <w:rPr>
          <w:b/>
          <w:i/>
          <w:szCs w:val="24"/>
          <w:lang w:eastAsia="en-US"/>
        </w:rPr>
        <w:t xml:space="preserve"> bør</w:t>
      </w:r>
      <w:r w:rsidRPr="003E0486">
        <w:rPr>
          <w:szCs w:val="24"/>
          <w:lang w:eastAsia="en-US"/>
        </w:rPr>
        <w:t xml:space="preserve"> ændres for at give mulighed for forenklinger, som den formelle importør frivilligt kan vælge at anvende ved fastsættelsen af told i forbindelse med transaktioner mellem virksomheder og forbrugere, der kan betragtes som fjernsalg i momsmæssig henseende. Forenklingerne bør bestå i muligheden for at beregne den skyldige told ved at anvende en af de nye toldkategorier i den kombinerede nomenklatur på en værdi, der beregnes på en enklere måde. Inden for rammerne af de forenklede regler for e-handelstransaktioner mellem virksomheder og forbrugere bør nettokøbsprisen uden moms, men inklusive de samlede transportomkostninger frem til produktets endelige bestemmelsessted, betragtes som toldværdien, og der bør ikke stilles krav med hensyn til oprindelse. Hvis den pågældende formelle importør imidlertid ønsker at drage fordel af præferencetoldsatser ved at bevise varernes oprindelsesstatus, kan den pågældende gøre dette ved at anvende standardprocedurerne.</w:t>
      </w:r>
      <w:r w:rsidR="005B1591">
        <w:rPr>
          <w:b/>
          <w:szCs w:val="24"/>
          <w:lang w:eastAsia="en-US"/>
        </w:rPr>
        <w:t xml:space="preserve"> [Ændring 32]</w:t>
      </w:r>
    </w:p>
    <w:p w14:paraId="46E91E45" w14:textId="77777777" w:rsidR="002125A1" w:rsidRDefault="002125A1">
      <w:pPr>
        <w:widowControl/>
        <w:rPr>
          <w:szCs w:val="24"/>
          <w:lang w:eastAsia="en-US"/>
        </w:rPr>
      </w:pPr>
      <w:r>
        <w:rPr>
          <w:szCs w:val="24"/>
          <w:lang w:eastAsia="en-US"/>
        </w:rPr>
        <w:br w:type="page"/>
      </w:r>
    </w:p>
    <w:p w14:paraId="2483C64A" w14:textId="16C9630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(49)</w:t>
      </w:r>
      <w:r w:rsidRPr="003E0486">
        <w:rPr>
          <w:szCs w:val="24"/>
          <w:lang w:eastAsia="en-US"/>
        </w:rPr>
        <w:tab/>
        <w:t>I øjeblikket inddrives toldskyld af den medlemsstat, hvor toldangivelsen indgives. Det er den erhvervsdrivendes valg, om dette skal ske i det land, hvor den første indpassage finder sted, eller om pågældende vil anvende en forsendelsesprocedure og betale told i en anden medlemsstat. Der er planlagt en ændring af dette system i 2025 med udrulningen af et IT-system til centraliseret toldbehandling, som vil gøre det muligt for autoriserede økonomiske operatører at indgive toldangivelsen i den medlemsstat, hvor de er etableret. I lyset af denne udvikling bør der foretages en ændring af reglerne til fastlæggelse af det sted, hvor toldskylden opstår, således at importafgifterne betales til den medlemsstat, hvor importøren er etableret, eftersom dette er det sted, hvor toldmyndigheden har mulighed for at få det mest fuldstændige kendskab til de økonomiske operatørers regnskaber, transaktioner og kommercielle adfærd, navnlig når disse erhvervsdrivende får status som tillid og kontrol-erhvervsdrivende. Det er imidlertid hensigtsmæssigt, at toldskylden for operatører, der ikke er tillid og kontrol-erhvervsdrivende, opstår på det sted, hvor varerne fysisk befinder sig, i det mindste indtil tilsynsmodellen er blevet evalueret.</w:t>
      </w:r>
    </w:p>
    <w:p w14:paraId="0E6BEE23" w14:textId="77777777" w:rsidR="002125A1" w:rsidRDefault="002125A1">
      <w:pPr>
        <w:widowControl/>
        <w:rPr>
          <w:szCs w:val="24"/>
          <w:lang w:eastAsia="en-US"/>
        </w:rPr>
      </w:pPr>
      <w:r>
        <w:rPr>
          <w:szCs w:val="24"/>
          <w:lang w:eastAsia="en-US"/>
        </w:rPr>
        <w:br w:type="page"/>
      </w:r>
    </w:p>
    <w:p w14:paraId="6E5ADAC0" w14:textId="783B1A4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(50)</w:t>
      </w:r>
      <w:r w:rsidRPr="003E0486">
        <w:rPr>
          <w:szCs w:val="24"/>
          <w:lang w:eastAsia="en-US"/>
        </w:rPr>
        <w:tab/>
        <w:t>I forbindelse med e-handelstransaktioner er det vigtigt at sikre, at en toldskyld betales korrekt af onlineformidlere såsom internetplatforme, der forvalter onlinesalg af varer til private forbrugere. Det bør derfor præciseres, at den formelle importør er personen med ansvaret for toldskylden, som opstår på det tidspunkt, hvor køberen betaler e-handelsoperatøren, i de fleste tilfælde en internetplatform. For at forenkle den byrde, der er forbundet med en sådan forpligtelse, kan den formelle importør bemyndiges til at bestemme den skyldige importafgift og til regelmæssigt at betale sin toldskyld, og toldmyndighederne bør have mulighed for at foretage en enkelt bogføring med henblik på Unionens budget.</w:t>
      </w:r>
    </w:p>
    <w:p w14:paraId="2E86D7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(51)</w:t>
      </w:r>
      <w:r w:rsidRPr="003E0486">
        <w:rPr>
          <w:szCs w:val="24"/>
          <w:lang w:eastAsia="en-US"/>
        </w:rPr>
        <w:tab/>
        <w:t>Det er hensigtsmæssigt at styrke den mekanisme, hvis formål er et mere effektivt tilsyn med gennemførelsen af de restriktive foranstaltninger over for varestrømmene, som kan vedtages af Rådet i overensstemmelse med artikel 215 i TEUF. EU-Toldmyndigheden bør yde støtte til Kommissionen og medlemsstaterne i sådanne tilfælde for at sikre, at disse foranstaltninger ikke omgås. Toldmyndighederne bør sikre, at de tager alle nødvendige skridt til at overholde foranstaltningerne, og de bør informere Kommissionen og EU-Toldmyndigheden herom.</w:t>
      </w:r>
    </w:p>
    <w:p w14:paraId="2EDEE721" w14:textId="77777777" w:rsidR="002125A1" w:rsidRDefault="002125A1">
      <w:pPr>
        <w:widowControl/>
        <w:rPr>
          <w:szCs w:val="24"/>
          <w:lang w:eastAsia="en-US"/>
        </w:rPr>
      </w:pPr>
      <w:r>
        <w:rPr>
          <w:szCs w:val="24"/>
          <w:lang w:eastAsia="en-US"/>
        </w:rPr>
        <w:br w:type="page"/>
      </w:r>
    </w:p>
    <w:p w14:paraId="060F1500" w14:textId="54BF3773"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(52)</w:t>
      </w:r>
      <w:r w:rsidRPr="003E0486">
        <w:rPr>
          <w:szCs w:val="24"/>
          <w:lang w:eastAsia="en-US"/>
        </w:rPr>
        <w:tab/>
        <w:t>Der bør indføres en krisestyringsmekanisme til håndtering af potentielle kriser i toldunionen. Manglen af en sådan mekanisme på EU-plan blev fremhævet i toldhandlingsplanen</w:t>
      </w:r>
      <w:r w:rsidRPr="003E0486">
        <w:rPr>
          <w:szCs w:val="24"/>
          <w:vertAlign w:val="superscript"/>
          <w:lang w:val="en-GB" w:eastAsia="en-US"/>
        </w:rPr>
        <w:footnoteReference w:id="25"/>
      </w:r>
      <w:r w:rsidRPr="003E0486">
        <w:rPr>
          <w:szCs w:val="24"/>
          <w:lang w:eastAsia="en-US"/>
        </w:rPr>
        <w:t>. Der bør derfor etableres en mekanisme, der inddrager EU-Toldmyndigheden som en central aktør i forberedelsen, koordineringen og overvågningen af gennemførelsen af de praktiske foranstaltninger og ordninger, som Kommissionen beslutter at indføre, når der opstår en krise. EU-Toldmyndigheden bør opretholde kriseberedskabet permanent under hele krisen.</w:t>
      </w:r>
      <w:r w:rsidRPr="003E0486">
        <w:rPr>
          <w:b/>
          <w:i/>
          <w:szCs w:val="24"/>
          <w:lang w:eastAsia="en-US"/>
        </w:rPr>
        <w:t xml:space="preserve"> EU-Toldmyndigheden bør aflægge rapport til Kommissionen, Europa-Parlamentet og Rådet om gennemførelsen af de praktiske foranstaltninger og ordninger.</w:t>
      </w:r>
      <w:r w:rsidR="005B1591">
        <w:rPr>
          <w:b/>
          <w:szCs w:val="24"/>
          <w:lang w:eastAsia="en-US"/>
        </w:rPr>
        <w:t xml:space="preserve"> [Ændring 33]</w:t>
      </w:r>
    </w:p>
    <w:p w14:paraId="47D89CC7" w14:textId="77777777" w:rsidR="002125A1" w:rsidRDefault="002125A1">
      <w:pPr>
        <w:widowControl/>
        <w:rPr>
          <w:szCs w:val="24"/>
          <w:lang w:eastAsia="en-US"/>
        </w:rPr>
      </w:pPr>
      <w:r>
        <w:rPr>
          <w:szCs w:val="24"/>
          <w:lang w:eastAsia="en-US"/>
        </w:rPr>
        <w:br w:type="page"/>
      </w:r>
    </w:p>
    <w:p w14:paraId="0BA56257" w14:textId="2AB232BB" w:rsidR="003E0486" w:rsidRPr="005B1591" w:rsidRDefault="003E0486" w:rsidP="003E0486">
      <w:pPr>
        <w:spacing w:before="120" w:after="120" w:line="360" w:lineRule="auto"/>
        <w:ind w:left="850" w:hanging="850"/>
        <w:rPr>
          <w:b/>
          <w:szCs w:val="24"/>
          <w:lang w:eastAsia="en-US"/>
        </w:rPr>
      </w:pPr>
      <w:r w:rsidRPr="003E0486">
        <w:rPr>
          <w:szCs w:val="24"/>
          <w:lang w:eastAsia="en-US"/>
        </w:rPr>
        <w:lastRenderedPageBreak/>
        <w:t>(53)</w:t>
      </w:r>
      <w:r w:rsidRPr="003E0486">
        <w:rPr>
          <w:szCs w:val="24"/>
          <w:lang w:eastAsia="en-US"/>
        </w:rPr>
        <w:tab/>
        <w:t>Den eksisterende forvaltningsramme for toldunionen mangler en klar operationel forvaltningsstruktur og afspejler ikke udviklingen på toldunionen siden dens oprettelse i 1968. Inden for rammerne af forordning (EU) nr. 952/2013 er de nationale toldmyndigheder ansvarlige for aktiviteterne i forbindelse med risikoforvaltning i handelsstrømme, såsom gennemførelse og beslutninger om kontrol på stedet</w:t>
      </w:r>
      <w:r w:rsidRPr="003E0486">
        <w:rPr>
          <w:b/>
          <w:i/>
          <w:szCs w:val="24"/>
          <w:lang w:eastAsia="en-US"/>
        </w:rPr>
        <w:t xml:space="preserve">. Intensiteten af godstrafikken ved de ydre grænser er ikke ens på tværs af </w:t>
      </w:r>
      <w:r w:rsidR="00C94A47">
        <w:rPr>
          <w:b/>
          <w:i/>
          <w:szCs w:val="24"/>
          <w:lang w:eastAsia="en-US"/>
        </w:rPr>
        <w:t>Unionen</w:t>
      </w:r>
      <w:r w:rsidRPr="003E0486">
        <w:rPr>
          <w:szCs w:val="24"/>
          <w:lang w:eastAsia="en-US"/>
        </w:rPr>
        <w:t>. På trods af det samarbejde mellem de nationale toldmyndigheder, der har eksisteret siden oprettelsen af toldunionen, og som har ført til udveksling af bedste praksis, ekspertise og udvikling af fælles retningslinjer, har det ikke ført til udvikling af en harmoniseret tilgang og operationelle rammer. I øjeblikket er der forskellig praksis i medlemsstaterne, hvilket svækker toldunionen. Der er ingen central risikoanalysekapacitet, ingen fælles tilgang til risikoprioritering, en begrænset koordinering af toldtiltag og -kontrol og ingen ramme for samarbejdet mellem forskellige myndigheder inden for forvaltningen af det indre marked. Et centralt operationelt EU-lag til at samle ekspertise, ressourcer og træffe beslutninger i fællesskab bør afhjælpe sådanne svagheder på områder som dataforvaltning, risikoforvaltning og uddannelse for at få toldunionen til at "fungere som én enhed." Det er derfor hensigtsmæssigt, at der oprettes en EU-Toldmyndighed. Oprettelsen af denne nye myndighed er afgørende for at sikre, at toldunionen fungerer effektivt og hensigtsmæssigt, at koordinere toldtiltag centralt og understøtte toldmyndighedernes aktiviteter.</w:t>
      </w:r>
      <w:r w:rsidR="005B1591">
        <w:rPr>
          <w:b/>
          <w:szCs w:val="24"/>
          <w:lang w:eastAsia="en-US"/>
        </w:rPr>
        <w:t xml:space="preserve"> [Ændring 34]</w:t>
      </w:r>
    </w:p>
    <w:p w14:paraId="09024EE3" w14:textId="77777777" w:rsidR="002125A1" w:rsidRDefault="002125A1">
      <w:pPr>
        <w:widowControl/>
        <w:rPr>
          <w:szCs w:val="24"/>
          <w:lang w:eastAsia="en-US"/>
        </w:rPr>
      </w:pPr>
      <w:r>
        <w:rPr>
          <w:szCs w:val="24"/>
          <w:lang w:eastAsia="en-US"/>
        </w:rPr>
        <w:br w:type="page"/>
      </w:r>
    </w:p>
    <w:p w14:paraId="62BA6611" w14:textId="5C03633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(54)</w:t>
      </w:r>
      <w:r w:rsidRPr="003E0486">
        <w:rPr>
          <w:szCs w:val="24"/>
          <w:lang w:eastAsia="en-US"/>
        </w:rPr>
        <w:tab/>
        <w:t>EU-Toldmyndigheden bør styres og drives på grundlag af principperne i Europa-Parlamentets, Rådets og Kommissionens fælles erklæring om og fælles tilgang til decentraliserede agenturer af 19. juli 2012</w:t>
      </w:r>
      <w:r w:rsidRPr="003E0486">
        <w:rPr>
          <w:szCs w:val="24"/>
          <w:vertAlign w:val="superscript"/>
          <w:lang w:val="en-GB" w:eastAsia="en-US"/>
        </w:rPr>
        <w:footnoteReference w:id="26"/>
      </w:r>
      <w:r w:rsidRPr="003E0486">
        <w:rPr>
          <w:szCs w:val="24"/>
          <w:lang w:eastAsia="en-US"/>
        </w:rPr>
        <w:t>.</w:t>
      </w:r>
    </w:p>
    <w:p w14:paraId="23EA787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(55)</w:t>
      </w:r>
      <w:r w:rsidRPr="003E0486">
        <w:rPr>
          <w:szCs w:val="24"/>
          <w:lang w:eastAsia="en-US"/>
        </w:rPr>
        <w:tab/>
        <w:t>De kriterier, der skal tages i betragtning for at bidrage til beslutningsprocessen i forbindelse med valget af hjemstedet for EU-Toldmyndigheden, bør være en garanti for, at der kan oprettes en myndighed på stedet ved denne forordnings ikrafttræden, at stedet er tilgængeligt, og at der findes passende uddannelsesfaciliteter for personalets børn samt passende adgang til arbejdsmarkedet, social sikring og lægebehandling for både personalets børn og ægtefæller. I betragtning af den samarbejdsorienterede karakter af de fleste af EU-Toldmyndighedens aktiviteter, og navnlig den tætte forbindelse, der vil være mellem de IT-systemer, som Kommissionen opretholder i overgangsperioden, bør EU-Toldmyndigheden, når den opbygger driver EU's tolddatacenter, befinde sig på et sted, der muliggør et sådant tæt samarbejde med Kommissionen, de myndigheder i Unionens regioner, der er mest relevante for international handel, og relevante EU-organer og internationale organer (f.eks. Verdenstoldorganisationen med henblik på fremme af praktisk udveksling om specifikke emner). I betragtning af disse kriterier bør EU-Toldmyndigheden være beliggende i [...].</w:t>
      </w:r>
    </w:p>
    <w:p w14:paraId="633CE246" w14:textId="77777777" w:rsidR="002125A1" w:rsidRDefault="002125A1">
      <w:pPr>
        <w:widowControl/>
        <w:rPr>
          <w:b/>
          <w:i/>
          <w:szCs w:val="24"/>
          <w:lang w:eastAsia="en-US"/>
        </w:rPr>
      </w:pPr>
      <w:r>
        <w:rPr>
          <w:b/>
          <w:i/>
          <w:szCs w:val="24"/>
          <w:lang w:eastAsia="en-US"/>
        </w:rPr>
        <w:br w:type="page"/>
      </w:r>
    </w:p>
    <w:p w14:paraId="751B277E" w14:textId="06A82285" w:rsidR="003E0486" w:rsidRPr="005B1591" w:rsidRDefault="003E0486" w:rsidP="003E0486">
      <w:pPr>
        <w:spacing w:before="120" w:after="120" w:line="360" w:lineRule="auto"/>
        <w:ind w:left="850" w:hanging="850"/>
        <w:rPr>
          <w:b/>
          <w:szCs w:val="24"/>
          <w:lang w:eastAsia="en-US"/>
        </w:rPr>
      </w:pPr>
      <w:r w:rsidRPr="003E0486">
        <w:rPr>
          <w:b/>
          <w:i/>
          <w:szCs w:val="24"/>
          <w:lang w:eastAsia="en-US"/>
        </w:rPr>
        <w:lastRenderedPageBreak/>
        <w:t>(55a)</w:t>
      </w:r>
      <w:r w:rsidRPr="003E0486">
        <w:rPr>
          <w:szCs w:val="24"/>
          <w:lang w:eastAsia="en-US"/>
        </w:rPr>
        <w:tab/>
      </w:r>
      <w:r w:rsidRPr="003E0486">
        <w:rPr>
          <w:b/>
          <w:i/>
          <w:szCs w:val="24"/>
          <w:lang w:eastAsia="en-US"/>
        </w:rPr>
        <w:t>Medlemsstaterne og Kommissionen har ansvaret for at sikre, at toldmyndighederne råder over tilstrækkelige ressourcer og er tilstrækkeligt uddannet og udstyret til at kunne varetage deres hverv, herunder at de er tillagt tilstrækkelige undersøgelsesbeføjelser.</w:t>
      </w:r>
      <w:r w:rsidR="005B1591">
        <w:rPr>
          <w:b/>
          <w:szCs w:val="24"/>
          <w:lang w:eastAsia="en-US"/>
        </w:rPr>
        <w:t xml:space="preserve"> [Ændring 35]</w:t>
      </w:r>
    </w:p>
    <w:p w14:paraId="2DC6FF91" w14:textId="059B815C" w:rsidR="003E0486" w:rsidRPr="005B1591" w:rsidRDefault="003E0486" w:rsidP="003E0486">
      <w:pPr>
        <w:spacing w:before="120" w:after="120" w:line="360" w:lineRule="auto"/>
        <w:ind w:left="850" w:hanging="850"/>
        <w:rPr>
          <w:b/>
          <w:szCs w:val="24"/>
          <w:lang w:eastAsia="en-US"/>
        </w:rPr>
      </w:pPr>
      <w:r w:rsidRPr="003E0486">
        <w:rPr>
          <w:b/>
          <w:i/>
          <w:szCs w:val="24"/>
          <w:lang w:eastAsia="en-US"/>
        </w:rPr>
        <w:t>(55b)</w:t>
      </w:r>
      <w:r w:rsidRPr="003E0486">
        <w:rPr>
          <w:szCs w:val="24"/>
          <w:lang w:eastAsia="en-US"/>
        </w:rPr>
        <w:tab/>
      </w:r>
      <w:r w:rsidRPr="003E0486">
        <w:rPr>
          <w:b/>
          <w:i/>
          <w:szCs w:val="24"/>
          <w:lang w:eastAsia="en-US"/>
        </w:rPr>
        <w:t>Toldmyndighederne behøver betydelige investeringer, især med henblik på et tilstrækkeligt antal veluddannede medarbejdere, for at sikre EU-toldsystemernes funktion, da disse står over for en eksponentiel stigning i kravene. Uden de nødvendige investeringer i personale er det ikke muligt at indfri det fulde potentiale ved de digitale løsninger. Derfor bør det i forbindelse med investeringer i digitale systemer sikres, at der afsættes tilstrækkelige midler til medarbejdere og til uddannelse af disse med henblik på erhvervelse af de nødvendige færdigheder til at betjene avanceret udstyr, teknologi til big data-analyse, detektion og kontrol, for herigennem at garantere, at toldkontrollen udføres ensartet i hele Unionen.</w:t>
      </w:r>
      <w:r w:rsidR="005B1591">
        <w:rPr>
          <w:b/>
          <w:szCs w:val="24"/>
          <w:lang w:eastAsia="en-US"/>
        </w:rPr>
        <w:t xml:space="preserve"> [Ændring 36]</w:t>
      </w:r>
    </w:p>
    <w:p w14:paraId="656832A2" w14:textId="77777777" w:rsidR="002125A1" w:rsidRDefault="002125A1">
      <w:pPr>
        <w:widowControl/>
        <w:rPr>
          <w:szCs w:val="24"/>
          <w:lang w:eastAsia="en-US"/>
        </w:rPr>
      </w:pPr>
      <w:r>
        <w:rPr>
          <w:szCs w:val="24"/>
          <w:lang w:eastAsia="en-US"/>
        </w:rPr>
        <w:br w:type="page"/>
      </w:r>
    </w:p>
    <w:p w14:paraId="46471BA4" w14:textId="47CF73EF"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(56)</w:t>
      </w:r>
      <w:r w:rsidRPr="003E0486">
        <w:rPr>
          <w:szCs w:val="24"/>
          <w:lang w:eastAsia="en-US"/>
        </w:rPr>
        <w:tab/>
        <w:t>Medlemsstaterne</w:t>
      </w:r>
      <w:r w:rsidRPr="003E0486">
        <w:rPr>
          <w:strike/>
          <w:szCs w:val="24"/>
          <w:lang w:eastAsia="en-US"/>
        </w:rPr>
        <w:t xml:space="preserve"> og</w:t>
      </w:r>
      <w:r w:rsidRPr="003E0486">
        <w:rPr>
          <w:b/>
          <w:i/>
          <w:szCs w:val="24"/>
          <w:lang w:eastAsia="en-US"/>
        </w:rPr>
        <w:t>,</w:t>
      </w:r>
      <w:r w:rsidRPr="003E0486">
        <w:rPr>
          <w:szCs w:val="24"/>
          <w:lang w:eastAsia="en-US"/>
        </w:rPr>
        <w:t xml:space="preserve"> Kommissionen</w:t>
      </w:r>
      <w:r w:rsidRPr="003E0486">
        <w:rPr>
          <w:b/>
          <w:i/>
          <w:szCs w:val="24"/>
          <w:lang w:eastAsia="en-US"/>
        </w:rPr>
        <w:t xml:space="preserve"> og Europa-Parlamentet</w:t>
      </w:r>
      <w:r w:rsidRPr="003E0486">
        <w:rPr>
          <w:szCs w:val="24"/>
          <w:lang w:eastAsia="en-US"/>
        </w:rPr>
        <w:t xml:space="preserve"> bør være repræsenteret i en bestyrelse for at sikre, at EU-Toldmyndigheden fungerer effektivt. Sammensætningen af bestyrelsen, herunder valget af formand og næstformand, bør overholde principperne om kønsbalance, erfaring og kvalifikationer. I betragtning af Unionens enekompetence med hensyn til toldunionen og den tætte forbindelse mellem toldområdet og andre politikområder er det hensigtsmæssigt, at formanden vælges blandt repræsentanterne for Kommissionen. Bestyrelsen bør for at sikre, at EU-Toldmyndigheden fungerer effektivt og formålstjenligt, navnlig vedtage et samlet programmeringsdokument, herunder årlig og flerårig programmering, varetage sine opgaver i forbindelse med myndighedens budget, vedtage de finansielle bestemmelser, som finder anvendelse på myndigheden, udnævne en administrerende direktør og fastlægge procedurer for den administrerende direktørs beslutningstagning vedrørende myndighedens operationelle opgaver. Bestyrelsen bør bistås af et forretningsudvalg</w:t>
      </w:r>
      <w:r w:rsidRPr="003E0486">
        <w:rPr>
          <w:b/>
          <w:i/>
          <w:szCs w:val="24"/>
          <w:lang w:eastAsia="en-US"/>
        </w:rPr>
        <w:t xml:space="preserve"> og et rådgivende organ, der repræsenterer forbrugerorganisationer, erhvervsorganisationer og andre relevante ikkestatslige aktører</w:t>
      </w:r>
      <w:r w:rsidRPr="003E0486">
        <w:rPr>
          <w:szCs w:val="24"/>
          <w:lang w:eastAsia="en-US"/>
        </w:rPr>
        <w:t>.</w:t>
      </w:r>
      <w:r w:rsidR="00D13454">
        <w:rPr>
          <w:b/>
          <w:szCs w:val="24"/>
          <w:lang w:eastAsia="en-US"/>
        </w:rPr>
        <w:t xml:space="preserve"> [Ændring 37]</w:t>
      </w:r>
    </w:p>
    <w:p w14:paraId="5678DED0" w14:textId="77777777" w:rsidR="002125A1" w:rsidRDefault="002125A1">
      <w:pPr>
        <w:widowControl/>
        <w:rPr>
          <w:b/>
          <w:i/>
          <w:szCs w:val="24"/>
          <w:lang w:eastAsia="en-US"/>
        </w:rPr>
      </w:pPr>
      <w:r>
        <w:rPr>
          <w:b/>
          <w:i/>
          <w:szCs w:val="24"/>
          <w:lang w:eastAsia="en-US"/>
        </w:rPr>
        <w:br w:type="page"/>
      </w:r>
    </w:p>
    <w:p w14:paraId="30FC44BC" w14:textId="69C906F1" w:rsidR="003E0486" w:rsidRPr="00D13454" w:rsidRDefault="003E0486" w:rsidP="003E0486">
      <w:pPr>
        <w:spacing w:before="120" w:after="120" w:line="360" w:lineRule="auto"/>
        <w:ind w:left="850" w:hanging="850"/>
        <w:rPr>
          <w:b/>
          <w:szCs w:val="24"/>
          <w:lang w:eastAsia="en-US"/>
        </w:rPr>
      </w:pPr>
      <w:r w:rsidRPr="003E0486">
        <w:rPr>
          <w:b/>
          <w:i/>
          <w:szCs w:val="24"/>
          <w:lang w:eastAsia="en-US"/>
        </w:rPr>
        <w:lastRenderedPageBreak/>
        <w:t>(56a)</w:t>
      </w:r>
      <w:r w:rsidRPr="003E0486">
        <w:rPr>
          <w:szCs w:val="24"/>
          <w:lang w:eastAsia="en-US"/>
        </w:rPr>
        <w:tab/>
      </w:r>
      <w:r w:rsidRPr="003E0486">
        <w:rPr>
          <w:b/>
          <w:i/>
          <w:szCs w:val="24"/>
          <w:lang w:eastAsia="en-US"/>
        </w:rPr>
        <w:t>EU-Toldmyndigheden nedsætter det rådgivende toldudvalg, der bør bistå dets forretningsudvalg Det bør have til opgave at rådgive om iværksættelsen af tekniske foranstaltninger og beslutninger, herunder risikostyring og prioriterede kontrolområder, om gennemførelses- og standardiseringsspørgsmål, herunder harmoniseringsaktiviteter eller behovet for tilpasning af reglerne, om de toldmæssige dimensioner af anden lovgivning, der anvendes af toldmyndighederne, og i forbindelse med alle myndighedens øvrige aktiviteter. Ved sammensætningen af det rådgivende toldudvalg bør der tilstræbes en afbalanceret repræsentation af kommercielle og ikkekommercielle interesser og, inden for kategorien kommercielle interesser, med hensyn til SMV'er og andre virksomheder.</w:t>
      </w:r>
      <w:r w:rsidR="00D13454">
        <w:rPr>
          <w:b/>
          <w:szCs w:val="24"/>
          <w:lang w:eastAsia="en-US"/>
        </w:rPr>
        <w:t xml:space="preserve"> [Ændring 38]</w:t>
      </w:r>
    </w:p>
    <w:p w14:paraId="58E5B83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(57)</w:t>
      </w:r>
      <w:r w:rsidRPr="003E0486">
        <w:rPr>
          <w:szCs w:val="24"/>
          <w:lang w:eastAsia="en-US"/>
        </w:rPr>
        <w:tab/>
        <w:t>For at sikre, at EU-Toldmyndigheden fungerer effektivt, bør den tildeles et selvstændigt budget med indtægter fra Unionens almindelige budget og eventuelle frivillige finansielle bidrag fra medlemsstaterne. Under ekstraordinære og behørigt begrundede omstændigheder bør EU-Toldmyndigheden også kunne modtage yderligere indtægter via bidragsaftaler eller tilskudsaftaler og beløb opkrævet for publikationer og andre tjenester, der leveres af EU-Toldmyndigheden.</w:t>
      </w:r>
    </w:p>
    <w:p w14:paraId="481CC3A3" w14:textId="77777777" w:rsidR="002125A1" w:rsidRDefault="002125A1">
      <w:pPr>
        <w:widowControl/>
        <w:rPr>
          <w:szCs w:val="24"/>
          <w:lang w:eastAsia="en-US"/>
        </w:rPr>
      </w:pPr>
      <w:r>
        <w:rPr>
          <w:szCs w:val="24"/>
          <w:lang w:eastAsia="en-US"/>
        </w:rPr>
        <w:br w:type="page"/>
      </w:r>
    </w:p>
    <w:p w14:paraId="7FD7E5BF" w14:textId="57E722E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(58)</w:t>
      </w:r>
      <w:r w:rsidRPr="003E0486">
        <w:rPr>
          <w:szCs w:val="24"/>
          <w:lang w:eastAsia="en-US"/>
        </w:rPr>
        <w:tab/>
        <w:t>I forbindelse med deres opgave arbejder toldmyndighederne tæt og regelmæssigt sammen med markedsovervågningsmyndigheder, sundheds- og plantesundhedsmyndigheder, retshåndhævende organer, grænseforvaltningsmyndigheder, miljøbeskyttelsesorganer, eksperter i kulturgoder og mange andre myndigheder med ansvar for sektorpolitikker. I betragtning af udviklingen på det indre marked og toldvæsenets voksende rolle, den øgede mængde forbud og restriktioner og e-handelen er det nødvendigt at strukturere og styrke dette samarbejde på nationalt plan, EU-plan og internationalt plan. I stedet for et samarbejde med fokus på individuelle forsendelser eller specifikke begivenheder i forsyningskæden bør der etableres en struktureret samarbejdsramme mellem toldmyndighederne og andre myndigheder med ansvar for relevante politikområder. En sådan samarbejdsramme bør omfatte følgende aspekter: udviklingen af lovgivning og politiske løsninger på et specifikt område, udveksling og analyse af oplysninger, opbygning af en overordnet samarbejdsstrategi i form af fælles tilsynsstrategier og endelig samarbejde om operationel gennemførelse, overvågning og kontrol. Kommissionen bør også lette anvendelsen af dele af anden lovgivning, der anvendes af toldmyndighederne, ved at opstille en liste over EU-lovgivning, der pålægger krav til varer omfattet af toldkontrol, som har til formål at beskytte samfundsinteresser såsom menneskers, dyrs eller planters sundhed og liv, forbrugerne og miljøet.</w:t>
      </w:r>
      <w:r w:rsidR="00217355" w:rsidRPr="00217355">
        <w:rPr>
          <w:b/>
          <w:szCs w:val="24"/>
          <w:lang w:eastAsia="en-US"/>
        </w:rPr>
        <w:t xml:space="preserve"> [</w:t>
      </w:r>
      <w:r w:rsidRPr="00D13454">
        <w:rPr>
          <w:b/>
          <w:szCs w:val="24"/>
          <w:lang w:eastAsia="en-US"/>
        </w:rPr>
        <w:t>Ændring 39</w:t>
      </w:r>
      <w:r w:rsidRPr="003E0486">
        <w:rPr>
          <w:b/>
          <w:i/>
          <w:szCs w:val="24"/>
          <w:lang w:eastAsia="en-US"/>
        </w:rPr>
        <w:t xml:space="preserve"> - vedrører ikke den danske tekst</w:t>
      </w:r>
      <w:r w:rsidR="00217355" w:rsidRPr="00217355">
        <w:rPr>
          <w:b/>
          <w:szCs w:val="24"/>
          <w:lang w:eastAsia="en-US"/>
        </w:rPr>
        <w:t>]</w:t>
      </w:r>
    </w:p>
    <w:p w14:paraId="59C0B8F6" w14:textId="77777777" w:rsidR="002125A1" w:rsidRDefault="002125A1">
      <w:pPr>
        <w:widowControl/>
        <w:rPr>
          <w:szCs w:val="24"/>
          <w:lang w:eastAsia="en-US"/>
        </w:rPr>
      </w:pPr>
      <w:r>
        <w:rPr>
          <w:szCs w:val="24"/>
          <w:lang w:eastAsia="en-US"/>
        </w:rPr>
        <w:br w:type="page"/>
      </w:r>
    </w:p>
    <w:p w14:paraId="1895C833" w14:textId="3322D74C"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(59)</w:t>
      </w:r>
      <w:r w:rsidRPr="003E0486">
        <w:rPr>
          <w:szCs w:val="24"/>
          <w:lang w:eastAsia="en-US"/>
        </w:rPr>
        <w:tab/>
        <w:t>For at øge klarheden og gøre samarbejdsrammen mellem toldmyndighederne og andre partnermyndigheder mere effektiv bør en liste over de tjenester, der tilbydes af toldmyndighederne, klart definere toldmyndighedernes mulige rolle i anvendelsen af andre relevante politikker ved Unionens grænser. Desuden bør anvendelsen af samarbejdsrammen overvåges af EU-Toldmyndigheden. EU-Toldmyndigheden bør arbejde tæt sammen med Kommissionen, OLAF, andre relevante EU-agenturer og -organer såsom Europol</w:t>
      </w:r>
      <w:r w:rsidRPr="003E0486">
        <w:rPr>
          <w:b/>
          <w:i/>
          <w:szCs w:val="24"/>
          <w:lang w:eastAsia="en-US"/>
        </w:rPr>
        <w:t>, EPPO</w:t>
      </w:r>
      <w:r w:rsidRPr="003E0486">
        <w:rPr>
          <w:szCs w:val="24"/>
          <w:lang w:eastAsia="en-US"/>
        </w:rPr>
        <w:t xml:space="preserve"> og Frontex samt specialiserede agenturer og netværk på de respektive politikområder såsom EU-Netværket for Produktoverensstemmelse.</w:t>
      </w:r>
      <w:r w:rsidR="00D13454">
        <w:rPr>
          <w:b/>
          <w:szCs w:val="24"/>
          <w:lang w:eastAsia="en-US"/>
        </w:rPr>
        <w:t xml:space="preserve"> [Ændring 40]</w:t>
      </w:r>
    </w:p>
    <w:p w14:paraId="452E1116" w14:textId="7C2F3E6A" w:rsidR="003E0486" w:rsidRPr="00D13454" w:rsidRDefault="003E0486" w:rsidP="003E0486">
      <w:pPr>
        <w:spacing w:before="120" w:after="120" w:line="360" w:lineRule="auto"/>
        <w:ind w:left="850" w:hanging="850"/>
        <w:rPr>
          <w:b/>
          <w:szCs w:val="24"/>
          <w:lang w:eastAsia="en-US"/>
        </w:rPr>
      </w:pPr>
      <w:r w:rsidRPr="003E0486">
        <w:rPr>
          <w:szCs w:val="24"/>
          <w:lang w:eastAsia="en-US"/>
        </w:rPr>
        <w:t>(60)</w:t>
      </w:r>
      <w:r w:rsidRPr="003E0486">
        <w:rPr>
          <w:szCs w:val="24"/>
          <w:lang w:eastAsia="en-US"/>
        </w:rPr>
        <w:tab/>
        <w:t>I en stadig mere forbundet verden er tolddiplomati og internationalt samarbejde vigtige aspekter af toldmyndighedernes arbejde rundt om i verden. Internationalt samarbejde bør omfatte muligheden for udveksling af tolddata på grundlag af internationale aftaler eller selvstændig EU-lovgivning ved hjælp af passende og sikre kommunikationsmidler, f.eks. gennem EU's tolddatacenter, på betingelse af overholdelse af fortrolighed og beskyttelse af personoplysninger.</w:t>
      </w:r>
      <w:r w:rsidRPr="003E0486">
        <w:rPr>
          <w:b/>
          <w:i/>
          <w:szCs w:val="24"/>
          <w:lang w:eastAsia="en-US"/>
        </w:rPr>
        <w:t xml:space="preserve"> Denne retlige ramme bør ikke indskrænke medlemsstaternes kompetence med hensyn til bilaterale eller multilaterale aftaler med tredjelande om nationale opgaver.</w:t>
      </w:r>
      <w:r w:rsidR="00D13454">
        <w:rPr>
          <w:b/>
          <w:szCs w:val="24"/>
          <w:lang w:eastAsia="en-US"/>
        </w:rPr>
        <w:t xml:space="preserve"> [Ændring 41]</w:t>
      </w:r>
    </w:p>
    <w:p w14:paraId="66BE672E" w14:textId="77777777" w:rsidR="002125A1" w:rsidRDefault="002125A1">
      <w:pPr>
        <w:widowControl/>
        <w:rPr>
          <w:szCs w:val="24"/>
          <w:lang w:eastAsia="en-US"/>
        </w:rPr>
      </w:pPr>
      <w:r>
        <w:rPr>
          <w:szCs w:val="24"/>
          <w:lang w:eastAsia="en-US"/>
        </w:rPr>
        <w:br w:type="page"/>
      </w:r>
    </w:p>
    <w:p w14:paraId="13525A8D" w14:textId="601C2C0F"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(61)</w:t>
      </w:r>
      <w:r w:rsidRPr="003E0486">
        <w:rPr>
          <w:szCs w:val="24"/>
          <w:lang w:eastAsia="en-US"/>
        </w:rPr>
        <w:tab/>
        <w:t xml:space="preserve">Selv om toldlovgivningen er harmoniseret gennem kodeksen, omfattede forordning (EU) nr. 952/2013 kun en forpligtelse for medlemsstaterne til at indføre sanktioner for manglende overholdelse af toldlovgivningen, og den indeholdt krav om, at sådanne sanktioner skulle være effektive, stå i rimeligt forhold til overtrædelsen og have afskrækkende virkning. Medlemsstaterne kan derfor vælge mellem forskellige toldsanktioner, som varierer meget fra medlemsstat til medlemsstat og udvikler sig over tid. Der bør fastlægges en fælles ramme, der fastsætter en minimumskerne af toldovertrædelser og ikkestrafferetlige sanktioner. </w:t>
      </w:r>
      <w:r w:rsidRPr="003E0486">
        <w:rPr>
          <w:b/>
          <w:i/>
          <w:szCs w:val="24"/>
          <w:lang w:eastAsia="en-US"/>
        </w:rPr>
        <w:t xml:space="preserve">Manglende overholdelse af importørers, eksportørers og formelle importørers forpligtelser kan medtages på listen over toldovertrædelser. </w:t>
      </w:r>
      <w:r w:rsidRPr="003E0486">
        <w:rPr>
          <w:szCs w:val="24"/>
          <w:lang w:eastAsia="en-US"/>
        </w:rPr>
        <w:t>En sådan ramme er nødvendig for at afhjælpe den manglende ensartede anvendelse og de betydelige forskelle mellem medlemsstaterne med hensyn til anvendelsen af sanktioner over for overtrædelser af toldlovgivningen, som kan føre til konkurrenceforvridning, smuthuller og "toldshopping". Rammen bør bestå af en fælles liste over handlinger eller undladelser, der bør udgøre toldovertrædelser i alle medlemsstater. Ved fastsættelsen af den sanktion, der skal anvendes, bør toldmyndighederne fastslå, om disse handlinger eller undladelser er begået forsætligt eller ved åbenbar forsømmelighed.</w:t>
      </w:r>
      <w:r w:rsidRPr="003E0486">
        <w:rPr>
          <w:b/>
          <w:i/>
          <w:szCs w:val="24"/>
          <w:lang w:eastAsia="en-US"/>
        </w:rPr>
        <w:t xml:space="preserve"> Sanktioner og forpligtelser, der pålægges økonomiske operatører, skal stå i et rimeligt forhold til deres rolle i transaktionsprocessen </w:t>
      </w:r>
      <w:r w:rsidR="007B7FE2">
        <w:rPr>
          <w:b/>
          <w:i/>
          <w:szCs w:val="24"/>
          <w:lang w:eastAsia="en-US"/>
        </w:rPr>
        <w:t xml:space="preserve">og dermed </w:t>
      </w:r>
      <w:r w:rsidRPr="003E0486">
        <w:rPr>
          <w:b/>
          <w:i/>
          <w:szCs w:val="24"/>
          <w:lang w:eastAsia="en-US"/>
        </w:rPr>
        <w:t>sikre retfærdighed og klarhed i anvendelsen af dem. Kommissionen, medlemsstaterne og EU-Toldmyndigheden bør regelmæssigt udveksle bedste praksis vedrørende revision og sanktioner for at forbedre konsekvensen med hensyn til anvendelsen af sanktioner.</w:t>
      </w:r>
      <w:r w:rsidR="00D13454">
        <w:rPr>
          <w:b/>
          <w:szCs w:val="24"/>
          <w:lang w:eastAsia="en-US"/>
        </w:rPr>
        <w:t xml:space="preserve"> [Ændring 42]</w:t>
      </w:r>
    </w:p>
    <w:p w14:paraId="7A5026BF" w14:textId="77777777" w:rsidR="002125A1" w:rsidRDefault="002125A1">
      <w:pPr>
        <w:widowControl/>
        <w:rPr>
          <w:szCs w:val="24"/>
          <w:lang w:eastAsia="en-US"/>
        </w:rPr>
      </w:pPr>
      <w:r>
        <w:rPr>
          <w:szCs w:val="24"/>
          <w:lang w:eastAsia="en-US"/>
        </w:rPr>
        <w:br w:type="page"/>
      </w:r>
    </w:p>
    <w:p w14:paraId="596899BB" w14:textId="3189460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(62)</w:t>
      </w:r>
      <w:r w:rsidRPr="003E0486">
        <w:rPr>
          <w:szCs w:val="24"/>
          <w:lang w:eastAsia="en-US"/>
        </w:rPr>
        <w:tab/>
        <w:t>Det er nødvendigt at fastsætte fælles bestemmelser for formildende omstændigheder og for skærpende omstændigheder i forbindelse med toldovertrædelser. Forældelsesfristen for at indlede toldovertrædelsesprocedurer bør fastsættes i overensstemmelse med national lovgivning og bør være mellem fem og ti år, således at der fastsættes en fælles regel baseret på fristen for meddelelse af toldskyld. Den kompetente jurisdiktion bør være den, hvor overtrædelsen fandt sted. Det er nødvendigt med samarbejde mellem medlemsstater i de tilfælde, hvor toldovertrædelsen er begået i mere end én medlemsstat; i sådanne tilfælde bør den medlemsstat, der først indleder proceduren, samarbejde med de andre toldmyndigheder, som samme overtrædelse berører.</w:t>
      </w:r>
    </w:p>
    <w:p w14:paraId="1CDE71D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(63)</w:t>
      </w:r>
      <w:r w:rsidRPr="003E0486">
        <w:rPr>
          <w:szCs w:val="24"/>
          <w:lang w:eastAsia="en-US"/>
        </w:rPr>
        <w:tab/>
        <w:t>Det er nødvendigt at fastsætte en fælles minimumskerne af toldovertrædelser ved at fastlægge dem på grundlag af de forpligtelser, der er fastsat i denne forordning, og de samme forpligtelser, der er fastsat i andre dele af toldlovgivningen.</w:t>
      </w:r>
    </w:p>
    <w:p w14:paraId="36CF407B" w14:textId="77777777" w:rsidR="002125A1" w:rsidRDefault="002125A1">
      <w:pPr>
        <w:widowControl/>
        <w:rPr>
          <w:szCs w:val="24"/>
          <w:lang w:eastAsia="en-US"/>
        </w:rPr>
      </w:pPr>
      <w:r>
        <w:rPr>
          <w:szCs w:val="24"/>
          <w:lang w:eastAsia="en-US"/>
        </w:rPr>
        <w:br w:type="page"/>
      </w:r>
    </w:p>
    <w:p w14:paraId="1CC286A6" w14:textId="502A7703"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(64)</w:t>
      </w:r>
      <w:r w:rsidRPr="003E0486">
        <w:rPr>
          <w:szCs w:val="24"/>
          <w:lang w:eastAsia="en-US"/>
        </w:rPr>
        <w:tab/>
        <w:t>Det er også nødvendigt at fastsætte en fælles minimumskerne af ikkestrafferetlige sanktioner, der fastsætter minimumsbeløb for pengekrav, muligheden for tilbagekaldelse, suspension eller ændring af toldbevillinger, herunder for autoriserede økonomiske operatører og tillid og kontrol-erhvervsdrivende, samt konfiskering af varerne. Mindstebeløbet for pengekravet bør afhænge af, om toldovertrædelsen er begået forsætligt eller ej, og om den har indvirkning på størrelsen af told og andre afgifter samt på forbud eller restriktioner. Denne fælles minimumskerne af ikkestrafferetlige sanktioner bør finde anvendelse, uden at det berører medlemsstaternes nationale retsorden, som i stedet kan fastsætte strafferetlige sanktioner.</w:t>
      </w:r>
      <w:r w:rsidRPr="003E0486">
        <w:rPr>
          <w:b/>
          <w:i/>
          <w:szCs w:val="24"/>
          <w:lang w:eastAsia="en-US"/>
        </w:rPr>
        <w:t xml:space="preserve"> Medlemsstaterne, Kommissionen og EU-Toldmyndigheden bør samarbejde om gradvist at øge sammenhængen mellem ikkestrafferetlige sanktioner og deres anvendelse i hele Unionen.</w:t>
      </w:r>
      <w:r w:rsidR="00D13454">
        <w:rPr>
          <w:b/>
          <w:szCs w:val="24"/>
          <w:lang w:eastAsia="en-US"/>
        </w:rPr>
        <w:t xml:space="preserve"> [Ændring 43]</w:t>
      </w:r>
    </w:p>
    <w:p w14:paraId="64C592BF" w14:textId="77777777" w:rsidR="002125A1" w:rsidRDefault="002125A1">
      <w:pPr>
        <w:widowControl/>
        <w:rPr>
          <w:szCs w:val="24"/>
          <w:lang w:eastAsia="en-US"/>
        </w:rPr>
      </w:pPr>
      <w:r>
        <w:rPr>
          <w:szCs w:val="24"/>
          <w:lang w:eastAsia="en-US"/>
        </w:rPr>
        <w:br w:type="page"/>
      </w:r>
    </w:p>
    <w:p w14:paraId="6DB44899" w14:textId="27162A17"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(65)</w:t>
      </w:r>
      <w:r w:rsidRPr="003E0486">
        <w:rPr>
          <w:szCs w:val="24"/>
          <w:lang w:eastAsia="en-US"/>
        </w:rPr>
        <w:tab/>
        <w:t>Toldunionens resultater bør evalueres mindst en gang om året for at gøre det muligt for Kommissionen med hjælp fra medlemsstaterne at udstikke passende politiske retningslinjer</w:t>
      </w:r>
      <w:r w:rsidRPr="003E0486">
        <w:rPr>
          <w:b/>
          <w:i/>
          <w:szCs w:val="24"/>
          <w:lang w:eastAsia="en-US"/>
        </w:rPr>
        <w:t>, og evalueringsrapporten bør offentliggøres</w:t>
      </w:r>
      <w:r w:rsidRPr="003E0486">
        <w:rPr>
          <w:szCs w:val="24"/>
          <w:lang w:eastAsia="en-US"/>
        </w:rPr>
        <w:t>. Indsamlingen af oplysninger fra toldmyndighederne bør formaliseres og uddybes, da en mere omfattende rapportering vil forbedre benchmarkingen og kunne bidrage til at ensrette praksis og vurdere virkningen af toldpolitiske beslutninger. Der bør derfor indføres en retlig ramme for evaluering af toldunionens resultater. For at muliggøre en tilstrækkelig detaljeret analyse bør resultatmålingen ikke kun foretages på nationalt plan, men også for grænseovergangsstederne. EU-Toldmyndigheden bør støtte Kommissionen i evalueringsprocessen ved at indsamle og analysere data i EU's tolddatacenter og identificere, hvordan toldaktiviteter og -aktioner understøtter opfyldelsen af toldunionens strategiske mål og prioriteter og bidrager til toldmyndighedernes opgave. EU-Toldmyndigheden bør navnlig identificere de vigtigste tendenser, styrker, svagheder, mangler og potentielle risici og give anbefalinger til forbedringer til Kommissionen. I forbindelse med samarbejdet med navnlig retshåndhævende myndigheder og sikkerhedsmyndigheder bør EU-Toldmyndigheden også ud fra et operationelt perspektiv deltage i strategiske analyser og trusselsvurderinger, der foretages på EU-plan, herunder dem, der foretages af Europol og Frontex.</w:t>
      </w:r>
      <w:r w:rsidR="00D13454">
        <w:rPr>
          <w:b/>
          <w:szCs w:val="24"/>
          <w:lang w:eastAsia="en-US"/>
        </w:rPr>
        <w:t xml:space="preserve"> [Ændring 44]</w:t>
      </w:r>
    </w:p>
    <w:p w14:paraId="0EB4EF54" w14:textId="77777777" w:rsidR="002125A1" w:rsidRDefault="002125A1">
      <w:pPr>
        <w:widowControl/>
        <w:rPr>
          <w:szCs w:val="24"/>
          <w:lang w:eastAsia="en-US"/>
        </w:rPr>
      </w:pPr>
      <w:r>
        <w:rPr>
          <w:szCs w:val="24"/>
          <w:lang w:eastAsia="en-US"/>
        </w:rPr>
        <w:br w:type="page"/>
      </w:r>
    </w:p>
    <w:p w14:paraId="3851FB8F" w14:textId="0A9B9BC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(66)</w:t>
      </w:r>
      <w:r w:rsidRPr="003E0486">
        <w:rPr>
          <w:szCs w:val="24"/>
          <w:lang w:eastAsia="en-US"/>
        </w:rPr>
        <w:tab/>
        <w:t>I overensstemmelse med proportionalitetsprincippet er det for at virkeliggøre de grundlæggende mål om at sikre, at toldunionen fungerer effektivt, og gennemføre den fælles handelspolitik nødvendigt og hensigtsmæssigt at fastlægge de bestemmelser og procedurer, der gælder for varer, som føres ind i eller ud af Unionens toldområde. Denne forordning går ikke videre, end hvad der er nødvendigt for at nå de tilstræbte mål, i overensstemmelse med artikel 5, stk. 4, i traktaten om Den Europæiske Union.</w:t>
      </w:r>
    </w:p>
    <w:p w14:paraId="2450DE3E" w14:textId="77777777" w:rsidR="002125A1" w:rsidRDefault="002125A1">
      <w:pPr>
        <w:widowControl/>
        <w:rPr>
          <w:szCs w:val="24"/>
          <w:lang w:eastAsia="en-US"/>
        </w:rPr>
      </w:pPr>
      <w:r>
        <w:rPr>
          <w:szCs w:val="24"/>
          <w:lang w:eastAsia="en-US"/>
        </w:rPr>
        <w:br w:type="page"/>
      </w:r>
    </w:p>
    <w:p w14:paraId="3C2C7F08" w14:textId="4E4E138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(67)</w:t>
      </w:r>
      <w:r w:rsidRPr="003E0486">
        <w:rPr>
          <w:szCs w:val="24"/>
          <w:lang w:eastAsia="en-US"/>
        </w:rPr>
        <w:tab/>
        <w:t>For at supplere eller ændre visse ikkevæsentlige bestemmelser i denne forordning bør beføjelsen til at vedtage retsakter delegeres til Kommissionen i overensstemmelse med artikel 290 i TEUF med hensyn til følgende:</w:t>
      </w:r>
    </w:p>
    <w:p w14:paraId="121226D5"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for så vidt angår de særlige fiskale områder mere detaljerede toldlovgivningsbestemmelser for at tage højde for særlige omstændigheder for handel med EU-varer, hvor kun én medlemsstat er involveret</w:t>
      </w:r>
    </w:p>
    <w:p w14:paraId="5D687372"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toldafgørelser betingelser, frister, undtagelser, retningslinjer for overvågning, suspension, annullering og tilbagekaldelse i forbindelse med anvendelsen, udstedelsen og forvaltningen af sådanne afgørelser, herunder dem, der vedrører bindende oplysninger</w:t>
      </w:r>
    </w:p>
    <w:p w14:paraId="0B21D3DA"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minimumsdatakravene og de specifikke tilfælde for registrering af økonomiske operatører hos de toldmyndigheder, der er ansvarlige for det sted, hvor de er etableret</w:t>
      </w:r>
    </w:p>
    <w:p w14:paraId="2BC91A34"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overvågningsaktiviteternes art og hyppighed, de forenklinger og lettelser, der er fastsat for den autoriserede økonomiske operatør</w:t>
      </w:r>
    </w:p>
    <w:p w14:paraId="5CFF05B8"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arten og hyppigheden af den tillid og kontrol-erhvervsdrivendes overvågningsaktiviteter</w:t>
      </w:r>
    </w:p>
    <w:p w14:paraId="1224C304" w14:textId="77777777" w:rsidR="002125A1" w:rsidRDefault="002125A1">
      <w:pPr>
        <w:widowControl/>
        <w:rPr>
          <w:szCs w:val="24"/>
          <w:lang w:eastAsia="en-US"/>
        </w:rPr>
      </w:pPr>
      <w:r>
        <w:rPr>
          <w:szCs w:val="24"/>
          <w:lang w:eastAsia="en-US"/>
        </w:rPr>
        <w:br w:type="page"/>
      </w:r>
    </w:p>
    <w:p w14:paraId="3E8B52F6" w14:textId="4D6AB814"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for så vidt angår toldrepræsentanten, de betingelser, hvorunder en sådan person kan levere ydelser i Unionens toldområde, de tilfælde, hvor kravet om at være etableret deri fraviges, og hvor beviset for bemyndigelsen ikke kræves af toldmyndighederne</w:t>
      </w:r>
    </w:p>
    <w:p w14:paraId="01FA8F86"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kategorierne af registrerede og de kategorier af personoplysninger, der kan behandles i EU's tolddatacenter</w:t>
      </w:r>
    </w:p>
    <w:p w14:paraId="0460A73A"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mere detaljerede regler vedrørende varers toldmæssige status</w:t>
      </w:r>
    </w:p>
    <w:p w14:paraId="0AFC219C"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 xml:space="preserve">typen af data og frister for meddelelse af disse data med henblik på henførsel af varer under en </w:t>
      </w:r>
      <w:r w:rsidRPr="0035616D">
        <w:rPr>
          <w:szCs w:val="24"/>
          <w:lang w:eastAsia="en-US"/>
        </w:rPr>
        <w:t>toldprocedure</w:t>
      </w:r>
    </w:p>
    <w:p w14:paraId="05A2175C" w14:textId="1D750F56" w:rsidR="003E0486" w:rsidRPr="00D13454" w:rsidRDefault="003E0486" w:rsidP="00813C65">
      <w:pPr>
        <w:spacing w:before="120" w:after="120" w:line="360" w:lineRule="auto"/>
        <w:ind w:left="1418" w:hanging="567"/>
        <w:rPr>
          <w:b/>
          <w:szCs w:val="24"/>
          <w:lang w:eastAsia="en-US"/>
        </w:rPr>
      </w:pPr>
      <w:r w:rsidRPr="0035616D">
        <w:rPr>
          <w:strike/>
          <w:szCs w:val="24"/>
          <w:lang w:eastAsia="en-US"/>
        </w:rPr>
        <w:t>-</w:t>
      </w:r>
      <w:r w:rsidRPr="0035616D">
        <w:rPr>
          <w:strike/>
          <w:szCs w:val="24"/>
          <w:lang w:eastAsia="en-US"/>
        </w:rPr>
        <w:tab/>
      </w:r>
      <w:r w:rsidRPr="003E0486">
        <w:rPr>
          <w:strike/>
          <w:szCs w:val="24"/>
          <w:lang w:eastAsia="en-US"/>
        </w:rPr>
        <w:t>en rimelig frist, efter hvilken toldmyndighederne anses for at have frigivet varerne, hvis de ikke har udvalgt dem til kontrol</w:t>
      </w:r>
      <w:r w:rsidR="00D13454">
        <w:rPr>
          <w:b/>
          <w:szCs w:val="24"/>
          <w:lang w:eastAsia="en-US"/>
        </w:rPr>
        <w:t xml:space="preserve"> [Ændring 45]</w:t>
      </w:r>
    </w:p>
    <w:p w14:paraId="494665F1" w14:textId="77777777" w:rsidR="002125A1" w:rsidRDefault="002125A1">
      <w:pPr>
        <w:widowControl/>
        <w:rPr>
          <w:szCs w:val="24"/>
          <w:lang w:eastAsia="en-US"/>
        </w:rPr>
      </w:pPr>
      <w:r>
        <w:rPr>
          <w:szCs w:val="24"/>
          <w:lang w:eastAsia="en-US"/>
        </w:rPr>
        <w:br w:type="page"/>
      </w:r>
    </w:p>
    <w:p w14:paraId="3666E9C2" w14:textId="275A2B93"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toldangivelser: de tilfælde, hvor en toldangivelse kan indgives ved hjælp af andre midler end elektroniske databehandlingsteknikker; betingelserne for at give bevilling til at indgive forenklede angivelser; fristerne for indgivelse af supplerende angivelser og de tilfælde, hvor der dispenseres fra forpligtelsen til at indgive sådanne angivelser; de tilfælde, hvor toldmyndighederne erklærer toldangivelser for ugyldige; betingelserne for indrømmelse af bevillinger til centraliseret toldbehandling og indskrivning i klarererens regnskaber</w:t>
      </w:r>
    </w:p>
    <w:p w14:paraId="25229967"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betingelserne og proceduren for konfiskering af varer</w:t>
      </w:r>
    </w:p>
    <w:p w14:paraId="3B63B81E"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forhåndsoplysninger for fragt: de supplerende data, der skal fremsendes, frister, tilfælde, hvor der dispenseres fra forpligtelsen til at meddele sådanne oplysninger, de særlige tilfælde, hvor data kan fremsendes af flere personer, de betingelser, hvorunder en person, der meddeler oplysninger eller gør dem tilgængelige, kan begrænse synligheden af sin identitet til en eller flere andre personer, der også indgiver oplysninger</w:t>
      </w:r>
    </w:p>
    <w:p w14:paraId="1C93D3EF" w14:textId="77777777" w:rsidR="002125A1" w:rsidRDefault="002125A1">
      <w:pPr>
        <w:widowControl/>
        <w:rPr>
          <w:szCs w:val="24"/>
          <w:lang w:eastAsia="en-US"/>
        </w:rPr>
      </w:pPr>
      <w:r>
        <w:rPr>
          <w:szCs w:val="24"/>
          <w:lang w:eastAsia="en-US"/>
        </w:rPr>
        <w:br w:type="page"/>
      </w:r>
    </w:p>
    <w:p w14:paraId="7B9B3D79" w14:textId="2CC1A997"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varers indpassage i Unionens toldområde: fristerne for, hvornår risikoanalysen skal gennemføres, og de nødvendige foranstaltninger skal træffes; de særlige tilfælde og de andre personer, der kan blive pålagt at underrette toldstedet for den faktiske første indpassage om forsendelsernes ankomst i tilfælde af omdirigering; betingelserne for anvisning og godkendelse af andre steder end det udpegede toldsted til frembydelse af varerne; betingelserne for anvisning eller godkendelse af de steder, udover toldoplag, til henførsel af varer under midlertidig opbevaring</w:t>
      </w:r>
    </w:p>
    <w:p w14:paraId="0D923E5A"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de data, der skal meddeles til eller gøres tilgængelige for toldmyndighederne med henblik på henførsel af varer til overgang til fri omsætning</w:t>
      </w:r>
    </w:p>
    <w:p w14:paraId="3E6EABAE"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de tilfælde, hvor varer anses for at være returneret i samme stand som den, de var i ved deres eksport, og hvor varer, der har været omfattet af foranstaltninger i henhold til den fælles landbrugspolitik, kan fritages for importafgifter</w:t>
      </w:r>
    </w:p>
    <w:p w14:paraId="30B4A8CC" w14:textId="77777777" w:rsidR="002125A1" w:rsidRDefault="002125A1">
      <w:pPr>
        <w:widowControl/>
        <w:rPr>
          <w:szCs w:val="24"/>
          <w:lang w:eastAsia="en-US"/>
        </w:rPr>
      </w:pPr>
      <w:r>
        <w:rPr>
          <w:szCs w:val="24"/>
          <w:lang w:eastAsia="en-US"/>
        </w:rPr>
        <w:br w:type="page"/>
      </w:r>
    </w:p>
    <w:p w14:paraId="36BD19C3" w14:textId="6E3635A3"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oplysningerne forud for afgang ved udførsel fra Unionens toldområde: minimummet af oplysninger forud for afgang og de frister, inden for hvilke oplysningerne forud for afgang skal meddeles eller gøres tilgængelige, inden varerne udføres, de specifikke tilfælde, hvor der dispenseres fra forpligtelsen til at meddele eller tilgængeliggøre oplysninger forud for afgang, og de oplysninger, der skal meddeles ved varers udpassage</w:t>
      </w:r>
    </w:p>
    <w:p w14:paraId="0F9228BB"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varers udpassage fristerne for, hvornår risikoanalysen skal gennemføres, og de nødvendige foranstaltninger skal træffes; de data, der skal meddeles til eller gøres tilgængelige for toldmyndighederne med henblik på henførsel af varer under eksportproceduren</w:t>
      </w:r>
    </w:p>
    <w:p w14:paraId="75314E12"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særlige procedurer: de data, der skal meddeles til eller gøres tilgængelige for toldmyndighederne med henblik på henførsel af varer under sådanne procedurer; undtagelserne fra betingelserne for at indrømme bevilling til særlige procedurer; de tilfælde, hvor forædlingens økonomiske karakter begrunder, at toldmyndighederne uden at indhente EU-Toldmyndighedens udtalelse foretager en vurdering af, om indrømmelsen af en bevilling til en procedure for aktiv forædling berører EU-producenternes væsentlige interesser negativt; listen over varer, der betragtes som følsomme; fristen for afslutning af en særlig procedure; de tilfælde og betingelser, hvorunder importører og eksportører kan transportere varer, der er henført under en særlig procedure, dog ikke forsendelses- eller frizoneproceduren; de sædvanlige behandlinger af varer, der er henført under toldoplagsproceduren eller en forædlingsprocedure; de mere detaljerede regler vedrørende ækvivalente varer</w:t>
      </w:r>
    </w:p>
    <w:p w14:paraId="62AA7816" w14:textId="77777777" w:rsidR="002125A1" w:rsidRDefault="002125A1">
      <w:pPr>
        <w:widowControl/>
        <w:rPr>
          <w:szCs w:val="24"/>
          <w:lang w:eastAsia="en-US"/>
        </w:rPr>
      </w:pPr>
      <w:r>
        <w:rPr>
          <w:szCs w:val="24"/>
          <w:lang w:eastAsia="en-US"/>
        </w:rPr>
        <w:br w:type="page"/>
      </w:r>
    </w:p>
    <w:p w14:paraId="7F8CF4F5" w14:textId="1DBC7A3F"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forsendelse: de specifikke tilfælde, hvor EU-varer skal henføres under proceduren for ekstern forsendelse; betingelserne for at indrømme bevillinger til godkendt afsender og godkendt modtager til TIR-formål; kravene med hensyn den ansvarlige for proceduren for EU-forsendelses tilvejebringelse af data</w:t>
      </w:r>
    </w:p>
    <w:p w14:paraId="5D9E54E9"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oplagring: de minimumsdata, som operatøren af et toldoplag eller en frizone skal fremsende; betingelserne for tildeling af bevilling til drift af toldoplag</w:t>
      </w:r>
    </w:p>
    <w:p w14:paraId="1E2C5CDE"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midlertidig import: de betingelserne for fuldstændig eller delvis afgiftsfritagelse, der er fastlagt i toldlovgivningen, som skal opfyldes med henblik på anvendelse af proceduren for midlertidig import</w:t>
      </w:r>
    </w:p>
    <w:p w14:paraId="26F36B8B"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reglerne for fastsættelse af ikkepræferenceoprindelse og reglerne vedrørende præferenceoprindelse</w:t>
      </w:r>
    </w:p>
    <w:p w14:paraId="6371847E"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betingelserne for at tildele bevilling til forenklinger i forbindelse med fastsættelsen af toldværdien i specifikke tilfælde</w:t>
      </w:r>
    </w:p>
    <w:p w14:paraId="2FC4A861" w14:textId="77777777" w:rsidR="002125A1" w:rsidRDefault="002125A1">
      <w:pPr>
        <w:widowControl/>
        <w:rPr>
          <w:szCs w:val="24"/>
          <w:lang w:eastAsia="en-US"/>
        </w:rPr>
      </w:pPr>
      <w:r>
        <w:rPr>
          <w:szCs w:val="24"/>
          <w:lang w:eastAsia="en-US"/>
        </w:rPr>
        <w:br w:type="page"/>
      </w:r>
    </w:p>
    <w:p w14:paraId="14F4BD2D" w14:textId="33D3137E"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toldskyld: mere detaljerede regler for beregning af import- eller eksportafgiftsbeløbet for en vare, for hvilken der er opstået toldskyld inden for rammerne af en særlig procedure; den specifikke frist, hvorefter stedet for toldskyldens opståen fastlægges, hvis dette ikke kan bestemmes, når varerne er blevet henført under en toldprocedure, som ikke er blevet afsluttet, eller en midlertidig opbevaring ikke er afsluttet korrekt; mere detaljerede regler for meddelelse af toldskyld</w:t>
      </w:r>
    </w:p>
    <w:p w14:paraId="0C0A344D"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reglerne for suspension af fristen for betaling af import- eller eksportafgifter svarende til en toldskyld og fastsættelse af suspensionsperioden; de regler, som Kommissionen skal overholde, når den træffer afgørelse om godtgørelse af og fritagelse for toldskyld; listen over misligholdelser, der ikke har væsentlige følger for den midlertidige opbevarings eller den pågældende toldprocedures korrekte forløb med henblik på toldskyldens ophør</w:t>
      </w:r>
    </w:p>
    <w:p w14:paraId="0DB1B51D" w14:textId="77777777" w:rsidR="002125A1" w:rsidRDefault="002125A1">
      <w:pPr>
        <w:widowControl/>
        <w:rPr>
          <w:szCs w:val="24"/>
          <w:lang w:eastAsia="en-US"/>
        </w:rPr>
      </w:pPr>
      <w:r>
        <w:rPr>
          <w:szCs w:val="24"/>
          <w:lang w:eastAsia="en-US"/>
        </w:rPr>
        <w:br w:type="page"/>
      </w:r>
    </w:p>
    <w:p w14:paraId="7E85365A" w14:textId="267C6815" w:rsidR="003E0486" w:rsidRPr="003E0486" w:rsidRDefault="003E0486" w:rsidP="00813C65">
      <w:pPr>
        <w:spacing w:before="120" w:after="120" w:line="360" w:lineRule="auto"/>
        <w:ind w:left="1418" w:hanging="567"/>
        <w:rPr>
          <w:szCs w:val="24"/>
          <w:lang w:eastAsia="en-US"/>
        </w:rPr>
      </w:pPr>
      <w:r w:rsidRPr="003E0486">
        <w:rPr>
          <w:szCs w:val="24"/>
          <w:lang w:eastAsia="en-US"/>
        </w:rPr>
        <w:lastRenderedPageBreak/>
        <w:t>-</w:t>
      </w:r>
      <w:r w:rsidRPr="003E0486">
        <w:rPr>
          <w:szCs w:val="24"/>
          <w:lang w:eastAsia="en-US"/>
        </w:rPr>
        <w:tab/>
        <w:t>i forbindelse med sikkerhedsstillelse: de specifikke tilfælde, hvor der ikke kræves sikkerhedsstillelse for varer, der er henført under proceduren for midlertidig import; reglerne for fastlæggelse af sikkerhedsstillelsens form, når der ikke er tale om et betalingsmiddel, der er anerkendt af toldmyndighederne, eller et tilsagn fra en kautionist; reglerne vedrørende formerne for sikkerhedsstillelse og for kautionisten; betingelserne for tildeling af bevilling til at anvende en samlet sikkerhedsstillelse med et nedsat beløb eller at opnå fritagelse for sikkerhedsstillelse; fristerne for frigivelse af en sikkerhedsstillelse</w:t>
      </w:r>
    </w:p>
    <w:p w14:paraId="5783065E"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i forbindelse med toldsamarbejde enhver anden supplerende foranstaltning, som toldmyndighederne skal træffe for at sikre overholdelse af anden lovgivning end toldlovgivningen; de betingelser og procedurer, i henhold til hvilke en medlemsstat kan bemyndiges til at indlede forhandlinger med tredjelande om udveksling af oplysninger med henblik på toldsamarbejde</w:t>
      </w:r>
    </w:p>
    <w:p w14:paraId="58981EBC" w14:textId="77777777" w:rsidR="003E0486" w:rsidRPr="003E0486" w:rsidRDefault="003E0486" w:rsidP="00813C65">
      <w:pPr>
        <w:spacing w:before="120" w:after="120" w:line="360" w:lineRule="auto"/>
        <w:ind w:left="1418" w:hanging="567"/>
        <w:rPr>
          <w:szCs w:val="24"/>
          <w:lang w:eastAsia="en-US"/>
        </w:rPr>
      </w:pPr>
      <w:r w:rsidRPr="003E0486">
        <w:rPr>
          <w:szCs w:val="24"/>
          <w:lang w:eastAsia="en-US"/>
        </w:rPr>
        <w:t>-</w:t>
      </w:r>
      <w:r w:rsidRPr="003E0486">
        <w:rPr>
          <w:szCs w:val="24"/>
          <w:lang w:eastAsia="en-US"/>
        </w:rPr>
        <w:tab/>
        <w:t>at ophæve eller ændre undtagelserne med henblik på at fastlæggelse af det kompetente toldsted for tilsynet med henførslen af varer under en toldprocedure, og stedet for toldskyldens opståen i lyset af den vurdering, som Kommissionen skal foretage af effektiviteten af det toldtilsyn, der er indført ved denne forordning.</w:t>
      </w:r>
    </w:p>
    <w:p w14:paraId="77D26AE1" w14:textId="77777777" w:rsidR="002125A1" w:rsidRDefault="002125A1">
      <w:pPr>
        <w:widowControl/>
        <w:rPr>
          <w:szCs w:val="24"/>
          <w:lang w:eastAsia="en-US"/>
        </w:rPr>
      </w:pPr>
      <w:r>
        <w:rPr>
          <w:szCs w:val="24"/>
          <w:lang w:eastAsia="en-US"/>
        </w:rPr>
        <w:br w:type="page"/>
      </w:r>
    </w:p>
    <w:p w14:paraId="5EE0034A" w14:textId="757DD7F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(68)</w:t>
      </w:r>
      <w:r w:rsidRPr="003E0486">
        <w:rPr>
          <w:szCs w:val="24"/>
          <w:lang w:eastAsia="en-US"/>
        </w:rPr>
        <w:tab/>
        <w:t>Det er navnlig vigtigt, at Kommissionen gennemfører relevante høringer under sit forberedende arbejde i forbindelse med vedtagelsen af delegerede retsakter, herunder på ekspertniveau, og at disse høringer gennemføres i overensstemmelse med principperne i den interinstitutionelle aftale af 13. april 2016 om bedre lovgivning</w:t>
      </w:r>
      <w:r w:rsidRPr="003E0486">
        <w:rPr>
          <w:szCs w:val="24"/>
          <w:vertAlign w:val="superscript"/>
          <w:lang w:val="en-GB" w:eastAsia="en-US"/>
        </w:rPr>
        <w:footnoteReference w:id="27"/>
      </w:r>
      <w:r w:rsidRPr="003E0486">
        <w:rPr>
          <w:szCs w:val="24"/>
          <w:lang w:eastAsia="en-US"/>
        </w:rPr>
        <w:t>.</w:t>
      </w:r>
    </w:p>
    <w:p w14:paraId="68CB5256" w14:textId="77777777" w:rsidR="002125A1" w:rsidRDefault="002125A1">
      <w:pPr>
        <w:widowControl/>
        <w:rPr>
          <w:szCs w:val="24"/>
          <w:lang w:eastAsia="en-US"/>
        </w:rPr>
      </w:pPr>
      <w:r>
        <w:rPr>
          <w:szCs w:val="24"/>
          <w:lang w:eastAsia="en-US"/>
        </w:rPr>
        <w:br w:type="page"/>
      </w:r>
    </w:p>
    <w:p w14:paraId="52EB046D" w14:textId="5E5B1F4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(69)</w:t>
      </w:r>
      <w:r w:rsidRPr="003E0486">
        <w:rPr>
          <w:szCs w:val="24"/>
          <w:lang w:eastAsia="en-US"/>
        </w:rPr>
        <w:tab/>
        <w:t xml:space="preserve">For at sikre ensartede betingelser for gennemførelsen af denne forordning bør Kommissionen tillægges gennemførelsesbeføjelser med henblik på: at vedtage procedurereglerne for anvendelsen af en afgørelse vedrørende bindende oplysninger, efter at den ophører med at være gyldig eller tilbagekaldes, at vedtage procedurereglerne for underretningen af toldmyndighederne om, at udstedelsen af en sådan afgørelse er suspenderet, og for tilbagekaldelse af en sådan afgørelse, at vedtage afgørelser, hvorved det pålægges medlemsstaterne at tilbagekalde afgørelser vedrørende bindende oplysninger, at vedtage de nærmere vilkår for anvendelsen af de kriterier for indrømmelse af status som autoriseret økonomisk operatør og tillid og kontrol-erhvervsdrivende, at bestemme de elektroniske systemer, platforme eller miljøer, hvormed EU's tolddatacenter kobles sammen, at fastsætte reglerne for adgang til specifikke tjenester og systemer i EU's tolddatacenter, herunder de specifikke regler og betingelser for personoplysningers beskyttelse og sikkerhed, og hvor denne adgang er begrænset, at fastlægge foranstaltninger vedrørende toldmyndighedernes forvaltning af overvågning, at vedtage procedurereglerne vedrørende de fælles dataansvarliges ansvar for den databehandling, der finder sted ved hjælp af en tjeneste eller et system i EU's tolddatacenter, at vedtage procedurereglerne til fastlæggelse af det kompetente toldsted, når det ikke er det toldsted, der er ansvarligt for importørens eller eksportørens etableringssted, at vedtage foranstaltninger vedrørende verifikation af oplysninger, undersøgelse og prøveudtagning af varer, resultater af verifikationen og identifikation, at vedtage foranstaltninger vedrørende anvendelsen af kontrol efter frigivelse i forbindelse med transaktioner, der finder sted i mere end én medlemsstat, at fastsætte de havne eller lufthavne, hvor der skal gennemføres toldkontrol og eller opfyldes toldformaliteter for så vidt angår håndbagage og indchecket bagage, at vedtage foranstaltninger til at sikre en harmoniseret anvendelse af toldkontrol og risikoforvaltning, herunder udveksling af oplysninger, fastlæggelse af fælles risikokriterier og -standarder og fælles prioriterede kontrolområder og evalueringen af aktiviteterne i disse områder, at præcisere procedurereglerne for forelæggelse og kontrol af bevis for toldmæssig status som EU-varer, at præcisere procedurereglerne for ændring og ugyldiggørelse af oplysningerne om henførsel af varer under en toldprocedure, at vedtage procedurereglerne for fastlæggelse af de kompetente toldsteder, og for indgivelse af toldangivelsen, når der anvendes andre midler end elektroniske databehandlingsteknikker procedurereglerne for indgivelse af standardtoldangivelsen </w:t>
      </w:r>
      <w:r w:rsidRPr="003E0486">
        <w:rPr>
          <w:szCs w:val="24"/>
          <w:lang w:eastAsia="en-US"/>
        </w:rPr>
        <w:lastRenderedPageBreak/>
        <w:t xml:space="preserve">og for den dokumentation, der skal stilles til rådighed, procedurereglerne for indgivelse af den forenklede angivelse og den supplerende angivelse, procedurereglerne for indgivelse af en toldangivelse, inden varerne frembydes for toldmyndighederne, antagelse af toldangivelsen og ændring af toldangivelsen efter frigivelse af varerne, at præcisere procedurereglerne for centraliseret toldbehandling og fritagelse for forpligtelsen til frembydelse af varer i forbindelse hermed, procedurereglerne for indskrivningen i klarererens regnskaber, procedurereglerne for bortskaffelse af varer, procedurereglerne for fremskaffelse af dokumentation for, at betingelserne for fritagelse for importafgift for returvarer er opfyldt, og procedurereglerne for fremskaffelse af bevis for, at betingelserne for fritagelse for importafgift for produkter fra havfiskeri og andre produkter, der optages fra havet, er opfyldt, at præcisere procedurereglerne for udpassage af varer, at vedtage procedureregler for meddelelse, ændring og ugyldiggørelse af oplysningerne forud for afgang og indgivelse, ændring og ugyldiggørelse af den summariske udpassageangivelse, at vedtage procedureregler for refusion af moms til fysiske personer, der ikke er etableret i Unionen, at præcisere procedurereglerne for underretning om et søgående skibs eller et luftfartøjs ankomst og transport af varer til det rette sted, procedurereglerne for indgivelse, ændring og ugyldiggørelse af angivelsen til midlertidig opbevaring og for bevægelse af varer under midlertidig opbevaring, at vedtage procedureregler for tildeling af bevilling til særlige procedurer, for undersøgelse af de økonomiske forudsætninger og for afgivelse af en udtalelse fra EU-Toldmyndighederne med henblik på at vurdere, om indrømmelsen af en bevilling til en procedure for aktiv eller passiv forædling berører EU-producenternes væsentlige interesser negativt, at vedtage procedureregler for afslutning af en særlig procedure, procedurereglerne for overdragelse af rettigheder og forpligtelser og bevægelse af varer i forbindelse med særlige procedurer, procedurereglerne for anvendelse af ækvivalente varer i forbindelse med særlige procedurer, procedurereglerne for anvendelse af bestemmelserne i internationale forsendelsesinstrumenter i Unionens toldområde, procedurereglerne for henførsel af varer under proceduren for EU-forsendelse og for afslutningen af denne procedure, for gennemførelsen af forenklingerne af denne procedure og for toldtilsyn med varer, der forsendes via et tredjelandsområde under proceduren for ekstern EU-forsendelse, procedurereglerne for henførsel af varer under toldoplags- eller frizoneproceduren og for bevægelse af varer under toldoplagsproceduren, at vedtage foranstaltninger </w:t>
      </w:r>
      <w:r w:rsidRPr="003E0486">
        <w:rPr>
          <w:szCs w:val="24"/>
          <w:lang w:eastAsia="en-US"/>
        </w:rPr>
        <w:lastRenderedPageBreak/>
        <w:t>vedrørende ensartet forvaltning af toldkontingenter og toldlofter og forvaltning af toldovervågning med overgang til fri omsætning eller eksport af varer, at vedtage foranstaltninger, der fastlægger tariferingen af varer, at præcisere procedurereglerne for forelæggelse og verifikation af bevis for ikkepræferenceoprindelse, at vedtage procedurereglerne med henblik på at lette fastsættelsen i Unionen af varers præferenceoprindelse, at vedtage foranstaltninger, der fastlægger oprindelsen af specifikke varer, at indrømme en midlertidig undtagelse fra reglerne om præferenceoprindelse for varer, der er omfattet af præferenceforanstaltninger, som er vedtaget ensidigt af Unionen, at præcisere procedurereglerne for fastlæggelse af varers toldværdi, at præcisere procedurereglerne for sikkerhedsstillelse fastsættelse af dennes beløbet, overvågning og frigivelse af sikkerhedsstillelsen samt for tilbagekaldelse og annullering af et tilsagn fra en kautionist, at præcisere procedurereglerne vedrørende midlertidigt forbud mod anvendelse af samlet sikkerhedsstillelse, at vedtage foranstaltninger med henblik på gensidig bistand mellem toldmyndighederne, når der opstår toldskyld, at præcisere procedurereglerne for godtgørelse af og fritagelse for import- eller eksportafgiftsbeløbet og de oplysninger, der skal meddeles Kommissionen, og de afgørelser, der skal træffes af Kommissionen om godtgørelse eller fritagelse, at vedtage foranstaltninger til identificering af en krise og aktivering af krisestyringsmekanismen, at vedtage procedureregler for tildeling og forvaltning af bemyndigelsen af en medlemsstat til at indlede forhandlinger med et tredjeland med henblik på indgåelse af en bilateral aftale eller ordning om udveksling af oplysninger, at vedtage afgørelser efter anmodning fra en medlemsstat om bemyndigelse til at indlede forhandlinger med et tredjeland med henblik på indgåelse af en bilateral aftale eller ordning om udveksling af oplysninger, at specificere udformningen af rammen for måling af toldunionens resultater og de oplysninger, som medlemsstaterne bør meddele EU-Toldmyndigheden med henblik på resultatmåling, at fastsætte regler for valutaomregning. Disse beføjelser bør udøves i overensstemmelse med Europa-Parlamentets og Rådets forordning (EU) nr. 182/2011</w:t>
      </w:r>
      <w:r w:rsidRPr="003E0486">
        <w:rPr>
          <w:szCs w:val="24"/>
          <w:vertAlign w:val="superscript"/>
          <w:lang w:val="en-GB" w:eastAsia="en-US"/>
        </w:rPr>
        <w:footnoteReference w:id="28"/>
      </w:r>
      <w:r w:rsidRPr="003E0486">
        <w:rPr>
          <w:szCs w:val="24"/>
          <w:lang w:eastAsia="en-US"/>
        </w:rPr>
        <w:t>.</w:t>
      </w:r>
    </w:p>
    <w:p w14:paraId="59038703" w14:textId="77777777" w:rsidR="002125A1" w:rsidRDefault="002125A1">
      <w:pPr>
        <w:widowControl/>
        <w:rPr>
          <w:szCs w:val="24"/>
          <w:lang w:eastAsia="en-US"/>
        </w:rPr>
      </w:pPr>
      <w:r>
        <w:rPr>
          <w:szCs w:val="24"/>
          <w:lang w:eastAsia="en-US"/>
        </w:rPr>
        <w:br w:type="page"/>
      </w:r>
    </w:p>
    <w:p w14:paraId="1D159B92" w14:textId="5B2296E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(70)</w:t>
      </w:r>
      <w:r w:rsidRPr="003E0486">
        <w:rPr>
          <w:szCs w:val="24"/>
          <w:lang w:eastAsia="en-US"/>
        </w:rPr>
        <w:tab/>
        <w:t>Rådgivningsproceduren bør anvendes til vedtagelsen af: gennemførelsesretsakter, hvorved det pålægges medlemsstaterne at tilbagekalde afgørelser vedrørende bindende oplysninger, idet sådanne afgørelser kun berører en enkelt medlemsstat og tager sigte på at sikre overholdelse af toldlovgivningen, gennemførelsesretsakter med henblik på at fastlægge de specifikke detaljer vedrørende adgang for andre myndigheder end toldmyndighederne til specifikke tjenester og systemer i EU's tolddatacenter, gennemførelsesretsakter efter anmodning fra en medlemsstat om bemyndigelse til at indlede forhandlinger med et tredjeland med henblik på indgåelse af en bilateral aftale eller ordning om udveksling af oplysninger, idet de kun berører en enkelt medlemsstat, gennemførelsesretsakter om godtgørelse af eller fritagelse for import- eller eksportafgifter, eftersom sådanne afgørelser direkte berører den person, der ansøger om den pågældende godtgørelse eller fritagelse.</w:t>
      </w:r>
    </w:p>
    <w:p w14:paraId="219761CC" w14:textId="77777777" w:rsidR="002125A1" w:rsidRDefault="002125A1">
      <w:pPr>
        <w:widowControl/>
        <w:rPr>
          <w:szCs w:val="24"/>
          <w:lang w:eastAsia="en-US"/>
        </w:rPr>
      </w:pPr>
      <w:r>
        <w:rPr>
          <w:szCs w:val="24"/>
          <w:lang w:eastAsia="en-US"/>
        </w:rPr>
        <w:br w:type="page"/>
      </w:r>
    </w:p>
    <w:p w14:paraId="60FDFEF0" w14:textId="775F644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(71)</w:t>
      </w:r>
      <w:r w:rsidRPr="003E0486">
        <w:rPr>
          <w:szCs w:val="24"/>
          <w:lang w:eastAsia="en-US"/>
        </w:rPr>
        <w:tab/>
        <w:t>I behørigt begrundede og særligt hastende tilfælde bør Kommissionen vedtage gennemførelsesretsakter, der finder anvendelse straks: vedrørende foranstaltninger med henblik på ensartet anvendelse af toldkontrol, herunder udveksling af oplysninger om og analyser af risici, fælles risikokriterier og -standarder, kontrolforanstaltninger og fælles prioriterede kontrolområder, vedrørende anmodninger fra medlemsstater om bemyndigelse til at indlede forhandlinger med et tredjeland med henblik på indgåelse af en bilateral aftale eller ordning om udveksling af oplysninger, vedrørende foranstaltninger, der fastlægger tariferingen af varer, vedrørende foranstaltninger, der fastlægger oprindelsen af specifikke varer, vedrørende foranstaltninger, der fastlægger en passende metode til toldværdiansættelse eller kriterier herfor, der skal anvendes til at fastsætte toldværdien af varer i specifikke situationer, vedrørende foranstaltninger om midlertidigt forbud mod anvendelse af samlet sikkerhedsstillelse, vedrørende identificering af en krisesituation og vedtagelse af passende foranstaltninger til at håndtere den eller afbøde dens negative virkninger, vedrørende bemyndigelse af en medlemsstat til at forhandle og indgå en bilateral aftale med et tredjeland om udveksling af oplysninger.</w:t>
      </w:r>
    </w:p>
    <w:p w14:paraId="69187493" w14:textId="77777777" w:rsidR="002125A1" w:rsidRDefault="002125A1">
      <w:pPr>
        <w:widowControl/>
        <w:rPr>
          <w:szCs w:val="24"/>
          <w:lang w:eastAsia="en-US"/>
        </w:rPr>
      </w:pPr>
      <w:r>
        <w:rPr>
          <w:szCs w:val="24"/>
          <w:lang w:eastAsia="en-US"/>
        </w:rPr>
        <w:br w:type="page"/>
      </w:r>
    </w:p>
    <w:p w14:paraId="0B2A214C" w14:textId="478F8CC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(72)</w:t>
      </w:r>
      <w:r w:rsidRPr="003E0486">
        <w:rPr>
          <w:szCs w:val="24"/>
          <w:lang w:eastAsia="en-US"/>
        </w:rPr>
        <w:tab/>
        <w:t>Med henblik på at give medlemsstaterne mulighed for rettidig gennemførelse heraf bør Kommissionen på enhver måde tilstræbe at sikre, at de delegerede retsakter og gennemførelsesretsakter, der er omhandlet i denne forordning, træder i kraft i tilpas god tid inden anvendelsesdatoen for kodeksen.</w:t>
      </w:r>
    </w:p>
    <w:p w14:paraId="6A4C077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(73)</w:t>
      </w:r>
      <w:r w:rsidRPr="003E0486">
        <w:rPr>
          <w:szCs w:val="24"/>
          <w:lang w:eastAsia="en-US"/>
        </w:rPr>
        <w:tab/>
        <w:t>De bestemmelser, der henviser til EU-Toldmyndigheden, med undtagelse af artikel 238, bør finde anvendelse fra den 1. januar 2028. Indtil denne dato bør EU-Toldmyndigheden udføre sine opgaver ved hjælp af de eksisterende elektroniske systemer til udveksling af toldoplysninger, som Kommissionen har udviklet. Bestemmelserne om forenklet toldbehandling ved fjernsalg og formelle importører bør finde anvendelse fra den 1. januar 2028.</w:t>
      </w:r>
    </w:p>
    <w:p w14:paraId="442C941B" w14:textId="77777777" w:rsidR="002125A1" w:rsidRDefault="002125A1">
      <w:pPr>
        <w:widowControl/>
        <w:rPr>
          <w:szCs w:val="24"/>
          <w:lang w:eastAsia="en-US"/>
        </w:rPr>
      </w:pPr>
      <w:r>
        <w:rPr>
          <w:szCs w:val="24"/>
          <w:lang w:eastAsia="en-US"/>
        </w:rPr>
        <w:br w:type="page"/>
      </w:r>
    </w:p>
    <w:p w14:paraId="01C87765" w14:textId="662F76D0" w:rsidR="003E0486" w:rsidRPr="00D13454" w:rsidRDefault="003E0486" w:rsidP="003E0486">
      <w:pPr>
        <w:spacing w:before="120" w:after="120" w:line="360" w:lineRule="auto"/>
        <w:ind w:left="850" w:hanging="850"/>
        <w:rPr>
          <w:b/>
          <w:szCs w:val="24"/>
          <w:lang w:eastAsia="en-US"/>
        </w:rPr>
      </w:pPr>
      <w:r w:rsidRPr="003E0486">
        <w:rPr>
          <w:szCs w:val="24"/>
          <w:lang w:eastAsia="en-US"/>
        </w:rPr>
        <w:lastRenderedPageBreak/>
        <w:t>(74)</w:t>
      </w:r>
      <w:r w:rsidRPr="003E0486">
        <w:rPr>
          <w:szCs w:val="24"/>
          <w:lang w:eastAsia="en-US"/>
        </w:rPr>
        <w:tab/>
      </w:r>
      <w:r w:rsidRPr="003E0486">
        <w:rPr>
          <w:strike/>
          <w:szCs w:val="24"/>
          <w:lang w:eastAsia="en-US"/>
        </w:rPr>
        <w:t>I 2032 kan</w:t>
      </w:r>
      <w:r w:rsidRPr="003E0486">
        <w:rPr>
          <w:b/>
          <w:i/>
          <w:szCs w:val="24"/>
          <w:lang w:eastAsia="en-US"/>
        </w:rPr>
        <w:t>Fra den 1. januar 2029 bør</w:t>
      </w:r>
      <w:r w:rsidRPr="003E0486">
        <w:rPr>
          <w:szCs w:val="24"/>
          <w:lang w:eastAsia="en-US"/>
        </w:rPr>
        <w:t xml:space="preserve"> økonomiske operatører </w:t>
      </w:r>
      <w:r w:rsidRPr="003E0486">
        <w:rPr>
          <w:b/>
          <w:i/>
          <w:szCs w:val="24"/>
          <w:lang w:eastAsia="en-US"/>
        </w:rPr>
        <w:t xml:space="preserve">have ret til </w:t>
      </w:r>
      <w:r w:rsidRPr="003E0486">
        <w:rPr>
          <w:szCs w:val="24"/>
          <w:lang w:eastAsia="en-US"/>
        </w:rPr>
        <w:t>på frivillig basis</w:t>
      </w:r>
      <w:r w:rsidRPr="003E0486">
        <w:rPr>
          <w:b/>
          <w:i/>
          <w:szCs w:val="24"/>
          <w:lang w:eastAsia="en-US"/>
        </w:rPr>
        <w:t xml:space="preserve"> at</w:t>
      </w:r>
      <w:r w:rsidRPr="003E0486">
        <w:rPr>
          <w:szCs w:val="24"/>
          <w:lang w:eastAsia="en-US"/>
        </w:rPr>
        <w:t xml:space="preserve"> begynde at anvende funktionerne i EU's tolddatacenter. </w:t>
      </w:r>
      <w:r w:rsidRPr="003E0486">
        <w:rPr>
          <w:strike/>
          <w:szCs w:val="24"/>
          <w:lang w:eastAsia="en-US"/>
        </w:rPr>
        <w:t>Inden udgangen af 2037</w:t>
      </w:r>
      <w:r w:rsidRPr="003E0486">
        <w:rPr>
          <w:b/>
          <w:i/>
          <w:szCs w:val="24"/>
          <w:lang w:eastAsia="en-US"/>
        </w:rPr>
        <w:t>Senest den 31. december 2032</w:t>
      </w:r>
      <w:r w:rsidRPr="003E0486">
        <w:rPr>
          <w:szCs w:val="24"/>
          <w:lang w:eastAsia="en-US"/>
        </w:rPr>
        <w:t xml:space="preserve"> bør EU's tolddatacenter være fuldt udviklet, og alle økonomiske operatører er forpligtede til at anvende det. Tillid og kontrol-erhvervsdrivende og formelle importører vil være underlagt deres etableringsmedlemsstats tilsyn. Som en undtagelse og med forbehold af revision vil økonomiske operatører, der hverken er tillid og kontrol-erhvervsdrivende eller formelle importører, forblive under tilsyn af toldmyndigheden i den medlemsstat, hvor varerne fysisk befinder sig. Senest den 31. december 2035 bør Kommissionen evaluere de to tilsynsmodeller, herunder deres effektivitet med hensyn til at afsløre og forebygge svig. Evalueringen bør også tage hensyn til indirekte beskatning. På grundlag af denne evaluering bør Kommissionen have ret til ved delegeret retsakt at beslutte, om de to modeller bør fortsætte, eller om den toldmyndighed, der er ansvarlig for den erhvervsdrivendes etableringssted, i alle tilfælde bør frigive varerne. Stedet for toldskyldens opståen bør også reguleres i overensstemmelse med bestemmelsen af den ansvarlige toldmyndighed —</w:t>
      </w:r>
      <w:r w:rsidR="00D13454">
        <w:rPr>
          <w:b/>
          <w:szCs w:val="24"/>
          <w:lang w:eastAsia="en-US"/>
        </w:rPr>
        <w:t xml:space="preserve"> [Ændring 46]</w:t>
      </w:r>
    </w:p>
    <w:p w14:paraId="02991285" w14:textId="77777777" w:rsidR="003E0486" w:rsidRPr="003E0486" w:rsidRDefault="003E0486" w:rsidP="003E0486">
      <w:pPr>
        <w:keepNext/>
        <w:widowControl/>
        <w:spacing w:before="120" w:after="120" w:line="360" w:lineRule="auto"/>
        <w:rPr>
          <w:szCs w:val="24"/>
          <w:lang w:eastAsia="en-US"/>
        </w:rPr>
      </w:pPr>
      <w:r w:rsidRPr="003E0486">
        <w:rPr>
          <w:szCs w:val="24"/>
          <w:lang w:eastAsia="en-US"/>
        </w:rPr>
        <w:t>VEDTAGET DENNE FORORDNING:</w:t>
      </w:r>
    </w:p>
    <w:p w14:paraId="4F658D26" w14:textId="77777777" w:rsidR="002125A1" w:rsidRDefault="002125A1">
      <w:pPr>
        <w:widowControl/>
        <w:rPr>
          <w:szCs w:val="24"/>
          <w:lang w:eastAsia="en-US"/>
        </w:rPr>
      </w:pPr>
      <w:r>
        <w:rPr>
          <w:szCs w:val="24"/>
          <w:lang w:eastAsia="en-US"/>
        </w:rPr>
        <w:br w:type="page"/>
      </w:r>
    </w:p>
    <w:p w14:paraId="45682DF8" w14:textId="7D3AAF5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I </w:t>
      </w:r>
      <w:r w:rsidRPr="003E0486">
        <w:rPr>
          <w:szCs w:val="24"/>
          <w:lang w:eastAsia="en-US"/>
        </w:rPr>
        <w:br/>
        <w:t>ALMINDELIGE BESTEMMELSER</w:t>
      </w:r>
    </w:p>
    <w:p w14:paraId="48B84FAA"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Toldlovgivningens anvendelsesområde og toldmyndighedernes opgave</w:t>
      </w:r>
    </w:p>
    <w:p w14:paraId="61D5176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w:t>
      </w:r>
      <w:r w:rsidRPr="003E0486">
        <w:rPr>
          <w:szCs w:val="24"/>
          <w:lang w:eastAsia="en-US"/>
        </w:rPr>
        <w:br/>
        <w:t>Emne og anvendelsesområde</w:t>
      </w:r>
    </w:p>
    <w:p w14:paraId="46EED04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Ved denne forordning indføres en EU-toldkodeks (kodeksen). Den fastlægger de almindelige regler og procedurer, der gælder for varer, der føres ind i eller ud af Unionens toldområde.</w:t>
      </w:r>
    </w:p>
    <w:p w14:paraId="52B95783" w14:textId="77777777" w:rsidR="003E0486" w:rsidRPr="003E0486" w:rsidRDefault="003E0486" w:rsidP="003E0486">
      <w:pPr>
        <w:spacing w:before="120" w:after="120" w:line="360" w:lineRule="auto"/>
        <w:ind w:left="850"/>
        <w:rPr>
          <w:szCs w:val="24"/>
          <w:lang w:eastAsia="en-US"/>
        </w:rPr>
      </w:pPr>
      <w:r w:rsidRPr="003E0486">
        <w:rPr>
          <w:szCs w:val="24"/>
          <w:lang w:eastAsia="en-US"/>
        </w:rPr>
        <w:t>Ved denne forordning oprettes også Den Europæiske Unions toldmyndighed ("EU-Toldmyndigheden"), og reglerne, fælles standarder og en forvaltningsramme for oprettelsen af Den Europæiske Unions tolddatacenter ("EU's tolddatacenter") fastlægges.</w:t>
      </w:r>
    </w:p>
    <w:p w14:paraId="335BCAFF" w14:textId="77777777" w:rsidR="002125A1" w:rsidRDefault="002125A1">
      <w:pPr>
        <w:widowControl/>
        <w:rPr>
          <w:b/>
          <w:i/>
          <w:szCs w:val="24"/>
          <w:lang w:eastAsia="en-US"/>
        </w:rPr>
      </w:pPr>
      <w:r>
        <w:rPr>
          <w:b/>
          <w:i/>
          <w:szCs w:val="24"/>
          <w:lang w:eastAsia="en-US"/>
        </w:rPr>
        <w:br w:type="page"/>
      </w:r>
    </w:p>
    <w:p w14:paraId="2B5F1202" w14:textId="05E4BE0E" w:rsidR="003E0486" w:rsidRPr="003E0486" w:rsidRDefault="003E0486" w:rsidP="003E0486">
      <w:pPr>
        <w:spacing w:before="120" w:after="120" w:line="360" w:lineRule="auto"/>
        <w:ind w:left="850" w:hanging="850"/>
        <w:rPr>
          <w:szCs w:val="24"/>
          <w:lang w:eastAsia="en-US"/>
        </w:rPr>
      </w:pPr>
      <w:r w:rsidRPr="003E0486">
        <w:rPr>
          <w:b/>
          <w:i/>
          <w:szCs w:val="24"/>
          <w:lang w:eastAsia="en-US"/>
        </w:rPr>
        <w:lastRenderedPageBreak/>
        <w:t>1a.</w:t>
      </w:r>
      <w:r w:rsidRPr="003E0486">
        <w:rPr>
          <w:szCs w:val="24"/>
          <w:lang w:eastAsia="en-US"/>
        </w:rPr>
        <w:tab/>
      </w:r>
      <w:r w:rsidRPr="003E0486">
        <w:rPr>
          <w:b/>
          <w:i/>
          <w:szCs w:val="24"/>
          <w:lang w:eastAsia="en-US"/>
        </w:rPr>
        <w:t>Ved denne forordning indføres Den Europæiske Unions kvikskrankemiljø på toldområdet ("EU-kvikskrankemiljø på toldområdet"), som leverer et integreret sæt interoperable elektroniske tjenester på EU-plan for at støtte interaktion og forbedre informationsudvekslingen mellem EU's tolddatacenter og de ikketoldrelaterede EU-systemer, der er omhandlet i bilag Ia.</w:t>
      </w:r>
    </w:p>
    <w:p w14:paraId="7942B343" w14:textId="14A2B8DF" w:rsidR="003E0486" w:rsidRPr="00D13454" w:rsidRDefault="003E0486" w:rsidP="003E0486">
      <w:pPr>
        <w:spacing w:before="120" w:after="120" w:line="360" w:lineRule="auto"/>
        <w:ind w:left="850"/>
        <w:rPr>
          <w:b/>
          <w:szCs w:val="24"/>
          <w:lang w:eastAsia="en-US"/>
        </w:rPr>
      </w:pPr>
      <w:r w:rsidRPr="003E0486">
        <w:rPr>
          <w:b/>
          <w:i/>
          <w:szCs w:val="24"/>
          <w:lang w:eastAsia="en-US"/>
        </w:rPr>
        <w:t>Den fastsætter regler for digitalt administrativt samarbejde og informationsudveksling gennem interoperable datasæt inden for EU's kvikskrankemiljø på toldområdet.</w:t>
      </w:r>
      <w:r w:rsidR="00D13454">
        <w:rPr>
          <w:b/>
          <w:szCs w:val="24"/>
          <w:lang w:eastAsia="en-US"/>
        </w:rPr>
        <w:t xml:space="preserve"> [Ændring 47]</w:t>
      </w:r>
    </w:p>
    <w:p w14:paraId="0EE3F7B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 forbehold af internationale retsakter og konventioner samt EU-lovgivning på andre områder finder kodeksen ensartet anvendelse i hele Unionens toldområde.</w:t>
      </w:r>
    </w:p>
    <w:p w14:paraId="5AA21FE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Nogle af bestemmelserne i toldlovgivningen kan finde anvendelse uden for Unionens toldområde på grundlag af særlig lovgivning eller som følge af internationale konventioner.</w:t>
      </w:r>
    </w:p>
    <w:p w14:paraId="18AFFD7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Nogle af bestemmelserne i toldlovgivningen, herunder de forenklinger den foreskriver, finder anvendelse på handelen med EU-varer mellem dele af Unionens toldområde, hvor Rådets direktiv 2006/112/EF</w:t>
      </w:r>
      <w:r w:rsidRPr="003E0486">
        <w:rPr>
          <w:szCs w:val="24"/>
          <w:vertAlign w:val="superscript"/>
          <w:lang w:val="en-GB" w:eastAsia="en-US"/>
        </w:rPr>
        <w:footnoteReference w:id="29"/>
      </w:r>
      <w:r w:rsidRPr="003E0486">
        <w:rPr>
          <w:szCs w:val="24"/>
          <w:lang w:eastAsia="en-US"/>
        </w:rPr>
        <w:t xml:space="preserve"> eller Rådets direktiv (EU) 2020/262</w:t>
      </w:r>
      <w:r w:rsidRPr="003E0486">
        <w:rPr>
          <w:szCs w:val="24"/>
          <w:vertAlign w:val="superscript"/>
          <w:lang w:val="en-GB" w:eastAsia="en-US"/>
        </w:rPr>
        <w:footnoteReference w:id="30"/>
      </w:r>
      <w:r w:rsidRPr="003E0486">
        <w:rPr>
          <w:szCs w:val="24"/>
          <w:lang w:eastAsia="en-US"/>
        </w:rPr>
        <w:t xml:space="preserve"> finder anvendelse, og dele af dette område, hvor disse bestemmelser ikke finder anvendelse, eller på handelen mellem dele af dette område, hvor disse bestemmelser ikke finder anvendelse.</w:t>
      </w:r>
    </w:p>
    <w:p w14:paraId="5B0968FA" w14:textId="77777777" w:rsidR="002125A1" w:rsidRDefault="002125A1">
      <w:pPr>
        <w:widowControl/>
        <w:rPr>
          <w:szCs w:val="24"/>
          <w:lang w:eastAsia="en-US"/>
        </w:rPr>
      </w:pPr>
      <w:r>
        <w:rPr>
          <w:szCs w:val="24"/>
          <w:lang w:eastAsia="en-US"/>
        </w:rPr>
        <w:br w:type="page"/>
      </w:r>
    </w:p>
    <w:p w14:paraId="329BE925" w14:textId="63875D0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w:t>
      </w:r>
      <w:r w:rsidRPr="003E0486">
        <w:rPr>
          <w:szCs w:val="24"/>
          <w:lang w:eastAsia="en-US"/>
        </w:rPr>
        <w:br/>
        <w:t>Toldmyndighedernes opgave</w:t>
      </w:r>
    </w:p>
    <w:p w14:paraId="224BF048" w14:textId="77777777" w:rsidR="003E0486" w:rsidRPr="003E0486" w:rsidRDefault="003E0486" w:rsidP="003E0486">
      <w:pPr>
        <w:spacing w:before="120" w:after="120" w:line="360" w:lineRule="auto"/>
        <w:rPr>
          <w:szCs w:val="24"/>
          <w:lang w:eastAsia="en-US"/>
        </w:rPr>
      </w:pPr>
      <w:r w:rsidRPr="003E0486">
        <w:rPr>
          <w:szCs w:val="24"/>
          <w:lang w:eastAsia="en-US"/>
        </w:rPr>
        <w:t>Med henblik på at opnå en harmoniseret anvendelse af toldkontrollen, få toldunionen til at fungere som én enhed og bidrage til et velfungerende indre marked er toldmyndighederne ansvarlige for at beskytte Unionens og dens medlemsstaters finansielle og økonomiske interesser, at sørge for sikkerhed og bidrage til andre EU-politikker, der beskytter borgere og indbyggere, forbrugere, miljøet og de overordnede forsyningskæder, at beskytte Unionen mod ulovlig handel, at lette lovlig erhvervsaktivitet og at overvåge Unionens internationale handel med henblik på at bidrage til fair og åben handel og til den fælles handelspolitik.</w:t>
      </w:r>
    </w:p>
    <w:p w14:paraId="564DCAB4" w14:textId="77777777" w:rsidR="003E0486" w:rsidRPr="003E0486" w:rsidRDefault="003E0486" w:rsidP="003E0486">
      <w:pPr>
        <w:spacing w:before="120" w:after="120" w:line="360" w:lineRule="auto"/>
        <w:rPr>
          <w:szCs w:val="24"/>
          <w:lang w:eastAsia="en-US"/>
        </w:rPr>
      </w:pPr>
      <w:r w:rsidRPr="003E0486">
        <w:rPr>
          <w:szCs w:val="24"/>
          <w:lang w:eastAsia="en-US"/>
        </w:rPr>
        <w:t>Toldmyndighederne iværksætter foranstaltninger, der navnlig har følgende formål:</w:t>
      </w:r>
    </w:p>
    <w:p w14:paraId="01663F59" w14:textId="5A69CD64" w:rsidR="003E0486" w:rsidRPr="00D13454" w:rsidRDefault="003E0486" w:rsidP="003E0486">
      <w:pPr>
        <w:spacing w:before="120" w:after="120" w:line="360" w:lineRule="auto"/>
        <w:ind w:left="850" w:hanging="850"/>
        <w:rPr>
          <w:b/>
          <w:szCs w:val="24"/>
          <w:lang w:eastAsia="en-US"/>
        </w:rPr>
      </w:pPr>
      <w:r w:rsidRPr="003E0486">
        <w:rPr>
          <w:szCs w:val="24"/>
          <w:lang w:eastAsia="en-US"/>
        </w:rPr>
        <w:t>(a)</w:t>
      </w:r>
      <w:r w:rsidRPr="003E0486">
        <w:rPr>
          <w:szCs w:val="24"/>
          <w:lang w:eastAsia="en-US"/>
        </w:rPr>
        <w:tab/>
        <w:t>at sikre en</w:t>
      </w:r>
      <w:r w:rsidRPr="003E0486">
        <w:rPr>
          <w:b/>
          <w:i/>
          <w:szCs w:val="24"/>
          <w:lang w:eastAsia="en-US"/>
        </w:rPr>
        <w:t xml:space="preserve"> effektiv og</w:t>
      </w:r>
      <w:r w:rsidRPr="003E0486">
        <w:rPr>
          <w:szCs w:val="24"/>
          <w:lang w:eastAsia="en-US"/>
        </w:rPr>
        <w:t xml:space="preserve"> korrekt opkrævning af told og andre afgifter</w:t>
      </w:r>
      <w:r w:rsidR="00D13454">
        <w:rPr>
          <w:b/>
          <w:szCs w:val="24"/>
          <w:lang w:eastAsia="en-US"/>
        </w:rPr>
        <w:t xml:space="preserve"> [Ændring 48]</w:t>
      </w:r>
    </w:p>
    <w:p w14:paraId="4A98F8A5" w14:textId="379380A4" w:rsidR="003E0486" w:rsidRPr="00D13454" w:rsidRDefault="003E0486" w:rsidP="003E0486">
      <w:pPr>
        <w:spacing w:before="120" w:after="120" w:line="360" w:lineRule="auto"/>
        <w:ind w:left="850" w:hanging="850"/>
        <w:rPr>
          <w:b/>
          <w:szCs w:val="24"/>
          <w:lang w:eastAsia="en-US"/>
        </w:rPr>
      </w:pPr>
      <w:r w:rsidRPr="003E0486">
        <w:rPr>
          <w:szCs w:val="24"/>
          <w:lang w:eastAsia="en-US"/>
        </w:rPr>
        <w:t>(b)</w:t>
      </w:r>
      <w:r w:rsidRPr="003E0486">
        <w:rPr>
          <w:szCs w:val="24"/>
          <w:lang w:eastAsia="en-US"/>
        </w:rPr>
        <w:tab/>
        <w:t>at sikre, at varer, der</w:t>
      </w:r>
      <w:r w:rsidRPr="003E0486">
        <w:rPr>
          <w:b/>
          <w:i/>
          <w:szCs w:val="24"/>
          <w:lang w:eastAsia="en-US"/>
        </w:rPr>
        <w:t xml:space="preserve"> er beregnet til omsætning på det indre marked, men</w:t>
      </w:r>
      <w:r w:rsidRPr="003E0486">
        <w:rPr>
          <w:szCs w:val="24"/>
          <w:lang w:eastAsia="en-US"/>
        </w:rPr>
        <w:t xml:space="preserve"> udgør en risiko for borgernes og indbyggernes sikkerhed, ikke føres ind i Unionens toldområde, ved at indføre passende foranstaltninger til kontrol af varer og forsyningskæder</w:t>
      </w:r>
      <w:r w:rsidR="00D13454">
        <w:rPr>
          <w:b/>
          <w:szCs w:val="24"/>
          <w:lang w:eastAsia="en-US"/>
        </w:rPr>
        <w:t xml:space="preserve"> [Ændring 49]</w:t>
      </w:r>
    </w:p>
    <w:p w14:paraId="2A26512B" w14:textId="77777777" w:rsidR="0086607F" w:rsidRDefault="0086607F">
      <w:pPr>
        <w:widowControl/>
        <w:rPr>
          <w:b/>
          <w:i/>
          <w:szCs w:val="24"/>
          <w:lang w:eastAsia="en-US"/>
        </w:rPr>
      </w:pPr>
      <w:r>
        <w:rPr>
          <w:b/>
          <w:i/>
          <w:szCs w:val="24"/>
          <w:lang w:eastAsia="en-US"/>
        </w:rPr>
        <w:br w:type="page"/>
      </w:r>
    </w:p>
    <w:p w14:paraId="6987BE70" w14:textId="27719FED" w:rsidR="003E0486" w:rsidRPr="00D13454" w:rsidRDefault="006723B6" w:rsidP="003E0486">
      <w:pPr>
        <w:spacing w:before="120" w:after="120" w:line="360" w:lineRule="auto"/>
        <w:ind w:left="850" w:hanging="850"/>
        <w:rPr>
          <w:b/>
          <w:szCs w:val="24"/>
          <w:lang w:eastAsia="en-US"/>
        </w:rPr>
      </w:pPr>
      <w:r>
        <w:rPr>
          <w:b/>
          <w:i/>
          <w:szCs w:val="24"/>
          <w:lang w:eastAsia="en-US"/>
        </w:rPr>
        <w:lastRenderedPageBreak/>
        <w:t>(</w:t>
      </w:r>
      <w:r w:rsidR="003E0486" w:rsidRPr="003E0486">
        <w:rPr>
          <w:b/>
          <w:i/>
          <w:szCs w:val="24"/>
          <w:lang w:eastAsia="en-US"/>
        </w:rPr>
        <w:t>ba)</w:t>
      </w:r>
      <w:r w:rsidR="003E0486" w:rsidRPr="003E0486">
        <w:rPr>
          <w:szCs w:val="24"/>
          <w:lang w:eastAsia="en-US"/>
        </w:rPr>
        <w:tab/>
      </w:r>
      <w:r w:rsidR="003E0486" w:rsidRPr="003E0486">
        <w:rPr>
          <w:b/>
          <w:i/>
          <w:szCs w:val="24"/>
          <w:lang w:eastAsia="en-US"/>
        </w:rPr>
        <w:t>at sikre, at varer, der udgør en risiko for borgernes og indbyggernes sikkerhed, ikke føres ind i Unionens toldområde, ved at indføre passende foranstaltninger til kontrol af varer og forsyningskæder</w:t>
      </w:r>
      <w:r w:rsidR="00D13454">
        <w:rPr>
          <w:b/>
          <w:szCs w:val="24"/>
          <w:lang w:eastAsia="en-US"/>
        </w:rPr>
        <w:t xml:space="preserve"> [Ændring 50]</w:t>
      </w:r>
    </w:p>
    <w:p w14:paraId="17A1B49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at bidrage til at beskytte menneskers, dyrs eller planters sundhed og liv, miljøet, forbrugerne og andre samfundsinteresser, der beskyttes af anden lovgivning, der anvendes af toldmyndighederne, i tæt samarbejde med andre myndigheder, ved at sikre, at varer, der udgør en relateret risiko, ikke føres ind i eller ud af Unionens toldområde</w:t>
      </w:r>
    </w:p>
    <w:p w14:paraId="3199DFE5" w14:textId="6874A59B" w:rsidR="003E0486" w:rsidRPr="00D13454" w:rsidRDefault="003E0486" w:rsidP="003E0486">
      <w:pPr>
        <w:spacing w:before="120" w:after="120" w:line="360" w:lineRule="auto"/>
        <w:ind w:left="850" w:hanging="850"/>
        <w:rPr>
          <w:b/>
          <w:szCs w:val="24"/>
          <w:lang w:eastAsia="en-US"/>
        </w:rPr>
      </w:pPr>
      <w:r w:rsidRPr="003E0486">
        <w:rPr>
          <w:szCs w:val="24"/>
          <w:lang w:eastAsia="en-US"/>
        </w:rPr>
        <w:t>(d)</w:t>
      </w:r>
      <w:r w:rsidRPr="003E0486">
        <w:rPr>
          <w:szCs w:val="24"/>
          <w:lang w:eastAsia="en-US"/>
        </w:rPr>
        <w:tab/>
        <w:t xml:space="preserve">at beskytte Unionen mod unfair handel, handel, der ikke overholder reglerne, og ulovlig handel, herunder </w:t>
      </w:r>
      <w:r w:rsidRPr="003E0486">
        <w:rPr>
          <w:b/>
          <w:i/>
          <w:szCs w:val="24"/>
          <w:lang w:eastAsia="en-US"/>
        </w:rPr>
        <w:t xml:space="preserve">forfalskede varer og varer, der ikke er i overensstemmelse med anden lovgivning, der anvendes af toldmyndighederne, </w:t>
      </w:r>
      <w:r w:rsidRPr="003E0486">
        <w:rPr>
          <w:szCs w:val="24"/>
          <w:lang w:eastAsia="en-US"/>
        </w:rPr>
        <w:t>gennem en nøje overvågning af økonomiske operatører</w:t>
      </w:r>
      <w:r w:rsidRPr="003E0486">
        <w:rPr>
          <w:b/>
          <w:i/>
          <w:szCs w:val="24"/>
          <w:lang w:eastAsia="en-US"/>
        </w:rPr>
        <w:t>, sektorer</w:t>
      </w:r>
      <w:r w:rsidRPr="003E0486">
        <w:rPr>
          <w:szCs w:val="24"/>
          <w:lang w:eastAsia="en-US"/>
        </w:rPr>
        <w:t xml:space="preserve"> og forsyningskæder og af en minimumskerne af toldovertrædelser og -sanktioner</w:t>
      </w:r>
      <w:r w:rsidR="00D13454">
        <w:rPr>
          <w:b/>
          <w:szCs w:val="24"/>
          <w:lang w:eastAsia="en-US"/>
        </w:rPr>
        <w:t xml:space="preserve"> [Ændring 51]</w:t>
      </w:r>
    </w:p>
    <w:p w14:paraId="772F2243" w14:textId="099A808E" w:rsidR="003E0486" w:rsidRPr="00D13454" w:rsidRDefault="003E0486" w:rsidP="003E0486">
      <w:pPr>
        <w:spacing w:before="120" w:after="120" w:line="360" w:lineRule="auto"/>
        <w:ind w:left="850" w:hanging="850"/>
        <w:rPr>
          <w:b/>
          <w:szCs w:val="24"/>
          <w:lang w:eastAsia="en-US"/>
        </w:rPr>
      </w:pPr>
      <w:r w:rsidRPr="003E0486">
        <w:rPr>
          <w:szCs w:val="24"/>
          <w:lang w:eastAsia="en-US"/>
        </w:rPr>
        <w:t>(e)</w:t>
      </w:r>
      <w:r w:rsidRPr="003E0486">
        <w:rPr>
          <w:szCs w:val="24"/>
          <w:lang w:eastAsia="en-US"/>
        </w:rPr>
        <w:tab/>
        <w:t>at støtte</w:t>
      </w:r>
      <w:r w:rsidRPr="003E0486">
        <w:rPr>
          <w:b/>
          <w:i/>
          <w:szCs w:val="24"/>
          <w:lang w:eastAsia="en-US"/>
        </w:rPr>
        <w:t xml:space="preserve"> alle</w:t>
      </w:r>
      <w:r w:rsidRPr="003E0486">
        <w:rPr>
          <w:szCs w:val="24"/>
          <w:lang w:eastAsia="en-US"/>
        </w:rPr>
        <w:t xml:space="preserve"> lovlige erhvervsaktiviteter ved at opretholde en passende balance mellem toldkontrol og lettelse af lovlig handel og ved at forenkle toldprocesser og -procedurer</w:t>
      </w:r>
      <w:r w:rsidRPr="003E0486">
        <w:rPr>
          <w:b/>
          <w:i/>
          <w:szCs w:val="24"/>
          <w:lang w:eastAsia="en-US"/>
        </w:rPr>
        <w:t xml:space="preserve"> gennem robust risikoanalyse i realtid, der bl.a</w:t>
      </w:r>
      <w:r w:rsidRPr="003E0486">
        <w:rPr>
          <w:szCs w:val="24"/>
          <w:lang w:eastAsia="en-US"/>
        </w:rPr>
        <w:t>.</w:t>
      </w:r>
      <w:r w:rsidRPr="003E0486">
        <w:rPr>
          <w:b/>
          <w:i/>
          <w:szCs w:val="24"/>
          <w:lang w:eastAsia="en-US"/>
        </w:rPr>
        <w:t xml:space="preserve"> er muliggjort af systemer med kunstig intelligens, jf. artikel 29, stk. 1, litra d)</w:t>
      </w:r>
      <w:r w:rsidR="00D13454">
        <w:rPr>
          <w:b/>
          <w:szCs w:val="24"/>
          <w:lang w:eastAsia="en-US"/>
        </w:rPr>
        <w:t xml:space="preserve"> [Ændring 52]</w:t>
      </w:r>
    </w:p>
    <w:p w14:paraId="1E5661DA" w14:textId="77777777" w:rsidR="0086607F" w:rsidRDefault="0086607F">
      <w:pPr>
        <w:widowControl/>
        <w:rPr>
          <w:b/>
          <w:i/>
          <w:szCs w:val="24"/>
          <w:lang w:eastAsia="en-US"/>
        </w:rPr>
      </w:pPr>
      <w:r>
        <w:rPr>
          <w:b/>
          <w:i/>
          <w:szCs w:val="24"/>
          <w:lang w:eastAsia="en-US"/>
        </w:rPr>
        <w:br w:type="page"/>
      </w:r>
    </w:p>
    <w:p w14:paraId="66426EE1" w14:textId="4D11049D" w:rsidR="003E0486" w:rsidRPr="00D13454" w:rsidRDefault="006723B6" w:rsidP="003E0486">
      <w:pPr>
        <w:spacing w:before="120" w:after="120" w:line="360" w:lineRule="auto"/>
        <w:ind w:left="850" w:hanging="850"/>
        <w:rPr>
          <w:b/>
          <w:szCs w:val="24"/>
          <w:lang w:eastAsia="en-US"/>
        </w:rPr>
      </w:pPr>
      <w:r>
        <w:rPr>
          <w:b/>
          <w:i/>
          <w:szCs w:val="24"/>
          <w:lang w:eastAsia="en-US"/>
        </w:rPr>
        <w:lastRenderedPageBreak/>
        <w:t>(</w:t>
      </w:r>
      <w:r w:rsidR="003E0486" w:rsidRPr="003E0486">
        <w:rPr>
          <w:b/>
          <w:i/>
          <w:szCs w:val="24"/>
          <w:lang w:eastAsia="en-US"/>
        </w:rPr>
        <w:t>ea)</w:t>
      </w:r>
      <w:r w:rsidR="003E0486" w:rsidRPr="003E0486">
        <w:rPr>
          <w:szCs w:val="24"/>
          <w:lang w:eastAsia="en-US"/>
        </w:rPr>
        <w:tab/>
      </w:r>
      <w:r w:rsidR="003E0486" w:rsidRPr="003E0486">
        <w:rPr>
          <w:b/>
          <w:i/>
          <w:szCs w:val="24"/>
          <w:lang w:eastAsia="en-US"/>
        </w:rPr>
        <w:t>at fremme omkostningseffektivitet ved at undgå dobbeltarbejde og fremme effektivitet i toldprocesser samt en effektiv brug af relaterede ressourcer på EU-plan og nationalt plan</w:t>
      </w:r>
      <w:r w:rsidR="00D13454">
        <w:rPr>
          <w:b/>
          <w:szCs w:val="24"/>
          <w:lang w:eastAsia="en-US"/>
        </w:rPr>
        <w:t xml:space="preserve"> [Ændring 53]</w:t>
      </w:r>
    </w:p>
    <w:p w14:paraId="1DA4A866" w14:textId="19DB5915" w:rsidR="003E0486" w:rsidRPr="00D13454" w:rsidRDefault="006723B6"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eb)</w:t>
      </w:r>
      <w:r w:rsidR="003E0486" w:rsidRPr="003E0486">
        <w:rPr>
          <w:szCs w:val="24"/>
          <w:lang w:eastAsia="en-US"/>
        </w:rPr>
        <w:tab/>
      </w:r>
      <w:r w:rsidR="003E0486" w:rsidRPr="003E0486">
        <w:rPr>
          <w:b/>
          <w:i/>
          <w:szCs w:val="24"/>
          <w:lang w:eastAsia="en-US"/>
        </w:rPr>
        <w:t>at indsamle, analysere og udveksle relevante oplysninger til støtte for evidensbaseret beslutningstagning</w:t>
      </w:r>
      <w:r w:rsidR="00D13454">
        <w:rPr>
          <w:b/>
          <w:szCs w:val="24"/>
          <w:lang w:eastAsia="en-US"/>
        </w:rPr>
        <w:t xml:space="preserve"> [Ændring 54]</w:t>
      </w:r>
    </w:p>
    <w:p w14:paraId="50DD11CB" w14:textId="6732BCDF" w:rsidR="003E0486" w:rsidRPr="00D13454" w:rsidRDefault="006723B6"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ec)</w:t>
      </w:r>
      <w:r w:rsidR="003E0486" w:rsidRPr="003E0486">
        <w:rPr>
          <w:szCs w:val="24"/>
          <w:lang w:eastAsia="en-US"/>
        </w:rPr>
        <w:tab/>
      </w:r>
      <w:r w:rsidR="003E0486" w:rsidRPr="003E0486">
        <w:rPr>
          <w:b/>
          <w:i/>
          <w:szCs w:val="24"/>
          <w:lang w:eastAsia="en-US"/>
        </w:rPr>
        <w:t>at bidrage til at forbedre den overordnede håndhævelse af EU-retsakter på andre områder såsom dem, der beskytter borgernes, indbyggernes og forbrugernes sikkerhed, miljøet og forsyningskæderne</w:t>
      </w:r>
      <w:r w:rsidR="00D13454">
        <w:rPr>
          <w:b/>
          <w:szCs w:val="24"/>
          <w:lang w:eastAsia="en-US"/>
        </w:rPr>
        <w:t xml:space="preserve"> [Ændring 55]</w:t>
      </w:r>
    </w:p>
    <w:p w14:paraId="4C007030" w14:textId="76C4F12D" w:rsidR="003E0486" w:rsidRPr="00D13454" w:rsidRDefault="006723B6"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ed)</w:t>
      </w:r>
      <w:r w:rsidR="003E0486" w:rsidRPr="003E0486">
        <w:rPr>
          <w:szCs w:val="24"/>
          <w:lang w:eastAsia="en-US"/>
        </w:rPr>
        <w:tab/>
      </w:r>
      <w:r w:rsidR="003E0486" w:rsidRPr="003E0486">
        <w:rPr>
          <w:b/>
          <w:i/>
          <w:szCs w:val="24"/>
          <w:lang w:eastAsia="en-US"/>
        </w:rPr>
        <w:t xml:space="preserve">hvis nødsituationstilstanden for det indre marked er blevet aktiveret i overensstemmelse med artikel 14 i Europa-Parlamentets og Rådets forordning (EU) </w:t>
      </w:r>
      <w:r w:rsidR="00CF1B19">
        <w:rPr>
          <w:b/>
          <w:i/>
          <w:szCs w:val="24"/>
          <w:lang w:eastAsia="en-US"/>
        </w:rPr>
        <w:t>2024/2747</w:t>
      </w:r>
      <w:r w:rsidR="00CF1B19">
        <w:rPr>
          <w:rStyle w:val="FootnoteReference"/>
          <w:b/>
          <w:i/>
          <w:szCs w:val="24"/>
          <w:lang w:eastAsia="en-US"/>
        </w:rPr>
        <w:footnoteReference w:id="31"/>
      </w:r>
      <w:r w:rsidR="003E0486" w:rsidRPr="003E0486">
        <w:rPr>
          <w:b/>
          <w:i/>
          <w:szCs w:val="24"/>
          <w:lang w:eastAsia="en-US"/>
        </w:rPr>
        <w:t>, at sikre strømmen af kriserelevante varer som defineret i artikel 3, stk. 1, nr. 6), i nævnte forordning.</w:t>
      </w:r>
      <w:r w:rsidR="00D13454">
        <w:rPr>
          <w:b/>
          <w:szCs w:val="24"/>
          <w:lang w:eastAsia="en-US"/>
        </w:rPr>
        <w:t xml:space="preserve"> [Ændring 56]</w:t>
      </w:r>
    </w:p>
    <w:p w14:paraId="312C774F" w14:textId="77777777" w:rsidR="0086607F" w:rsidRDefault="0086607F">
      <w:pPr>
        <w:widowControl/>
        <w:rPr>
          <w:szCs w:val="24"/>
          <w:lang w:eastAsia="en-US"/>
        </w:rPr>
      </w:pPr>
      <w:r>
        <w:rPr>
          <w:szCs w:val="24"/>
          <w:lang w:eastAsia="en-US"/>
        </w:rPr>
        <w:br w:type="page"/>
      </w:r>
    </w:p>
    <w:p w14:paraId="47DCBA4D" w14:textId="72F4B76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w:t>
      </w:r>
      <w:r w:rsidRPr="003E0486">
        <w:rPr>
          <w:szCs w:val="24"/>
          <w:lang w:eastAsia="en-US"/>
        </w:rPr>
        <w:br/>
        <w:t>Toldområde</w:t>
      </w:r>
    </w:p>
    <w:p w14:paraId="79E4062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Unionens toldområde omfatter følgende områder, herunder deres søterritorium, indre farvande og luftrum:</w:t>
      </w:r>
    </w:p>
    <w:p w14:paraId="3BCCA20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Kongeriget Belgiens område</w:t>
      </w:r>
    </w:p>
    <w:p w14:paraId="3471495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Republikken Bulgariens område</w:t>
      </w:r>
    </w:p>
    <w:p w14:paraId="7917D4D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Den Tjekkiske Republiks område</w:t>
      </w:r>
    </w:p>
    <w:p w14:paraId="224E13F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Kongeriget Danmarks område, med undtagelse af Færøerne og Grønland</w:t>
      </w:r>
    </w:p>
    <w:p w14:paraId="2860403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Forbundsrepublikken Tysklands område, med undtagelse af øen Helgoland og Büsingenområdet (traktat af 23. november 1964 mellem Forbundsrepublikken Tyskland og Det Schweiziske Forbund)</w:t>
      </w:r>
    </w:p>
    <w:p w14:paraId="0F8D8B1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Republikken Estlands område</w:t>
      </w:r>
    </w:p>
    <w:p w14:paraId="441E329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Irlands område</w:t>
      </w:r>
    </w:p>
    <w:p w14:paraId="51A290FB" w14:textId="77777777" w:rsidR="0086607F" w:rsidRDefault="0086607F">
      <w:pPr>
        <w:widowControl/>
        <w:rPr>
          <w:szCs w:val="24"/>
          <w:lang w:eastAsia="en-US"/>
        </w:rPr>
      </w:pPr>
      <w:r>
        <w:rPr>
          <w:szCs w:val="24"/>
          <w:lang w:eastAsia="en-US"/>
        </w:rPr>
        <w:br w:type="page"/>
      </w:r>
    </w:p>
    <w:p w14:paraId="5587DC5D" w14:textId="11E9CE7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(h)</w:t>
      </w:r>
      <w:r w:rsidRPr="003E0486">
        <w:rPr>
          <w:szCs w:val="24"/>
          <w:lang w:eastAsia="en-US"/>
        </w:rPr>
        <w:tab/>
        <w:t>Den Hellenske Republiks område</w:t>
      </w:r>
    </w:p>
    <w:p w14:paraId="581DD23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(i)</w:t>
      </w:r>
      <w:r w:rsidRPr="003E0486">
        <w:rPr>
          <w:szCs w:val="24"/>
          <w:lang w:eastAsia="en-US"/>
        </w:rPr>
        <w:tab/>
        <w:t>Kongeriget Spaniens område, med undtagelse af Ceuta og Melilla</w:t>
      </w:r>
    </w:p>
    <w:p w14:paraId="0B179B6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Den Franske Republiks område, med undtagelse af de franske oversøiske lande og territorier, på hvilke bestemmelserne i fjerde del af TEUF finder anvendelse</w:t>
      </w:r>
    </w:p>
    <w:p w14:paraId="23B149B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(k)</w:t>
      </w:r>
      <w:r w:rsidRPr="003E0486">
        <w:rPr>
          <w:szCs w:val="24"/>
          <w:lang w:eastAsia="en-US"/>
        </w:rPr>
        <w:tab/>
        <w:t>Republikken Kroatiens område</w:t>
      </w:r>
    </w:p>
    <w:p w14:paraId="6366752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(l)</w:t>
      </w:r>
      <w:r w:rsidRPr="003E0486">
        <w:rPr>
          <w:szCs w:val="24"/>
          <w:lang w:eastAsia="en-US"/>
        </w:rPr>
        <w:tab/>
        <w:t>Den Italienske Republiks område, med undtagelse af kommunen Livigno</w:t>
      </w:r>
    </w:p>
    <w:p w14:paraId="6CAA554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(m)</w:t>
      </w:r>
      <w:r w:rsidRPr="003E0486">
        <w:rPr>
          <w:szCs w:val="24"/>
          <w:lang w:eastAsia="en-US"/>
        </w:rPr>
        <w:tab/>
        <w:t>Republikken Cyperns område, i henhold til bestemmelserne i tiltrædelsesakten af 2003</w:t>
      </w:r>
    </w:p>
    <w:p w14:paraId="5D96706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(n)</w:t>
      </w:r>
      <w:r w:rsidRPr="003E0486">
        <w:rPr>
          <w:szCs w:val="24"/>
          <w:lang w:eastAsia="en-US"/>
        </w:rPr>
        <w:tab/>
        <w:t>Republikken Letlands område</w:t>
      </w:r>
    </w:p>
    <w:p w14:paraId="6F627FD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(o)</w:t>
      </w:r>
      <w:r w:rsidRPr="003E0486">
        <w:rPr>
          <w:szCs w:val="24"/>
          <w:lang w:eastAsia="en-US"/>
        </w:rPr>
        <w:tab/>
        <w:t>Republikken Litauens område</w:t>
      </w:r>
    </w:p>
    <w:p w14:paraId="30D07C2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(p)</w:t>
      </w:r>
      <w:r w:rsidRPr="003E0486">
        <w:rPr>
          <w:szCs w:val="24"/>
          <w:lang w:eastAsia="en-US"/>
        </w:rPr>
        <w:tab/>
        <w:t>Storhertugdømmet Luxembourgs område</w:t>
      </w:r>
    </w:p>
    <w:p w14:paraId="4937E4F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(q)</w:t>
      </w:r>
      <w:r w:rsidRPr="003E0486">
        <w:rPr>
          <w:szCs w:val="24"/>
          <w:lang w:eastAsia="en-US"/>
        </w:rPr>
        <w:tab/>
        <w:t>Ungarns område</w:t>
      </w:r>
    </w:p>
    <w:p w14:paraId="0057E12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(r)</w:t>
      </w:r>
      <w:r w:rsidRPr="003E0486">
        <w:rPr>
          <w:szCs w:val="24"/>
          <w:lang w:eastAsia="en-US"/>
        </w:rPr>
        <w:tab/>
        <w:t>Republikken Finlands område</w:t>
      </w:r>
    </w:p>
    <w:p w14:paraId="46654D9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(s)</w:t>
      </w:r>
      <w:r w:rsidRPr="003E0486">
        <w:rPr>
          <w:szCs w:val="24"/>
          <w:lang w:eastAsia="en-US"/>
        </w:rPr>
        <w:tab/>
        <w:t>Kongeriget Nederlandenes område i Europa</w:t>
      </w:r>
    </w:p>
    <w:p w14:paraId="0AD716A0" w14:textId="77777777" w:rsidR="0086607F" w:rsidRDefault="0086607F">
      <w:pPr>
        <w:widowControl/>
        <w:rPr>
          <w:szCs w:val="24"/>
          <w:lang w:eastAsia="en-US"/>
        </w:rPr>
      </w:pPr>
      <w:r>
        <w:rPr>
          <w:szCs w:val="24"/>
          <w:lang w:eastAsia="en-US"/>
        </w:rPr>
        <w:br w:type="page"/>
      </w:r>
    </w:p>
    <w:p w14:paraId="375E6B14" w14:textId="64A0E0A5"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(t)</w:t>
      </w:r>
      <w:r w:rsidRPr="003E0486">
        <w:rPr>
          <w:szCs w:val="24"/>
          <w:lang w:eastAsia="en-US"/>
        </w:rPr>
        <w:tab/>
        <w:t>Republikken Østrigs område</w:t>
      </w:r>
    </w:p>
    <w:p w14:paraId="3C3EC29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(u)</w:t>
      </w:r>
      <w:r w:rsidRPr="003E0486">
        <w:rPr>
          <w:szCs w:val="24"/>
          <w:lang w:eastAsia="en-US"/>
        </w:rPr>
        <w:tab/>
        <w:t>Republikken Polens område</w:t>
      </w:r>
    </w:p>
    <w:p w14:paraId="4EBC236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(v)</w:t>
      </w:r>
      <w:r w:rsidRPr="003E0486">
        <w:rPr>
          <w:szCs w:val="24"/>
          <w:lang w:eastAsia="en-US"/>
        </w:rPr>
        <w:tab/>
        <w:t>Den Portugisiske Republiks område</w:t>
      </w:r>
    </w:p>
    <w:p w14:paraId="22A5F1C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(w)</w:t>
      </w:r>
      <w:r w:rsidRPr="003E0486">
        <w:rPr>
          <w:szCs w:val="24"/>
          <w:lang w:eastAsia="en-US"/>
        </w:rPr>
        <w:tab/>
        <w:t>Rumæniens område</w:t>
      </w:r>
    </w:p>
    <w:p w14:paraId="5338C88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(x)</w:t>
      </w:r>
      <w:r w:rsidRPr="003E0486">
        <w:rPr>
          <w:szCs w:val="24"/>
          <w:lang w:eastAsia="en-US"/>
        </w:rPr>
        <w:tab/>
        <w:t>Republikken Sloveniens område</w:t>
      </w:r>
    </w:p>
    <w:p w14:paraId="4471416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(y)</w:t>
      </w:r>
      <w:r w:rsidRPr="003E0486">
        <w:rPr>
          <w:szCs w:val="24"/>
          <w:lang w:eastAsia="en-US"/>
        </w:rPr>
        <w:tab/>
        <w:t>Den Slovakiske Republiks område</w:t>
      </w:r>
    </w:p>
    <w:p w14:paraId="47E6D0E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(z)</w:t>
      </w:r>
      <w:r w:rsidRPr="003E0486">
        <w:rPr>
          <w:szCs w:val="24"/>
          <w:lang w:eastAsia="en-US"/>
        </w:rPr>
        <w:tab/>
        <w:t>Republikken Finlands område og</w:t>
      </w:r>
    </w:p>
    <w:p w14:paraId="7CE9088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(aa)</w:t>
      </w:r>
      <w:r w:rsidRPr="003E0486">
        <w:rPr>
          <w:szCs w:val="24"/>
          <w:lang w:eastAsia="en-US"/>
        </w:rPr>
        <w:tab/>
        <w:t>Kongeriget Sveriges område.</w:t>
      </w:r>
    </w:p>
    <w:p w14:paraId="12F82D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 nedenfor anførte områder, herunder deres søterritorium, indre farvande og luftrum, der er beliggende uden for medlemsstaternes områder, anses i overensstemmelse med de konventioner og traktater, der gælder for dem, som hørende til Unionens toldområde:</w:t>
      </w:r>
    </w:p>
    <w:p w14:paraId="5604011A" w14:textId="0FE33BA0" w:rsidR="003E0486" w:rsidRPr="003E0486" w:rsidRDefault="00A60665" w:rsidP="003E0486">
      <w:pPr>
        <w:spacing w:before="120" w:after="120" w:line="360" w:lineRule="auto"/>
        <w:ind w:left="1416" w:hanging="566"/>
        <w:rPr>
          <w:szCs w:val="24"/>
          <w:lang w:eastAsia="en-US"/>
        </w:rPr>
      </w:pPr>
      <w:r>
        <w:rPr>
          <w:szCs w:val="24"/>
          <w:lang w:eastAsia="en-US"/>
        </w:rPr>
        <w:t>(</w:t>
      </w:r>
      <w:r w:rsidR="003E0486" w:rsidRPr="003E0486">
        <w:rPr>
          <w:szCs w:val="24"/>
          <w:lang w:eastAsia="en-US"/>
        </w:rPr>
        <w:t>a)</w:t>
      </w:r>
      <w:r w:rsidR="003E0486" w:rsidRPr="003E0486">
        <w:rPr>
          <w:szCs w:val="24"/>
          <w:lang w:eastAsia="en-US"/>
        </w:rPr>
        <w:tab/>
        <w:t>FRANKRIG</w:t>
      </w:r>
    </w:p>
    <w:p w14:paraId="72AB146A" w14:textId="77777777" w:rsidR="003E0486" w:rsidRPr="003E0486" w:rsidRDefault="003E0486" w:rsidP="003E0486">
      <w:pPr>
        <w:spacing w:before="120" w:after="120" w:line="360" w:lineRule="auto"/>
        <w:ind w:left="1416"/>
        <w:rPr>
          <w:szCs w:val="24"/>
          <w:lang w:eastAsia="en-US"/>
        </w:rPr>
      </w:pPr>
      <w:r w:rsidRPr="003E0486">
        <w:rPr>
          <w:szCs w:val="24"/>
          <w:lang w:eastAsia="en-US"/>
        </w:rPr>
        <w:t>Monacos område, således som det er fastlagt i den toldkonvention, der blev undertegnet i Paris den 18. maj 1963 (Journal Officiel de la République française (Den Franske Republiks officielle tidende) af 27. september 1963, s. 8679)</w:t>
      </w:r>
    </w:p>
    <w:p w14:paraId="22B2F411" w14:textId="77777777" w:rsidR="0086607F" w:rsidRDefault="0086607F">
      <w:pPr>
        <w:widowControl/>
        <w:rPr>
          <w:szCs w:val="24"/>
          <w:lang w:eastAsia="en-US"/>
        </w:rPr>
      </w:pPr>
      <w:r>
        <w:rPr>
          <w:szCs w:val="24"/>
          <w:lang w:eastAsia="en-US"/>
        </w:rPr>
        <w:br w:type="page"/>
      </w:r>
    </w:p>
    <w:p w14:paraId="283B1BC6" w14:textId="1B731389" w:rsidR="003E0486" w:rsidRPr="003E0486" w:rsidRDefault="00A60665" w:rsidP="003E0486">
      <w:pPr>
        <w:spacing w:before="120" w:after="120" w:line="360" w:lineRule="auto"/>
        <w:ind w:left="1416" w:hanging="566"/>
        <w:rPr>
          <w:szCs w:val="24"/>
          <w:lang w:eastAsia="en-US"/>
        </w:rPr>
      </w:pPr>
      <w:r>
        <w:rPr>
          <w:szCs w:val="24"/>
          <w:lang w:eastAsia="en-US"/>
        </w:rPr>
        <w:lastRenderedPageBreak/>
        <w:t>(</w:t>
      </w:r>
      <w:r w:rsidR="003E0486" w:rsidRPr="003E0486">
        <w:rPr>
          <w:szCs w:val="24"/>
          <w:lang w:eastAsia="en-US"/>
        </w:rPr>
        <w:t>b)</w:t>
      </w:r>
      <w:r w:rsidR="003E0486" w:rsidRPr="003E0486">
        <w:rPr>
          <w:szCs w:val="24"/>
          <w:lang w:eastAsia="en-US"/>
        </w:rPr>
        <w:tab/>
        <w:t>CYPERN</w:t>
      </w:r>
    </w:p>
    <w:p w14:paraId="7EA538BE" w14:textId="77777777" w:rsidR="003E0486" w:rsidRPr="003E0486" w:rsidRDefault="003E0486" w:rsidP="003E0486">
      <w:pPr>
        <w:spacing w:before="120" w:after="120" w:line="360" w:lineRule="auto"/>
        <w:ind w:left="1416"/>
        <w:rPr>
          <w:szCs w:val="24"/>
          <w:lang w:eastAsia="en-US"/>
        </w:rPr>
      </w:pPr>
      <w:r w:rsidRPr="003E0486">
        <w:rPr>
          <w:szCs w:val="24"/>
          <w:lang w:eastAsia="en-US"/>
        </w:rPr>
        <w:t>Det Forenede Kongeriges baseområder Akrotiri og Dhekelia, således som de er fastlagt i traktaten om oprettelse af Republikken Cypern, der blev undertegnet i Nicosia den 16. august 1960 (United Kingdom Treaty Series No 4 (1961) Cmnd. 1252).</w:t>
      </w:r>
    </w:p>
    <w:p w14:paraId="237ECB9C" w14:textId="77777777" w:rsidR="003E0486" w:rsidRPr="003740C4" w:rsidRDefault="003E0486" w:rsidP="003E0486">
      <w:pPr>
        <w:spacing w:before="120" w:after="120" w:line="360" w:lineRule="auto"/>
        <w:jc w:val="center"/>
        <w:rPr>
          <w:strike/>
          <w:szCs w:val="24"/>
          <w:lang w:eastAsia="en-US"/>
        </w:rPr>
      </w:pPr>
      <w:r w:rsidRPr="003740C4">
        <w:rPr>
          <w:strike/>
          <w:szCs w:val="24"/>
          <w:lang w:eastAsia="en-US"/>
        </w:rPr>
        <w:t>Artikel 4</w:t>
      </w:r>
      <w:r w:rsidRPr="003740C4">
        <w:rPr>
          <w:strike/>
          <w:szCs w:val="24"/>
          <w:lang w:eastAsia="en-US"/>
        </w:rPr>
        <w:br/>
        <w:t>Delegation af beføjelser</w:t>
      </w:r>
    </w:p>
    <w:p w14:paraId="5255D971" w14:textId="687EEF2C" w:rsidR="003E0486" w:rsidRPr="006903E4" w:rsidRDefault="003E0486" w:rsidP="003E0486">
      <w:pPr>
        <w:spacing w:before="120" w:after="120" w:line="360" w:lineRule="auto"/>
        <w:rPr>
          <w:b/>
          <w:szCs w:val="24"/>
          <w:lang w:eastAsia="en-US"/>
        </w:rPr>
      </w:pPr>
      <w:r w:rsidRPr="003E0486">
        <w:rPr>
          <w:strike/>
          <w:szCs w:val="24"/>
          <w:lang w:eastAsia="en-US"/>
        </w:rPr>
        <w:t>Kommissionen tillægges beføjelser til at vedtage delegerede retsakter i overensstemmelse med artikel 261 med henblik på at supplere og ændre denne forordning ved at præcisere de bestemmelser i toldlovgivningen, der finder anvendelse på den handel med EU-varer, som er omhandlet i artikel 1, stk. 4. De pågældende retsakter kan omhandle særlige omstændigheder for handel med EU-varer, hvor kun én medlemsstat er involveret.</w:t>
      </w:r>
      <w:r w:rsidR="006903E4">
        <w:rPr>
          <w:b/>
          <w:szCs w:val="24"/>
          <w:lang w:eastAsia="en-US"/>
        </w:rPr>
        <w:t xml:space="preserve"> [Ændring 57]</w:t>
      </w:r>
    </w:p>
    <w:p w14:paraId="1D13BF4E" w14:textId="77777777" w:rsidR="0086607F" w:rsidRDefault="0086607F">
      <w:pPr>
        <w:widowControl/>
        <w:rPr>
          <w:szCs w:val="24"/>
          <w:lang w:eastAsia="en-US"/>
        </w:rPr>
      </w:pPr>
      <w:r>
        <w:rPr>
          <w:szCs w:val="24"/>
          <w:lang w:eastAsia="en-US"/>
        </w:rPr>
        <w:br w:type="page"/>
      </w:r>
    </w:p>
    <w:p w14:paraId="42839F9D" w14:textId="4649ECF1"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2 </w:t>
      </w:r>
      <w:r w:rsidRPr="003E0486">
        <w:rPr>
          <w:szCs w:val="24"/>
          <w:lang w:eastAsia="en-US"/>
        </w:rPr>
        <w:br/>
        <w:t>Definitioner</w:t>
      </w:r>
    </w:p>
    <w:p w14:paraId="4E8F228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w:t>
      </w:r>
      <w:r w:rsidRPr="003E0486">
        <w:rPr>
          <w:szCs w:val="24"/>
          <w:lang w:eastAsia="en-US"/>
        </w:rPr>
        <w:br/>
        <w:t>Definitioner</w:t>
      </w:r>
    </w:p>
    <w:p w14:paraId="642C5C5F" w14:textId="77777777" w:rsidR="003E0486" w:rsidRPr="003E0486" w:rsidRDefault="003E0486" w:rsidP="003E0486">
      <w:pPr>
        <w:spacing w:before="120" w:after="120" w:line="360" w:lineRule="auto"/>
        <w:rPr>
          <w:szCs w:val="24"/>
          <w:lang w:eastAsia="en-US"/>
        </w:rPr>
      </w:pPr>
      <w:r w:rsidRPr="003E0486">
        <w:rPr>
          <w:szCs w:val="24"/>
          <w:lang w:eastAsia="en-US"/>
        </w:rPr>
        <w:t>I denne forordning forstås ved:</w:t>
      </w:r>
    </w:p>
    <w:p w14:paraId="14E0A5B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 medlemsstaternes toldadministrationer, der er ansvarlige for at håndhæve toldlovgivningen, og alle andre myndigheder, der i henhold til national lov har beføjelse til at håndhæve visse dele af toldlovgivningen</w:t>
      </w:r>
    </w:p>
    <w:p w14:paraId="09424B5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"toldlovgivning": et sæt forskrifter, der består af samtlige følgende:</w:t>
      </w:r>
    </w:p>
    <w:p w14:paraId="4F5093E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kodeksen og de bestemmelser, der supplerer eller gennemfører denne, som vedtages på EU-plan eller på nationalt plan</w:t>
      </w:r>
    </w:p>
    <w:p w14:paraId="6147F7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fælles toldtarif</w:t>
      </w:r>
    </w:p>
    <w:p w14:paraId="20DE065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lovgivningen om en EU-ordning vedrørende fritagelse for toldafgift</w:t>
      </w:r>
    </w:p>
    <w:p w14:paraId="7F14FF00" w14:textId="77777777" w:rsidR="0086607F" w:rsidRDefault="0086607F">
      <w:pPr>
        <w:widowControl/>
        <w:rPr>
          <w:szCs w:val="24"/>
          <w:lang w:eastAsia="en-US"/>
        </w:rPr>
      </w:pPr>
      <w:r>
        <w:rPr>
          <w:szCs w:val="24"/>
          <w:lang w:eastAsia="en-US"/>
        </w:rPr>
        <w:br w:type="page"/>
      </w:r>
    </w:p>
    <w:p w14:paraId="00A6162B" w14:textId="6D219124" w:rsidR="003E0486" w:rsidRPr="006903E4" w:rsidRDefault="003E0486" w:rsidP="003E0486">
      <w:pPr>
        <w:spacing w:before="120" w:after="120" w:line="360" w:lineRule="auto"/>
        <w:ind w:left="1416" w:hanging="566"/>
        <w:rPr>
          <w:b/>
          <w:szCs w:val="24"/>
          <w:lang w:eastAsia="en-US"/>
        </w:rPr>
      </w:pPr>
      <w:r w:rsidRPr="003E0486">
        <w:rPr>
          <w:szCs w:val="24"/>
          <w:lang w:eastAsia="en-US"/>
        </w:rPr>
        <w:lastRenderedPageBreak/>
        <w:t>(d)</w:t>
      </w:r>
      <w:r w:rsidRPr="003E0486">
        <w:rPr>
          <w:szCs w:val="24"/>
          <w:lang w:eastAsia="en-US"/>
        </w:rPr>
        <w:tab/>
        <w:t>toldbestemmelser i internationale aftaler, for så vidt som de gælder i Unionen</w:t>
      </w:r>
      <w:r w:rsidRPr="003E0486">
        <w:rPr>
          <w:b/>
          <w:i/>
          <w:szCs w:val="24"/>
          <w:lang w:eastAsia="en-US"/>
        </w:rPr>
        <w:t>. Dette omfatter bl.a. de relevante multilaterale miljøaftaler, som Unionen og medlemsstaterne er part i, for så vidt de regulerer varernes overensstemmelse</w:t>
      </w:r>
      <w:r w:rsidR="006903E4">
        <w:rPr>
          <w:b/>
          <w:szCs w:val="24"/>
          <w:lang w:eastAsia="en-US"/>
        </w:rPr>
        <w:t xml:space="preserve"> [Ændring 58]</w:t>
      </w:r>
    </w:p>
    <w:p w14:paraId="7EAD2BE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Europa-Parlamentets og Rådets forordning (EU) 2022/2399</w:t>
      </w:r>
      <w:r w:rsidRPr="003E0486">
        <w:rPr>
          <w:szCs w:val="24"/>
          <w:vertAlign w:val="superscript"/>
          <w:lang w:val="en-GB" w:eastAsia="en-US"/>
        </w:rPr>
        <w:footnoteReference w:id="32"/>
      </w:r>
      <w:r w:rsidRPr="003E0486">
        <w:rPr>
          <w:szCs w:val="24"/>
          <w:lang w:eastAsia="en-US"/>
        </w:rPr>
        <w:t xml:space="preserve"> og de bestemmelser, der ændrer, supplerer eller gennemfører den</w:t>
      </w:r>
    </w:p>
    <w:p w14:paraId="547B787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"anden lovgivning, der anvendes af toldmyndighederne": anden lovgivning end toldlovgivningen, der finder anvendelse på varer, der føres ind ud af eller passerer gennem Unionens toldområde eller skal bringes i omsætning på EU-markedet, og i hvis gennemførelse toldmyndighederne er involveret</w:t>
      </w:r>
    </w:p>
    <w:p w14:paraId="1FCA6B2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"handelspolitiske foranstaltninger": foranstaltninger som led i anden lovgivning, der anvendes af toldmyndighederne, vedtaget i henhold til artikel 207 i TEUF, bortset fra midlertidig eller endelig antidumpingtold, udligningstold eller beskyttelsesforanstaltninger i form af forhøjet told på specifikke varer, herunder navnlig særlige overvågningsforanstaltninger og beskyttelsesforanstaltninger i form af import- eller eksporttilladelser</w:t>
      </w:r>
    </w:p>
    <w:p w14:paraId="66FCC315" w14:textId="77777777" w:rsidR="0086607F" w:rsidRDefault="0086607F">
      <w:pPr>
        <w:widowControl/>
        <w:rPr>
          <w:szCs w:val="24"/>
          <w:lang w:eastAsia="en-US"/>
        </w:rPr>
      </w:pPr>
      <w:r>
        <w:rPr>
          <w:szCs w:val="24"/>
          <w:lang w:eastAsia="en-US"/>
        </w:rPr>
        <w:br w:type="page"/>
      </w:r>
    </w:p>
    <w:p w14:paraId="337D171A" w14:textId="6387ACC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"person": en fysisk person, en juridisk person og enhver sammenslutning af personer, som ikke er en juridisk person, men som i henhold til EU-retten eller national ret anerkendes at have rets- og handleevne</w:t>
      </w:r>
    </w:p>
    <w:p w14:paraId="60EBFDC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"økonomisk operatør": en person, der som led i sit erhverv er involveret i aktiviteter, der er omfattet af toldlovgivningen</w:t>
      </w:r>
    </w:p>
    <w:p w14:paraId="5874E5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"etableret i Unionens toldområde":</w:t>
      </w:r>
    </w:p>
    <w:p w14:paraId="178EE6B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 så vidt angår en fysisk person: det at have sit sædvanlige opholdssted i Unionens toldområde</w:t>
      </w:r>
    </w:p>
    <w:p w14:paraId="6036B9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 så vidt angår en juridisk person eller en sammenslutning af personer: det at have sit hjemsted, sit hovedsæde eller et fast forretningssted i Unionens toldområde</w:t>
      </w:r>
    </w:p>
    <w:p w14:paraId="2E897314" w14:textId="541EBCD5" w:rsidR="003E0486" w:rsidRPr="006903E4" w:rsidRDefault="00A60665"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ba)</w:t>
      </w:r>
      <w:r w:rsidR="003E0486" w:rsidRPr="003E0486">
        <w:rPr>
          <w:szCs w:val="24"/>
          <w:lang w:eastAsia="en-US"/>
        </w:rPr>
        <w:tab/>
      </w:r>
      <w:r w:rsidR="003E0486" w:rsidRPr="003E0486">
        <w:rPr>
          <w:b/>
          <w:i/>
          <w:szCs w:val="24"/>
          <w:lang w:eastAsia="en-US"/>
        </w:rPr>
        <w:t>for så vidt angår en juridisk person med flere forretningssteder i Unionens toldområde</w:t>
      </w:r>
      <w:r w:rsidR="008838B4">
        <w:rPr>
          <w:b/>
          <w:i/>
          <w:szCs w:val="24"/>
          <w:lang w:eastAsia="en-US"/>
        </w:rPr>
        <w:t xml:space="preserve"> skal </w:t>
      </w:r>
      <w:r w:rsidR="003E0486" w:rsidRPr="003E0486">
        <w:rPr>
          <w:b/>
          <w:i/>
          <w:szCs w:val="24"/>
          <w:lang w:eastAsia="en-US"/>
        </w:rPr>
        <w:t>det registrere sig i henhold til artikel 19 i overensstemmelse med rækkefølgen i litra b)</w:t>
      </w:r>
      <w:r w:rsidR="006903E4">
        <w:rPr>
          <w:b/>
          <w:szCs w:val="24"/>
          <w:lang w:eastAsia="en-US"/>
        </w:rPr>
        <w:t xml:space="preserve"> [Ændring 59]</w:t>
      </w:r>
    </w:p>
    <w:p w14:paraId="479E8F76" w14:textId="77777777" w:rsidR="0086607F" w:rsidRDefault="0086607F">
      <w:pPr>
        <w:widowControl/>
        <w:rPr>
          <w:szCs w:val="24"/>
          <w:lang w:eastAsia="en-US"/>
        </w:rPr>
      </w:pPr>
      <w:r>
        <w:rPr>
          <w:szCs w:val="24"/>
          <w:lang w:eastAsia="en-US"/>
        </w:rPr>
        <w:br w:type="page"/>
      </w:r>
    </w:p>
    <w:p w14:paraId="6A109623" w14:textId="09D4E69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"fast forretningssted": et fast forretningssted, hvor både de nødvendige menneskelige og tekniske ressourcer varigt er til stede, og hvorigennem en persons toldrelaterede transaktioner helt eller delvis udføres</w:t>
      </w:r>
    </w:p>
    <w:p w14:paraId="195CAEA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"toldafgørelse": enhver handling, der udføres af toldmyndighederne i tilknytning til toldlovgivningen, hvorved der tages stilling til et konkret tilfælde, og som har retsvirkning for den eller de berørte personer</w:t>
      </w:r>
    </w:p>
    <w:p w14:paraId="13A62D9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"toldprocedure": enhver af følgende procedurer, som varer kan henføres under i overensstemmelse med kodeksen:</w:t>
      </w:r>
    </w:p>
    <w:p w14:paraId="6930C92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overgang til fri omsætning</w:t>
      </w:r>
    </w:p>
    <w:p w14:paraId="0FA1FDA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særlige procedurer</w:t>
      </w:r>
    </w:p>
    <w:p w14:paraId="548D3F7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eksport</w:t>
      </w:r>
    </w:p>
    <w:p w14:paraId="49C7C65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(11)</w:t>
      </w:r>
      <w:r w:rsidRPr="003E0486">
        <w:rPr>
          <w:szCs w:val="24"/>
          <w:lang w:eastAsia="en-US"/>
        </w:rPr>
        <w:tab/>
        <w:t>"toldformaliteter": alle handlinger, der skal foretages af en person og af toldmyndighederne for at overholde toldlovgivningen</w:t>
      </w:r>
    </w:p>
    <w:p w14:paraId="78E28789" w14:textId="77777777" w:rsidR="0086607F" w:rsidRDefault="0086607F">
      <w:pPr>
        <w:widowControl/>
        <w:rPr>
          <w:szCs w:val="24"/>
          <w:lang w:eastAsia="en-US"/>
        </w:rPr>
      </w:pPr>
      <w:r>
        <w:rPr>
          <w:szCs w:val="24"/>
          <w:lang w:eastAsia="en-US"/>
        </w:rPr>
        <w:br w:type="page"/>
      </w:r>
    </w:p>
    <w:p w14:paraId="1010CDDA" w14:textId="28F2779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(12)</w:t>
      </w:r>
      <w:r w:rsidRPr="003E0486">
        <w:rPr>
          <w:szCs w:val="24"/>
          <w:lang w:eastAsia="en-US"/>
        </w:rPr>
        <w:tab/>
        <w:t>"importør": enhver person, der kan bestemme og har bestemt, at varer fra et tredjeland skal føres ind i Unionens toldområde, eller, medmindre andet er bestemt, enhver person, der anses for at være formel importør</w:t>
      </w:r>
    </w:p>
    <w:p w14:paraId="6FB5DA4A" w14:textId="48EF76B9" w:rsidR="003E0486" w:rsidRPr="006903E4" w:rsidRDefault="003E0486" w:rsidP="003E0486">
      <w:pPr>
        <w:spacing w:before="120" w:after="120" w:line="360" w:lineRule="auto"/>
        <w:ind w:left="850" w:hanging="850"/>
        <w:rPr>
          <w:b/>
          <w:szCs w:val="24"/>
          <w:lang w:eastAsia="en-US"/>
        </w:rPr>
      </w:pPr>
      <w:r w:rsidRPr="003E0486">
        <w:rPr>
          <w:szCs w:val="24"/>
          <w:lang w:eastAsia="en-US"/>
        </w:rPr>
        <w:t>(13)</w:t>
      </w:r>
      <w:r w:rsidRPr="003E0486">
        <w:rPr>
          <w:szCs w:val="24"/>
          <w:lang w:eastAsia="en-US"/>
        </w:rPr>
        <w:tab/>
        <w:t xml:space="preserve">"formel importør": enhver person, der er involveret i fjernsalg af varer, der importeres fra tredjelande til Unionens toldområde, </w:t>
      </w:r>
      <w:r w:rsidRPr="003E0486">
        <w:rPr>
          <w:strike/>
          <w:szCs w:val="24"/>
          <w:lang w:eastAsia="en-US"/>
        </w:rPr>
        <w:t>og</w:t>
      </w:r>
      <w:r w:rsidRPr="003E0486">
        <w:rPr>
          <w:b/>
          <w:i/>
          <w:szCs w:val="24"/>
          <w:lang w:eastAsia="en-US"/>
        </w:rPr>
        <w:t>herunder personer,</w:t>
      </w:r>
      <w:r w:rsidRPr="003E0486">
        <w:rPr>
          <w:szCs w:val="24"/>
          <w:lang w:eastAsia="en-US"/>
        </w:rPr>
        <w:t xml:space="preserve"> som har tilladelse til at anvende særordningen i afsnit XII, kapitel 6, afdeling 4, i direktiv 2006/112/EF</w:t>
      </w:r>
      <w:r w:rsidR="006903E4">
        <w:rPr>
          <w:b/>
          <w:szCs w:val="24"/>
          <w:lang w:eastAsia="en-US"/>
        </w:rPr>
        <w:t xml:space="preserve"> [Ændring 60]</w:t>
      </w:r>
    </w:p>
    <w:p w14:paraId="2E844EA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(14)</w:t>
      </w:r>
      <w:r w:rsidRPr="003E0486">
        <w:rPr>
          <w:szCs w:val="24"/>
          <w:lang w:eastAsia="en-US"/>
        </w:rPr>
        <w:tab/>
        <w:t>"eksportør": en i Unionens toldområde etableret person, der kan bestemme og har bestemt, at varer skal føres ud af Unionens toldområde</w:t>
      </w:r>
    </w:p>
    <w:p w14:paraId="24C9592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(15)</w:t>
      </w:r>
      <w:r w:rsidRPr="003E0486">
        <w:rPr>
          <w:szCs w:val="24"/>
          <w:lang w:eastAsia="en-US"/>
        </w:rPr>
        <w:tab/>
        <w:t>"toldrepræsentant": en person, som af en anden person er udpeget til at foretage de handlinger og opfylde de formaliteter, der er fastsat i toldlovgivningen, for så vidt angår forbindelsen med toldmyndighederne</w:t>
      </w:r>
    </w:p>
    <w:p w14:paraId="5B6EA8E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(16)</w:t>
      </w:r>
      <w:r w:rsidRPr="003E0486">
        <w:rPr>
          <w:szCs w:val="24"/>
          <w:lang w:eastAsia="en-US"/>
        </w:rPr>
        <w:tab/>
        <w:t>"data": enhver digital og ikkedigital repræsentation af handlinger, kendsgerninger eller oplysninger og enhver samling af sådanne handlinger, kendsgerninger eller oplysninger, herunder i form af dokumenter, lyd- eller videooptagelser eller audiovisuelle optagelser</w:t>
      </w:r>
    </w:p>
    <w:p w14:paraId="5058D322" w14:textId="77777777" w:rsidR="0086607F" w:rsidRDefault="0086607F">
      <w:pPr>
        <w:widowControl/>
        <w:rPr>
          <w:szCs w:val="24"/>
          <w:lang w:eastAsia="en-US"/>
        </w:rPr>
      </w:pPr>
      <w:r>
        <w:rPr>
          <w:szCs w:val="24"/>
          <w:lang w:eastAsia="en-US"/>
        </w:rPr>
        <w:br w:type="page"/>
      </w:r>
    </w:p>
    <w:p w14:paraId="3F5371ED" w14:textId="25768F0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(17)</w:t>
      </w:r>
      <w:r w:rsidRPr="003E0486">
        <w:rPr>
          <w:szCs w:val="24"/>
          <w:lang w:eastAsia="en-US"/>
        </w:rPr>
        <w:tab/>
        <w:t>"toldovervågning": indsamling og analyse af oplysninger om varer, der føres ind i eller ud af eller passerer gennem Unionens toldområde, med henblik på at overvåge disse bevægelser på EU-plan og sikre ensartet anvendelse af toldkontrol, overholdelse af toldlovgivningen og anden lovgivning, der anvendes af toldmyndighederne, og bidrage til risikoanalyse og risikoforvaltning</w:t>
      </w:r>
    </w:p>
    <w:p w14:paraId="7F46652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(18)</w:t>
      </w:r>
      <w:r w:rsidRPr="003E0486">
        <w:rPr>
          <w:szCs w:val="24"/>
          <w:lang w:eastAsia="en-US"/>
        </w:rPr>
        <w:tab/>
        <w:t>"risiko": sandsynligheden for og virkningerne af en hændelse, der opstår i forbindelse med varer, som forsendes mellem Unionens toldområde og lande uden for dette område, og i forbindelse med tilstedeværelse inden for Unionens toldområde af ikke-EU-varer, og som:</w:t>
      </w:r>
    </w:p>
    <w:p w14:paraId="4AA3F4D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bringer Unionens og dens medlemsstaters finansielle eller økonomiske interesser i fare</w:t>
      </w:r>
    </w:p>
    <w:p w14:paraId="0EF3D9CF" w14:textId="54AFCE6B" w:rsidR="003E0486" w:rsidRPr="006903E4"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udgør en trussel mod Unionens og dens borgeres sikkerhed</w:t>
      </w:r>
      <w:r w:rsidRPr="003E0486">
        <w:rPr>
          <w:strike/>
          <w:szCs w:val="24"/>
          <w:lang w:eastAsia="en-US"/>
        </w:rPr>
        <w:t>, eller</w:t>
      </w:r>
      <w:r w:rsidR="006903E4">
        <w:rPr>
          <w:b/>
          <w:szCs w:val="24"/>
          <w:lang w:eastAsia="en-US"/>
        </w:rPr>
        <w:t xml:space="preserve"> [Ændring 61]</w:t>
      </w:r>
    </w:p>
    <w:p w14:paraId="3BF7928C" w14:textId="18F1A705" w:rsidR="003E0486" w:rsidRPr="006903E4" w:rsidRDefault="00A60665"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ba)</w:t>
      </w:r>
      <w:r w:rsidR="003E0486" w:rsidRPr="003E0486">
        <w:rPr>
          <w:szCs w:val="24"/>
          <w:lang w:eastAsia="en-US"/>
        </w:rPr>
        <w:tab/>
      </w:r>
      <w:r w:rsidR="003E0486" w:rsidRPr="003E0486">
        <w:rPr>
          <w:b/>
          <w:i/>
          <w:szCs w:val="24"/>
          <w:lang w:eastAsia="en-US"/>
        </w:rPr>
        <w:t>udgør en trussel mod folkesundheden i Unionen, eller</w:t>
      </w:r>
      <w:r w:rsidR="006903E4">
        <w:rPr>
          <w:b/>
          <w:szCs w:val="24"/>
          <w:lang w:eastAsia="en-US"/>
        </w:rPr>
        <w:t xml:space="preserve"> [Ændring 62]</w:t>
      </w:r>
    </w:p>
    <w:p w14:paraId="23BDCF1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forhindrer korrekt anvendelse af EU-foranstaltninger eller nationale foranstaltninger</w:t>
      </w:r>
    </w:p>
    <w:p w14:paraId="314BDB80" w14:textId="77777777" w:rsidR="0086607F" w:rsidRDefault="0086607F">
      <w:pPr>
        <w:widowControl/>
        <w:rPr>
          <w:szCs w:val="24"/>
          <w:lang w:eastAsia="en-US"/>
        </w:rPr>
      </w:pPr>
      <w:r>
        <w:rPr>
          <w:szCs w:val="24"/>
          <w:lang w:eastAsia="en-US"/>
        </w:rPr>
        <w:br w:type="page"/>
      </w:r>
    </w:p>
    <w:p w14:paraId="43BF6599" w14:textId="7AA89AE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(19)</w:t>
      </w:r>
      <w:r w:rsidRPr="003E0486">
        <w:rPr>
          <w:szCs w:val="24"/>
          <w:lang w:eastAsia="en-US"/>
        </w:rPr>
        <w:tab/>
        <w:t>"økonomisk analyse": evaluering eller kvantificering af en politik eller et økonomisk fænomen for at forstå, hvordan økonomiske faktorer påvirker den måde, en politik, et geografisk område eller en hvilken som helst persongruppe fungerer på, med henblik på at træffe bedre beslutninger i fremtiden</w:t>
      </w:r>
    </w:p>
    <w:p w14:paraId="20A98529" w14:textId="69315910" w:rsidR="003E0486" w:rsidRPr="006903E4" w:rsidRDefault="003E0486" w:rsidP="003E0486">
      <w:pPr>
        <w:spacing w:before="120" w:after="120" w:line="360" w:lineRule="auto"/>
        <w:ind w:left="850" w:hanging="850"/>
        <w:rPr>
          <w:b/>
          <w:szCs w:val="24"/>
          <w:lang w:eastAsia="en-US"/>
        </w:rPr>
      </w:pPr>
      <w:r w:rsidRPr="003E0486">
        <w:rPr>
          <w:szCs w:val="24"/>
          <w:lang w:eastAsia="en-US"/>
        </w:rPr>
        <w:t>(20)</w:t>
      </w:r>
      <w:r w:rsidRPr="003E0486">
        <w:rPr>
          <w:szCs w:val="24"/>
          <w:lang w:eastAsia="en-US"/>
        </w:rPr>
        <w:tab/>
        <w:t xml:space="preserve">"risikoforvaltning": den systematiske identifikation af risici, bl.a. ved at identificere profiler for risikable økonomiske operatører, </w:t>
      </w:r>
      <w:r w:rsidRPr="003E0486">
        <w:rPr>
          <w:b/>
          <w:i/>
          <w:szCs w:val="24"/>
          <w:lang w:eastAsia="en-US"/>
        </w:rPr>
        <w:t xml:space="preserve">mistænkelige transaktioner </w:t>
      </w:r>
      <w:r w:rsidRPr="003E0486">
        <w:rPr>
          <w:szCs w:val="24"/>
          <w:lang w:eastAsia="en-US"/>
        </w:rPr>
        <w:t>og gennemførelse af alle de foranstaltninger, der er nødvendige for at begrænse risiciene</w:t>
      </w:r>
      <w:r w:rsidR="006903E4">
        <w:rPr>
          <w:b/>
          <w:szCs w:val="24"/>
          <w:lang w:eastAsia="en-US"/>
        </w:rPr>
        <w:t xml:space="preserve"> [Ændring 63]</w:t>
      </w:r>
    </w:p>
    <w:p w14:paraId="226642E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(21)</w:t>
      </w:r>
      <w:r w:rsidRPr="003E0486">
        <w:rPr>
          <w:szCs w:val="24"/>
          <w:lang w:eastAsia="en-US"/>
        </w:rPr>
        <w:tab/>
        <w:t>"toldtilsyn": enhver handling, der generelt udføres af toldmyndighederne for at sikre overholdelse af toldlovgivningen og om nødvendigt af anden lovgivning, der anvendes af toldmyndighederne, eller for på anden måde at bidrage til forvaltningen af risici i forbindelse med varerne og deres forsyningskæder</w:t>
      </w:r>
    </w:p>
    <w:p w14:paraId="482227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(22)</w:t>
      </w:r>
      <w:r w:rsidRPr="003E0486">
        <w:rPr>
          <w:szCs w:val="24"/>
          <w:lang w:eastAsia="en-US"/>
        </w:rPr>
        <w:tab/>
        <w:t>"toldkontrol": specifikke handlinger, der foretages af toldmyndighederne for at sikre overholdelse af toldlovgivningen og anden lovgivning, der anvendes af toldmyndighederne, eller for på anden måde at bidrage til forvaltningen af risici i forbindelse med varer og deres forsyningskæder</w:t>
      </w:r>
    </w:p>
    <w:p w14:paraId="4E679617" w14:textId="77777777" w:rsidR="0086607F" w:rsidRDefault="0086607F">
      <w:pPr>
        <w:widowControl/>
        <w:rPr>
          <w:szCs w:val="24"/>
          <w:lang w:eastAsia="en-US"/>
        </w:rPr>
      </w:pPr>
      <w:r>
        <w:rPr>
          <w:szCs w:val="24"/>
          <w:lang w:eastAsia="en-US"/>
        </w:rPr>
        <w:br w:type="page"/>
      </w:r>
    </w:p>
    <w:p w14:paraId="6142382E" w14:textId="463084E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(23)</w:t>
      </w:r>
      <w:r w:rsidRPr="003E0486">
        <w:rPr>
          <w:szCs w:val="24"/>
          <w:lang w:eastAsia="en-US"/>
        </w:rPr>
        <w:tab/>
        <w:t>"stikprøvekontrol": toldkontrol baseret på principper for tilfældig prøveudtagning med hensyn til en relevant population</w:t>
      </w:r>
    </w:p>
    <w:p w14:paraId="447217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(24)</w:t>
      </w:r>
      <w:r w:rsidRPr="003E0486">
        <w:rPr>
          <w:szCs w:val="24"/>
          <w:lang w:eastAsia="en-US"/>
        </w:rPr>
        <w:tab/>
        <w:t>"ihændehaveren af varer": den person, som har fysisk kontrol med varerne</w:t>
      </w:r>
    </w:p>
    <w:p w14:paraId="68002F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(25)</w:t>
      </w:r>
      <w:r w:rsidRPr="003E0486">
        <w:rPr>
          <w:szCs w:val="24"/>
          <w:lang w:eastAsia="en-US"/>
        </w:rPr>
        <w:tab/>
        <w:t>"transportør":</w:t>
      </w:r>
    </w:p>
    <w:p w14:paraId="6A1B250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 forbindelse med indpassage den person, som fører varerne ind i Unionens toldområde, eller som påtager sig ansvaret for transporten af varerne ind i dette område. Dog gælder følgende:</w:t>
      </w:r>
    </w:p>
    <w:p w14:paraId="2E693732" w14:textId="1CCC5058" w:rsidR="003E0486" w:rsidRPr="003E0486" w:rsidRDefault="00444880"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i tilfælde af kombineret transport forstås ved "transportør" den person, der er ansvarlig for det transportmiddel, som når det kommer ind i Unionens toldområde bevæger sig ved egen kraft som et aktivt transportmiddel</w:t>
      </w:r>
    </w:p>
    <w:p w14:paraId="157739FB" w14:textId="653313BD" w:rsidR="003E0486" w:rsidRPr="003E0486" w:rsidRDefault="00444880"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i tilfælde af skibs- eller lufttrafik, hvor der foreligger en sharing- eller charteraftale om et skib eller fly, forstås ved "transportør" den person, der indgår en kontrakt og udsteder et konnossement eller et luftfragtbrev for varernes faktiske transport ind i Unionens toldområde</w:t>
      </w:r>
    </w:p>
    <w:p w14:paraId="50BC166B" w14:textId="77777777" w:rsidR="0086607F" w:rsidRDefault="0086607F">
      <w:pPr>
        <w:widowControl/>
        <w:rPr>
          <w:szCs w:val="24"/>
          <w:lang w:eastAsia="en-US"/>
        </w:rPr>
      </w:pPr>
      <w:r>
        <w:rPr>
          <w:szCs w:val="24"/>
          <w:lang w:eastAsia="en-US"/>
        </w:rPr>
        <w:br w:type="page"/>
      </w:r>
    </w:p>
    <w:p w14:paraId="19F80A3C" w14:textId="76F5DA1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i forbindelse med udpassage den person, som fører varerne ud af Unionens toldområde, eller som påtager sig ansvaret for transporten af varerne ud af dette område. Dog gælder følgende:</w:t>
      </w:r>
    </w:p>
    <w:p w14:paraId="5BAD4E2D" w14:textId="73891658" w:rsidR="003E0486" w:rsidRPr="003E0486" w:rsidRDefault="00444880"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i tilfælde af kombineret transport, hvor det aktive transportmiddel, der forlader Unionens toldområde, udelukkende transporterer et andet transportmiddel, der, efter at det aktive transportmiddel er ankommet til bestemmelsesstedet, fortsætter ved egen kraft som et aktivt transportmiddel, forstås ved "transportør" den person, der bliver ansvarlig for det transportmiddel, der fortsætter transporten ved egen kraft, når det transportmiddel, der forlader Unionens toldområde, har nået bestemmelsesstedet</w:t>
      </w:r>
    </w:p>
    <w:p w14:paraId="229CFEE6" w14:textId="6D2B2241" w:rsidR="003E0486" w:rsidRPr="003E0486" w:rsidRDefault="00444880"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i tilfælde af skibs- eller lufttrafik, hvor der foreligger en sharing- eller charteraftale om et skib eller fly, forstås ved "transportør" den person, der indgår en kontrakt og udsteder et konnossement eller et luftfragtbrev for varernes faktiske transport ud af Unionens toldområde</w:t>
      </w:r>
    </w:p>
    <w:p w14:paraId="7BEB7C44" w14:textId="3A3F18B6" w:rsidR="003E0486" w:rsidRPr="003E0486" w:rsidRDefault="003E0486" w:rsidP="003E0486">
      <w:pPr>
        <w:spacing w:before="120" w:after="120" w:line="360" w:lineRule="auto"/>
        <w:ind w:left="850" w:hanging="850"/>
        <w:rPr>
          <w:szCs w:val="24"/>
          <w:lang w:eastAsia="en-US"/>
        </w:rPr>
      </w:pPr>
      <w:r w:rsidRPr="003E0486">
        <w:rPr>
          <w:szCs w:val="24"/>
          <w:lang w:eastAsia="en-US"/>
        </w:rPr>
        <w:t>(26)</w:t>
      </w:r>
      <w:r w:rsidRPr="003E0486">
        <w:rPr>
          <w:szCs w:val="24"/>
          <w:lang w:eastAsia="en-US"/>
        </w:rPr>
        <w:tab/>
        <w:t>"risikoanalyse": behandling af data, oplysninger eller dokumenter, herunder personoplysninger, med henblik på at identificere eller kvantificere mulige risici ved hjælp af relevante analysemetoder og kunstig intelligens som defineret i artikel 3, nr. 1), i Europa-Parlamentets og Rådets forordning (EU) .../...</w:t>
      </w:r>
      <w:r w:rsidRPr="003E0486">
        <w:rPr>
          <w:szCs w:val="24"/>
          <w:vertAlign w:val="superscript"/>
          <w:lang w:val="en-GB" w:eastAsia="en-US"/>
        </w:rPr>
        <w:footnoteReference w:id="33"/>
      </w:r>
    </w:p>
    <w:p w14:paraId="695F694D" w14:textId="77777777" w:rsidR="0086607F" w:rsidRDefault="0086607F">
      <w:pPr>
        <w:widowControl/>
        <w:rPr>
          <w:szCs w:val="24"/>
          <w:lang w:eastAsia="en-US"/>
        </w:rPr>
      </w:pPr>
      <w:r>
        <w:rPr>
          <w:szCs w:val="24"/>
          <w:lang w:eastAsia="en-US"/>
        </w:rPr>
        <w:br w:type="page"/>
      </w:r>
    </w:p>
    <w:p w14:paraId="140B3E2F" w14:textId="5AB4E91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(27)</w:t>
      </w:r>
      <w:r w:rsidRPr="003E0486">
        <w:rPr>
          <w:szCs w:val="24"/>
          <w:lang w:eastAsia="en-US"/>
        </w:rPr>
        <w:tab/>
        <w:t>"risikosignal": angivelse af en mulig risiko baseret på automatiserede behandlingsaktiviteter, der gennemfører risikoanalyse af data, oplysninger eller dokumenter</w:t>
      </w:r>
    </w:p>
    <w:p w14:paraId="0E5D3FC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(28)</w:t>
      </w:r>
      <w:r w:rsidRPr="003E0486">
        <w:rPr>
          <w:szCs w:val="24"/>
          <w:lang w:eastAsia="en-US"/>
        </w:rPr>
        <w:tab/>
        <w:t>"risikoanalyseresultat": i forbindelse med et signal bestemmelse af, at en risiko er til stede eller ikke anses for at være til stede, på grundlag af en automatisk proces eller en yderligere menneskelig vurdering af risikosignalet</w:t>
      </w:r>
    </w:p>
    <w:p w14:paraId="2A63AF2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(29)</w:t>
      </w:r>
      <w:r w:rsidRPr="003E0486">
        <w:rPr>
          <w:szCs w:val="24"/>
          <w:lang w:eastAsia="en-US"/>
        </w:rPr>
        <w:tab/>
        <w:t>"kontrolanbefaling": udtalelse fra en toldmyndighed eller EU-Toldmyndigheden om, hvorvidt og i givet fald hvornår, hvor og af hvilken toldmyndighed der skal foretages en toldkontrol, herunder at identificere eventuelle yderligere tiltag ud over toldkontrol</w:t>
      </w:r>
    </w:p>
    <w:p w14:paraId="4D43FF9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(30)</w:t>
      </w:r>
      <w:r w:rsidRPr="003E0486">
        <w:rPr>
          <w:szCs w:val="24"/>
          <w:lang w:eastAsia="en-US"/>
        </w:rPr>
        <w:tab/>
        <w:t>"kontrolbeslutning": den konkrete handling, hvorved toldmyndighederne beslutter, om en kontrol skal eller ikke skal finde sted</w:t>
      </w:r>
    </w:p>
    <w:p w14:paraId="44B0AD6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(31)</w:t>
      </w:r>
      <w:r w:rsidRPr="003E0486">
        <w:rPr>
          <w:szCs w:val="24"/>
          <w:lang w:eastAsia="en-US"/>
        </w:rPr>
        <w:tab/>
        <w:t>"kontrolresultat": det foreløbige og endelige resultat af en kontrol, herunder angivelse af eventuelle yderligere foranstaltninger og de kompetente myndigheder, som resultatet eller foranstaltningerne eventuelt måtte vedrøre</w:t>
      </w:r>
    </w:p>
    <w:p w14:paraId="1AA8E5DE" w14:textId="77777777" w:rsidR="0086607F" w:rsidRDefault="0086607F">
      <w:pPr>
        <w:widowControl/>
        <w:rPr>
          <w:szCs w:val="24"/>
          <w:lang w:eastAsia="en-US"/>
        </w:rPr>
      </w:pPr>
      <w:r>
        <w:rPr>
          <w:szCs w:val="24"/>
          <w:lang w:eastAsia="en-US"/>
        </w:rPr>
        <w:br w:type="page"/>
      </w:r>
    </w:p>
    <w:p w14:paraId="48F82932" w14:textId="0C57AD8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(32)</w:t>
      </w:r>
      <w:r w:rsidRPr="003E0486">
        <w:rPr>
          <w:szCs w:val="24"/>
          <w:lang w:eastAsia="en-US"/>
        </w:rPr>
        <w:tab/>
        <w:t>"fælles prioriteret kontrolområde": en række særlige toldprocedurer, varetyper, trafikruter, transportformer eller økonomiske operatører med henblik på at gøre disse til genstand for mere omfattende risikoanalyse, risikoafbødningforanstaltninger og toldkontrol i en vis periode, uden at dette berører andre former for kontrol, som toldmyndighederne normalt gennemfører</w:t>
      </w:r>
    </w:p>
    <w:p w14:paraId="73513D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(33)</w:t>
      </w:r>
      <w:r w:rsidRPr="003E0486">
        <w:rPr>
          <w:szCs w:val="24"/>
          <w:lang w:eastAsia="en-US"/>
        </w:rPr>
        <w:tab/>
        <w:t>"fælles risikokriterier og -standarder": parametre for risikoanalyse for risikoområdet og tilhørende standarder vedrørende den praktiske anvendelse af kriterierne</w:t>
      </w:r>
    </w:p>
    <w:p w14:paraId="0EB2402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(34)</w:t>
      </w:r>
      <w:r w:rsidRPr="003E0486">
        <w:rPr>
          <w:szCs w:val="24"/>
          <w:lang w:eastAsia="en-US"/>
        </w:rPr>
        <w:tab/>
        <w:t>"tilsynsstrategi": en tilgang til håndtering af en specifik risiko, som har til formål at afbalancere det operationelle toldtilsyn og afbødende foranstaltninger i hele forsyningskæden på en forholdsmæssig og effektiv måde</w:t>
      </w:r>
    </w:p>
    <w:p w14:paraId="675314F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(35)</w:t>
      </w:r>
      <w:r w:rsidRPr="003E0486">
        <w:rPr>
          <w:szCs w:val="24"/>
          <w:lang w:eastAsia="en-US"/>
        </w:rPr>
        <w:tab/>
        <w:t>"forsendelse": varer, der befordres af en afsender til én modtager med samme transportmiddel, herunder multimodalt, og som kommer fra samme område eller tredjeland, og som er af samme type, klasse eller beskrivelse eller pakkes sammen, under samme transportkontrakt</w:t>
      </w:r>
    </w:p>
    <w:p w14:paraId="795845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(36)</w:t>
      </w:r>
      <w:r w:rsidRPr="003E0486">
        <w:rPr>
          <w:szCs w:val="24"/>
          <w:lang w:eastAsia="en-US"/>
        </w:rPr>
        <w:tab/>
        <w:t>"toldmæssig status": en vares status som EU-vare eller som ikke-EU-vare</w:t>
      </w:r>
    </w:p>
    <w:p w14:paraId="4A46EB05" w14:textId="77777777" w:rsidR="0086607F" w:rsidRDefault="0086607F">
      <w:pPr>
        <w:widowControl/>
        <w:rPr>
          <w:szCs w:val="24"/>
          <w:lang w:eastAsia="en-US"/>
        </w:rPr>
      </w:pPr>
      <w:r>
        <w:rPr>
          <w:szCs w:val="24"/>
          <w:lang w:eastAsia="en-US"/>
        </w:rPr>
        <w:br w:type="page"/>
      </w:r>
    </w:p>
    <w:p w14:paraId="4A7ED0FD" w14:textId="5C87369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(37)</w:t>
      </w:r>
      <w:r w:rsidRPr="003E0486">
        <w:rPr>
          <w:szCs w:val="24"/>
          <w:lang w:eastAsia="en-US"/>
        </w:rPr>
        <w:tab/>
        <w:t>"EU-varer": varer, som falder ind under en af følgende kategorier:</w:t>
      </w:r>
    </w:p>
    <w:p w14:paraId="7E244F8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varer, som fuldt ud er fremstillet inden for Unionens toldområde, uden at der i dem indgår varer, som er importeret fra tredjelande</w:t>
      </w:r>
    </w:p>
    <w:p w14:paraId="520CC5A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varer, som er indført i Unionens toldområde fra tredjelande og bragt i fri omsætning</w:t>
      </w:r>
    </w:p>
    <w:p w14:paraId="4F07E4E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varer, som er fremstillet inden for Unionens toldområde enten udelukkende af de i litra b) omhandlede varer eller af de i litra a) og b) omhandlede varer</w:t>
      </w:r>
    </w:p>
    <w:p w14:paraId="7CE512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(38)</w:t>
      </w:r>
      <w:r w:rsidRPr="003E0486">
        <w:rPr>
          <w:szCs w:val="24"/>
          <w:lang w:eastAsia="en-US"/>
        </w:rPr>
        <w:tab/>
        <w:t>"ikke-EU-varer": andre varer end de i nr. 46) omhandlede eller varer, som har mistet deres toldmæssige status som EU-varer</w:t>
      </w:r>
    </w:p>
    <w:p w14:paraId="7B0CA59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(39)</w:t>
      </w:r>
      <w:r w:rsidRPr="003E0486">
        <w:rPr>
          <w:szCs w:val="24"/>
          <w:lang w:eastAsia="en-US"/>
        </w:rPr>
        <w:tab/>
        <w:t>"frigivelse af varer": den handling, hvorved toldmyndighederne eller andre personer på deres vegne giver tilladelse til, at der disponeres over varer til de formål, der er angivet for den toldprocedure, som det er hensigten at henføre varerne under</w:t>
      </w:r>
    </w:p>
    <w:p w14:paraId="2F387B7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(40)</w:t>
      </w:r>
      <w:r w:rsidRPr="003E0486">
        <w:rPr>
          <w:szCs w:val="24"/>
          <w:lang w:eastAsia="en-US"/>
        </w:rPr>
        <w:tab/>
        <w:t>"summarisk indpassageangivelse": den handling, hvorved en person i behørig form og efter de foreskrevne regler og inden for en bestemt frist oplyser toldmyndighederne om, at varer vil blive ført ind i Unionens toldområde</w:t>
      </w:r>
    </w:p>
    <w:p w14:paraId="73FA6DB8" w14:textId="77777777" w:rsidR="0086607F" w:rsidRDefault="0086607F">
      <w:pPr>
        <w:widowControl/>
        <w:rPr>
          <w:szCs w:val="24"/>
          <w:lang w:eastAsia="en-US"/>
        </w:rPr>
      </w:pPr>
      <w:r>
        <w:rPr>
          <w:szCs w:val="24"/>
          <w:lang w:eastAsia="en-US"/>
        </w:rPr>
        <w:br w:type="page"/>
      </w:r>
    </w:p>
    <w:p w14:paraId="24E5BC08" w14:textId="1DB2EB5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(41)</w:t>
      </w:r>
      <w:r w:rsidRPr="003E0486">
        <w:rPr>
          <w:szCs w:val="24"/>
          <w:lang w:eastAsia="en-US"/>
        </w:rPr>
        <w:tab/>
        <w:t>"summarisk udpassageangivelse": den handling, hvorved en person i behørig form og efter de foreskrevne regler og inden for en bestemt frist oplyser toldmyndighederne om, at varer vil blive ført ud af Unionens toldområde</w:t>
      </w:r>
    </w:p>
    <w:p w14:paraId="1C6B480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(42)</w:t>
      </w:r>
      <w:r w:rsidRPr="003E0486">
        <w:rPr>
          <w:szCs w:val="24"/>
          <w:lang w:eastAsia="en-US"/>
        </w:rPr>
        <w:tab/>
        <w:t>"angivelse til midlertidig opbevaring": den handling, hvorved en person i behørig form og efter de foreskrevne regler tilkendegiver, at varer er under midlertidig opbevaring</w:t>
      </w:r>
    </w:p>
    <w:p w14:paraId="5AB765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(43)</w:t>
      </w:r>
      <w:r w:rsidRPr="003E0486">
        <w:rPr>
          <w:szCs w:val="24"/>
          <w:lang w:eastAsia="en-US"/>
        </w:rPr>
        <w:tab/>
        <w:t>"toldangivelse": den handling, hvorved en person i behørig form og efter de foreskrevne regler tilkendegiver at ville henføre varer under en bestemt toldprocedure, hvor det er relevant med angivelse af eventuelle særlige ordninger, der skal anvendes</w:t>
      </w:r>
    </w:p>
    <w:p w14:paraId="48CD003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(44)</w:t>
      </w:r>
      <w:r w:rsidRPr="003E0486">
        <w:rPr>
          <w:szCs w:val="24"/>
          <w:lang w:eastAsia="en-US"/>
        </w:rPr>
        <w:tab/>
        <w:t>"klarerer": den person, der indgiver en toldangivelse, en angivelse til midlertidig opbevaring, en summarisk indpassageangivelse, en summarisk udpassageangivelse, en reeksportangivelse eller en reeksportmeddelelse i eget navn, eller den person, i hvis navn en sådan angivelse eller meddelelse foretages</w:t>
      </w:r>
    </w:p>
    <w:p w14:paraId="7B8E521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(45)</w:t>
      </w:r>
      <w:r w:rsidRPr="003E0486">
        <w:rPr>
          <w:szCs w:val="24"/>
          <w:lang w:eastAsia="en-US"/>
        </w:rPr>
        <w:tab/>
        <w:t>"reeksportangivelse": den handling, hvorved en person i behørig form og efter de foreskrevne regler tilkendegiver et ønske om at føre ikke-EU-varer, bortset fra dem, der befinder sig under frizoneproceduren eller til midlertidig opbevaring, ud af Unionens toldområde</w:t>
      </w:r>
    </w:p>
    <w:p w14:paraId="445792DD" w14:textId="77777777" w:rsidR="0086607F" w:rsidRDefault="0086607F">
      <w:pPr>
        <w:widowControl/>
        <w:rPr>
          <w:szCs w:val="24"/>
          <w:lang w:eastAsia="en-US"/>
        </w:rPr>
      </w:pPr>
      <w:r>
        <w:rPr>
          <w:szCs w:val="24"/>
          <w:lang w:eastAsia="en-US"/>
        </w:rPr>
        <w:br w:type="page"/>
      </w:r>
    </w:p>
    <w:p w14:paraId="1DF10059" w14:textId="6950303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(46)</w:t>
      </w:r>
      <w:r w:rsidRPr="003E0486">
        <w:rPr>
          <w:szCs w:val="24"/>
          <w:lang w:eastAsia="en-US"/>
        </w:rPr>
        <w:tab/>
        <w:t>"reeksportmeddelelse": den handling, hvorved en person i behørig form og efter de foreskrevne regler tilkendegiver et ønske om at føre ikke-EU-varer, der befinder sig under frizoneproceduren eller til midlertidig opbevaring, ud af Unionens toldområde</w:t>
      </w:r>
    </w:p>
    <w:p w14:paraId="41A719B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(47)</w:t>
      </w:r>
      <w:r w:rsidRPr="003E0486">
        <w:rPr>
          <w:szCs w:val="24"/>
          <w:lang w:eastAsia="en-US"/>
        </w:rPr>
        <w:tab/>
        <w:t>"fjernsalg af varer importeret fra tredjelande": fjernsalg af varer importeret fra tredjelande eller tredjelandsområder, jf. artikel 14, stk. 4, nr. 2), i direktiv 2006/112/EF</w:t>
      </w:r>
    </w:p>
    <w:p w14:paraId="4291807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(48)</w:t>
      </w:r>
      <w:r w:rsidRPr="003E0486">
        <w:rPr>
          <w:szCs w:val="24"/>
          <w:lang w:eastAsia="en-US"/>
        </w:rPr>
        <w:tab/>
        <w:t>"fabrikant":</w:t>
      </w:r>
    </w:p>
    <w:p w14:paraId="62F9C43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fabrikanten af produktet i henhold til den øvrige lovgivning, der finder anvendelse på det pågældende produkt, eller</w:t>
      </w:r>
    </w:p>
    <w:p w14:paraId="22E98FA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producenten for så vidt angår landbrugsvarer som defineret i artikel 38, stk. 1, i TEUF eller råvarer, eller</w:t>
      </w:r>
    </w:p>
    <w:p w14:paraId="7537F3E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der ikke er nogen fabrikant eller producent som omhandlet i litra a) og b), den fysiske eller juridiske person eller sammenslutning af personer, som har fremstillet produktet eller fået produktet fremstillet og markedsfører dette produkt under den pågældendes navn eller varemærke</w:t>
      </w:r>
    </w:p>
    <w:p w14:paraId="0C036D15" w14:textId="77777777" w:rsidR="0086607F" w:rsidRDefault="0086607F">
      <w:pPr>
        <w:widowControl/>
        <w:rPr>
          <w:szCs w:val="24"/>
          <w:lang w:eastAsia="en-US"/>
        </w:rPr>
      </w:pPr>
      <w:r>
        <w:rPr>
          <w:szCs w:val="24"/>
          <w:lang w:eastAsia="en-US"/>
        </w:rPr>
        <w:br w:type="page"/>
      </w:r>
    </w:p>
    <w:p w14:paraId="7E9575CE" w14:textId="6EAA080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(49)</w:t>
      </w:r>
      <w:r w:rsidRPr="003E0486">
        <w:rPr>
          <w:szCs w:val="24"/>
          <w:lang w:eastAsia="en-US"/>
        </w:rPr>
        <w:tab/>
        <w:t>"produktleverandør": enhver fysisk eller juridisk person eller sammenslutning af personer i forsyningskæden, der helt eller delvis fremstiller et produkt, enten som fabrikant eller på anden vis</w:t>
      </w:r>
    </w:p>
    <w:p w14:paraId="46D54E5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(50)</w:t>
      </w:r>
      <w:r w:rsidRPr="003E0486">
        <w:rPr>
          <w:szCs w:val="24"/>
          <w:lang w:eastAsia="en-US"/>
        </w:rPr>
        <w:tab/>
        <w:t>"midlertidig opbevaring": situationen for ikke-EU-varer, der midlertidigt opbevares under toldtilsyn i perioden mellem det tidspunkt, hvor transportøren meddeler deres ankomst til toldområdet, og deres henførsel under en toldprocedure</w:t>
      </w:r>
    </w:p>
    <w:p w14:paraId="002BCF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(51)</w:t>
      </w:r>
      <w:r w:rsidRPr="003E0486">
        <w:rPr>
          <w:szCs w:val="24"/>
          <w:lang w:eastAsia="en-US"/>
        </w:rPr>
        <w:tab/>
        <w:t>"forædlingsprodukter": varer, der er henført under en forædlingsprocedure, og som har været genstand for forædlingsprocesser</w:t>
      </w:r>
    </w:p>
    <w:p w14:paraId="2BD3986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(52)</w:t>
      </w:r>
      <w:r w:rsidRPr="003E0486">
        <w:rPr>
          <w:szCs w:val="24"/>
          <w:lang w:eastAsia="en-US"/>
        </w:rPr>
        <w:tab/>
        <w:t>"forædlingsprocesser": en af følgende processer:</w:t>
      </w:r>
    </w:p>
    <w:p w14:paraId="6F8A65D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bearbejdning af varer, herunder montage, samling eller tilpasning af disse varer til andre varer</w:t>
      </w:r>
    </w:p>
    <w:p w14:paraId="2B71905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forarbejdning af varer</w:t>
      </w:r>
    </w:p>
    <w:p w14:paraId="3EBC46E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tilintetgørelse af varer</w:t>
      </w:r>
    </w:p>
    <w:p w14:paraId="57F812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reparation af varer, herunder istandsættelse og justering af disse varer</w:t>
      </w:r>
    </w:p>
    <w:p w14:paraId="62F1A17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anvendelse af varer, som ikke indgår i forædlingsprodukter, men som muliggør eller letter fremstillingen af disse produkter, selv om de ved deres anvendelse forbruges helt eller delvis (hjælpestoffer)</w:t>
      </w:r>
    </w:p>
    <w:p w14:paraId="1617E61E" w14:textId="77777777" w:rsidR="0086607F" w:rsidRDefault="0086607F">
      <w:pPr>
        <w:widowControl/>
        <w:rPr>
          <w:szCs w:val="24"/>
          <w:lang w:eastAsia="en-US"/>
        </w:rPr>
      </w:pPr>
      <w:r>
        <w:rPr>
          <w:szCs w:val="24"/>
          <w:lang w:eastAsia="en-US"/>
        </w:rPr>
        <w:br w:type="page"/>
      </w:r>
    </w:p>
    <w:p w14:paraId="6ACBF632" w14:textId="7A7C856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(53)</w:t>
      </w:r>
      <w:r w:rsidRPr="003E0486">
        <w:rPr>
          <w:szCs w:val="24"/>
          <w:lang w:eastAsia="en-US"/>
        </w:rPr>
        <w:tab/>
        <w:t>"den ansvarlige for forsendelsesproceduren": den person, der indgiver en forsendelsesangivelse eller meddeler de oplysninger, som kræves for at henføre varerne under denne procedure, eller på hvis vegne den pågældende angivelse indgives, eller oplysningerne meddeles</w:t>
      </w:r>
    </w:p>
    <w:p w14:paraId="2DB0BD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(54)</w:t>
      </w:r>
      <w:r w:rsidRPr="003E0486">
        <w:rPr>
          <w:szCs w:val="24"/>
          <w:lang w:eastAsia="en-US"/>
        </w:rPr>
        <w:tab/>
        <w:t>"udbyttesats": den mængde eller den procentdel af forædlingsprodukter, der opnås ved forædling af en bestemt mængde varer, der er henført under en forædlingsprocedure</w:t>
      </w:r>
    </w:p>
    <w:p w14:paraId="705709B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(55)</w:t>
      </w:r>
      <w:r w:rsidRPr="003E0486">
        <w:rPr>
          <w:szCs w:val="24"/>
          <w:lang w:eastAsia="en-US"/>
        </w:rPr>
        <w:tab/>
        <w:t>"tredjeland": et land eller område uden for Unionens toldområde</w:t>
      </w:r>
    </w:p>
    <w:p w14:paraId="561BC60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(56)</w:t>
      </w:r>
      <w:r w:rsidRPr="003E0486">
        <w:rPr>
          <w:szCs w:val="24"/>
          <w:lang w:eastAsia="en-US"/>
        </w:rPr>
        <w:tab/>
        <w:t>"forenklet toldbehandling ved fjernsalg": den forenklede toldbehandling ved fjernsalg, der er fastsat i artikel 1, stk. 4 og 5, i forordning (EØF) nr. 2658/87 og dennes bilag I, første del, afsnit II, punkt G.</w:t>
      </w:r>
    </w:p>
    <w:p w14:paraId="02890F21" w14:textId="6AF56160" w:rsidR="003E0486" w:rsidRPr="003038CF" w:rsidRDefault="003E0486" w:rsidP="003E0486">
      <w:pPr>
        <w:spacing w:before="120" w:after="120" w:line="360" w:lineRule="auto"/>
        <w:ind w:left="850" w:hanging="850"/>
        <w:rPr>
          <w:b/>
          <w:szCs w:val="24"/>
          <w:lang w:eastAsia="en-US"/>
        </w:rPr>
      </w:pPr>
      <w:r w:rsidRPr="003E0486">
        <w:rPr>
          <w:szCs w:val="24"/>
          <w:lang w:eastAsia="en-US"/>
        </w:rPr>
        <w:t>(57)</w:t>
      </w:r>
      <w:r w:rsidRPr="003E0486">
        <w:rPr>
          <w:szCs w:val="24"/>
          <w:lang w:eastAsia="en-US"/>
        </w:rPr>
        <w:tab/>
        <w:t>"toldskyld": en persons forpligtelse til at betale de import- eller eksportafgifter</w:t>
      </w:r>
      <w:r w:rsidRPr="003E0486">
        <w:rPr>
          <w:b/>
          <w:i/>
          <w:szCs w:val="24"/>
          <w:lang w:eastAsia="en-US"/>
        </w:rPr>
        <w:t xml:space="preserve"> og eventuelle andre gebyrer</w:t>
      </w:r>
      <w:r w:rsidRPr="003E0486">
        <w:rPr>
          <w:szCs w:val="24"/>
          <w:lang w:eastAsia="en-US"/>
        </w:rPr>
        <w:t>, der efter gældende toldlovgivning anvendes for bestemte varer</w:t>
      </w:r>
      <w:r w:rsidR="003038CF">
        <w:rPr>
          <w:b/>
          <w:szCs w:val="24"/>
          <w:lang w:eastAsia="en-US"/>
        </w:rPr>
        <w:t xml:space="preserve"> [Ændring 64]</w:t>
      </w:r>
    </w:p>
    <w:p w14:paraId="5F161FE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(58)</w:t>
      </w:r>
      <w:r w:rsidRPr="003E0486">
        <w:rPr>
          <w:szCs w:val="24"/>
          <w:lang w:eastAsia="en-US"/>
        </w:rPr>
        <w:tab/>
        <w:t>"debitor": enhver person, der hæfter for en toldskyld</w:t>
      </w:r>
    </w:p>
    <w:p w14:paraId="6ED1F21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(59)</w:t>
      </w:r>
      <w:r w:rsidRPr="003E0486">
        <w:rPr>
          <w:szCs w:val="24"/>
          <w:lang w:eastAsia="en-US"/>
        </w:rPr>
        <w:tab/>
        <w:t>"importafgifter": told, der skal betales ved import af varer</w:t>
      </w:r>
    </w:p>
    <w:p w14:paraId="0741A77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(60)</w:t>
      </w:r>
      <w:r w:rsidRPr="003E0486">
        <w:rPr>
          <w:szCs w:val="24"/>
          <w:lang w:eastAsia="en-US"/>
        </w:rPr>
        <w:tab/>
        <w:t>"eksportafgifter": told, der skal betales ved eksport af varer</w:t>
      </w:r>
    </w:p>
    <w:p w14:paraId="16EA6272" w14:textId="77777777" w:rsidR="0086607F" w:rsidRDefault="0086607F">
      <w:pPr>
        <w:widowControl/>
        <w:rPr>
          <w:szCs w:val="24"/>
          <w:lang w:eastAsia="en-US"/>
        </w:rPr>
      </w:pPr>
      <w:r>
        <w:rPr>
          <w:szCs w:val="24"/>
          <w:lang w:eastAsia="en-US"/>
        </w:rPr>
        <w:br w:type="page"/>
      </w:r>
    </w:p>
    <w:p w14:paraId="7CC32A5E" w14:textId="2DE3CAD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(61)</w:t>
      </w:r>
      <w:r w:rsidRPr="003E0486">
        <w:rPr>
          <w:szCs w:val="24"/>
          <w:lang w:eastAsia="en-US"/>
        </w:rPr>
        <w:tab/>
        <w:t>"godtgørelse": tilbagebetaling af et import- eller eksportafgiftsbeløb, der er blevet betalt</w:t>
      </w:r>
    </w:p>
    <w:p w14:paraId="663D4EA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(62)</w:t>
      </w:r>
      <w:r w:rsidRPr="003E0486">
        <w:rPr>
          <w:szCs w:val="24"/>
          <w:lang w:eastAsia="en-US"/>
        </w:rPr>
        <w:tab/>
        <w:t>"fritagelse": bortfald af forpligtelsen til at betale et import- eller eksportafgiftsbeløb, der ikke er blevet betalt</w:t>
      </w:r>
    </w:p>
    <w:p w14:paraId="590077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(63)</w:t>
      </w:r>
      <w:r w:rsidRPr="003E0486">
        <w:rPr>
          <w:szCs w:val="24"/>
          <w:lang w:eastAsia="en-US"/>
        </w:rPr>
        <w:tab/>
        <w:t>"indkøbsprovision": et beløb, som en importør betaler til en agent for at repræsentere sig ved indkøb af de varer, der skal værdiansættes</w:t>
      </w:r>
    </w:p>
    <w:p w14:paraId="01E9C163" w14:textId="27031496" w:rsidR="003E0486" w:rsidRPr="003038CF" w:rsidRDefault="003E0486" w:rsidP="003E0486">
      <w:pPr>
        <w:spacing w:before="120" w:after="120" w:line="360" w:lineRule="auto"/>
        <w:ind w:left="850" w:hanging="850"/>
        <w:rPr>
          <w:b/>
          <w:szCs w:val="24"/>
          <w:lang w:eastAsia="en-US"/>
        </w:rPr>
      </w:pPr>
      <w:r w:rsidRPr="003E0486">
        <w:rPr>
          <w:szCs w:val="24"/>
          <w:lang w:eastAsia="en-US"/>
        </w:rPr>
        <w:t>(64)</w:t>
      </w:r>
      <w:r w:rsidRPr="003E0486">
        <w:rPr>
          <w:szCs w:val="24"/>
          <w:lang w:eastAsia="en-US"/>
        </w:rPr>
        <w:tab/>
        <w:t xml:space="preserve">"krise": en </w:t>
      </w:r>
      <w:r w:rsidRPr="003E0486">
        <w:rPr>
          <w:b/>
          <w:i/>
          <w:szCs w:val="24"/>
          <w:lang w:eastAsia="en-US"/>
        </w:rPr>
        <w:t xml:space="preserve">natur- eller menneskeskabt </w:t>
      </w:r>
      <w:r w:rsidRPr="003E0486">
        <w:rPr>
          <w:szCs w:val="24"/>
          <w:lang w:eastAsia="en-US"/>
        </w:rPr>
        <w:t xml:space="preserve">begivenhed </w:t>
      </w:r>
      <w:r w:rsidRPr="003E0486">
        <w:rPr>
          <w:strike/>
          <w:szCs w:val="24"/>
          <w:lang w:eastAsia="en-US"/>
        </w:rPr>
        <w:t>eller en situation, der pludselig</w:t>
      </w:r>
      <w:r w:rsidRPr="003E0486">
        <w:rPr>
          <w:b/>
          <w:i/>
          <w:szCs w:val="24"/>
          <w:lang w:eastAsia="en-US"/>
        </w:rPr>
        <w:t>af ekstraordinær karakter og ekstraordinært omfang, der finder sted i eller uden for Unionen, og som</w:t>
      </w:r>
      <w:r w:rsidRPr="003E0486">
        <w:rPr>
          <w:szCs w:val="24"/>
          <w:lang w:eastAsia="en-US"/>
        </w:rPr>
        <w:t xml:space="preserve"> bringer borgernes, de økonomiske operatørers og toldmyndighedernes personales sikkerhed, sundhed og liv i fare, og som kræver hasteforanstaltninger med hensyn til indpassage, udpassage eller transit af varer.</w:t>
      </w:r>
      <w:r w:rsidR="003038CF">
        <w:rPr>
          <w:b/>
          <w:szCs w:val="24"/>
          <w:lang w:eastAsia="en-US"/>
        </w:rPr>
        <w:t xml:space="preserve"> [Ændring 65]</w:t>
      </w:r>
    </w:p>
    <w:p w14:paraId="7FACAEFB" w14:textId="0319BDD5"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64a)</w:t>
      </w:r>
      <w:r w:rsidR="003E0486" w:rsidRPr="003E0486">
        <w:rPr>
          <w:szCs w:val="24"/>
          <w:lang w:eastAsia="en-US"/>
        </w:rPr>
        <w:tab/>
      </w:r>
      <w:r w:rsidR="003E0486" w:rsidRPr="003E0486">
        <w:rPr>
          <w:b/>
          <w:i/>
          <w:szCs w:val="24"/>
          <w:lang w:eastAsia="en-US"/>
        </w:rPr>
        <w:t>"kriseresponscelle": et kontaktpunkt inden for EU-Toldmyndigheden, der koordinerer EU's kriseindsats inden for toldunionen</w:t>
      </w:r>
      <w:r w:rsidR="003038CF">
        <w:rPr>
          <w:b/>
          <w:szCs w:val="24"/>
          <w:lang w:eastAsia="en-US"/>
        </w:rPr>
        <w:t xml:space="preserve"> [Ændring 66]</w:t>
      </w:r>
    </w:p>
    <w:p w14:paraId="1EC1BFFC" w14:textId="0D944FCD"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64b)</w:t>
      </w:r>
      <w:r w:rsidR="003E0486" w:rsidRPr="003E0486">
        <w:rPr>
          <w:szCs w:val="24"/>
          <w:lang w:eastAsia="en-US"/>
        </w:rPr>
        <w:tab/>
      </w:r>
      <w:r w:rsidR="003E0486" w:rsidRPr="003E0486">
        <w:rPr>
          <w:b/>
          <w:i/>
          <w:szCs w:val="24"/>
          <w:lang w:eastAsia="en-US"/>
        </w:rPr>
        <w:t>"mikrovirksomheder og små og mellemstore virksomheder" eller "SMV'er": mikrovirksomheder og små og mellemstore virksomheder som defineret i artikel 2 i Kommissionens henstilling 2003/361/EF</w:t>
      </w:r>
      <w:r w:rsidR="003038CF">
        <w:rPr>
          <w:b/>
          <w:szCs w:val="24"/>
          <w:lang w:eastAsia="en-US"/>
        </w:rPr>
        <w:t xml:space="preserve"> [Ændring 67]</w:t>
      </w:r>
    </w:p>
    <w:p w14:paraId="06C6D9DE" w14:textId="77777777" w:rsidR="0086607F" w:rsidRDefault="0086607F">
      <w:pPr>
        <w:widowControl/>
        <w:rPr>
          <w:b/>
          <w:i/>
          <w:szCs w:val="24"/>
          <w:lang w:eastAsia="en-US"/>
        </w:rPr>
      </w:pPr>
      <w:r>
        <w:rPr>
          <w:b/>
          <w:i/>
          <w:szCs w:val="24"/>
          <w:lang w:eastAsia="en-US"/>
        </w:rPr>
        <w:br w:type="page"/>
      </w:r>
    </w:p>
    <w:p w14:paraId="09EEE737" w14:textId="0DC62087" w:rsidR="003E0486" w:rsidRPr="003038CF" w:rsidRDefault="005125BD" w:rsidP="003E0486">
      <w:pPr>
        <w:spacing w:before="120" w:after="120" w:line="360" w:lineRule="auto"/>
        <w:ind w:left="850" w:hanging="850"/>
        <w:rPr>
          <w:b/>
          <w:szCs w:val="24"/>
          <w:lang w:eastAsia="en-US"/>
        </w:rPr>
      </w:pPr>
      <w:r>
        <w:rPr>
          <w:b/>
          <w:i/>
          <w:szCs w:val="24"/>
          <w:lang w:eastAsia="en-US"/>
        </w:rPr>
        <w:lastRenderedPageBreak/>
        <w:t>(</w:t>
      </w:r>
      <w:r w:rsidR="003E0486" w:rsidRPr="003E0486">
        <w:rPr>
          <w:b/>
          <w:i/>
          <w:szCs w:val="24"/>
          <w:lang w:eastAsia="en-US"/>
        </w:rPr>
        <w:t>64c)</w:t>
      </w:r>
      <w:r w:rsidR="003E0486" w:rsidRPr="003E0486">
        <w:rPr>
          <w:szCs w:val="24"/>
          <w:lang w:eastAsia="en-US"/>
        </w:rPr>
        <w:tab/>
      </w:r>
      <w:r w:rsidR="003E0486" w:rsidRPr="003E0486">
        <w:rPr>
          <w:b/>
          <w:i/>
          <w:szCs w:val="24"/>
          <w:lang w:eastAsia="en-US"/>
        </w:rPr>
        <w:t>"andre gebyrer": gebyrer, der opkræves ud over told, moms, toldformalitetsgebyrer og kurérgebyrer</w:t>
      </w:r>
      <w:r w:rsidR="003038CF">
        <w:rPr>
          <w:b/>
          <w:szCs w:val="24"/>
          <w:lang w:eastAsia="en-US"/>
        </w:rPr>
        <w:t xml:space="preserve"> [Ændring 68]</w:t>
      </w:r>
    </w:p>
    <w:p w14:paraId="2D28D317" w14:textId="20E67D80"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64d)</w:t>
      </w:r>
      <w:r w:rsidR="003E0486" w:rsidRPr="003E0486">
        <w:rPr>
          <w:szCs w:val="24"/>
          <w:lang w:eastAsia="en-US"/>
        </w:rPr>
        <w:tab/>
      </w:r>
      <w:r w:rsidR="003E0486" w:rsidRPr="003E0486">
        <w:rPr>
          <w:b/>
          <w:i/>
          <w:szCs w:val="24"/>
          <w:lang w:eastAsia="en-US"/>
        </w:rPr>
        <w:t>"slutkunde": fysisk eller juridisk person, der er bosiddende eller etableret i Unionen, og for hvem et produkt er blevet stillet til rådighed af en sælger eller en markedsplads</w:t>
      </w:r>
      <w:r w:rsidR="003038CF">
        <w:rPr>
          <w:b/>
          <w:szCs w:val="24"/>
          <w:lang w:eastAsia="en-US"/>
        </w:rPr>
        <w:t xml:space="preserve"> [Ændring 69]</w:t>
      </w:r>
    </w:p>
    <w:p w14:paraId="1236F658" w14:textId="12E94709"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64e)</w:t>
      </w:r>
      <w:r w:rsidR="003E0486" w:rsidRPr="003E0486">
        <w:rPr>
          <w:szCs w:val="24"/>
          <w:lang w:eastAsia="en-US"/>
        </w:rPr>
        <w:tab/>
      </w:r>
      <w:r w:rsidR="003E0486" w:rsidRPr="003E0486">
        <w:rPr>
          <w:b/>
          <w:i/>
          <w:szCs w:val="24"/>
          <w:lang w:eastAsia="en-US"/>
        </w:rPr>
        <w:t>"nationalt kvikskrankemiljø på toldområdet": et sæt elektroniske tjenester, som en medlemsstat etablerer for at sætte dens toldmyndighed, de kompetente partnermyndigheder og økonomiske operatører i stand til at udveksle oplysninger med hinanden</w:t>
      </w:r>
      <w:r w:rsidR="003038CF">
        <w:rPr>
          <w:b/>
          <w:szCs w:val="24"/>
          <w:lang w:eastAsia="en-US"/>
        </w:rPr>
        <w:t xml:space="preserve"> [Ændring 70]</w:t>
      </w:r>
    </w:p>
    <w:p w14:paraId="61955167" w14:textId="21A3D616"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64f)</w:t>
      </w:r>
      <w:r w:rsidR="003E0486" w:rsidRPr="003E0486">
        <w:rPr>
          <w:szCs w:val="24"/>
          <w:lang w:eastAsia="en-US"/>
        </w:rPr>
        <w:tab/>
      </w:r>
      <w:r w:rsidR="003E0486" w:rsidRPr="003E0486">
        <w:rPr>
          <w:b/>
          <w:i/>
          <w:szCs w:val="24"/>
          <w:lang w:eastAsia="en-US"/>
        </w:rPr>
        <w:t>"kompetent partnermyndighed": enhver medlemsstatsmyndighed eller Kommissionen, der er bemyndiget til at udføre en bestemt funktion i forbindelse med opfyldelsen af relevante ikketoldrelaterede EU-formaliteter</w:t>
      </w:r>
      <w:r w:rsidR="003038CF">
        <w:rPr>
          <w:b/>
          <w:szCs w:val="24"/>
          <w:lang w:eastAsia="en-US"/>
        </w:rPr>
        <w:t xml:space="preserve"> [Ændring 71]</w:t>
      </w:r>
    </w:p>
    <w:p w14:paraId="3860C88A" w14:textId="077B4CF9"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64g)</w:t>
      </w:r>
      <w:r w:rsidR="003E0486" w:rsidRPr="003E0486">
        <w:rPr>
          <w:szCs w:val="24"/>
          <w:lang w:eastAsia="en-US"/>
        </w:rPr>
        <w:tab/>
      </w:r>
      <w:r w:rsidR="003E0486" w:rsidRPr="003E0486">
        <w:rPr>
          <w:b/>
          <w:i/>
          <w:szCs w:val="24"/>
          <w:lang w:eastAsia="en-US"/>
        </w:rPr>
        <w:t>"ikketoldrelateret EU-formalitet": alle de transaktioner, som skal udføres af en økonomisk operatør eller af en kompetent partnermyndighed for internationale varebevægelser, som fastsat i anden EU-lovgivning end toldlovgivningen</w:t>
      </w:r>
      <w:r w:rsidR="003038CF">
        <w:rPr>
          <w:b/>
          <w:szCs w:val="24"/>
          <w:lang w:eastAsia="en-US"/>
        </w:rPr>
        <w:t xml:space="preserve"> [Ændring 72]</w:t>
      </w:r>
    </w:p>
    <w:p w14:paraId="53A824C8" w14:textId="77777777" w:rsidR="0086607F" w:rsidRDefault="0086607F">
      <w:pPr>
        <w:widowControl/>
        <w:rPr>
          <w:b/>
          <w:i/>
          <w:szCs w:val="24"/>
          <w:lang w:eastAsia="en-US"/>
        </w:rPr>
      </w:pPr>
      <w:r>
        <w:rPr>
          <w:b/>
          <w:i/>
          <w:szCs w:val="24"/>
          <w:lang w:eastAsia="en-US"/>
        </w:rPr>
        <w:br w:type="page"/>
      </w:r>
    </w:p>
    <w:p w14:paraId="73FA3417" w14:textId="20E0D625" w:rsidR="003E0486" w:rsidRPr="003038CF" w:rsidRDefault="005125BD" w:rsidP="003E0486">
      <w:pPr>
        <w:spacing w:before="120" w:after="120" w:line="360" w:lineRule="auto"/>
        <w:ind w:left="850" w:hanging="850"/>
        <w:rPr>
          <w:b/>
          <w:szCs w:val="24"/>
          <w:lang w:eastAsia="en-US"/>
        </w:rPr>
      </w:pPr>
      <w:r>
        <w:rPr>
          <w:b/>
          <w:i/>
          <w:szCs w:val="24"/>
          <w:lang w:eastAsia="en-US"/>
        </w:rPr>
        <w:lastRenderedPageBreak/>
        <w:t>(</w:t>
      </w:r>
      <w:r w:rsidR="003E0486" w:rsidRPr="003E0486">
        <w:rPr>
          <w:b/>
          <w:i/>
          <w:szCs w:val="24"/>
          <w:lang w:eastAsia="en-US"/>
        </w:rPr>
        <w:t>64h)</w:t>
      </w:r>
      <w:r w:rsidR="003E0486" w:rsidRPr="003E0486">
        <w:rPr>
          <w:szCs w:val="24"/>
          <w:lang w:eastAsia="en-US"/>
        </w:rPr>
        <w:tab/>
      </w:r>
      <w:r w:rsidR="003E0486" w:rsidRPr="003E0486">
        <w:rPr>
          <w:b/>
          <w:i/>
          <w:szCs w:val="24"/>
          <w:lang w:eastAsia="en-US"/>
        </w:rPr>
        <w:t>"ikketoldrelateret dokumentation": ethvert påkrævet dokument udstedt af en kompetent partnermyndighed eller udarbejdet af en økonomisk operatør eller enhver påkrævet oplysning leveret af en økonomisk operatør for at bekræfte, at ikketoldrelaterede EU-formaliteter er opfyldt</w:t>
      </w:r>
      <w:r w:rsidR="003038CF">
        <w:rPr>
          <w:b/>
          <w:szCs w:val="24"/>
          <w:lang w:eastAsia="en-US"/>
        </w:rPr>
        <w:t xml:space="preserve"> [Ændring 73]</w:t>
      </w:r>
    </w:p>
    <w:p w14:paraId="60AD4E04" w14:textId="0DBDC2FF"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64i)</w:t>
      </w:r>
      <w:r w:rsidR="003E0486" w:rsidRPr="003E0486">
        <w:rPr>
          <w:szCs w:val="24"/>
          <w:lang w:eastAsia="en-US"/>
        </w:rPr>
        <w:tab/>
      </w:r>
      <w:r w:rsidR="003E0486" w:rsidRPr="003E0486">
        <w:rPr>
          <w:b/>
          <w:i/>
          <w:szCs w:val="24"/>
          <w:lang w:eastAsia="en-US"/>
        </w:rPr>
        <w:t>"mængdemæssig forvaltning": overvågning og forvaltning af den mængde varer, der er godkendt af de kompetente partnermyndigheder i overensstemmelse med anden EU-lovgivning end toldlovgivningen ud fra oplysninger fra toldmyndighederne</w:t>
      </w:r>
      <w:r w:rsidR="003038CF">
        <w:rPr>
          <w:b/>
          <w:szCs w:val="24"/>
          <w:lang w:eastAsia="en-US"/>
        </w:rPr>
        <w:t xml:space="preserve"> [Ændring 74]</w:t>
      </w:r>
    </w:p>
    <w:p w14:paraId="7396CC70" w14:textId="6E6B63F3"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64j)</w:t>
      </w:r>
      <w:r w:rsidR="003E0486" w:rsidRPr="003E0486">
        <w:rPr>
          <w:szCs w:val="24"/>
          <w:lang w:eastAsia="en-US"/>
        </w:rPr>
        <w:tab/>
      </w:r>
      <w:r w:rsidR="003E0486" w:rsidRPr="003E0486">
        <w:rPr>
          <w:b/>
          <w:i/>
          <w:szCs w:val="24"/>
          <w:lang w:eastAsia="en-US"/>
        </w:rPr>
        <w:t>"ikketoldrelateret EU-system": et elektronisk EU-system, der er oprettet af, anvendes med henblik på at nå målene i eller henvises til i EU-lovgivningen med henblik på at lagre oplysninger om opfyldelsen af den respektive ikketoldrelaterede EU-formalitet</w:t>
      </w:r>
      <w:r w:rsidR="003038CF">
        <w:rPr>
          <w:b/>
          <w:szCs w:val="24"/>
          <w:lang w:eastAsia="en-US"/>
        </w:rPr>
        <w:t xml:space="preserve"> [Ændring 75]</w:t>
      </w:r>
    </w:p>
    <w:p w14:paraId="7B2DCE7C" w14:textId="3D64BA0C" w:rsidR="003E0486" w:rsidRPr="003038CF" w:rsidRDefault="005125BD"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64k)</w:t>
      </w:r>
      <w:r w:rsidR="003E0486" w:rsidRPr="003E0486">
        <w:rPr>
          <w:szCs w:val="24"/>
          <w:lang w:eastAsia="en-US"/>
        </w:rPr>
        <w:tab/>
      </w:r>
      <w:r w:rsidR="003E0486" w:rsidRPr="003E0486">
        <w:rPr>
          <w:b/>
          <w:i/>
          <w:szCs w:val="24"/>
          <w:lang w:eastAsia="en-US"/>
        </w:rPr>
        <w:t>"økonomiske operatørers registrerings- og identifikationsnummer (EORI-nummer)": økonomiske operatørers registrerings- og identifikationsnummer (EORI-nummer) som defineret i artikel 1, nr. 18), i Kommissionens delegerede forordning (EU) 2015/2446</w:t>
      </w:r>
      <w:r w:rsidR="003E0486" w:rsidRPr="003E0486">
        <w:rPr>
          <w:szCs w:val="24"/>
          <w:vertAlign w:val="superscript"/>
          <w:lang w:val="en-GB" w:eastAsia="en-US"/>
        </w:rPr>
        <w:footnoteReference w:id="34"/>
      </w:r>
      <w:r w:rsidR="003038CF">
        <w:rPr>
          <w:b/>
          <w:i/>
          <w:szCs w:val="24"/>
          <w:lang w:eastAsia="en-US"/>
        </w:rPr>
        <w:t>.</w:t>
      </w:r>
      <w:r w:rsidR="003038CF">
        <w:rPr>
          <w:b/>
          <w:szCs w:val="24"/>
          <w:lang w:eastAsia="en-US"/>
        </w:rPr>
        <w:t xml:space="preserve"> [Ændring 76]</w:t>
      </w:r>
    </w:p>
    <w:p w14:paraId="028F2685" w14:textId="77777777" w:rsidR="0086607F" w:rsidRDefault="0086607F">
      <w:pPr>
        <w:widowControl/>
        <w:rPr>
          <w:szCs w:val="24"/>
          <w:lang w:eastAsia="en-US"/>
        </w:rPr>
      </w:pPr>
      <w:r>
        <w:rPr>
          <w:szCs w:val="24"/>
          <w:lang w:eastAsia="en-US"/>
        </w:rPr>
        <w:br w:type="page"/>
      </w:r>
    </w:p>
    <w:p w14:paraId="2757572C" w14:textId="7497E73E"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Afgørelser om anvendelse af toldlovgivningen</w:t>
      </w:r>
    </w:p>
    <w:p w14:paraId="5CB7EAA8"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Generelle principper</w:t>
      </w:r>
    </w:p>
    <w:p w14:paraId="16B2074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w:t>
      </w:r>
      <w:r w:rsidRPr="003E0486">
        <w:rPr>
          <w:szCs w:val="24"/>
          <w:lang w:eastAsia="en-US"/>
        </w:rPr>
        <w:br/>
        <w:t>Afgørelser truffet efter ansøgning</w:t>
      </w:r>
    </w:p>
    <w:p w14:paraId="46CEC7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en person ansøger om en afgørelse i forbindelse med anvendelsen af toldlovgivningen, skal den pågældende fremlægge alle de oplysninger, der er nødvendige for, at de kompetente toldmyndigheder kan træffe denne afgørelse.</w:t>
      </w:r>
    </w:p>
    <w:p w14:paraId="05C47743" w14:textId="77777777" w:rsidR="003E0486" w:rsidRPr="003E0486" w:rsidRDefault="003E0486" w:rsidP="003E0486">
      <w:pPr>
        <w:spacing w:before="120" w:after="120" w:line="360" w:lineRule="auto"/>
        <w:ind w:left="850"/>
        <w:rPr>
          <w:szCs w:val="24"/>
          <w:lang w:eastAsia="en-US"/>
        </w:rPr>
      </w:pPr>
      <w:r w:rsidRPr="003E0486">
        <w:rPr>
          <w:szCs w:val="24"/>
          <w:lang w:eastAsia="en-US"/>
        </w:rPr>
        <w:t>Flere personer kan også ansøge om en afgørelse, og en afgørelse kan træffes vedrørende flere personer, på de betingelser, der er fastsat i toldlovgivningen.</w:t>
      </w:r>
    </w:p>
    <w:p w14:paraId="5D200BB2" w14:textId="77777777" w:rsidR="003E0486" w:rsidRPr="003E0486" w:rsidRDefault="003E0486" w:rsidP="003E0486">
      <w:pPr>
        <w:spacing w:before="120" w:after="120" w:line="360" w:lineRule="auto"/>
        <w:ind w:left="850"/>
        <w:rPr>
          <w:szCs w:val="24"/>
          <w:lang w:eastAsia="en-US"/>
        </w:rPr>
      </w:pPr>
      <w:r w:rsidRPr="003E0486">
        <w:rPr>
          <w:szCs w:val="24"/>
          <w:lang w:eastAsia="en-US"/>
        </w:rPr>
        <w:t>Medmindre andet er fastsat, er den kompetente toldmyndighed toldmyndigheden på det sted, hvor ansøgeren er etableret.</w:t>
      </w:r>
    </w:p>
    <w:p w14:paraId="316D9B02" w14:textId="3CC40DCE" w:rsidR="003E0486" w:rsidRPr="003038CF"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Toldmyndighederne verificerer hurtigst muligt og senest </w:t>
      </w:r>
      <w:r w:rsidRPr="003E0486">
        <w:rPr>
          <w:strike/>
          <w:szCs w:val="24"/>
          <w:lang w:eastAsia="en-US"/>
        </w:rPr>
        <w:t>30</w:t>
      </w:r>
      <w:r w:rsidRPr="003E0486">
        <w:rPr>
          <w:b/>
          <w:i/>
          <w:szCs w:val="24"/>
          <w:lang w:eastAsia="en-US"/>
        </w:rPr>
        <w:t>14</w:t>
      </w:r>
      <w:r w:rsidRPr="003E0486">
        <w:rPr>
          <w:szCs w:val="24"/>
          <w:lang w:eastAsia="en-US"/>
        </w:rPr>
        <w:t xml:space="preserve"> kalenderdage efter modtagelsen af ansøgningen om en afgørelse, om betingelserne for antagelse af den pågældende ansøgning er opfyldt.</w:t>
      </w:r>
      <w:r w:rsidR="003038CF">
        <w:rPr>
          <w:b/>
          <w:szCs w:val="24"/>
          <w:lang w:eastAsia="en-US"/>
        </w:rPr>
        <w:t xml:space="preserve"> [Ændring 77]</w:t>
      </w:r>
    </w:p>
    <w:p w14:paraId="58E0161C" w14:textId="77777777" w:rsidR="0086607F" w:rsidRDefault="0086607F">
      <w:pPr>
        <w:widowControl/>
        <w:rPr>
          <w:szCs w:val="24"/>
          <w:lang w:eastAsia="en-US"/>
        </w:rPr>
      </w:pPr>
      <w:r>
        <w:rPr>
          <w:szCs w:val="24"/>
          <w:lang w:eastAsia="en-US"/>
        </w:rPr>
        <w:br w:type="page"/>
      </w:r>
    </w:p>
    <w:p w14:paraId="54E0726B" w14:textId="48C56C7F" w:rsidR="003E0486" w:rsidRPr="003E0486" w:rsidRDefault="003E0486" w:rsidP="003E0486">
      <w:pPr>
        <w:spacing w:before="120" w:after="120" w:line="360" w:lineRule="auto"/>
        <w:ind w:left="850"/>
        <w:rPr>
          <w:szCs w:val="24"/>
          <w:lang w:eastAsia="en-US"/>
        </w:rPr>
      </w:pPr>
      <w:r w:rsidRPr="003E0486">
        <w:rPr>
          <w:szCs w:val="24"/>
          <w:lang w:eastAsia="en-US"/>
        </w:rPr>
        <w:lastRenderedPageBreak/>
        <w:t>Såfremt toldmyndighederne fastslår, at ansøgningen indeholder alle de oplysninger, der er nødvendige, for at de kan træffe afgørelse, meddeler de inden for den i første afsnit angivne frist ansøgeren, at ansøgningen er antaget.</w:t>
      </w:r>
    </w:p>
    <w:p w14:paraId="2FD2218A" w14:textId="2558C6E9" w:rsidR="00F86C08" w:rsidRPr="003038CF" w:rsidRDefault="00F86C08" w:rsidP="003740C4">
      <w:pPr>
        <w:spacing w:before="120" w:after="120" w:line="360" w:lineRule="auto"/>
        <w:ind w:left="850" w:firstLine="1"/>
        <w:rPr>
          <w:b/>
          <w:szCs w:val="24"/>
          <w:lang w:eastAsia="en-US"/>
        </w:rPr>
      </w:pPr>
      <w:r w:rsidRPr="003E0486">
        <w:rPr>
          <w:b/>
          <w:i/>
          <w:szCs w:val="24"/>
          <w:lang w:eastAsia="en-US"/>
        </w:rPr>
        <w:t>Hvis toldmyndighederne har brug for yderligere oplysninger fra andre relevante kompetente nationale eller internationale myndigheder for at vurdere ansøgningen, underretter de ansøgeren herom og ajourfører dem inden for 15 kalenderdage om deres afgørelse.</w:t>
      </w:r>
      <w:r>
        <w:rPr>
          <w:b/>
          <w:szCs w:val="24"/>
          <w:lang w:eastAsia="en-US"/>
        </w:rPr>
        <w:t xml:space="preserve"> [Ændring 78]</w:t>
      </w:r>
    </w:p>
    <w:p w14:paraId="257E8951" w14:textId="68895BEC" w:rsidR="003E0486" w:rsidRPr="003038CF" w:rsidRDefault="003E0486" w:rsidP="003E0486">
      <w:pPr>
        <w:spacing w:before="120" w:after="120" w:line="360" w:lineRule="auto"/>
        <w:ind w:left="850"/>
        <w:rPr>
          <w:b/>
          <w:szCs w:val="24"/>
          <w:lang w:eastAsia="en-US"/>
        </w:rPr>
      </w:pPr>
      <w:r w:rsidRPr="003E0486">
        <w:rPr>
          <w:szCs w:val="24"/>
          <w:lang w:eastAsia="en-US"/>
        </w:rPr>
        <w:t xml:space="preserve">Konstaterer toldmyndighederne, at ansøgningen ikke indeholder alle nødvendige oplysninger, anmoder de ansøgeren om at forelægge de yderligere oplysninger, som er relevante, inden for en rimelig frist, som ikke må overstige 30 dage. Selv om toldmyndighederne har anmodet ansøgeren om yderligere oplysninger, træffer de inden for en frist på højst 60 kalenderdage fra datoen for den første ansøgning afgørelse om, hvorvidt ansøgningen er fuldstændig og kan antages, eller om den er ufuldstændig og afvises. Hvis toldmyndighederne ikke inden for denne frist udtrykkeligt giver ansøgeren underretning om, </w:t>
      </w:r>
      <w:r w:rsidRPr="003E0486">
        <w:rPr>
          <w:strike/>
          <w:szCs w:val="24"/>
          <w:lang w:eastAsia="en-US"/>
        </w:rPr>
        <w:t>hvorvidt</w:t>
      </w:r>
      <w:r w:rsidRPr="003E0486">
        <w:rPr>
          <w:b/>
          <w:i/>
          <w:szCs w:val="24"/>
          <w:lang w:eastAsia="en-US"/>
        </w:rPr>
        <w:t>at</w:t>
      </w:r>
      <w:r w:rsidRPr="003E0486">
        <w:rPr>
          <w:szCs w:val="24"/>
          <w:lang w:eastAsia="en-US"/>
        </w:rPr>
        <w:t xml:space="preserve"> ansøgningen</w:t>
      </w:r>
      <w:r w:rsidRPr="003E0486">
        <w:rPr>
          <w:b/>
          <w:i/>
          <w:szCs w:val="24"/>
          <w:lang w:eastAsia="en-US"/>
        </w:rPr>
        <w:t xml:space="preserve"> er fuldstændig og</w:t>
      </w:r>
      <w:r w:rsidRPr="003E0486">
        <w:rPr>
          <w:szCs w:val="24"/>
          <w:lang w:eastAsia="en-US"/>
        </w:rPr>
        <w:t xml:space="preserve"> er blevet antaget, anses ansøgningen for at være antaget ved udløbet af de 60 kalenderdage.</w:t>
      </w:r>
      <w:r w:rsidR="003038CF">
        <w:rPr>
          <w:b/>
          <w:szCs w:val="24"/>
          <w:lang w:eastAsia="en-US"/>
        </w:rPr>
        <w:t xml:space="preserve"> [Ændring 79]</w:t>
      </w:r>
    </w:p>
    <w:p w14:paraId="1C04B1F1" w14:textId="77777777" w:rsidR="0086607F" w:rsidRDefault="0086607F">
      <w:pPr>
        <w:widowControl/>
        <w:rPr>
          <w:szCs w:val="24"/>
          <w:lang w:eastAsia="en-US"/>
        </w:rPr>
      </w:pPr>
      <w:r>
        <w:rPr>
          <w:szCs w:val="24"/>
          <w:lang w:eastAsia="en-US"/>
        </w:rPr>
        <w:br w:type="page"/>
      </w:r>
    </w:p>
    <w:p w14:paraId="0266A6EC" w14:textId="324B0325" w:rsidR="003E0486" w:rsidRPr="003038CF" w:rsidRDefault="003E0486" w:rsidP="003E0486">
      <w:pPr>
        <w:spacing w:before="120" w:after="120" w:line="360" w:lineRule="auto"/>
        <w:ind w:left="850" w:hanging="850"/>
        <w:rPr>
          <w:b/>
          <w:szCs w:val="24"/>
          <w:lang w:eastAsia="en-US"/>
        </w:rPr>
      </w:pPr>
      <w:r w:rsidRPr="003E0486">
        <w:rPr>
          <w:szCs w:val="24"/>
          <w:lang w:eastAsia="en-US"/>
        </w:rPr>
        <w:lastRenderedPageBreak/>
        <w:t>3.</w:t>
      </w:r>
      <w:r w:rsidRPr="003E0486">
        <w:rPr>
          <w:szCs w:val="24"/>
          <w:lang w:eastAsia="en-US"/>
        </w:rPr>
        <w:tab/>
        <w:t xml:space="preserve">Medmindre andet er fastsat, skal de kompetente toldmyndigheder træffe afgørelse som nævnt i stk. 1 senest </w:t>
      </w:r>
      <w:r w:rsidRPr="003E0486">
        <w:rPr>
          <w:strike/>
          <w:szCs w:val="24"/>
          <w:lang w:eastAsia="en-US"/>
        </w:rPr>
        <w:t>120</w:t>
      </w:r>
      <w:r w:rsidRPr="003E0486">
        <w:rPr>
          <w:b/>
          <w:i/>
          <w:szCs w:val="24"/>
          <w:lang w:eastAsia="en-US"/>
        </w:rPr>
        <w:t>90</w:t>
      </w:r>
      <w:r w:rsidRPr="003E0486">
        <w:rPr>
          <w:szCs w:val="24"/>
          <w:lang w:eastAsia="en-US"/>
        </w:rPr>
        <w:t xml:space="preserve"> kalenderdage efter den dato, hvor ansøgningen blev antaget, og underrette ansøgeren herom hurtigst muligt.</w:t>
      </w:r>
      <w:r w:rsidR="003038CF">
        <w:rPr>
          <w:b/>
          <w:szCs w:val="24"/>
          <w:lang w:eastAsia="en-US"/>
        </w:rPr>
        <w:t xml:space="preserve"> [Ændring 80]</w:t>
      </w:r>
    </w:p>
    <w:p w14:paraId="371E4B94" w14:textId="77777777" w:rsidR="003E0486" w:rsidRPr="003E0486" w:rsidRDefault="003E0486" w:rsidP="003E0486">
      <w:pPr>
        <w:spacing w:before="120" w:after="120" w:line="360" w:lineRule="auto"/>
        <w:ind w:left="850"/>
        <w:rPr>
          <w:szCs w:val="24"/>
          <w:lang w:eastAsia="en-US"/>
        </w:rPr>
      </w:pPr>
      <w:r w:rsidRPr="003E0486">
        <w:rPr>
          <w:szCs w:val="24"/>
          <w:lang w:eastAsia="en-US"/>
        </w:rPr>
        <w:t>Hvis det ikke er muligt for toldmyndighederne at overholde fristen for at træffe afgørelse, skal de underrette ansøgeren herom inden fristens udløb og angive årsagerne hertil samt oplyse, hvilken ny frist de skønner nødvendig for at træffe afgørelse. Medmindre andet er fastsat, må denne nye frist ikke overstige 30 kalenderdage.</w:t>
      </w:r>
    </w:p>
    <w:p w14:paraId="20464E2D" w14:textId="77777777" w:rsidR="003E0486" w:rsidRPr="003E0486" w:rsidRDefault="003E0486" w:rsidP="003E0486">
      <w:pPr>
        <w:spacing w:before="120" w:after="120" w:line="360" w:lineRule="auto"/>
        <w:ind w:left="850"/>
        <w:rPr>
          <w:szCs w:val="24"/>
          <w:lang w:eastAsia="en-US"/>
        </w:rPr>
      </w:pPr>
      <w:r w:rsidRPr="003E0486">
        <w:rPr>
          <w:szCs w:val="24"/>
          <w:lang w:eastAsia="en-US"/>
        </w:rPr>
        <w:t>Toldmyndighederne kan, uden at det berører andet afsnit, forlænge fristen for at træffe afgørelse, som fastsat i toldlovgivningen, når ansøgeren anmoder om en forlængelse for at kunne foretage justeringer med henblik på at sørge for at opfylde betingelserne og kriterierne for at opnå en positiv afgørelse. Disse justeringer og den nye frist, der er nødvendig for at foretage justeringerne, meddeles toldmyndighederne, som træffer afgørelse om forlængelsen.</w:t>
      </w:r>
    </w:p>
    <w:p w14:paraId="14156198" w14:textId="77777777" w:rsidR="0086607F" w:rsidRDefault="0086607F">
      <w:pPr>
        <w:widowControl/>
        <w:rPr>
          <w:szCs w:val="24"/>
          <w:lang w:eastAsia="en-US"/>
        </w:rPr>
      </w:pPr>
      <w:r>
        <w:rPr>
          <w:szCs w:val="24"/>
          <w:lang w:eastAsia="en-US"/>
        </w:rPr>
        <w:br w:type="page"/>
      </w:r>
    </w:p>
    <w:p w14:paraId="4431E3EC" w14:textId="353F7095" w:rsidR="003E0486" w:rsidRPr="003038CF" w:rsidRDefault="003E0486" w:rsidP="003E0486">
      <w:pPr>
        <w:spacing w:before="120" w:after="120" w:line="360" w:lineRule="auto"/>
        <w:ind w:left="850"/>
        <w:rPr>
          <w:b/>
          <w:szCs w:val="24"/>
          <w:lang w:eastAsia="en-US"/>
        </w:rPr>
      </w:pPr>
      <w:r w:rsidRPr="003E0486">
        <w:rPr>
          <w:szCs w:val="24"/>
          <w:lang w:eastAsia="en-US"/>
        </w:rPr>
        <w:lastRenderedPageBreak/>
        <w:t>Hvis toldmyndighederne ikke træffer afgørelse inden for de frister, der er fastsat i første, andet og tredje afsnit, kan ansøgeren betragte det som et afslag på anmodningen, og pågældende har ret til at få prøvet en sådan negativ afgørelse. Ansøgeren kan også meddele EU-Toldmyndigheden, at toldmyndighederne ikke har truffet afgørelse inden for de relevante frister.</w:t>
      </w:r>
      <w:r w:rsidRPr="003E0486">
        <w:rPr>
          <w:b/>
          <w:i/>
          <w:szCs w:val="24"/>
          <w:lang w:eastAsia="en-US"/>
        </w:rPr>
        <w:t xml:space="preserve"> I sådanne tilfælde skal der modtages en automatisk meddelelse via EU's tolddatacenter.</w:t>
      </w:r>
      <w:r w:rsidR="003038CF">
        <w:rPr>
          <w:b/>
          <w:szCs w:val="24"/>
          <w:lang w:eastAsia="en-US"/>
        </w:rPr>
        <w:t xml:space="preserve"> [Ændring 81]</w:t>
      </w:r>
    </w:p>
    <w:p w14:paraId="4901AAD4" w14:textId="4A032A27" w:rsidR="003E0486" w:rsidRPr="003038CF" w:rsidRDefault="003E0486" w:rsidP="003E0486">
      <w:pPr>
        <w:spacing w:before="120" w:after="120" w:line="360" w:lineRule="auto"/>
        <w:ind w:left="850" w:hanging="850"/>
        <w:rPr>
          <w:b/>
          <w:szCs w:val="24"/>
          <w:lang w:eastAsia="en-US"/>
        </w:rPr>
      </w:pPr>
      <w:r w:rsidRPr="003E0486">
        <w:rPr>
          <w:szCs w:val="24"/>
          <w:lang w:eastAsia="en-US"/>
        </w:rPr>
        <w:tab/>
      </w:r>
      <w:r w:rsidRPr="003E0486">
        <w:rPr>
          <w:b/>
          <w:i/>
          <w:szCs w:val="24"/>
          <w:lang w:eastAsia="en-US"/>
        </w:rPr>
        <w:t>Kommissionen vedtager klare retningslinjer for processer for håndtering af beslutninger i tilfælde af tekniske fejl i EU's centraliserede infrastruktur for elektroniske systemer, navnlig EU's tolddatacenter.</w:t>
      </w:r>
      <w:r w:rsidR="003038CF">
        <w:rPr>
          <w:b/>
          <w:szCs w:val="24"/>
          <w:lang w:eastAsia="en-US"/>
        </w:rPr>
        <w:t xml:space="preserve"> [Ændring 82]</w:t>
      </w:r>
    </w:p>
    <w:p w14:paraId="6003558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Medmindre andet er fastsat i afgørelsen eller i toldlovgivningen, får afgørelsen virkning fra den dato, hvor ansøgeren modtager den eller må anses for at have modtaget den. Bortset fra de i artikel 17, stk. 2, omhandlede tilfælde kan de trufne afgørelser håndhæves af toldmyndighederne fra denne dato.</w:t>
      </w:r>
    </w:p>
    <w:p w14:paraId="7AF576C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Medmindre andet er fastsat i toldlovgivningen, er afgørelsen gyldig uden tidsbegrænsning.</w:t>
      </w:r>
    </w:p>
    <w:p w14:paraId="2730FD7A" w14:textId="77777777" w:rsidR="0086607F" w:rsidRDefault="0086607F">
      <w:pPr>
        <w:widowControl/>
        <w:rPr>
          <w:szCs w:val="24"/>
          <w:lang w:eastAsia="en-US"/>
        </w:rPr>
      </w:pPr>
      <w:r>
        <w:rPr>
          <w:szCs w:val="24"/>
          <w:lang w:eastAsia="en-US"/>
        </w:rPr>
        <w:br w:type="page"/>
      </w:r>
    </w:p>
    <w:p w14:paraId="35D9D255" w14:textId="134DB54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Inden toldmyndighederne træffer en afgørelse, som kan få negative følger for ansøgeren, skal de meddele ansøgeren de grunde, som de agter at basere deres afgørelse på, og denne skal have lejlighed til at udtale sig inden for en frist, der løber fra den dato, hvor den pågældende modtager eller må anses for at have modtaget meddelelsen ("retten til kontradiktion"). Efter udløbet af denne frist skal ansøgeren i en passende form underrettes om afgørelsen.</w:t>
      </w:r>
    </w:p>
    <w:p w14:paraId="0066E96A" w14:textId="77777777" w:rsidR="003E0486" w:rsidRPr="003E0486" w:rsidRDefault="003E0486" w:rsidP="003E0486">
      <w:pPr>
        <w:spacing w:before="120" w:after="120" w:line="360" w:lineRule="auto"/>
        <w:ind w:left="850"/>
        <w:rPr>
          <w:szCs w:val="24"/>
          <w:lang w:eastAsia="en-US"/>
        </w:rPr>
      </w:pPr>
      <w:r w:rsidRPr="003E0486">
        <w:rPr>
          <w:szCs w:val="24"/>
          <w:lang w:eastAsia="en-US"/>
        </w:rPr>
        <w:t>Første afsnit finder ikke anvendelse i følgende tilfælde:</w:t>
      </w:r>
    </w:p>
    <w:p w14:paraId="0715358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det drejer sig om en afgørelse vedrørende bindende oplysninger som omhandlet i artikel 13, stk. 1</w:t>
      </w:r>
    </w:p>
    <w:p w14:paraId="53B2D0A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omfattelse af et toldkontingent afvises, fordi den specificerede toldkontingentmængde er nået, jf. artikel 145, stk. 4, første afsnit</w:t>
      </w:r>
    </w:p>
    <w:p w14:paraId="0DFBC51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arten eller graden af en trussel mod Unionens og dens borgeres sikkerhed, mod folkesundheden eller dyre- eller plantesundheden, mod miljøet eller mod forbrugerne gør det nødvendigt</w:t>
      </w:r>
    </w:p>
    <w:p w14:paraId="4460DB97" w14:textId="77777777" w:rsidR="0086607F" w:rsidRDefault="0086607F">
      <w:pPr>
        <w:widowControl/>
        <w:rPr>
          <w:szCs w:val="24"/>
          <w:lang w:eastAsia="en-US"/>
        </w:rPr>
      </w:pPr>
      <w:r>
        <w:rPr>
          <w:szCs w:val="24"/>
          <w:lang w:eastAsia="en-US"/>
        </w:rPr>
        <w:br w:type="page"/>
      </w:r>
    </w:p>
    <w:p w14:paraId="0EC4EEE2" w14:textId="1D78F52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når formålet med afgørelsen er at sikre gennemførelsen af en anden afgørelse, som ansøgeren har fået mulighed for at udtale sig om, jf. dog den pågældende medlemsstats lov</w:t>
      </w:r>
    </w:p>
    <w:p w14:paraId="340CFA51" w14:textId="2A8512E9"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når det vil skade undersøgelser, der er iværksat med henblik på at bekæmpe svig</w:t>
      </w:r>
      <w:r w:rsidR="00D3001B" w:rsidRPr="003740C4">
        <w:rPr>
          <w:b/>
          <w:i/>
          <w:szCs w:val="24"/>
          <w:lang w:eastAsia="en-US"/>
        </w:rPr>
        <w:t>.</w:t>
      </w:r>
    </w:p>
    <w:p w14:paraId="70EBC153" w14:textId="4AABF941" w:rsidR="003E0486" w:rsidRPr="003038CF" w:rsidRDefault="003E0486" w:rsidP="003E0486">
      <w:pPr>
        <w:spacing w:before="120" w:after="120" w:line="360" w:lineRule="auto"/>
        <w:ind w:left="1416" w:hanging="566"/>
        <w:rPr>
          <w:b/>
          <w:szCs w:val="24"/>
          <w:lang w:eastAsia="en-US"/>
        </w:rPr>
      </w:pPr>
      <w:r w:rsidRPr="003E0486">
        <w:rPr>
          <w:strike/>
          <w:szCs w:val="24"/>
          <w:lang w:eastAsia="en-US"/>
        </w:rPr>
        <w:t>(f)</w:t>
      </w:r>
      <w:r w:rsidRPr="006527B6">
        <w:rPr>
          <w:strike/>
          <w:szCs w:val="24"/>
          <w:lang w:eastAsia="en-US"/>
        </w:rPr>
        <w:tab/>
      </w:r>
      <w:r w:rsidRPr="003E0486">
        <w:rPr>
          <w:strike/>
          <w:szCs w:val="24"/>
          <w:lang w:eastAsia="en-US"/>
        </w:rPr>
        <w:t>i andre specifikke tilfælde.</w:t>
      </w:r>
      <w:r w:rsidR="003038CF" w:rsidRPr="003038CF">
        <w:rPr>
          <w:b/>
          <w:szCs w:val="24"/>
          <w:lang w:eastAsia="en-US"/>
        </w:rPr>
        <w:t xml:space="preserve"> [Ændring 83]</w:t>
      </w:r>
    </w:p>
    <w:p w14:paraId="1F648D6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En afgørelse, som får negative følger for ansøgeren, skal indeholde angivelse af de grunde, afgørelsen bygger på, og henvisning til den i artikel 16 omhandlede prøvelsesadgang.</w:t>
      </w:r>
    </w:p>
    <w:p w14:paraId="6F928D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supplere denne forordning ved at fastsætte:</w:t>
      </w:r>
    </w:p>
    <w:p w14:paraId="644F223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undtagelserne i forbindelse med udpegelse af det kompetente toldsted som omhandlet i nærværende artikels stk. 1, tredje afsnit</w:t>
      </w:r>
    </w:p>
    <w:p w14:paraId="4AE066B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i nærværende artikels stk. 2 omhandlede betingelser for antagelse af en ansøgning</w:t>
      </w:r>
    </w:p>
    <w:p w14:paraId="4F695FC9" w14:textId="77777777" w:rsidR="0086607F" w:rsidRDefault="0086607F">
      <w:pPr>
        <w:widowControl/>
        <w:rPr>
          <w:szCs w:val="24"/>
          <w:lang w:eastAsia="en-US"/>
        </w:rPr>
      </w:pPr>
      <w:r>
        <w:rPr>
          <w:szCs w:val="24"/>
          <w:lang w:eastAsia="en-US"/>
        </w:rPr>
        <w:br w:type="page"/>
      </w:r>
    </w:p>
    <w:p w14:paraId="1DD1EA1B" w14:textId="52D4F936"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de tilfælde, hvor fristen for at træffe en specifik afgørelse, herunder en eventuel forlængelse af denne frist, adskiller sig fra de omhandlede frister i nærværende artikels stk. 3</w:t>
      </w:r>
    </w:p>
    <w:p w14:paraId="190EBCF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i denne artikels stk. 4 omhandlede tilfælde, hvor afgørelsen har virkning fra en anden dato end den dato, hvor ansøgeren modtager den eller må antages at have modtaget den</w:t>
      </w:r>
    </w:p>
    <w:p w14:paraId="657326B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de i nærværende artikels stk. 5 omhandlede tilfælde, hvor afgørelsen ikke er gyldig uden tidsbegrænsning</w:t>
      </w:r>
    </w:p>
    <w:p w14:paraId="0DA03689" w14:textId="4E334EDC"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varigheden af den i nærværende artikels stk. 6, første afsnit, omhandlede frist</w:t>
      </w:r>
      <w:r w:rsidR="00D3001B" w:rsidRPr="003740C4">
        <w:rPr>
          <w:b/>
          <w:i/>
          <w:szCs w:val="24"/>
          <w:lang w:eastAsia="en-US"/>
        </w:rPr>
        <w:t>.</w:t>
      </w:r>
    </w:p>
    <w:p w14:paraId="5658DE44" w14:textId="0C0A5918" w:rsidR="003E0486" w:rsidRPr="003038CF" w:rsidRDefault="003E0486" w:rsidP="003E0486">
      <w:pPr>
        <w:spacing w:before="120" w:after="120" w:line="360" w:lineRule="auto"/>
        <w:ind w:left="1416" w:hanging="566"/>
        <w:rPr>
          <w:b/>
          <w:szCs w:val="24"/>
          <w:lang w:eastAsia="en-US"/>
        </w:rPr>
      </w:pPr>
      <w:r w:rsidRPr="003E0486">
        <w:rPr>
          <w:strike/>
          <w:szCs w:val="24"/>
          <w:lang w:eastAsia="en-US"/>
        </w:rPr>
        <w:t>(g)</w:t>
      </w:r>
      <w:r w:rsidRPr="006527B6">
        <w:rPr>
          <w:strike/>
          <w:szCs w:val="24"/>
          <w:lang w:eastAsia="en-US"/>
        </w:rPr>
        <w:tab/>
      </w:r>
      <w:r w:rsidRPr="003E0486">
        <w:rPr>
          <w:strike/>
          <w:szCs w:val="24"/>
          <w:lang w:eastAsia="en-US"/>
        </w:rPr>
        <w:t>de specifikke tilfælde omhandlet i nærværende artikels stk. 6, andet afsnit, litra f).</w:t>
      </w:r>
      <w:r w:rsidR="003038CF">
        <w:rPr>
          <w:b/>
          <w:szCs w:val="24"/>
          <w:lang w:eastAsia="en-US"/>
        </w:rPr>
        <w:t xml:space="preserve"> [Ændring 84]</w:t>
      </w:r>
    </w:p>
    <w:p w14:paraId="640A8F77" w14:textId="77777777" w:rsidR="0086607F" w:rsidRDefault="0086607F">
      <w:pPr>
        <w:widowControl/>
        <w:rPr>
          <w:szCs w:val="24"/>
          <w:lang w:eastAsia="en-US"/>
        </w:rPr>
      </w:pPr>
      <w:r>
        <w:rPr>
          <w:szCs w:val="24"/>
          <w:lang w:eastAsia="en-US"/>
        </w:rPr>
        <w:br w:type="page"/>
      </w:r>
    </w:p>
    <w:p w14:paraId="2A53AEE5" w14:textId="28CDA57D" w:rsidR="003E0486" w:rsidRPr="003038CF" w:rsidRDefault="003E0486" w:rsidP="003E0486">
      <w:pPr>
        <w:spacing w:before="120" w:after="120" w:line="360" w:lineRule="auto"/>
        <w:ind w:left="850" w:hanging="850"/>
        <w:rPr>
          <w:b/>
          <w:szCs w:val="24"/>
          <w:lang w:eastAsia="en-US"/>
        </w:rPr>
      </w:pPr>
      <w:r w:rsidRPr="003E0486">
        <w:rPr>
          <w:szCs w:val="24"/>
          <w:lang w:eastAsia="en-US"/>
        </w:rPr>
        <w:lastRenderedPageBreak/>
        <w:t>9.</w:t>
      </w:r>
      <w:r w:rsidRPr="003E0486">
        <w:rPr>
          <w:szCs w:val="24"/>
          <w:lang w:eastAsia="en-US"/>
        </w:rPr>
        <w:tab/>
        <w:t xml:space="preserve">Kommissionen </w:t>
      </w:r>
      <w:r w:rsidRPr="003E0486">
        <w:rPr>
          <w:strike/>
          <w:szCs w:val="24"/>
          <w:lang w:eastAsia="en-US"/>
        </w:rPr>
        <w:t>præciserer ved</w:t>
      </w:r>
      <w:r w:rsidRPr="003E0486">
        <w:rPr>
          <w:b/>
          <w:i/>
          <w:szCs w:val="24"/>
          <w:lang w:eastAsia="en-US"/>
        </w:rPr>
        <w:t>vedtager</w:t>
      </w:r>
      <w:r w:rsidRPr="003E0486">
        <w:rPr>
          <w:szCs w:val="24"/>
          <w:lang w:eastAsia="en-US"/>
        </w:rPr>
        <w:t xml:space="preserve"> gennemførelsesretsakter</w:t>
      </w:r>
      <w:r w:rsidRPr="003E0486">
        <w:rPr>
          <w:b/>
          <w:i/>
          <w:szCs w:val="24"/>
          <w:lang w:eastAsia="en-US"/>
        </w:rPr>
        <w:t>, der præciserer</w:t>
      </w:r>
      <w:r w:rsidRPr="003E0486">
        <w:rPr>
          <w:szCs w:val="24"/>
          <w:lang w:eastAsia="en-US"/>
        </w:rPr>
        <w:t xml:space="preserve"> proceduren for:</w:t>
      </w:r>
      <w:r w:rsidR="003038CF">
        <w:rPr>
          <w:b/>
          <w:szCs w:val="24"/>
          <w:lang w:eastAsia="en-US"/>
        </w:rPr>
        <w:t xml:space="preserve"> [Ændring 85]</w:t>
      </w:r>
    </w:p>
    <w:p w14:paraId="6769590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indgivelse og antagelse af en ansøgning om en afgørelse som omhandlet stk. 1 og 2</w:t>
      </w:r>
    </w:p>
    <w:p w14:paraId="4F88AF6A" w14:textId="53E56ECD" w:rsidR="003E0486" w:rsidRPr="003038CF" w:rsidRDefault="0053357E"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aa)</w:t>
      </w:r>
      <w:r w:rsidR="003E0486" w:rsidRPr="003E0486">
        <w:rPr>
          <w:szCs w:val="24"/>
          <w:lang w:eastAsia="en-US"/>
        </w:rPr>
        <w:tab/>
      </w:r>
      <w:r w:rsidR="003E0486" w:rsidRPr="003E0486">
        <w:rPr>
          <w:b/>
          <w:i/>
          <w:szCs w:val="24"/>
          <w:lang w:eastAsia="en-US"/>
        </w:rPr>
        <w:t>retningslinjer for processer for håndtering af beslutninger i tilfælde af tekniske fejl i EU's centraliserede infrastruktur for elektroniske systemer, navnlig EU's tolddatacenter</w:t>
      </w:r>
      <w:r w:rsidR="003038CF">
        <w:rPr>
          <w:b/>
          <w:szCs w:val="24"/>
          <w:lang w:eastAsia="en-US"/>
        </w:rPr>
        <w:t xml:space="preserve"> [Ændring 86]</w:t>
      </w:r>
    </w:p>
    <w:p w14:paraId="49BE61DB" w14:textId="0330350A"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vedtagelse af den i denne artikel omhandlede afgørelse, herunder, hvor dette er relevant, for så vidt angår retten til at blive hørt og høringen af andre berørte medlemsstater</w:t>
      </w:r>
      <w:r w:rsidR="00D3001B">
        <w:rPr>
          <w:szCs w:val="24"/>
          <w:lang w:eastAsia="en-US"/>
        </w:rPr>
        <w:t>.</w:t>
      </w:r>
    </w:p>
    <w:p w14:paraId="27BCDB10"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10CF2761" w14:textId="77777777" w:rsidR="0086607F" w:rsidRDefault="0086607F">
      <w:pPr>
        <w:widowControl/>
        <w:rPr>
          <w:szCs w:val="24"/>
          <w:lang w:eastAsia="en-US"/>
        </w:rPr>
      </w:pPr>
      <w:r>
        <w:rPr>
          <w:szCs w:val="24"/>
          <w:lang w:eastAsia="en-US"/>
        </w:rPr>
        <w:br w:type="page"/>
      </w:r>
    </w:p>
    <w:p w14:paraId="132CB9C0" w14:textId="042EC1D8"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7</w:t>
      </w:r>
      <w:r w:rsidRPr="003E0486">
        <w:rPr>
          <w:szCs w:val="24"/>
          <w:lang w:eastAsia="en-US"/>
        </w:rPr>
        <w:br/>
        <w:t>Forvaltning af afgørelser truffet efter ansøgning</w:t>
      </w:r>
    </w:p>
    <w:p w14:paraId="35DEB26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Indehaveren af afgørelsen skal opfylde de forpligtelser, der følger af den pågældende afgørelse.</w:t>
      </w:r>
    </w:p>
    <w:p w14:paraId="3B6FB18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Indehaveren af afgørelsen overvåger løbende opfyldelsen af de betingelser og kriterier og overholdelsen af de forpligtelser, der følger af afgørelserne, og indfører, hvor det er relevant, intern kontrol, der kan forebygge, afsløre og korrigere ulovlige eller ureglementerede transaktioner.</w:t>
      </w:r>
    </w:p>
    <w:p w14:paraId="46F9544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Indehaveren af afgørelsen underretter straks toldmyndighederne om alle forhold, der opstår, efter at afgørelsen er truffet, og som kan påvirke videreførelsen eller indholdet af denne afgørelse.</w:t>
      </w:r>
    </w:p>
    <w:p w14:paraId="3CEF4BED" w14:textId="77777777" w:rsidR="0086607F" w:rsidRDefault="0086607F">
      <w:pPr>
        <w:widowControl/>
        <w:rPr>
          <w:szCs w:val="24"/>
          <w:lang w:eastAsia="en-US"/>
        </w:rPr>
      </w:pPr>
      <w:r>
        <w:rPr>
          <w:szCs w:val="24"/>
          <w:lang w:eastAsia="en-US"/>
        </w:rPr>
        <w:br w:type="page"/>
      </w:r>
    </w:p>
    <w:p w14:paraId="66237E16" w14:textId="762678A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foretager regelmæssig overvågning af, om indehaveren af afgørelsen fortsat opfylder de relevante kriterier og overholder de relevante forpligtelser, navnlig om indehaveren af afgørelsen er i stand til at forebygge, reagere på og afhjælpe fejl ved hjælp af passende intern kontrol. På grundlag af en sådan overvågningsaktivitet vurderer toldmyndighederne risikoprofilen for indehaveren af afgørelsen, såfremt det er relevant. Såfremt indehaveren af afgørelsen har været etableret i Unionens toldområde i mindre end tre år, overvåger toldmyndighederne nøje indehaveren i det første år, efter at afgørelsen er truffet.</w:t>
      </w:r>
    </w:p>
    <w:p w14:paraId="7AA8FEB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Toldmyndighederne underretter EU-Toldmyndigheden om de afgørelser, der træffes efter ansøgning, og om alle de overvågningsaktiviteter, som de udfører i henhold til stk. 4. EU-Toldmyndigheden tager hensyn til disse oplysninger i forbindelse med risikoforvaltning.</w:t>
      </w:r>
    </w:p>
    <w:p w14:paraId="40407B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Indtil den i artikel 265, stk. 3, fastsatte dato registrerer toldmyndighederne deres afgørelser i de eksisterende elektroniske systemer til udveksling af oplysninger, der er udviklet af medlemsstaterne og Kommissionen. Medlemsstaterne og Kommissionen skal have adgang til disse afgørelser og bagvedliggende oplysninger i disse systemer.</w:t>
      </w:r>
    </w:p>
    <w:p w14:paraId="1F280800" w14:textId="77777777" w:rsidR="0086607F" w:rsidRDefault="0086607F">
      <w:pPr>
        <w:widowControl/>
        <w:rPr>
          <w:szCs w:val="24"/>
          <w:lang w:eastAsia="en-US"/>
        </w:rPr>
      </w:pPr>
      <w:r>
        <w:rPr>
          <w:szCs w:val="24"/>
          <w:lang w:eastAsia="en-US"/>
        </w:rPr>
        <w:br w:type="page"/>
      </w:r>
    </w:p>
    <w:p w14:paraId="04CD34B7" w14:textId="434091D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Uden at det berører bestemmelser på andre områder, der fastsætter, i hvilke tilfælde afgørelser ikke har virkning eller mister deres virkning, kan de toldmyndigheder, der har truffet en afgørelse, på et hvilket som helst tidspunkt annullere, tilbagekalde eller ændre den, hvis den ikke er i overensstemmelse med toldlovgivningen. Toldmyndighederne underretter EU-Toldmyndigheden om en sådan annullering, tilbagekaldelse og ændring af toldafgørelser.</w:t>
      </w:r>
    </w:p>
    <w:p w14:paraId="4F6BF1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I specifikke tilfælde skal toldmyndighederne:</w:t>
      </w:r>
    </w:p>
    <w:p w14:paraId="7B205F5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tage en afgørelse op til fornyet vurdering</w:t>
      </w:r>
    </w:p>
    <w:p w14:paraId="23F7320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suspendere en afgørelse, som ikke skal annulleres, tilbagekaldes eller ændres.</w:t>
      </w:r>
    </w:p>
    <w:p w14:paraId="5D46F5B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Den toldmyndighed, der er kompetent til at træffe afgørelsen, suspenderer afgørelsen i stedet for at annullere, tilbagekalde eller ændre den, hvis:</w:t>
      </w:r>
    </w:p>
    <w:p w14:paraId="064CFF5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pågældende toldmyndighed finder, at der kan være tilstrækkeligt grundlag for at annullere, tilbagekalde eller ændre afgørelsen, men endnu ikke råder over alle de nødvendige elementer til at træffe afgørelse om annullering, tilbagekaldelse eller ændring</w:t>
      </w:r>
    </w:p>
    <w:p w14:paraId="52EB82B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pågældende toldmyndighed finder, at betingelserne for afgørelsen ikke er opfyldt, eller at indehaveren af afgørelsen ikke overholder de forpligtelser, der følger af denne afgørelse, og at indehaveren af afgørelsen bør gives tid til at træffe foranstaltninger for at sikre opfyldelsen af betingelserne eller overholdelsen af forpligtelserne</w:t>
      </w:r>
    </w:p>
    <w:p w14:paraId="52BD6E47" w14:textId="77777777" w:rsidR="0086607F" w:rsidRDefault="0086607F">
      <w:pPr>
        <w:widowControl/>
        <w:rPr>
          <w:szCs w:val="24"/>
          <w:lang w:eastAsia="en-US"/>
        </w:rPr>
      </w:pPr>
      <w:r>
        <w:rPr>
          <w:szCs w:val="24"/>
          <w:lang w:eastAsia="en-US"/>
        </w:rPr>
        <w:br w:type="page"/>
      </w:r>
    </w:p>
    <w:p w14:paraId="30039555" w14:textId="5DC7BD7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indehaveren af afgørelsen anmoder om en sådan suspension, fordi vedkommende midlertidigt er ude af stand til at opfylde de betingelser, der er fastsat for afgørelsen, eller overholde de forpligtelser, der er pålagt i henhold til denne afgørelse.</w:t>
      </w:r>
    </w:p>
    <w:p w14:paraId="14849D59" w14:textId="77777777" w:rsidR="003E0486" w:rsidRPr="003E0486" w:rsidRDefault="003E0486" w:rsidP="003E0486">
      <w:pPr>
        <w:spacing w:before="120" w:after="120" w:line="360" w:lineRule="auto"/>
        <w:ind w:left="850"/>
        <w:rPr>
          <w:szCs w:val="24"/>
          <w:lang w:eastAsia="en-US"/>
        </w:rPr>
      </w:pPr>
      <w:r w:rsidRPr="003E0486">
        <w:rPr>
          <w:szCs w:val="24"/>
          <w:lang w:eastAsia="en-US"/>
        </w:rPr>
        <w:t>I de tilfælde, der er omhandlet i stk. 1, litra b) og c), skal indehaveren af afgørelsen underrette den toldmyndighed, der er kompetent til at træffe afgørelse, om de foranstaltninger, som vedkommende vil træffe for at sikre opfyldelse af betingelserne eller overholdelse af forpligtelserne, samt det fornødne tidsrum til at træffe disse foranstaltninger.</w:t>
      </w:r>
    </w:p>
    <w:p w14:paraId="3E950D0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Kommissionen tillægges beføjelser til at vedtage delegerede retsakter i overensstemmelse med artikel 261 med henblik på at supplere denne forordning ved at fastsætte:</w:t>
      </w:r>
    </w:p>
    <w:p w14:paraId="77220AD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detaljerede regler for overvågning af en afgørelse som omhandlet i nærværende artikels stk. 2-4</w:t>
      </w:r>
    </w:p>
    <w:p w14:paraId="70064AD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specifikke tilfælde og reglerne for fornyet vurdering af afgørelser som omhandlet i nærværende artikels stk. 8.</w:t>
      </w:r>
    </w:p>
    <w:p w14:paraId="536ED10A" w14:textId="77777777" w:rsidR="0086607F" w:rsidRDefault="0086607F">
      <w:pPr>
        <w:widowControl/>
        <w:rPr>
          <w:szCs w:val="24"/>
          <w:lang w:eastAsia="en-US"/>
        </w:rPr>
      </w:pPr>
      <w:r>
        <w:rPr>
          <w:szCs w:val="24"/>
          <w:lang w:eastAsia="en-US"/>
        </w:rPr>
        <w:br w:type="page"/>
      </w:r>
    </w:p>
    <w:p w14:paraId="3C713208" w14:textId="483C7C0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8</w:t>
      </w:r>
      <w:r w:rsidRPr="003E0486">
        <w:rPr>
          <w:szCs w:val="24"/>
          <w:lang w:eastAsia="en-US"/>
        </w:rPr>
        <w:br/>
        <w:t>Afgørelsers gyldighed i hele Unionen</w:t>
      </w:r>
    </w:p>
    <w:p w14:paraId="5D992B5B" w14:textId="77777777" w:rsidR="003E0486" w:rsidRPr="003E0486" w:rsidRDefault="003E0486" w:rsidP="003E0486">
      <w:pPr>
        <w:spacing w:before="120" w:after="120" w:line="360" w:lineRule="auto"/>
        <w:rPr>
          <w:szCs w:val="24"/>
          <w:lang w:eastAsia="en-US"/>
        </w:rPr>
      </w:pPr>
      <w:r w:rsidRPr="003E0486">
        <w:rPr>
          <w:szCs w:val="24"/>
          <w:lang w:eastAsia="en-US"/>
        </w:rPr>
        <w:t>Medmindre det i afgørelsen er fastlagt, at dens virkning er begrænset til en eller flere medlemsstater, er afgørelser vedrørende anvendelsen af toldlovgivningen gyldige i hele Unionens toldområde.</w:t>
      </w:r>
    </w:p>
    <w:p w14:paraId="582122B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w:t>
      </w:r>
      <w:r w:rsidRPr="003E0486">
        <w:rPr>
          <w:szCs w:val="24"/>
          <w:lang w:eastAsia="en-US"/>
        </w:rPr>
        <w:br/>
        <w:t>Annullering af gunstige afgørelser</w:t>
      </w:r>
    </w:p>
    <w:p w14:paraId="0A3DAC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annullerer en afgørelse, der er gunstig for indehaveren af afgørelsen, hvis følgende betingelser alle er opfyldt:</w:t>
      </w:r>
    </w:p>
    <w:p w14:paraId="7B0DE68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afgørelsen blev truffet på grundlag af urigtige eller ufuldstændige oplysninger</w:t>
      </w:r>
    </w:p>
    <w:p w14:paraId="5F50F98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indehaveren af afgørelsen vidste eller burde med rimelighed have vidst, at oplysningerne var urigtige eller ufuldstændige</w:t>
      </w:r>
    </w:p>
    <w:p w14:paraId="40822E2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oplysningerne havde været rigtige og fuldstændige, ville afgørelsen have været anderledes.</w:t>
      </w:r>
    </w:p>
    <w:p w14:paraId="5D30594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Indehaveren af afgørelsen underrettes om dennes annullering.</w:t>
      </w:r>
    </w:p>
    <w:p w14:paraId="519B2479" w14:textId="77777777" w:rsidR="0086607F" w:rsidRDefault="0086607F">
      <w:pPr>
        <w:widowControl/>
        <w:rPr>
          <w:szCs w:val="24"/>
          <w:lang w:eastAsia="en-US"/>
        </w:rPr>
      </w:pPr>
      <w:r>
        <w:rPr>
          <w:szCs w:val="24"/>
          <w:lang w:eastAsia="en-US"/>
        </w:rPr>
        <w:br w:type="page"/>
      </w:r>
    </w:p>
    <w:p w14:paraId="22DE59A8" w14:textId="5D5644D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Annulleringen får virkning fra det tidspunkt, hvor den oprindelige afgørelse fik virkning, medmindre andet er fastsat i afgørelsen i overensstemmelse med toldlovgivningen.</w:t>
      </w:r>
    </w:p>
    <w:p w14:paraId="4722397A" w14:textId="213204E9" w:rsidR="003E0486" w:rsidRPr="003038CF"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 xml:space="preserve">Kommissionen </w:t>
      </w:r>
      <w:r w:rsidRPr="003E0486">
        <w:rPr>
          <w:strike/>
          <w:szCs w:val="24"/>
          <w:lang w:eastAsia="en-US"/>
        </w:rPr>
        <w:t>præciserer ved</w:t>
      </w:r>
      <w:r w:rsidRPr="003E0486">
        <w:rPr>
          <w:b/>
          <w:i/>
          <w:szCs w:val="24"/>
          <w:lang w:eastAsia="en-US"/>
        </w:rPr>
        <w:t>vedtager</w:t>
      </w:r>
      <w:r w:rsidRPr="003E0486">
        <w:rPr>
          <w:szCs w:val="24"/>
          <w:lang w:eastAsia="en-US"/>
        </w:rPr>
        <w:t xml:space="preserve"> gennemførelsesretsakter</w:t>
      </w:r>
      <w:r w:rsidRPr="003E0486">
        <w:rPr>
          <w:b/>
          <w:i/>
          <w:szCs w:val="24"/>
          <w:lang w:eastAsia="en-US"/>
        </w:rPr>
        <w:t>, der præciserer</w:t>
      </w:r>
      <w:r w:rsidRPr="003E0486">
        <w:rPr>
          <w:szCs w:val="24"/>
          <w:lang w:eastAsia="en-US"/>
        </w:rPr>
        <w:t xml:space="preserve"> reglerne for annullering af gunstige afgørelser. Disse gennemførelsesretsakter vedtages efter undersøgelsesproceduren i artikel 262, stk. 4.</w:t>
      </w:r>
      <w:r w:rsidR="003038CF">
        <w:rPr>
          <w:b/>
          <w:szCs w:val="24"/>
          <w:lang w:eastAsia="en-US"/>
        </w:rPr>
        <w:t xml:space="preserve"> [Ændring 87]</w:t>
      </w:r>
    </w:p>
    <w:p w14:paraId="0703E70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w:t>
      </w:r>
      <w:r w:rsidRPr="003E0486">
        <w:rPr>
          <w:szCs w:val="24"/>
          <w:lang w:eastAsia="en-US"/>
        </w:rPr>
        <w:br/>
        <w:t>Tilbagekaldelse og ændring af gunstige afgørelser</w:t>
      </w:r>
    </w:p>
    <w:p w14:paraId="3BC3762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 gunstig afgørelse tilbagekaldes eller ændres i andre tilfælde end dem, der er omhandlet i artikel 9:</w:t>
      </w:r>
    </w:p>
    <w:p w14:paraId="549871E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en eller flere af betingelserne for at træffe afgørelsen ikke var eller ikke længere er opfyldt, eller</w:t>
      </w:r>
    </w:p>
    <w:p w14:paraId="7755E2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efter ansøgning fra indehaveren af afgørelsen.</w:t>
      </w:r>
    </w:p>
    <w:p w14:paraId="34DAD0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Medmindre andet er fastsat, kan en gunstig afgørelse, der er rettet til flere personer, udelukkende tilbagekaldes for en person, som ikke overholder en forpligtelse, der er pålagt i kraft af denne afgørelse.</w:t>
      </w:r>
    </w:p>
    <w:p w14:paraId="4BEA7006" w14:textId="77777777" w:rsidR="00EB0870" w:rsidRDefault="00EB0870">
      <w:pPr>
        <w:widowControl/>
        <w:rPr>
          <w:szCs w:val="24"/>
          <w:lang w:eastAsia="en-US"/>
        </w:rPr>
      </w:pPr>
      <w:r>
        <w:rPr>
          <w:szCs w:val="24"/>
          <w:lang w:eastAsia="en-US"/>
        </w:rPr>
        <w:br w:type="page"/>
      </w:r>
    </w:p>
    <w:p w14:paraId="4979AA34" w14:textId="5796B6A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Indehaveren af afgørelsen underrettes om dennes tilbagekaldelse eller ændring.</w:t>
      </w:r>
    </w:p>
    <w:p w14:paraId="5B835BD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Artikel 6, stk. 4, finder anvendelse ved tilbagekaldelse eller ændring af afgørelsen.</w:t>
      </w:r>
    </w:p>
    <w:p w14:paraId="5968185B" w14:textId="77777777" w:rsidR="003E0486" w:rsidRPr="003E0486" w:rsidRDefault="003E0486" w:rsidP="003E0486">
      <w:pPr>
        <w:spacing w:before="120" w:after="120" w:line="360" w:lineRule="auto"/>
        <w:ind w:left="850"/>
        <w:rPr>
          <w:szCs w:val="24"/>
          <w:lang w:eastAsia="en-US"/>
        </w:rPr>
      </w:pPr>
      <w:r w:rsidRPr="003E0486">
        <w:rPr>
          <w:szCs w:val="24"/>
          <w:lang w:eastAsia="en-US"/>
        </w:rPr>
        <w:t>Toldmyndighederne kan dog undtagelsesvis i tilfælde, hvor afgørelsens indehavers berettigede interesser fordrer det, lade tilbagekaldelsen eller ændringen få virkning fra et senere tidspunkt, dog højst et år. Denne dato skal fremgå af tilbagekaldelsen eller ændringen af afgørelsen.</w:t>
      </w:r>
    </w:p>
    <w:p w14:paraId="097B4A8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w:t>
      </w:r>
    </w:p>
    <w:p w14:paraId="59E7E7D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i stk. 2, omhandlede tilfælde, hvor en gunstig afgørelse, der er rettet til flere personer, også kan tilbagekaldes for andre personer end den person, som ikke overholder en forpligtelse, der er pålagt i kraft af denne afgørelse</w:t>
      </w:r>
    </w:p>
    <w:p w14:paraId="30B66DD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undtagelsestilfælde, hvor toldmyndighederne kan lade tilbagekaldelsen eller ændringen få virkning fra et senere tidspunkt i overensstemmelse med stk. 4, andet afsnit.</w:t>
      </w:r>
    </w:p>
    <w:p w14:paraId="3926034D" w14:textId="77777777" w:rsidR="00EB0870" w:rsidRDefault="00EB0870">
      <w:pPr>
        <w:widowControl/>
        <w:rPr>
          <w:szCs w:val="24"/>
          <w:lang w:eastAsia="en-US"/>
        </w:rPr>
      </w:pPr>
      <w:r>
        <w:rPr>
          <w:szCs w:val="24"/>
          <w:lang w:eastAsia="en-US"/>
        </w:rPr>
        <w:br w:type="page"/>
      </w:r>
    </w:p>
    <w:p w14:paraId="61A17EB1" w14:textId="298CC6F7" w:rsidR="003E0486" w:rsidRPr="003038CF" w:rsidRDefault="003E0486" w:rsidP="003E0486">
      <w:pPr>
        <w:spacing w:before="120" w:after="120" w:line="360" w:lineRule="auto"/>
        <w:ind w:left="850" w:hanging="850"/>
        <w:rPr>
          <w:b/>
          <w:szCs w:val="24"/>
          <w:lang w:eastAsia="en-US"/>
        </w:rPr>
      </w:pPr>
      <w:r w:rsidRPr="003E0486">
        <w:rPr>
          <w:szCs w:val="24"/>
          <w:lang w:eastAsia="en-US"/>
        </w:rPr>
        <w:lastRenderedPageBreak/>
        <w:t>6.</w:t>
      </w:r>
      <w:r w:rsidRPr="003E0486">
        <w:rPr>
          <w:szCs w:val="24"/>
          <w:lang w:eastAsia="en-US"/>
        </w:rPr>
        <w:tab/>
        <w:t xml:space="preserve">Kommissionen </w:t>
      </w:r>
      <w:r w:rsidRPr="003E0486">
        <w:rPr>
          <w:strike/>
          <w:szCs w:val="24"/>
          <w:lang w:eastAsia="en-US"/>
        </w:rPr>
        <w:t>præciserer ved</w:t>
      </w:r>
      <w:r w:rsidRPr="003E0486">
        <w:rPr>
          <w:b/>
          <w:i/>
          <w:szCs w:val="24"/>
          <w:lang w:eastAsia="en-US"/>
        </w:rPr>
        <w:t>vedtager</w:t>
      </w:r>
      <w:r w:rsidRPr="003E0486">
        <w:rPr>
          <w:szCs w:val="24"/>
          <w:lang w:eastAsia="en-US"/>
        </w:rPr>
        <w:t xml:space="preserve"> gennemførelsesretsakter</w:t>
      </w:r>
      <w:r w:rsidRPr="003E0486">
        <w:rPr>
          <w:b/>
          <w:i/>
          <w:szCs w:val="24"/>
          <w:lang w:eastAsia="en-US"/>
        </w:rPr>
        <w:t>, der præciserer</w:t>
      </w:r>
      <w:r w:rsidRPr="003E0486">
        <w:rPr>
          <w:szCs w:val="24"/>
          <w:lang w:eastAsia="en-US"/>
        </w:rPr>
        <w:t xml:space="preserve"> procedurereglerne for tilbagekaldelse eller ændring af gunstige afgørelser. Disse gennemførelsesretsakter vedtages efter undersøgelsesproceduren i artikel 262, stk. 4.</w:t>
      </w:r>
      <w:r w:rsidR="003038CF">
        <w:rPr>
          <w:b/>
          <w:szCs w:val="24"/>
          <w:lang w:eastAsia="en-US"/>
        </w:rPr>
        <w:t xml:space="preserve"> [Ændring 88]</w:t>
      </w:r>
    </w:p>
    <w:p w14:paraId="0B862A1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w:t>
      </w:r>
      <w:r w:rsidRPr="003E0486">
        <w:rPr>
          <w:szCs w:val="24"/>
          <w:lang w:eastAsia="en-US"/>
        </w:rPr>
        <w:br/>
        <w:t>Afgørelser truffet uden forudgående ansøgning</w:t>
      </w:r>
    </w:p>
    <w:p w14:paraId="350A5DE6" w14:textId="77777777" w:rsidR="003E0486" w:rsidRPr="003E0486" w:rsidRDefault="003E0486" w:rsidP="003E0486">
      <w:pPr>
        <w:spacing w:before="120" w:after="120" w:line="360" w:lineRule="auto"/>
        <w:rPr>
          <w:szCs w:val="24"/>
          <w:lang w:eastAsia="en-US"/>
        </w:rPr>
      </w:pPr>
      <w:r w:rsidRPr="003E0486">
        <w:rPr>
          <w:szCs w:val="24"/>
          <w:lang w:eastAsia="en-US"/>
        </w:rPr>
        <w:t>Bortset fra de tilfælde, hvor en toldmyndighed handler som retsinstans, gælder artikel 6, stk. 4, 5, 6 og 7, artikel 7, stk. 7, og artikel 8, 9 og 10 også for afgørelser, som toldmyndighederne træffer uden forudgående ansøgning fra den berørte person.</w:t>
      </w:r>
    </w:p>
    <w:p w14:paraId="69C0FF5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w:t>
      </w:r>
      <w:r w:rsidRPr="003E0486">
        <w:rPr>
          <w:szCs w:val="24"/>
          <w:lang w:eastAsia="en-US"/>
        </w:rPr>
        <w:br/>
        <w:t>Begrænsninger i afgørelser om varer henført under en toldprocedure eller til midlertidig opbevaring</w:t>
      </w:r>
    </w:p>
    <w:p w14:paraId="2C10B50D" w14:textId="77777777" w:rsidR="003E0486" w:rsidRPr="003E0486" w:rsidRDefault="003E0486" w:rsidP="003E0486">
      <w:pPr>
        <w:spacing w:before="120" w:after="120" w:line="360" w:lineRule="auto"/>
        <w:rPr>
          <w:szCs w:val="24"/>
          <w:lang w:eastAsia="en-US"/>
        </w:rPr>
      </w:pPr>
      <w:r w:rsidRPr="003E0486">
        <w:rPr>
          <w:szCs w:val="24"/>
          <w:lang w:eastAsia="en-US"/>
        </w:rPr>
        <w:t>Medmindre den pågældende person anmoder derom, berører en tilbagekaldelse, ændring eller suspension af en gunstig afgørelse ikke varer, som på det tidspunkt, hvor tilbagekaldelsen, ændringen eller suspensionen får virkning, allerede er henført under og stadig henhører under en toldprocedure eller er under midlertidig opbevaring i medfør af den tilbagekaldte, ændrede eller suspenderede afgørelse.</w:t>
      </w:r>
    </w:p>
    <w:p w14:paraId="3ADDF0DC" w14:textId="77777777" w:rsidR="00EB0870" w:rsidRDefault="00EB0870">
      <w:pPr>
        <w:widowControl/>
        <w:rPr>
          <w:szCs w:val="24"/>
          <w:lang w:eastAsia="en-US"/>
        </w:rPr>
      </w:pPr>
      <w:r>
        <w:rPr>
          <w:szCs w:val="24"/>
          <w:lang w:eastAsia="en-US"/>
        </w:rPr>
        <w:br w:type="page"/>
      </w:r>
    </w:p>
    <w:p w14:paraId="17FE84A6" w14:textId="0259675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2 </w:t>
      </w:r>
      <w:r w:rsidRPr="003E0486">
        <w:rPr>
          <w:szCs w:val="24"/>
          <w:lang w:eastAsia="en-US"/>
        </w:rPr>
        <w:br/>
        <w:t>Bindende oplysninger</w:t>
      </w:r>
    </w:p>
    <w:p w14:paraId="1A338E6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w:t>
      </w:r>
      <w:r w:rsidRPr="003E0486">
        <w:rPr>
          <w:szCs w:val="24"/>
          <w:lang w:eastAsia="en-US"/>
        </w:rPr>
        <w:br/>
        <w:t>Afgørelser vedrørende bindende oplysninger</w:t>
      </w:r>
    </w:p>
    <w:p w14:paraId="46E9C9F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træffer efter ansøgning afgørelser vedrørende bindende tariferingsoplysninger ("BTO-afgørelser"), afgørelser vedrørende bindende oprindelsesoplysninger ("BOO-afgørelser") og afgørelser vedrørende bindende værdiansættelsesoplysninger ("BVO-afgørelser").</w:t>
      </w:r>
    </w:p>
    <w:p w14:paraId="11F53749" w14:textId="77777777" w:rsidR="003E0486" w:rsidRPr="003E0486" w:rsidRDefault="003E0486" w:rsidP="003E0486">
      <w:pPr>
        <w:spacing w:before="120" w:after="120" w:line="360" w:lineRule="auto"/>
        <w:ind w:left="850"/>
        <w:rPr>
          <w:szCs w:val="24"/>
          <w:lang w:eastAsia="en-US"/>
        </w:rPr>
      </w:pPr>
      <w:r w:rsidRPr="003E0486">
        <w:rPr>
          <w:szCs w:val="24"/>
          <w:lang w:eastAsia="en-US"/>
        </w:rPr>
        <w:t>En sådan ansøgning antages ikke i følgende tilfælde:</w:t>
      </w:r>
    </w:p>
    <w:p w14:paraId="0756B45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ansøgningen indgives eller allerede er indgivet til det samme eller et andet toldsted af eller på vegne af indehaveren af en afgørelse:</w:t>
      </w:r>
    </w:p>
    <w:p w14:paraId="2451A974" w14:textId="53DC0DE5"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for BTO-afgørelser vedrørende de samme varer</w:t>
      </w:r>
    </w:p>
    <w:p w14:paraId="6BDE88ED" w14:textId="2D74FD88"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for BOO-afgørelser vedrørende de samme varer og under de samme omstændigheder, som er bestemmende for opnåelsen af oprindelsesstatus</w:t>
      </w:r>
    </w:p>
    <w:p w14:paraId="5337D85E" w14:textId="2885F870"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for BVO-afgørelser vedrørende de samme varer under de samme omstændigheder, som er bestemmende for toldværdien</w:t>
      </w:r>
    </w:p>
    <w:p w14:paraId="20747A1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hvis ansøgningen ikke vedrører en planlagt anvendelse af en afgørelse vedrørende bindende oplysninger eller en planlagt anvendelse af en toldprocedure.</w:t>
      </w:r>
    </w:p>
    <w:p w14:paraId="69CDC3F2" w14:textId="77777777" w:rsidR="00EB0870" w:rsidRDefault="00EB0870">
      <w:pPr>
        <w:widowControl/>
        <w:rPr>
          <w:szCs w:val="24"/>
          <w:lang w:eastAsia="en-US"/>
        </w:rPr>
      </w:pPr>
      <w:r>
        <w:rPr>
          <w:szCs w:val="24"/>
          <w:lang w:eastAsia="en-US"/>
        </w:rPr>
        <w:br w:type="page"/>
      </w:r>
    </w:p>
    <w:p w14:paraId="2F7DC749" w14:textId="6F6DFE9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Afgørelser vedrørende bindende oplysninger er kun bindende hvad angår tariferingen af en vare, bestemmelsen af en vares oprindelse eller toldværdien af varer:</w:t>
      </w:r>
    </w:p>
    <w:p w14:paraId="075315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 toldmyndighederne over for indehaveren af afgørelsen og kun for så vidt angår varer, for hvilke toldformaliteterne afsluttes efter den dato, fra hvilken afgørelsen har virkning</w:t>
      </w:r>
    </w:p>
    <w:p w14:paraId="195BBC9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 indehaveren af afgørelsen over for toldmyndighederne fra den dato, hvor den pågældende modtager eller må antages at have modtaget underretning om afgørelsen.</w:t>
      </w:r>
    </w:p>
    <w:p w14:paraId="6F5F968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Afgørelser vedrørende bindende oplysninger er gyldige i tre år regnet fra den dato, fra hvilken afgørelsen har virkning.</w:t>
      </w:r>
    </w:p>
    <w:p w14:paraId="411F459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For at kunne anvende en afgørelse vedrørende bindende oplysninger i forbindelse med en bestemt toldprocedure skal indehaveren af afgørelsen kunne godtgøre:</w:t>
      </w:r>
    </w:p>
    <w:p w14:paraId="67BD655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det drejer sig om en BTO-afgørelse, at de pågældende varer på alle måder svarer til de i afgørelsen beskrevne varer</w:t>
      </w:r>
    </w:p>
    <w:p w14:paraId="405B5032" w14:textId="77777777" w:rsidR="00EB0870" w:rsidRDefault="00EB0870">
      <w:pPr>
        <w:widowControl/>
        <w:rPr>
          <w:szCs w:val="24"/>
          <w:lang w:eastAsia="en-US"/>
        </w:rPr>
      </w:pPr>
      <w:r>
        <w:rPr>
          <w:szCs w:val="24"/>
          <w:lang w:eastAsia="en-US"/>
        </w:rPr>
        <w:br w:type="page"/>
      </w:r>
    </w:p>
    <w:p w14:paraId="67E53F8C" w14:textId="15E2FEF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hvis det drejer sig om en BOO-afgørelse, at de pågældende varer og de omstændigheder, der er bestemmende for opnåelsen af oprindelsesstatus, på alle måder svarer til de i afgørelsen beskrevne varer og omstændigheder.</w:t>
      </w:r>
    </w:p>
    <w:p w14:paraId="60C3DD9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det drejer sig om en BVO-afgørelse, at de omstændigheder, der er bestemmende for de pågældende varers toldværdi, på alle måder svarer til de i afgørelsen beskrevne omstændigheder.</w:t>
      </w:r>
    </w:p>
    <w:p w14:paraId="55199E4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w:t>
      </w:r>
      <w:r w:rsidRPr="003E0486">
        <w:rPr>
          <w:szCs w:val="24"/>
          <w:lang w:eastAsia="en-US"/>
        </w:rPr>
        <w:br/>
        <w:t>Forvaltning af afgørelser vedrørende bindende oplysninger</w:t>
      </w:r>
    </w:p>
    <w:p w14:paraId="52D93C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 BTO-afgørelse ophører med at være gyldig før udløbet af den i artikel 13, stk. 3, nævnte periode, når den ikke længere er i overensstemmelse med loven, som følge af et af følgende:</w:t>
      </w:r>
    </w:p>
    <w:p w14:paraId="72E330B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vedtagelse af en ændring til de nomenklaturer, der er omhandlet i artikel 145, stk. 2, litra a) og b)</w:t>
      </w:r>
    </w:p>
    <w:p w14:paraId="10CFFD8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vedtagelse af foranstaltninger som omhandlet i artikel 146, stk. 4.</w:t>
      </w:r>
    </w:p>
    <w:p w14:paraId="163EB875" w14:textId="77777777" w:rsidR="003E0486" w:rsidRPr="003E0486" w:rsidRDefault="003E0486" w:rsidP="003E0486">
      <w:pPr>
        <w:spacing w:before="120" w:after="120" w:line="360" w:lineRule="auto"/>
        <w:ind w:left="850"/>
        <w:rPr>
          <w:szCs w:val="24"/>
          <w:lang w:eastAsia="en-US"/>
        </w:rPr>
      </w:pPr>
      <w:r w:rsidRPr="003E0486">
        <w:rPr>
          <w:szCs w:val="24"/>
          <w:lang w:eastAsia="en-US"/>
        </w:rPr>
        <w:t>I sådanne tilfælde ophører BTO-afgørelsen med at være gyldig fra datoen for anvendelsen af en sådan ændring eller sådanne foranstaltninger.</w:t>
      </w:r>
    </w:p>
    <w:p w14:paraId="1A7066F3" w14:textId="77777777" w:rsidR="00EB0870" w:rsidRDefault="00EB0870">
      <w:pPr>
        <w:widowControl/>
        <w:rPr>
          <w:szCs w:val="24"/>
          <w:lang w:eastAsia="en-US"/>
        </w:rPr>
      </w:pPr>
      <w:r>
        <w:rPr>
          <w:szCs w:val="24"/>
          <w:lang w:eastAsia="en-US"/>
        </w:rPr>
        <w:br w:type="page"/>
      </w:r>
    </w:p>
    <w:p w14:paraId="7F3716C0" w14:textId="0A20768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En BOO-afgørelse ophører med at være gyldig før udløbet af den i artikel 13, stk. 3, nævnte periode i følgende tilfælde:</w:t>
      </w:r>
    </w:p>
    <w:p w14:paraId="7F70B11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en juridisk bindende EU-retsakt vedtages, eller en aftale indgås af og finder anvendelse i Unionen, og BOO-afgørelsen ikke længere er i overensstemmelse med den således fastlagte lovgivning, med virkning fra datoen for anvendelsen af den pågældende retsakt eller aftale</w:t>
      </w:r>
    </w:p>
    <w:p w14:paraId="2145D9FB" w14:textId="3447007E" w:rsidR="003E0486" w:rsidRPr="003038CF"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når BOO-afgørelsen</w:t>
      </w:r>
      <w:r w:rsidRPr="003E0486">
        <w:rPr>
          <w:b/>
          <w:i/>
          <w:szCs w:val="24"/>
          <w:lang w:eastAsia="en-US"/>
        </w:rPr>
        <w:t xml:space="preserve"> ikke eller</w:t>
      </w:r>
      <w:r w:rsidRPr="003E0486">
        <w:rPr>
          <w:szCs w:val="24"/>
          <w:lang w:eastAsia="en-US"/>
        </w:rPr>
        <w:t xml:space="preserve"> ikke længere er forenelig med den aftale om oprindelsesregler, der er udarbejdet af Verdenshandelsorganisationen (WTO), eller med rådgivende udtalelser, oplysninger, rådgivning og lignende akter vedrørende bestemmelse af varers oprindelse, der har til formål at sikre en ensartet fortolkning og anvendelse af denne aftale, med virkning fra datoen for deres offentliggørelse i </w:t>
      </w:r>
      <w:r w:rsidRPr="003038CF">
        <w:rPr>
          <w:i/>
          <w:szCs w:val="24"/>
          <w:lang w:eastAsia="en-US"/>
        </w:rPr>
        <w:t>Den Europæiske Unions Tidende</w:t>
      </w:r>
      <w:r w:rsidRPr="003E0486">
        <w:rPr>
          <w:szCs w:val="24"/>
          <w:lang w:eastAsia="en-US"/>
        </w:rPr>
        <w:t>.</w:t>
      </w:r>
      <w:r w:rsidR="003038CF">
        <w:rPr>
          <w:b/>
          <w:szCs w:val="24"/>
          <w:lang w:eastAsia="en-US"/>
        </w:rPr>
        <w:t xml:space="preserve"> [Ændring 89]</w:t>
      </w:r>
    </w:p>
    <w:p w14:paraId="0FC82EF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En BVO-afgørelse ophører med at være gyldig før udløbet af den i artikel 13, stk. 3, nævnte periode i følgende tilfælde:</w:t>
      </w:r>
    </w:p>
    <w:p w14:paraId="0DBE060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vedtagelsen af en juridisk bindende EU-retsakt bevirker, at BVO-afgørelsen ikke er i overensstemmelse med den pågældende retsakt, med virkning fra datoen for anvendelsen af den pågældende retsakt</w:t>
      </w:r>
    </w:p>
    <w:p w14:paraId="1EB7D2F5" w14:textId="77777777" w:rsidR="00EB0870" w:rsidRDefault="00EB0870">
      <w:pPr>
        <w:widowControl/>
        <w:rPr>
          <w:szCs w:val="24"/>
          <w:lang w:eastAsia="en-US"/>
        </w:rPr>
      </w:pPr>
      <w:r>
        <w:rPr>
          <w:szCs w:val="24"/>
          <w:lang w:eastAsia="en-US"/>
        </w:rPr>
        <w:br w:type="page"/>
      </w:r>
    </w:p>
    <w:p w14:paraId="4DFA2E02" w14:textId="652A317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 xml:space="preserve">når BVI-afgørelsen ikke længere er forenelig med artikel VII i den almindelige overenskomst om told og udenrigshandel eller aftalen om anvendelsen af artikel VII i den almindelige overenskomst om told og udenrigshandel (WTO-aftalen om toldværdiansættelse) fra 1994 eller med de afgørelser, som Toldværdikomitéen har vedtaget til fortolkning af denne aftale, med virkning fra datoen for offentliggørelsen i </w:t>
      </w:r>
      <w:r w:rsidRPr="003038CF">
        <w:rPr>
          <w:i/>
          <w:szCs w:val="24"/>
          <w:lang w:eastAsia="en-US"/>
        </w:rPr>
        <w:t>Den Europæiske Unions Tidende</w:t>
      </w:r>
      <w:r w:rsidRPr="003E0486">
        <w:rPr>
          <w:szCs w:val="24"/>
          <w:lang w:eastAsia="en-US"/>
        </w:rPr>
        <w:t>.</w:t>
      </w:r>
    </w:p>
    <w:p w14:paraId="11C3D90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Afgørelser vedrørende bindende oplysninger ophører ikke med at være gyldige med tilbagevirkende kraft.</w:t>
      </w:r>
    </w:p>
    <w:p w14:paraId="216A5E6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Uanset artikel 7, stk. 7, og artikel 9 annullerer toldmyndighederne udelukkende afgørelser vedrørende bindende oplysninger, hvis de bygger på urigtige eller ufuldstændige oplysninger fra ansøgerne.</w:t>
      </w:r>
    </w:p>
    <w:p w14:paraId="08B556D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Toldmyndighederne tilbagekalder afgørelser vedrørende bindende oplysninger i overensstemmelse med artikel7, stk. 7, og artikel 10. Sådanne afgørelser tilbagekaldes dog ikke på anmodning af indehaveren af afgørelsen.</w:t>
      </w:r>
    </w:p>
    <w:p w14:paraId="2FD218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Afgørelser vedrørende bindende oplysninger må ikke ændres.</w:t>
      </w:r>
    </w:p>
    <w:p w14:paraId="58E9ADC7" w14:textId="77777777" w:rsidR="00EB0870" w:rsidRDefault="00EB0870">
      <w:pPr>
        <w:widowControl/>
        <w:rPr>
          <w:szCs w:val="24"/>
          <w:lang w:eastAsia="en-US"/>
        </w:rPr>
      </w:pPr>
      <w:r>
        <w:rPr>
          <w:szCs w:val="24"/>
          <w:lang w:eastAsia="en-US"/>
        </w:rPr>
        <w:br w:type="page"/>
      </w:r>
    </w:p>
    <w:p w14:paraId="2A122DBC" w14:textId="0D24D41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Toldmyndighederne tilbagekalder BTO-afgørelser, når de ikke længere er forenelige med fortolkningen af nogen af de i artikel 145, stk. 2, litra a) og b), omhandlede nomenklaturer som følge af:</w:t>
      </w:r>
    </w:p>
    <w:p w14:paraId="16715AA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 xml:space="preserve">forklarende bemærkninger, jf. artikel 9, stk. 1, litra a), andet led, i forordning (EØF) nr. 2658/87, med virkning fra datoen for deres offentliggørelse i </w:t>
      </w:r>
      <w:r w:rsidRPr="003038CF">
        <w:rPr>
          <w:i/>
          <w:szCs w:val="24"/>
          <w:lang w:eastAsia="en-US"/>
        </w:rPr>
        <w:t>Den Europæiske Unions Tidende</w:t>
      </w:r>
    </w:p>
    <w:p w14:paraId="15AF1B2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 xml:space="preserve">en dom afsagt af Den Europæiske Unions Domstol, med virkning fra datoen for offentliggørelsen af domskonklusionen i </w:t>
      </w:r>
      <w:bookmarkStart w:id="9" w:name="_GoBack"/>
      <w:r w:rsidRPr="003038CF">
        <w:rPr>
          <w:i/>
          <w:szCs w:val="24"/>
          <w:lang w:eastAsia="en-US"/>
        </w:rPr>
        <w:t>Den Europæiske Unions Tidende</w:t>
      </w:r>
      <w:bookmarkEnd w:id="9"/>
    </w:p>
    <w:p w14:paraId="79B144E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 xml:space="preserve">tariferingsafgørelser, tariferingsudtalelser eller ændringer af de forklarende bemærkninger til nomenklaturen i det harmoniserede varebeskrivelses- og varenomenklatursystem, vedtaget af den organisation, der er oprettet ved den i Bruxelles den 15. december 1950 udfærdigede konvention om Toldsamarbejdsrådet, med virkning fra datoen for offentliggørelsen af Kommissionens meddelelse i C-udgaven af </w:t>
      </w:r>
      <w:r w:rsidRPr="003740C4">
        <w:rPr>
          <w:i/>
          <w:szCs w:val="24"/>
          <w:lang w:eastAsia="en-US"/>
        </w:rPr>
        <w:t>Den Europæiske Unions Tidende</w:t>
      </w:r>
      <w:r w:rsidRPr="003E0486">
        <w:rPr>
          <w:szCs w:val="24"/>
          <w:lang w:eastAsia="en-US"/>
        </w:rPr>
        <w:t>.</w:t>
      </w:r>
    </w:p>
    <w:p w14:paraId="3A120F92" w14:textId="77777777" w:rsidR="00EB0870" w:rsidRDefault="00EB0870">
      <w:pPr>
        <w:widowControl/>
        <w:rPr>
          <w:szCs w:val="24"/>
          <w:lang w:eastAsia="en-US"/>
        </w:rPr>
      </w:pPr>
      <w:r>
        <w:rPr>
          <w:szCs w:val="24"/>
          <w:lang w:eastAsia="en-US"/>
        </w:rPr>
        <w:br w:type="page"/>
      </w:r>
    </w:p>
    <w:p w14:paraId="20ADA31F" w14:textId="17BC9E5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9.</w:t>
      </w:r>
      <w:r w:rsidRPr="003E0486">
        <w:rPr>
          <w:szCs w:val="24"/>
          <w:lang w:eastAsia="en-US"/>
        </w:rPr>
        <w:tab/>
        <w:t xml:space="preserve">BOO- og BVO-afgørelser tilbagekaldes, når de ikke længere er forenelige med en dom afsagt af Den Europæiske Unions Domstol, med virkning fra datoen for offentliggørelsen af domskonklusionen i </w:t>
      </w:r>
      <w:r w:rsidRPr="003740C4">
        <w:rPr>
          <w:i/>
          <w:szCs w:val="24"/>
          <w:lang w:eastAsia="en-US"/>
        </w:rPr>
        <w:t>Den Europæiske Unions Tidende</w:t>
      </w:r>
      <w:r w:rsidRPr="003E0486">
        <w:rPr>
          <w:szCs w:val="24"/>
          <w:lang w:eastAsia="en-US"/>
        </w:rPr>
        <w:t>.</w:t>
      </w:r>
    </w:p>
    <w:p w14:paraId="4057952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Når en afgørelse vedrørende bindende oplysninger ophører med at være gyldig i overensstemmelse med stk. 1, litra b), eller stk. 2 eller 3, eller tilbagekaldes i overensstemmelse med stk. 6, 8 eller 9, kan afgørelsen stadig anvendes i forbindelse med bindende kontrakter, der bygger på den pågældende afgørelse og blev indgået, før den ophørte med at være gyldig eller blev tilbagekaldt. Denne forlængede anvendelse gælder ikke BOO-afgørelser truffet med henblik på varer, der skal eksporteres.</w:t>
      </w:r>
    </w:p>
    <w:p w14:paraId="7B010E04" w14:textId="77777777" w:rsidR="003E0486" w:rsidRPr="003E0486" w:rsidRDefault="003E0486" w:rsidP="003E0486">
      <w:pPr>
        <w:spacing w:before="120" w:after="120" w:line="360" w:lineRule="auto"/>
        <w:ind w:left="850"/>
        <w:rPr>
          <w:szCs w:val="24"/>
          <w:lang w:eastAsia="en-US"/>
        </w:rPr>
      </w:pPr>
      <w:r w:rsidRPr="003E0486">
        <w:rPr>
          <w:szCs w:val="24"/>
          <w:lang w:eastAsia="en-US"/>
        </w:rPr>
        <w:t>Den forlængede anvendelse som omhandlet i første afsnit må ikke overstige seks måneder regnet fra den dato, hvor afgørelsen vedrørende bindende oplysninger ophører med at være gyldig eller tilbagekaldes. En foranstaltning som omhandlet i artikel 146, stk. 4, artikel 151 eller artikel 158 kan imidlertid udelukke anvendelsen af den forlængede anvendelse eller fastsætte en kortere periode. Er der tale om produkter, for hvilke der ved opfyldelsen af toldformaliteterne forelægges import- eller eksportlicenser, træder den pågældende attests gyldighedsperiode dog i stedet for perioden på seks måneder.</w:t>
      </w:r>
    </w:p>
    <w:p w14:paraId="3C0DA965" w14:textId="77777777" w:rsidR="00EB0870" w:rsidRDefault="00EB0870">
      <w:pPr>
        <w:widowControl/>
        <w:rPr>
          <w:szCs w:val="24"/>
          <w:lang w:eastAsia="en-US"/>
        </w:rPr>
      </w:pPr>
      <w:r>
        <w:rPr>
          <w:szCs w:val="24"/>
          <w:lang w:eastAsia="en-US"/>
        </w:rPr>
        <w:br w:type="page"/>
      </w:r>
    </w:p>
    <w:p w14:paraId="7283B965" w14:textId="61EC29D5" w:rsidR="003E0486" w:rsidRPr="003E0486" w:rsidRDefault="003E0486" w:rsidP="003E0486">
      <w:pPr>
        <w:spacing w:before="120" w:after="120" w:line="360" w:lineRule="auto"/>
        <w:ind w:left="850"/>
        <w:rPr>
          <w:szCs w:val="24"/>
          <w:lang w:eastAsia="en-US"/>
        </w:rPr>
      </w:pPr>
      <w:r w:rsidRPr="003E0486">
        <w:rPr>
          <w:szCs w:val="24"/>
          <w:lang w:eastAsia="en-US"/>
        </w:rPr>
        <w:lastRenderedPageBreak/>
        <w:t>For at drage fordel af den forlængede anvendelse af en afgørelse vedrørende bindende oplysninger skal indehaveren af den pågældende afgørelse indgive en ansøgning til den toldmyndighed, som traf afgørelsen, senest 30 dage efter den dato, hvor den ophører med at være gyldig eller tilbagekaldes, med angivelse af de mængder, for hvilke der anmodes om en periode med forlænget anvendelse, og af den medlemsstat eller de medlemsstater, hvor varerne vil blive fortoldet i perioden med forlænget anvendelse. Den pågældende toldmyndighed træffer afgørelse om den forlængede anvendelse og underretter indehaveren hurtigst muligt og senest 30 dage efter den dato, hvor den modtager samtlige oplysninger, der er nødvendige for, at den kan træffe den pågældende afgørelse.</w:t>
      </w:r>
    </w:p>
    <w:p w14:paraId="426C40F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11.</w:t>
      </w:r>
      <w:r w:rsidRPr="003E0486">
        <w:rPr>
          <w:szCs w:val="24"/>
          <w:lang w:eastAsia="en-US"/>
        </w:rPr>
        <w:tab/>
        <w:t>Kommissionen underretter toldmyndighederne når:</w:t>
      </w:r>
    </w:p>
    <w:p w14:paraId="4E05258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vedtagelsen af afgørelser vedrørende bindende oplysninger for varer, for hvilke der ikke er sikret en korrekt og ensartet tarifering eller oprindelsesbestemmelse eller bestemmelse af toldværdien, suspenderes, eller</w:t>
      </w:r>
    </w:p>
    <w:p w14:paraId="367CEE0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i litra a) omhandlede suspension tilbagekaldes.</w:t>
      </w:r>
    </w:p>
    <w:p w14:paraId="6DFBFE0B" w14:textId="77777777" w:rsidR="00EB0870" w:rsidRDefault="00EB0870">
      <w:pPr>
        <w:widowControl/>
        <w:rPr>
          <w:szCs w:val="24"/>
          <w:lang w:eastAsia="en-US"/>
        </w:rPr>
      </w:pPr>
      <w:r>
        <w:rPr>
          <w:szCs w:val="24"/>
          <w:lang w:eastAsia="en-US"/>
        </w:rPr>
        <w:br w:type="page"/>
      </w:r>
    </w:p>
    <w:p w14:paraId="71C366EA" w14:textId="7328596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12.</w:t>
      </w:r>
      <w:r w:rsidRPr="003E0486">
        <w:rPr>
          <w:szCs w:val="24"/>
          <w:lang w:eastAsia="en-US"/>
        </w:rPr>
        <w:tab/>
        <w:t>Kommissionen kan vedtage afgørelser, hvori medlemsstater anmodes om at tilbagekalde BTO-, BOO- eller BVO-afgørelser for at sikre en korrekt og ensartet tarifering eller oprindelsesbestemmelse eller bestemmelse af toldværdien for varer. Inden Kommissionen træffer en sådan afgørelse, meddeler den de grunde, som den agter at basere sin afgørelse på, til indehaveren af BTO-, BOO- eller BVI-afgørelsen, som skal have lejlighed til at udtale sig inden for en frist, der løber fra den dato, hvor den pågældende person modtager eller må anses for at have modtaget meddelelsen.</w:t>
      </w:r>
    </w:p>
    <w:p w14:paraId="705014F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13.</w:t>
      </w:r>
      <w:r w:rsidRPr="003E0486">
        <w:rPr>
          <w:szCs w:val="24"/>
          <w:lang w:eastAsia="en-US"/>
        </w:rPr>
        <w:tab/>
        <w:t>Kommissionen tillægges beføjelser til at vedtage delegerede retsakter i overensstemmelse med artikel 261 med henblik på at supplere denne forordning ved at fastsætte reglerne for at træffe de afgørelser, der er omhandlet i nærværende artikels stk. 12, navnlig for så vidt angår meddelelsen til de berørte personer af de grunde, som Kommissionen agter at basere sin afgørelse på, og den frist, inden for hvilken disse personer kan udtale sig.</w:t>
      </w:r>
    </w:p>
    <w:p w14:paraId="402F1B70" w14:textId="77777777" w:rsidR="003E5D8B" w:rsidRDefault="003E5D8B">
      <w:pPr>
        <w:widowControl/>
        <w:rPr>
          <w:szCs w:val="24"/>
          <w:lang w:eastAsia="en-US"/>
        </w:rPr>
      </w:pPr>
      <w:r>
        <w:rPr>
          <w:szCs w:val="24"/>
          <w:lang w:eastAsia="en-US"/>
        </w:rPr>
        <w:br w:type="page"/>
      </w:r>
    </w:p>
    <w:p w14:paraId="4B405E28" w14:textId="31B52B94" w:rsidR="003E0486" w:rsidRPr="003038CF" w:rsidRDefault="003E0486" w:rsidP="003E0486">
      <w:pPr>
        <w:spacing w:before="120" w:after="120" w:line="360" w:lineRule="auto"/>
        <w:ind w:left="850" w:hanging="850"/>
        <w:rPr>
          <w:b/>
          <w:szCs w:val="24"/>
          <w:lang w:eastAsia="en-US"/>
        </w:rPr>
      </w:pPr>
      <w:r w:rsidRPr="003E0486">
        <w:rPr>
          <w:szCs w:val="24"/>
          <w:lang w:eastAsia="en-US"/>
        </w:rPr>
        <w:lastRenderedPageBreak/>
        <w:t>14.</w:t>
      </w:r>
      <w:r w:rsidRPr="003E0486">
        <w:rPr>
          <w:szCs w:val="24"/>
          <w:lang w:eastAsia="en-US"/>
        </w:rPr>
        <w:tab/>
        <w:t>Kommissionen vedtager</w:t>
      </w:r>
      <w:r w:rsidRPr="003E0486">
        <w:rPr>
          <w:strike/>
          <w:szCs w:val="24"/>
          <w:lang w:eastAsia="en-US"/>
        </w:rPr>
        <w:t xml:space="preserve"> ved</w:t>
      </w:r>
      <w:r w:rsidRPr="003E0486">
        <w:rPr>
          <w:szCs w:val="24"/>
          <w:lang w:eastAsia="en-US"/>
        </w:rPr>
        <w:t xml:space="preserve"> gennemførelsesretsakter</w:t>
      </w:r>
      <w:r w:rsidRPr="003E0486">
        <w:rPr>
          <w:b/>
          <w:i/>
          <w:szCs w:val="24"/>
          <w:lang w:eastAsia="en-US"/>
        </w:rPr>
        <w:t>, der fastsætter</w:t>
      </w:r>
      <w:r w:rsidRPr="003E0486">
        <w:rPr>
          <w:szCs w:val="24"/>
          <w:lang w:eastAsia="en-US"/>
        </w:rPr>
        <w:t xml:space="preserve"> procedurereglerne for:</w:t>
      </w:r>
      <w:r w:rsidR="003038CF">
        <w:rPr>
          <w:b/>
          <w:szCs w:val="24"/>
          <w:lang w:eastAsia="en-US"/>
        </w:rPr>
        <w:t xml:space="preserve"> [Ændring 90]</w:t>
      </w:r>
    </w:p>
    <w:p w14:paraId="7F6901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anvendelse af en afgørelse vedrørende bindende oplysninger, efter at den ophører med at være gyldig eller tilbagekaldes, i overensstemmelse med stk. 10</w:t>
      </w:r>
    </w:p>
    <w:p w14:paraId="7A5ACF8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Kommissionens underretning af toldmyndighederne i overensstemmelse med artikel stk. 11, litra a) og b).</w:t>
      </w:r>
    </w:p>
    <w:p w14:paraId="08D84CAE"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6D027292" w14:textId="27D3BDE7" w:rsidR="003E0486" w:rsidRPr="003038CF" w:rsidRDefault="003E0486" w:rsidP="003E0486">
      <w:pPr>
        <w:spacing w:before="120" w:after="120" w:line="360" w:lineRule="auto"/>
        <w:ind w:left="850" w:hanging="850"/>
        <w:rPr>
          <w:b/>
          <w:szCs w:val="24"/>
          <w:lang w:eastAsia="en-US"/>
        </w:rPr>
      </w:pPr>
      <w:r w:rsidRPr="003E0486">
        <w:rPr>
          <w:szCs w:val="24"/>
          <w:lang w:eastAsia="en-US"/>
        </w:rPr>
        <w:t>15.</w:t>
      </w:r>
      <w:r w:rsidRPr="003E0486">
        <w:rPr>
          <w:szCs w:val="24"/>
          <w:lang w:eastAsia="en-US"/>
        </w:rPr>
        <w:tab/>
        <w:t>Kommissionen vedtager</w:t>
      </w:r>
      <w:r w:rsidRPr="003E0486">
        <w:rPr>
          <w:strike/>
          <w:szCs w:val="24"/>
          <w:lang w:eastAsia="en-US"/>
        </w:rPr>
        <w:t xml:space="preserve"> ved</w:t>
      </w:r>
      <w:r w:rsidRPr="003E0486">
        <w:rPr>
          <w:szCs w:val="24"/>
          <w:lang w:eastAsia="en-US"/>
        </w:rPr>
        <w:t xml:space="preserve"> gennemførelsesretsakter </w:t>
      </w:r>
      <w:r w:rsidRPr="003E0486">
        <w:rPr>
          <w:strike/>
          <w:szCs w:val="24"/>
          <w:lang w:eastAsia="en-US"/>
        </w:rPr>
        <w:t>de</w:t>
      </w:r>
      <w:r w:rsidRPr="003E0486">
        <w:rPr>
          <w:b/>
          <w:i/>
          <w:szCs w:val="24"/>
          <w:lang w:eastAsia="en-US"/>
        </w:rPr>
        <w:t>i form af</w:t>
      </w:r>
      <w:r w:rsidRPr="003E0486">
        <w:rPr>
          <w:szCs w:val="24"/>
          <w:lang w:eastAsia="en-US"/>
        </w:rPr>
        <w:t xml:space="preserve"> afgørelser, hvori medlemsstater anmodes om at tilbagekalde de i stk. 12 omhandlede afgørelser. Disse gennemførelsesretsakter vedtages efter rådgivningsproceduren i artikel 262, stk. 2.</w:t>
      </w:r>
      <w:r w:rsidR="003038CF">
        <w:rPr>
          <w:b/>
          <w:szCs w:val="24"/>
          <w:lang w:eastAsia="en-US"/>
        </w:rPr>
        <w:t xml:space="preserve"> [Ændring 91]</w:t>
      </w:r>
    </w:p>
    <w:p w14:paraId="2BDC19B7" w14:textId="77777777" w:rsidR="003E5D8B" w:rsidRDefault="003E5D8B">
      <w:pPr>
        <w:widowControl/>
        <w:rPr>
          <w:szCs w:val="24"/>
          <w:lang w:eastAsia="en-US"/>
        </w:rPr>
      </w:pPr>
      <w:r>
        <w:rPr>
          <w:szCs w:val="24"/>
          <w:lang w:eastAsia="en-US"/>
        </w:rPr>
        <w:br w:type="page"/>
      </w:r>
    </w:p>
    <w:p w14:paraId="11F23032" w14:textId="6A3C718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3 </w:t>
      </w:r>
      <w:r w:rsidRPr="003E0486">
        <w:rPr>
          <w:szCs w:val="24"/>
          <w:lang w:eastAsia="en-US"/>
        </w:rPr>
        <w:br/>
        <w:t>Prøvelse</w:t>
      </w:r>
    </w:p>
    <w:p w14:paraId="132FAA0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15</w:t>
      </w:r>
      <w:r w:rsidRPr="003E0486">
        <w:rPr>
          <w:szCs w:val="24"/>
          <w:lang w:eastAsia="en-US"/>
        </w:rPr>
        <w:br/>
        <w:t>Afgørelser truffet af en retsinstans</w:t>
      </w:r>
    </w:p>
    <w:p w14:paraId="269AD3C4" w14:textId="77777777" w:rsidR="003E0486" w:rsidRPr="003E0486" w:rsidRDefault="003E0486" w:rsidP="003E0486">
      <w:pPr>
        <w:spacing w:before="120" w:after="120" w:line="360" w:lineRule="auto"/>
        <w:rPr>
          <w:szCs w:val="24"/>
          <w:lang w:eastAsia="en-US"/>
        </w:rPr>
      </w:pPr>
      <w:r w:rsidRPr="003E0486">
        <w:rPr>
          <w:szCs w:val="24"/>
          <w:lang w:eastAsia="en-US"/>
        </w:rPr>
        <w:t>Artikel 16 og 17 anvendes ikke på sager indbragt med påstand om annullering, tilbagekaldelse eller ændring af en afgørelse vedrørende anvendelse af toldlovgivningen truffet af en retsinstans eller af toldmyndigheder, der handler som retsinstanser.</w:t>
      </w:r>
    </w:p>
    <w:p w14:paraId="1CBADE6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w:t>
      </w:r>
      <w:r w:rsidRPr="003E0486">
        <w:rPr>
          <w:szCs w:val="24"/>
          <w:lang w:eastAsia="en-US"/>
        </w:rPr>
        <w:br/>
        <w:t>Prøvelsesadgang</w:t>
      </w:r>
    </w:p>
    <w:p w14:paraId="47F29A8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Enhver person kan indbringe enhver afgørelse, der er truffet af toldmyndighederne om anvendelse af toldlovgivningen, og som berører den pågældende umiddelbart og individuelt, for en højere instans.</w:t>
      </w:r>
    </w:p>
    <w:p w14:paraId="411E7AEB" w14:textId="77777777" w:rsidR="003E0486" w:rsidRPr="003E0486" w:rsidRDefault="003E0486" w:rsidP="003E0486">
      <w:pPr>
        <w:spacing w:before="120" w:after="120" w:line="360" w:lineRule="auto"/>
        <w:ind w:left="850"/>
        <w:rPr>
          <w:szCs w:val="24"/>
          <w:lang w:eastAsia="en-US"/>
        </w:rPr>
      </w:pPr>
      <w:r w:rsidRPr="003E0486">
        <w:rPr>
          <w:szCs w:val="24"/>
          <w:lang w:eastAsia="en-US"/>
        </w:rPr>
        <w:t>Endvidere kan enhver person, der har ansøgt toldmyndighederne om en afgørelse, og som ikke har opnået en afgørelse inden for fristerne i artikel 6, stk. 3, indbringe sagen for en højere instans.</w:t>
      </w:r>
    </w:p>
    <w:p w14:paraId="0851EB3E" w14:textId="77777777" w:rsidR="003E5D8B" w:rsidRDefault="003E5D8B">
      <w:pPr>
        <w:widowControl/>
        <w:rPr>
          <w:szCs w:val="24"/>
          <w:lang w:eastAsia="en-US"/>
        </w:rPr>
      </w:pPr>
      <w:r>
        <w:rPr>
          <w:szCs w:val="24"/>
          <w:lang w:eastAsia="en-US"/>
        </w:rPr>
        <w:br w:type="page"/>
      </w:r>
    </w:p>
    <w:p w14:paraId="495E4F5B" w14:textId="35D35AD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Sager kan indbringes i mindst to instanser:</w:t>
      </w:r>
    </w:p>
    <w:p w14:paraId="4217229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 første instans til toldmyndighederne eller en retsinstans eller et andet organ, der er udpeget af medlemsstaterne til det formål</w:t>
      </w:r>
    </w:p>
    <w:p w14:paraId="0C95B34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anden instans til en højere, uafhængig instans, der kan være en domstol eller et tilsvarende specialiseret organ, i overensstemmelse med de gældende bestemmelser i medlemsstaterne.</w:t>
      </w:r>
    </w:p>
    <w:p w14:paraId="660A55E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Sagen skal indbringes i den medlemsstat, hvor afgørelsen blev truffet, eller hvor der blev ansøgt om en sådan afgørelse.</w:t>
      </w:r>
    </w:p>
    <w:p w14:paraId="358F170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Medlemsstaterne sørger for, at prøvelsesproceduren giver mulighed for en hurtig bekræftelse eller korrektion af afgørelser truffet af toldmyndighederne.</w:t>
      </w:r>
    </w:p>
    <w:p w14:paraId="0B7232FD" w14:textId="77777777" w:rsidR="003E5D8B" w:rsidRDefault="003E5D8B">
      <w:pPr>
        <w:widowControl/>
        <w:rPr>
          <w:szCs w:val="24"/>
          <w:lang w:eastAsia="en-US"/>
        </w:rPr>
      </w:pPr>
      <w:r>
        <w:rPr>
          <w:szCs w:val="24"/>
          <w:lang w:eastAsia="en-US"/>
        </w:rPr>
        <w:br w:type="page"/>
      </w:r>
    </w:p>
    <w:p w14:paraId="4D7233CA" w14:textId="49BA4EE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17</w:t>
      </w:r>
      <w:r w:rsidRPr="003E0486">
        <w:rPr>
          <w:szCs w:val="24"/>
          <w:lang w:eastAsia="en-US"/>
        </w:rPr>
        <w:br/>
        <w:t>Suspension af gennemførelsen</w:t>
      </w:r>
    </w:p>
    <w:p w14:paraId="3139AF9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Indbringelsen af en sag har ikke opsættende virkning for gennemførelsen af den anfægtede afgørelse.</w:t>
      </w:r>
    </w:p>
    <w:p w14:paraId="0D11FA3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imidlertid suspendere gennemførelsen af afgørelsen helt eller delvis, hvis de har begrundet formodning om, at den anfægtede afgørelse ikke er i overensstemmelse med toldlovgivningen, eller hvis der må frygtes uoprettelig skade for den berørte person.</w:t>
      </w:r>
    </w:p>
    <w:p w14:paraId="05B8D8F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de i stk. 2 omhandlede tilfælde, hvor den anfægtede afgørelse bevirker, at der skal betales import- eller eksportafgifter, er suspension af gennemførelsen af afgørelsen betinget af, at der stilles sikkerhed, medmindre det på grundlag af en dokumenteret vurdering konstateres, at en sådan sikkerhedsstillelse vil kunne give debitor alvorlige vanskeligheder af økonomisk art.</w:t>
      </w:r>
    </w:p>
    <w:p w14:paraId="1A6E267C" w14:textId="77777777" w:rsidR="003E5D8B" w:rsidRDefault="003E5D8B">
      <w:pPr>
        <w:widowControl/>
        <w:rPr>
          <w:szCs w:val="24"/>
          <w:lang w:eastAsia="en-US"/>
        </w:rPr>
      </w:pPr>
      <w:r>
        <w:rPr>
          <w:szCs w:val="24"/>
          <w:lang w:eastAsia="en-US"/>
        </w:rPr>
        <w:br w:type="page"/>
      </w:r>
    </w:p>
    <w:p w14:paraId="1F682C10" w14:textId="371ACE6E"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4 </w:t>
      </w:r>
      <w:r w:rsidRPr="003E0486">
        <w:rPr>
          <w:szCs w:val="24"/>
          <w:lang w:eastAsia="en-US"/>
        </w:rPr>
        <w:br/>
        <w:t>Afgifter og omkostninger</w:t>
      </w:r>
    </w:p>
    <w:p w14:paraId="7A6F1B5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18</w:t>
      </w:r>
      <w:r w:rsidRPr="003E0486">
        <w:rPr>
          <w:szCs w:val="24"/>
          <w:lang w:eastAsia="en-US"/>
        </w:rPr>
        <w:br/>
        <w:t>Afgifts- og omkostningsforbud</w:t>
      </w:r>
    </w:p>
    <w:p w14:paraId="13795F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pålægger ikke afgifter for gennemførelse af toldkontrol eller anden anvendelse af toldlovgivningen inden for deres kompetente toldsteders officielle åbningstid.</w:t>
      </w:r>
    </w:p>
    <w:p w14:paraId="3241673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pålægge afgifter eller kræve dækning for omkostninger, når der udføres særlige tjenesteydelser, navnlig følgende:</w:t>
      </w:r>
    </w:p>
    <w:p w14:paraId="1220B658" w14:textId="152EB450" w:rsidR="003E0486" w:rsidRPr="003038CF" w:rsidRDefault="003E0486" w:rsidP="003E0486">
      <w:pPr>
        <w:spacing w:before="120" w:after="120" w:line="360" w:lineRule="auto"/>
        <w:ind w:left="1416" w:hanging="566"/>
        <w:rPr>
          <w:b/>
          <w:szCs w:val="24"/>
          <w:lang w:eastAsia="en-US"/>
        </w:rPr>
      </w:pPr>
      <w:r w:rsidRPr="003E0486">
        <w:rPr>
          <w:strike/>
          <w:szCs w:val="24"/>
          <w:lang w:eastAsia="en-US"/>
        </w:rPr>
        <w:t>(a)</w:t>
      </w:r>
      <w:r w:rsidRPr="00823E10">
        <w:rPr>
          <w:strike/>
          <w:szCs w:val="24"/>
          <w:lang w:eastAsia="en-US"/>
        </w:rPr>
        <w:tab/>
      </w:r>
      <w:r w:rsidRPr="003E0486">
        <w:rPr>
          <w:strike/>
          <w:szCs w:val="24"/>
          <w:lang w:eastAsia="en-US"/>
        </w:rPr>
        <w:t>toldpersonales tilstedeværelse uden for officiel åbningstid eller andre steder end på toldmyndighedernes lokaliteter efter anmodning</w:t>
      </w:r>
      <w:r w:rsidR="003038CF">
        <w:rPr>
          <w:b/>
          <w:szCs w:val="24"/>
          <w:lang w:eastAsia="en-US"/>
        </w:rPr>
        <w:t xml:space="preserve"> [Ændring 92]</w:t>
      </w:r>
    </w:p>
    <w:p w14:paraId="0C0004E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analyser eller ekspertudtalelser om varer og portoudgifter til returnering af varer til en ansøger, især for så vidt angår afgørelser, der træffes i medfør af artikel 13, eller meddelelse af oplysninger som omhandlet i artikel 39</w:t>
      </w:r>
    </w:p>
    <w:p w14:paraId="77C87E22" w14:textId="6B6F7AC6"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undersøgelse eller prøveudtagning af varer i verifikationsøjemed eller tilintetgørelse af varer, hvis der er andre omkostninger forbundet hermed end anvendelse af toldpersonale</w:t>
      </w:r>
      <w:r w:rsidR="00D3001B">
        <w:rPr>
          <w:szCs w:val="24"/>
          <w:lang w:eastAsia="en-US"/>
        </w:rPr>
        <w:t>.</w:t>
      </w:r>
    </w:p>
    <w:p w14:paraId="0616EB99" w14:textId="77777777" w:rsidR="003E5D8B" w:rsidRDefault="003E5D8B">
      <w:pPr>
        <w:widowControl/>
        <w:rPr>
          <w:strike/>
          <w:szCs w:val="24"/>
          <w:lang w:eastAsia="en-US"/>
        </w:rPr>
      </w:pPr>
      <w:r>
        <w:rPr>
          <w:strike/>
          <w:szCs w:val="24"/>
          <w:lang w:eastAsia="en-US"/>
        </w:rPr>
        <w:br w:type="page"/>
      </w:r>
    </w:p>
    <w:p w14:paraId="619BE05A" w14:textId="048F96C5" w:rsidR="003E0486" w:rsidRPr="003038CF" w:rsidRDefault="003E0486" w:rsidP="003E0486">
      <w:pPr>
        <w:spacing w:before="120" w:after="120" w:line="360" w:lineRule="auto"/>
        <w:ind w:left="1416" w:hanging="566"/>
        <w:rPr>
          <w:b/>
          <w:szCs w:val="24"/>
          <w:lang w:eastAsia="en-US"/>
        </w:rPr>
      </w:pPr>
      <w:r w:rsidRPr="003E0486">
        <w:rPr>
          <w:strike/>
          <w:szCs w:val="24"/>
          <w:lang w:eastAsia="en-US"/>
        </w:rPr>
        <w:lastRenderedPageBreak/>
        <w:t>(d)</w:t>
      </w:r>
      <w:r w:rsidRPr="00823E10">
        <w:rPr>
          <w:strike/>
          <w:szCs w:val="24"/>
          <w:lang w:eastAsia="en-US"/>
        </w:rPr>
        <w:tab/>
      </w:r>
      <w:r w:rsidRPr="003E0486">
        <w:rPr>
          <w:strike/>
          <w:szCs w:val="24"/>
          <w:lang w:eastAsia="en-US"/>
        </w:rPr>
        <w:t>ekstraordinære kontrolforanstaltninger, hvor det er nødvendigt som følge af varernes art eller en potentiel risiko.</w:t>
      </w:r>
      <w:r w:rsidR="003038CF">
        <w:rPr>
          <w:b/>
          <w:szCs w:val="24"/>
          <w:lang w:eastAsia="en-US"/>
        </w:rPr>
        <w:t xml:space="preserve"> [Ændring 93]</w:t>
      </w:r>
    </w:p>
    <w:p w14:paraId="33FABC3B"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AFSNIT II </w:t>
      </w:r>
      <w:r w:rsidRPr="003E0486">
        <w:rPr>
          <w:szCs w:val="24"/>
          <w:lang w:eastAsia="en-US"/>
        </w:rPr>
        <w:br/>
        <w:t>Personers forpligtelser og rettigheder i henhold til toldlovgivningen</w:t>
      </w:r>
    </w:p>
    <w:p w14:paraId="3513ED9D"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Registrering</w:t>
      </w:r>
    </w:p>
    <w:p w14:paraId="588F732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w:t>
      </w:r>
      <w:r w:rsidRPr="003E0486">
        <w:rPr>
          <w:szCs w:val="24"/>
          <w:lang w:eastAsia="en-US"/>
        </w:rPr>
        <w:br/>
        <w:t>Registrering</w:t>
      </w:r>
    </w:p>
    <w:p w14:paraId="1240A3B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 økonomiske operatører, der er etableret i Unionens toldområde, registrerer sig hos de toldmyndigheder, der er ansvarlige for det sted, hvor de er etableret, med henblik på at få tildelt af et EORI-nummer (økonomiske operatørers registrerings- og identifikationsnummer). Hvis det er muligt, skal denne registrering også omfatte elektronisk identifikation af operatøren i de nationale elektroniske identifikationsordninger, der er omhandlet i forordning (EU) nr. 910/2014.</w:t>
      </w:r>
    </w:p>
    <w:p w14:paraId="4969D0DD" w14:textId="77777777" w:rsidR="003E5D8B" w:rsidRDefault="003E5D8B">
      <w:pPr>
        <w:widowControl/>
        <w:rPr>
          <w:szCs w:val="24"/>
          <w:lang w:eastAsia="en-US"/>
        </w:rPr>
      </w:pPr>
      <w:r>
        <w:rPr>
          <w:szCs w:val="24"/>
          <w:lang w:eastAsia="en-US"/>
        </w:rPr>
        <w:br w:type="page"/>
      </w:r>
    </w:p>
    <w:p w14:paraId="54D46397" w14:textId="3859003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Registrerede økonomiske operatører meddeler toldmyndighederne enhver ændring af deres registreringsoplysninger, navnlig hvis dette medfører en ændring af deres etableringssted.</w:t>
      </w:r>
    </w:p>
    <w:p w14:paraId="72FD6AB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specifikke tilfælde registrerer økonomiske operatører, der ikke er etableret i Unionens toldområde, sig hos de toldmyndigheder, der er ansvarlige for det sted, hvor de første gang indgiver en angivelse eller ansøger om en afgørelse.</w:t>
      </w:r>
    </w:p>
    <w:p w14:paraId="7EF4375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Andre personer end økonomiske operatører er ikke forpligtet til at registrere sig hos toldmyndighederne, medmindre andet er fastsat.</w:t>
      </w:r>
    </w:p>
    <w:p w14:paraId="79FCC3DF" w14:textId="77777777" w:rsidR="003E0486" w:rsidRPr="003E0486" w:rsidRDefault="003E0486" w:rsidP="003E0486">
      <w:pPr>
        <w:spacing w:before="120" w:after="120" w:line="360" w:lineRule="auto"/>
        <w:ind w:left="850"/>
        <w:rPr>
          <w:szCs w:val="24"/>
          <w:lang w:eastAsia="en-US"/>
        </w:rPr>
      </w:pPr>
      <w:r w:rsidRPr="003E0486">
        <w:rPr>
          <w:szCs w:val="24"/>
          <w:lang w:eastAsia="en-US"/>
        </w:rPr>
        <w:t>Er personer omhandlet i første afsnit forpligtet til at registrere sig, gælder følgende:</w:t>
      </w:r>
    </w:p>
    <w:p w14:paraId="70F3412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såfremt de er etableret i Unionens toldområde, registrerer de sig hos de toldmyndigheder, der er ansvarlige for det sted, hvor de er etableret</w:t>
      </w:r>
    </w:p>
    <w:p w14:paraId="3F17CB8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såfremt de ikke er etableret i Unionens toldområde, registrerer de sig hos de toldmyndigheder, der er ansvarlige for det sted, hvor de første gang indgiver en angivelse eller ansøger om en afgørelse.</w:t>
      </w:r>
    </w:p>
    <w:p w14:paraId="3EEB944D" w14:textId="77777777" w:rsidR="003E5D8B" w:rsidRDefault="003E5D8B">
      <w:pPr>
        <w:widowControl/>
        <w:rPr>
          <w:szCs w:val="24"/>
          <w:lang w:eastAsia="en-US"/>
        </w:rPr>
      </w:pPr>
      <w:r>
        <w:rPr>
          <w:szCs w:val="24"/>
          <w:lang w:eastAsia="en-US"/>
        </w:rPr>
        <w:br w:type="page"/>
      </w:r>
    </w:p>
    <w:p w14:paraId="0EE83A89" w14:textId="177BF8AB" w:rsidR="003E0486" w:rsidRPr="003038CF" w:rsidRDefault="003E0486" w:rsidP="003E0486">
      <w:pPr>
        <w:spacing w:before="120" w:after="120" w:line="360" w:lineRule="auto"/>
        <w:ind w:left="850" w:hanging="850"/>
        <w:rPr>
          <w:b/>
          <w:szCs w:val="24"/>
          <w:lang w:eastAsia="en-US"/>
        </w:rPr>
      </w:pPr>
      <w:r w:rsidRPr="003E0486">
        <w:rPr>
          <w:szCs w:val="24"/>
          <w:lang w:eastAsia="en-US"/>
        </w:rPr>
        <w:lastRenderedPageBreak/>
        <w:t>5.</w:t>
      </w:r>
      <w:r w:rsidRPr="003E0486">
        <w:rPr>
          <w:szCs w:val="24"/>
          <w:lang w:eastAsia="en-US"/>
        </w:rPr>
        <w:tab/>
        <w:t>I specifikke</w:t>
      </w:r>
      <w:r w:rsidRPr="003E0486">
        <w:rPr>
          <w:b/>
          <w:i/>
          <w:szCs w:val="24"/>
          <w:lang w:eastAsia="en-US"/>
        </w:rPr>
        <w:t xml:space="preserve"> og behørigt begrundede</w:t>
      </w:r>
      <w:r w:rsidRPr="003E0486">
        <w:rPr>
          <w:szCs w:val="24"/>
          <w:lang w:eastAsia="en-US"/>
        </w:rPr>
        <w:t xml:space="preserve"> tilfælde erklærer toldmyndighederne registreringen ugyldig.</w:t>
      </w:r>
      <w:r w:rsidR="003038CF">
        <w:rPr>
          <w:b/>
          <w:szCs w:val="24"/>
          <w:lang w:eastAsia="en-US"/>
        </w:rPr>
        <w:t xml:space="preserve"> [Ændrin</w:t>
      </w:r>
      <w:r w:rsidR="0053357E">
        <w:rPr>
          <w:b/>
          <w:szCs w:val="24"/>
          <w:lang w:eastAsia="en-US"/>
        </w:rPr>
        <w:t>g 9</w:t>
      </w:r>
      <w:r w:rsidR="003038CF">
        <w:rPr>
          <w:b/>
          <w:szCs w:val="24"/>
          <w:lang w:eastAsia="en-US"/>
        </w:rPr>
        <w:t>4]</w:t>
      </w:r>
    </w:p>
    <w:p w14:paraId="7E1A659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tillægges beføjelser til at vedtage delegerede retsakter i overensstemmelse med artikel 261 med henblik på at supplere denne forordning ved at fastsætte:</w:t>
      </w:r>
    </w:p>
    <w:p w14:paraId="55B8718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minimumsdatakravene for den registrering, der er omhandlet i stk. 1</w:t>
      </w:r>
    </w:p>
    <w:p w14:paraId="1FE824E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specifikke tilfælde, der er omhandlet i stk. 3.</w:t>
      </w:r>
    </w:p>
    <w:p w14:paraId="27DBA79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i stk. 4, første afsnit, omhandlede tilfælde, hvor andre personer end økonomiske operatører er forpligtet til at registrere sig hos toldmyndighederne</w:t>
      </w:r>
    </w:p>
    <w:p w14:paraId="30B98CF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i stk. 5 omhandlede specifikke tilfælde, hvor toldmyndighederne erklærer en registrering ugyldig</w:t>
      </w:r>
    </w:p>
    <w:p w14:paraId="5960FD2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den toldmyndighed, der er ansvarlig for registreringen.</w:t>
      </w:r>
    </w:p>
    <w:p w14:paraId="78DB8CF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præciserer ved gennemførelsesretsakter den i stk. 1 omhandlede toldmyndighed, der er ansvarlig for registreringen. Disse gennemførelsesretsakter vedtages efter rådgivningsproceduren i artikel 262, stk. 2.</w:t>
      </w:r>
    </w:p>
    <w:p w14:paraId="4DD04C72" w14:textId="77777777" w:rsidR="003E5D8B" w:rsidRDefault="003E5D8B">
      <w:pPr>
        <w:widowControl/>
        <w:rPr>
          <w:szCs w:val="24"/>
          <w:lang w:eastAsia="en-US"/>
        </w:rPr>
      </w:pPr>
      <w:r>
        <w:rPr>
          <w:szCs w:val="24"/>
          <w:lang w:eastAsia="en-US"/>
        </w:rPr>
        <w:br w:type="page"/>
      </w:r>
    </w:p>
    <w:p w14:paraId="19BBBF7E" w14:textId="6EA512D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2 </w:t>
      </w:r>
      <w:r w:rsidRPr="003E0486">
        <w:rPr>
          <w:szCs w:val="24"/>
          <w:lang w:eastAsia="en-US"/>
        </w:rPr>
        <w:br/>
        <w:t>Importør og formelle importører</w:t>
      </w:r>
    </w:p>
    <w:p w14:paraId="52ADFDA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w:t>
      </w:r>
      <w:r w:rsidRPr="003E0486">
        <w:rPr>
          <w:szCs w:val="24"/>
          <w:lang w:eastAsia="en-US"/>
        </w:rPr>
        <w:br/>
        <w:t>Importører</w:t>
      </w:r>
    </w:p>
    <w:p w14:paraId="77E8779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Importøren skal opfylde følgende forpligtelser:</w:t>
      </w:r>
    </w:p>
    <w:p w14:paraId="2C417F4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over for toldmyndighederne at meddele, opbevare og sørge for tilgængelighed af alle de oplysninger, der er nødvendige med henblik på oplagring eller den toldprocedure, som varerne skal henføres under, jf. artikel 88, 118, 132 og 135, eller med henblik på at afslutte proceduren for passiv forædling, så snart oplysningerne foreligger, og under alle omstændigheder inden varerne frigives</w:t>
      </w:r>
    </w:p>
    <w:p w14:paraId="67BBA38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sikre korrekt beregning og betaling af told og andre afgifter</w:t>
      </w:r>
    </w:p>
    <w:p w14:paraId="247D2D63" w14:textId="24BE96EB" w:rsidR="003E0486" w:rsidRPr="001B7ED5" w:rsidRDefault="003E0486" w:rsidP="003E0486">
      <w:pPr>
        <w:spacing w:before="120" w:after="120" w:line="360" w:lineRule="auto"/>
        <w:ind w:left="1416" w:hanging="566"/>
        <w:rPr>
          <w:b/>
          <w:szCs w:val="24"/>
          <w:lang w:eastAsia="en-US"/>
        </w:rPr>
      </w:pPr>
      <w:r w:rsidRPr="003E0486">
        <w:rPr>
          <w:szCs w:val="24"/>
          <w:lang w:eastAsia="en-US"/>
        </w:rPr>
        <w:t>(c)</w:t>
      </w:r>
      <w:r w:rsidRPr="003E0486">
        <w:rPr>
          <w:szCs w:val="24"/>
          <w:lang w:eastAsia="en-US"/>
        </w:rPr>
        <w:tab/>
        <w:t>at sikre, at varer, der føres ind i eller ud af Unionens toldområde, overholder anden relevant lovgivning</w:t>
      </w:r>
      <w:r w:rsidRPr="003E0486">
        <w:rPr>
          <w:b/>
          <w:i/>
          <w:szCs w:val="24"/>
          <w:lang w:eastAsia="en-US"/>
        </w:rPr>
        <w:t>, herunder forordning (EU) 2023/988</w:t>
      </w:r>
      <w:r w:rsidRPr="003E0486">
        <w:rPr>
          <w:szCs w:val="24"/>
          <w:lang w:eastAsia="en-US"/>
        </w:rPr>
        <w:t>, der anvendes af toldmyndighederne, og at meddele, opbevare og sørge for tilgængelighed af passende regnskab for en sådan overholdelse</w:t>
      </w:r>
      <w:r w:rsidR="001B7ED5">
        <w:rPr>
          <w:b/>
          <w:szCs w:val="24"/>
          <w:lang w:eastAsia="en-US"/>
        </w:rPr>
        <w:t xml:space="preserve"> [Ændring 95]</w:t>
      </w:r>
    </w:p>
    <w:p w14:paraId="7B7F89A0" w14:textId="77777777" w:rsidR="003E5D8B" w:rsidRDefault="003E5D8B">
      <w:pPr>
        <w:widowControl/>
        <w:rPr>
          <w:szCs w:val="24"/>
          <w:lang w:eastAsia="en-US"/>
        </w:rPr>
      </w:pPr>
      <w:r>
        <w:rPr>
          <w:szCs w:val="24"/>
          <w:lang w:eastAsia="en-US"/>
        </w:rPr>
        <w:br w:type="page"/>
      </w:r>
    </w:p>
    <w:p w14:paraId="71430368" w14:textId="4B118DF3"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at opfylde enhver anden forpligtelse, der påhviler importøren i henhold til toldlovgivningen.</w:t>
      </w:r>
    </w:p>
    <w:p w14:paraId="32E6A1D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Importøren skal være etableret i Unionens toldområde.</w:t>
      </w:r>
    </w:p>
    <w:p w14:paraId="54DAC4A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Uanset stk. 2 stilles der ikke krav om, at følgende importører eller personer skal være etableret i Unionens toldområde:</w:t>
      </w:r>
    </w:p>
    <w:p w14:paraId="67B688C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importør, der henfører varer under forsendelse eller midlertidig import</w:t>
      </w:r>
    </w:p>
    <w:p w14:paraId="60A9A21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importør, der indfører varer, der forbliver under midlertidig opbevaring</w:t>
      </w:r>
    </w:p>
    <w:p w14:paraId="66BC32D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personer, der lejlighedsvis henfører varer under toldprocedurer, forudsat at toldmyndighederne finder en sådan henførsel berettiget</w:t>
      </w:r>
    </w:p>
    <w:p w14:paraId="5CF7E7F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personer, der er etableret i et land, hvis område støder op til Unionens toldområde, og som frembyder varerne for et EU-grænsetoldsted, der støder op til det pågældende land, såfremt det land, hvor personerne er etablerede, giver gensidige fordele til personer, der er etableret i Unionens toldområde.</w:t>
      </w:r>
    </w:p>
    <w:p w14:paraId="2D8B5BA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en formel importør, som repræsenteres af en indirekte repræsentant, der er etableret i Unionens toldområde.</w:t>
      </w:r>
    </w:p>
    <w:p w14:paraId="4B9E033E" w14:textId="77777777" w:rsidR="003E5D8B" w:rsidRDefault="003E5D8B">
      <w:pPr>
        <w:widowControl/>
        <w:rPr>
          <w:szCs w:val="24"/>
          <w:lang w:eastAsia="en-US"/>
        </w:rPr>
      </w:pPr>
      <w:r>
        <w:rPr>
          <w:szCs w:val="24"/>
          <w:lang w:eastAsia="en-US"/>
        </w:rPr>
        <w:br w:type="page"/>
      </w:r>
    </w:p>
    <w:p w14:paraId="5647FCD8" w14:textId="66CFC3F9"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21</w:t>
      </w:r>
      <w:r w:rsidRPr="003E0486">
        <w:rPr>
          <w:szCs w:val="24"/>
          <w:lang w:eastAsia="en-US"/>
        </w:rPr>
        <w:br/>
        <w:t>Formelle importører</w:t>
      </w:r>
    </w:p>
    <w:p w14:paraId="22BBC8E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Uanset artikel 20, stk. 1, litra a), skal formelle importører meddele eller sørge for tilgængelighed af oplysningerne om fjernsalg af varer, der skal importeres i Unionens toldområde, senest dagen efter den dato, hvor betalingen blev modtaget, og under alle omstændigheder inden varerne frigives.</w:t>
      </w:r>
    </w:p>
    <w:p w14:paraId="1916347C" w14:textId="3698A519"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Uden at det berører de oplysninger, der kræves med henblik på overgang til fri omsætning i henhold til artikel 88,</w:t>
      </w:r>
      <w:r w:rsidR="009A05BD">
        <w:rPr>
          <w:szCs w:val="24"/>
          <w:lang w:eastAsia="en-US"/>
        </w:rPr>
        <w:t xml:space="preserve"> </w:t>
      </w:r>
      <w:r w:rsidRPr="003E0486">
        <w:rPr>
          <w:szCs w:val="24"/>
          <w:lang w:eastAsia="en-US"/>
        </w:rPr>
        <w:t>stk. 3, litra a), skal de oplysninger, der er omhandlet i nærværende artikels stk. 1, mindst have det indhold, der kræves i henhold til artikel 63c, stk. 2, i gennemførelsesforordning (EU) nr. 282/2011.</w:t>
      </w:r>
    </w:p>
    <w:p w14:paraId="03E83D3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Når varer, der tidligere i forbindelse med fjernsalg er blevet importeret af en formel importør, returneres til den oprindelige afsenders adresse eller til en anden adresse uden for Unionens toldområde, erklærer den formelle importør oplysningerne om disse varers overgang til fri omsætning for ugyldige og fremsender eller sørger for tilgængelighed af beviset for varernes udpassage fra Unionens toldområde.</w:t>
      </w:r>
    </w:p>
    <w:p w14:paraId="02B36EB5" w14:textId="77777777" w:rsidR="003E5D8B" w:rsidRDefault="003E5D8B">
      <w:pPr>
        <w:widowControl/>
        <w:rPr>
          <w:szCs w:val="24"/>
          <w:lang w:eastAsia="en-US"/>
        </w:rPr>
      </w:pPr>
      <w:r>
        <w:rPr>
          <w:szCs w:val="24"/>
          <w:lang w:eastAsia="en-US"/>
        </w:rPr>
        <w:br w:type="page"/>
      </w:r>
    </w:p>
    <w:p w14:paraId="7F81E582" w14:textId="07EF4EEC"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Eksportør</w:t>
      </w:r>
    </w:p>
    <w:p w14:paraId="354EADB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w:t>
      </w:r>
      <w:r w:rsidRPr="003E0486">
        <w:rPr>
          <w:szCs w:val="24"/>
          <w:lang w:eastAsia="en-US"/>
        </w:rPr>
        <w:br/>
        <w:t>Eksportører</w:t>
      </w:r>
    </w:p>
    <w:p w14:paraId="266AA77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Eksportøren skal opfylde følgende forpligtelser:</w:t>
      </w:r>
    </w:p>
    <w:p w14:paraId="64A62D6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over for toldmyndighederne at meddele, opbevare og sørge for tilgængelighed af alle de oplysninger, der er nødvendige med henblik på den toldprocedure, som varerne skal henføres under, jf. artikel 99 og 140, eller med henblik på at afslutte proceduren for midlertidig import, så snart oplysningerne foreligger, og under alle omstændigheder inden varerne frigives</w:t>
      </w:r>
    </w:p>
    <w:p w14:paraId="5627DD3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sikre korrekt beregning og opkrævning af told og andre afgifter</w:t>
      </w:r>
    </w:p>
    <w:p w14:paraId="525DA3C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sikre, at varer, der føres ind i eller ud af Unionens toldområde, overholder anden relevant lovgivning, der anvendes af toldmyndighederne, og at meddele, opbevare og sørge for tilgængelighed af passende regnskab for en sådan overholdelse</w:t>
      </w:r>
    </w:p>
    <w:p w14:paraId="6D60D03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opfylde enhver anden forpligtelse i henhold til toldlovgivningen.</w:t>
      </w:r>
    </w:p>
    <w:p w14:paraId="493EEC3D" w14:textId="77777777" w:rsidR="005562E6" w:rsidRDefault="005562E6">
      <w:pPr>
        <w:widowControl/>
        <w:rPr>
          <w:szCs w:val="24"/>
          <w:lang w:eastAsia="en-US"/>
        </w:rPr>
      </w:pPr>
      <w:r>
        <w:rPr>
          <w:szCs w:val="24"/>
          <w:lang w:eastAsia="en-US"/>
        </w:rPr>
        <w:br w:type="page"/>
      </w:r>
    </w:p>
    <w:p w14:paraId="3622019D" w14:textId="520FF53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Eksportøren skal være etableret i Unionens toldområde.</w:t>
      </w:r>
    </w:p>
    <w:p w14:paraId="51A4C04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Uanset stk. 2 stilles der ikke krav om, at følgende eksportører skal være etableret i Unionens toldområde:</w:t>
      </w:r>
    </w:p>
    <w:p w14:paraId="387107E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eksportør, der henfører varer under forsendelse, afslutter proceduren for midlertidig import eller eksporterer varer, der var under midlertidig opbevaring</w:t>
      </w:r>
    </w:p>
    <w:p w14:paraId="63493E4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personer, der lejlighedsvis henfører varer under toldprocedurer, forudsat at toldmyndighederne finder dette berettiget</w:t>
      </w:r>
    </w:p>
    <w:p w14:paraId="0BE5F77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personer, der er etableret i et land, hvis område støder op til Unionens toldområde, og som frembyder varerne for et EU-grænsetoldsted, der støder op til det pågældende land, såfremt det land, hvor personerne er etableret, giver gensidige fordele til personer, der er etableret i Unionens toldområde.</w:t>
      </w:r>
    </w:p>
    <w:p w14:paraId="3EB7F6D0" w14:textId="77777777" w:rsidR="005562E6" w:rsidRDefault="005562E6">
      <w:pPr>
        <w:widowControl/>
        <w:rPr>
          <w:szCs w:val="24"/>
          <w:lang w:eastAsia="en-US"/>
        </w:rPr>
      </w:pPr>
      <w:r>
        <w:rPr>
          <w:szCs w:val="24"/>
          <w:lang w:eastAsia="en-US"/>
        </w:rPr>
        <w:br w:type="page"/>
      </w:r>
    </w:p>
    <w:p w14:paraId="10535E62" w14:textId="0DF9AEE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4 </w:t>
      </w:r>
      <w:r w:rsidRPr="003E0486">
        <w:rPr>
          <w:szCs w:val="24"/>
          <w:lang w:eastAsia="en-US"/>
        </w:rPr>
        <w:br/>
        <w:t>Autoriseret økonomisk operatør og tillid og kontrol-erhvervsdrivende (Trust and check traders)</w:t>
      </w:r>
    </w:p>
    <w:p w14:paraId="69589A6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w:t>
      </w:r>
      <w:r w:rsidRPr="003E0486">
        <w:rPr>
          <w:szCs w:val="24"/>
          <w:lang w:eastAsia="en-US"/>
        </w:rPr>
        <w:br/>
        <w:t>Ansøgning og bevilling med henblik på status som autoriseret økonomisk operatør</w:t>
      </w:r>
    </w:p>
    <w:p w14:paraId="0727981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 person, som er hjemmehørende, er en registreret juridisk person eller er registreret i Unionens toldområde, og som opfylder kriterierne i artikel 24, kan ansøge om status som autoriseret økonomisk operatør.</w:t>
      </w:r>
    </w:p>
    <w:p w14:paraId="15017E53" w14:textId="1F990C84" w:rsidR="003E0486" w:rsidRPr="001B7ED5" w:rsidRDefault="003E0486" w:rsidP="003E0486">
      <w:pPr>
        <w:spacing w:before="120" w:after="120" w:line="360" w:lineRule="auto"/>
        <w:ind w:left="850"/>
        <w:rPr>
          <w:b/>
          <w:szCs w:val="24"/>
          <w:lang w:eastAsia="en-US"/>
        </w:rPr>
      </w:pPr>
      <w:r w:rsidRPr="003E0486">
        <w:rPr>
          <w:strike/>
          <w:szCs w:val="24"/>
          <w:lang w:eastAsia="en-US"/>
        </w:rPr>
        <w:t>Toldmyndighederne</w:t>
      </w:r>
      <w:r w:rsidRPr="003E0486">
        <w:rPr>
          <w:b/>
          <w:i/>
          <w:szCs w:val="24"/>
          <w:lang w:eastAsia="en-US"/>
        </w:rPr>
        <w:t>EU-Toldmyndigheden</w:t>
      </w:r>
      <w:r w:rsidRPr="003E0486">
        <w:rPr>
          <w:szCs w:val="24"/>
          <w:lang w:eastAsia="en-US"/>
        </w:rPr>
        <w:t xml:space="preserve"> udsteder</w:t>
      </w:r>
      <w:r w:rsidRPr="003E0486">
        <w:rPr>
          <w:b/>
          <w:i/>
          <w:szCs w:val="24"/>
          <w:lang w:eastAsia="en-US"/>
        </w:rPr>
        <w:t>, efter at have vurderet den kompetente nationale myndigheds revision og om nødvendigt efter høring af andre myndigheder,</w:t>
      </w:r>
      <w:r w:rsidRPr="003E0486">
        <w:rPr>
          <w:szCs w:val="24"/>
          <w:lang w:eastAsia="en-US"/>
        </w:rPr>
        <w:t xml:space="preserve"> en eller begge af følgende typer bevillinger</w:t>
      </w:r>
      <w:r w:rsidRPr="003E0486">
        <w:rPr>
          <w:strike/>
          <w:szCs w:val="24"/>
          <w:lang w:eastAsia="en-US"/>
        </w:rPr>
        <w:t>, om nødvendigt efter høring af myndigheder</w:t>
      </w:r>
      <w:r w:rsidRPr="003E0486">
        <w:rPr>
          <w:szCs w:val="24"/>
          <w:lang w:eastAsia="en-US"/>
        </w:rPr>
        <w:t>:</w:t>
      </w:r>
      <w:r w:rsidR="001B7ED5">
        <w:rPr>
          <w:b/>
          <w:szCs w:val="24"/>
          <w:lang w:eastAsia="en-US"/>
        </w:rPr>
        <w:t xml:space="preserve"> [Ændring 96]</w:t>
      </w:r>
    </w:p>
    <w:p w14:paraId="7557E7D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bevilling til en autoriseret økonomisk operatør til at udnytte forenklede toldbestemmelser, som giver indehaveren mulighed for at drage fordel af forenklingerne i overensstemmelse med toldlovgivningen, eller</w:t>
      </w:r>
    </w:p>
    <w:p w14:paraId="48659A4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bevilling til en autoriseret økonomisk operatør til at udnytte sikkerhedsrelaterede lettelser, som giver indehaveren mulighed for at drage fordel af sikkerhedsrelaterede lettelser.</w:t>
      </w:r>
    </w:p>
    <w:p w14:paraId="430678DA" w14:textId="77777777" w:rsidR="00831B3F" w:rsidRDefault="00831B3F">
      <w:pPr>
        <w:widowControl/>
        <w:rPr>
          <w:szCs w:val="24"/>
          <w:lang w:eastAsia="en-US"/>
        </w:rPr>
      </w:pPr>
      <w:r>
        <w:rPr>
          <w:szCs w:val="24"/>
          <w:lang w:eastAsia="en-US"/>
        </w:rPr>
        <w:br w:type="page"/>
      </w:r>
    </w:p>
    <w:p w14:paraId="7CDBEC0E" w14:textId="6E0EA61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Begge de i stk. 1, andet afsnit, anførte former for bevilling kan indehaves samtidigt.</w:t>
      </w:r>
    </w:p>
    <w:p w14:paraId="1BFBCE9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 i stk. 1 omhandlede personer skal overholde de forpligtelser, der er fastsat i artikel 7, stk. 2 og 3. Toldmyndighederne overvåger operatørens fortsatte overholdelse af kriterierne og betingelserne for status som autoriseret økonomisk operatør i overensstemmelse med artikel 7, stk. 4.</w:t>
      </w:r>
    </w:p>
    <w:p w14:paraId="26327537" w14:textId="77777777" w:rsidR="003E0486" w:rsidRPr="003E0486" w:rsidRDefault="003E0486" w:rsidP="003E0486">
      <w:pPr>
        <w:spacing w:before="120" w:after="120" w:line="360" w:lineRule="auto"/>
        <w:ind w:left="850"/>
        <w:rPr>
          <w:szCs w:val="24"/>
          <w:lang w:eastAsia="en-US"/>
        </w:rPr>
      </w:pPr>
      <w:r w:rsidRPr="003E0486">
        <w:rPr>
          <w:szCs w:val="24"/>
          <w:lang w:eastAsia="en-US"/>
        </w:rPr>
        <w:t>Toldmyndighederne foretager mindst hvert tredje år en dybdegående overvågning af den autoriserede økonomiske operatørs aktiviteter og interne regnskaber.</w:t>
      </w:r>
    </w:p>
    <w:p w14:paraId="78C7957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Under overholdelse af denne artikels stk. 5 og artikel 24 anerkendes status som autoriseret økonomisk operatør af toldmyndighederne i alle medlemsstater.</w:t>
      </w:r>
    </w:p>
    <w:p w14:paraId="1BBD27C8" w14:textId="31ED5CBF" w:rsidR="003E0486" w:rsidRPr="00E66B23" w:rsidRDefault="003E0486" w:rsidP="003E0486">
      <w:pPr>
        <w:spacing w:before="120" w:after="120" w:line="360" w:lineRule="auto"/>
        <w:ind w:left="850" w:hanging="850"/>
        <w:rPr>
          <w:b/>
          <w:szCs w:val="24"/>
          <w:lang w:eastAsia="en-US"/>
        </w:rPr>
      </w:pPr>
      <w:r w:rsidRPr="003E0486">
        <w:rPr>
          <w:szCs w:val="24"/>
          <w:lang w:eastAsia="en-US"/>
        </w:rPr>
        <w:t>5.</w:t>
      </w:r>
      <w:r w:rsidRPr="003E0486">
        <w:rPr>
          <w:szCs w:val="24"/>
          <w:lang w:eastAsia="en-US"/>
        </w:rPr>
        <w:tab/>
        <w:t xml:space="preserve">På grundlag af anerkendelsen af </w:t>
      </w:r>
      <w:r w:rsidRPr="003E0486">
        <w:rPr>
          <w:strike/>
          <w:szCs w:val="24"/>
          <w:lang w:eastAsia="en-US"/>
        </w:rPr>
        <w:t>statussen</w:t>
      </w:r>
      <w:r w:rsidRPr="003E0486">
        <w:rPr>
          <w:b/>
          <w:i/>
          <w:szCs w:val="24"/>
          <w:lang w:eastAsia="en-US"/>
        </w:rPr>
        <w:t>status som autoriseret økonomisk operatør med bevilling til at udnytte forenklede toldbestemmelser</w:t>
      </w:r>
      <w:r w:rsidRPr="003E0486">
        <w:rPr>
          <w:szCs w:val="24"/>
          <w:lang w:eastAsia="en-US"/>
        </w:rPr>
        <w:t xml:space="preserve">, og forudsat at kravene vedrørende en bestemt form for forenkling, som toldlovgivningen giver mulighed for, er opfyldt, godkender toldmyndighederne, at operatøren kan nyde godt af denne forenkling. Toldmyndighederne undersøger ikke kriterier, som allerede er blevet undersøgt i forbindelse med indrømmelsen af </w:t>
      </w:r>
      <w:r w:rsidRPr="003E0486">
        <w:rPr>
          <w:strike/>
          <w:szCs w:val="24"/>
          <w:lang w:eastAsia="en-US"/>
        </w:rPr>
        <w:t>statussen</w:t>
      </w:r>
      <w:r w:rsidRPr="003E0486">
        <w:rPr>
          <w:b/>
          <w:i/>
          <w:szCs w:val="24"/>
          <w:lang w:eastAsia="en-US"/>
        </w:rPr>
        <w:t>status som autoriseret økonomisk operatør med bevilling til at udnytte forenklede toldbestemmelser</w:t>
      </w:r>
      <w:r w:rsidRPr="003E0486">
        <w:rPr>
          <w:szCs w:val="24"/>
          <w:lang w:eastAsia="en-US"/>
        </w:rPr>
        <w:t>.</w:t>
      </w:r>
      <w:r w:rsidR="00E66B23">
        <w:rPr>
          <w:b/>
          <w:szCs w:val="24"/>
          <w:lang w:eastAsia="en-US"/>
        </w:rPr>
        <w:t xml:space="preserve"> [Ændring 97]</w:t>
      </w:r>
    </w:p>
    <w:p w14:paraId="2AC83688" w14:textId="77777777" w:rsidR="00831B3F" w:rsidRDefault="00831B3F">
      <w:pPr>
        <w:widowControl/>
        <w:rPr>
          <w:szCs w:val="24"/>
          <w:lang w:eastAsia="en-US"/>
        </w:rPr>
      </w:pPr>
      <w:r>
        <w:rPr>
          <w:szCs w:val="24"/>
          <w:lang w:eastAsia="en-US"/>
        </w:rPr>
        <w:br w:type="page"/>
      </w:r>
    </w:p>
    <w:p w14:paraId="42ABF6C0" w14:textId="6A571B8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En autoriseret økonomisk operatør som omhandlet i stk. 1 nyder godt af flere lettelser end andre økonomiske operatører for så vidt angår toldkontrol afhængigt af arten af den indrømmede bevilling, herunder færre fysiske og dokumentrelaterede kontroller. Der skal tages hensyn til status som autoriseret økonomisk operatør i forbindelse med toldrisikoforvaltning.</w:t>
      </w:r>
    </w:p>
    <w:p w14:paraId="5A260E72" w14:textId="23160D4B" w:rsidR="003E0486" w:rsidRPr="00E66B23" w:rsidRDefault="003E0486" w:rsidP="003E0486">
      <w:pPr>
        <w:spacing w:before="120" w:after="120" w:line="360" w:lineRule="auto"/>
        <w:ind w:left="850" w:hanging="850"/>
        <w:rPr>
          <w:b/>
          <w:szCs w:val="24"/>
          <w:lang w:eastAsia="en-US"/>
        </w:rPr>
      </w:pPr>
      <w:r w:rsidRPr="003E0486">
        <w:rPr>
          <w:szCs w:val="24"/>
          <w:lang w:eastAsia="en-US"/>
        </w:rPr>
        <w:t>7.</w:t>
      </w:r>
      <w:r w:rsidRPr="003E0486">
        <w:rPr>
          <w:szCs w:val="24"/>
          <w:lang w:eastAsia="en-US"/>
        </w:rPr>
        <w:tab/>
        <w:t>Toldmyndighederne giver fordele i medfør af status som autoriseret økonomisk operatør til personer, der er etableret i tredjelande, og som opfylder betingelserne og overholder kravene i den relevante lovgivning i disse lande eller områder, for så vidt som disse betingelser og krav er anerkendt af Unionen som svarende til dem, der er pålagt autoriserede økonomiske operatører, der er etableret i Unionens toldområde. En sådan tildeling af fordele skal være baseret på reciprocitetsprincippet, medmindre andet er bestemt af Unionen, og være støttet af en af Unionens internationale aftaler</w:t>
      </w:r>
      <w:r w:rsidRPr="003E0486">
        <w:rPr>
          <w:b/>
          <w:i/>
          <w:szCs w:val="24"/>
          <w:lang w:eastAsia="en-US"/>
        </w:rPr>
        <w:t>, relevante og bindende partnerskaber</w:t>
      </w:r>
      <w:r w:rsidRPr="003E0486">
        <w:rPr>
          <w:szCs w:val="24"/>
          <w:lang w:eastAsia="en-US"/>
        </w:rPr>
        <w:t xml:space="preserve"> eller EU-lovgivningen inden for den fælles handelspolitik.</w:t>
      </w:r>
      <w:r w:rsidR="00E66B23">
        <w:rPr>
          <w:b/>
          <w:szCs w:val="24"/>
          <w:lang w:eastAsia="en-US"/>
        </w:rPr>
        <w:t xml:space="preserve"> [Ændring 98]</w:t>
      </w:r>
    </w:p>
    <w:p w14:paraId="110490B9" w14:textId="77777777" w:rsidR="00831B3F" w:rsidRDefault="00831B3F">
      <w:pPr>
        <w:widowControl/>
        <w:rPr>
          <w:szCs w:val="24"/>
          <w:lang w:eastAsia="en-US"/>
        </w:rPr>
      </w:pPr>
      <w:r>
        <w:rPr>
          <w:szCs w:val="24"/>
          <w:lang w:eastAsia="en-US"/>
        </w:rPr>
        <w:br w:type="page"/>
      </w:r>
    </w:p>
    <w:p w14:paraId="01051E6F" w14:textId="5DE0B82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Der oprettes en fælles mekanisme for forretningskontinuitet for at kunne reagere på afbrydelser i samhandelen på grund af forhøjet alarmniveau, grænselukninger og/eller naturkatastrofer, farlige nødsituationer eller andre alvorlige hændelser, således at behandlingen af vigtigt gods, der har tilknytning til autoriserede økonomiske operatører, i videst muligt omfang kan lettes og fremskyndes af toldmyndighederne.</w:t>
      </w:r>
    </w:p>
    <w:p w14:paraId="3C6D34D5" w14:textId="7E91101A" w:rsidR="003E0486" w:rsidRPr="00E66B23" w:rsidRDefault="003E0486" w:rsidP="003E0486">
      <w:pPr>
        <w:spacing w:before="120" w:after="120" w:line="360" w:lineRule="auto"/>
        <w:ind w:left="850" w:hanging="850"/>
        <w:rPr>
          <w:b/>
          <w:szCs w:val="24"/>
          <w:lang w:eastAsia="en-US"/>
        </w:rPr>
      </w:pPr>
      <w:r w:rsidRPr="003E0486">
        <w:rPr>
          <w:b/>
          <w:i/>
          <w:szCs w:val="24"/>
          <w:lang w:eastAsia="en-US"/>
        </w:rPr>
        <w:t>8a.</w:t>
      </w:r>
      <w:r w:rsidRPr="003E0486">
        <w:rPr>
          <w:szCs w:val="24"/>
          <w:lang w:eastAsia="en-US"/>
        </w:rPr>
        <w:tab/>
      </w:r>
      <w:r w:rsidRPr="003E0486">
        <w:rPr>
          <w:b/>
          <w:i/>
          <w:szCs w:val="24"/>
          <w:lang w:eastAsia="en-US"/>
        </w:rPr>
        <w:t xml:space="preserve">Når det er nødvendigt, kan Kommissionen vedtage retningslinjer med henblik på at støtte SMV'er i erkendelse af de unikke udfordringer, som SMV'er står over for, samtidig med at de eksterne handelsprocessers integritet og sikkerhed bevares i forbindelse med anvendelsen af status som autoriserede økonomiske operatører og tillid og kontrol-erhvervsdrivende. Der skal løbende gøres en indsats for at forenkle procedurerne og gøre dem mere tilgængelige for SMV'er, så det sikres, at deres afgørende rolle i </w:t>
      </w:r>
      <w:r w:rsidR="00924E2D">
        <w:rPr>
          <w:b/>
          <w:i/>
          <w:szCs w:val="24"/>
          <w:lang w:eastAsia="en-US"/>
        </w:rPr>
        <w:t>Unionens</w:t>
      </w:r>
      <w:r w:rsidR="00924E2D" w:rsidRPr="003E0486">
        <w:rPr>
          <w:b/>
          <w:i/>
          <w:szCs w:val="24"/>
          <w:lang w:eastAsia="en-US"/>
        </w:rPr>
        <w:t xml:space="preserve"> </w:t>
      </w:r>
      <w:r w:rsidRPr="003E0486">
        <w:rPr>
          <w:b/>
          <w:i/>
          <w:szCs w:val="24"/>
          <w:lang w:eastAsia="en-US"/>
        </w:rPr>
        <w:t>udenrigshandel lettes og fremmes.</w:t>
      </w:r>
      <w:r w:rsidR="00E66B23">
        <w:rPr>
          <w:b/>
          <w:szCs w:val="24"/>
          <w:lang w:eastAsia="en-US"/>
        </w:rPr>
        <w:t xml:space="preserve"> [Ændring 99]</w:t>
      </w:r>
    </w:p>
    <w:p w14:paraId="4490A52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Kommissionen tillægges beføjelser til at vedtage delegerede retsakter i overensstemmelse med artikel 261 med henblik på at supplere denne forordning ved at fastsætte:</w:t>
      </w:r>
    </w:p>
    <w:p w14:paraId="7C1D6D7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arten og hyppigheden af de overvågningsaktiviteter, der udføres af både de personer, der er omhandlet i stk. 1, og de toldmyndigheder, der er omhandlet i stk. 3</w:t>
      </w:r>
    </w:p>
    <w:p w14:paraId="26753836" w14:textId="77777777" w:rsidR="00831B3F" w:rsidRDefault="00831B3F">
      <w:pPr>
        <w:widowControl/>
        <w:rPr>
          <w:szCs w:val="24"/>
          <w:lang w:eastAsia="en-US"/>
        </w:rPr>
      </w:pPr>
      <w:r>
        <w:rPr>
          <w:szCs w:val="24"/>
          <w:lang w:eastAsia="en-US"/>
        </w:rPr>
        <w:br w:type="page"/>
      </w:r>
    </w:p>
    <w:p w14:paraId="0FFD37F7" w14:textId="7730CEAA"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de forenklinger for autoriserede økonomiske operatører, der er omhandlet i stk. 5</w:t>
      </w:r>
    </w:p>
    <w:p w14:paraId="0058A80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lettelser, der er omhandlet i stk. 6.</w:t>
      </w:r>
    </w:p>
    <w:p w14:paraId="64327E8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Kommissionen præciserer ved gennemførelsesretsakter procedurereglerne for de i stk. 1, første afsnit, omhandlede høringer vedrørende fastlæggelse af status som autoriserede økonomiske operatører, herunder svarfristerne. Disse gennemførelsesretsakter vedtages efter undersøgelsesproceduren i artikel 262, stk. 4.</w:t>
      </w:r>
    </w:p>
    <w:p w14:paraId="002C585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w:t>
      </w:r>
      <w:r w:rsidRPr="003E0486">
        <w:rPr>
          <w:szCs w:val="24"/>
          <w:lang w:eastAsia="en-US"/>
        </w:rPr>
        <w:br/>
        <w:t>Indrømmelse af status som autoriseret økonomisk operatør</w:t>
      </w:r>
    </w:p>
    <w:p w14:paraId="4046917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Kriterierne for indrømmelse af status som autoriseret økonomisk operatør er som følger:</w:t>
      </w:r>
    </w:p>
    <w:p w14:paraId="6E469BF4" w14:textId="1E23C409" w:rsidR="003E0486" w:rsidRPr="00E66B23"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 xml:space="preserve">ingen alvorlige eller gentagne overtrædelser af </w:t>
      </w:r>
      <w:r w:rsidRPr="003E0486">
        <w:rPr>
          <w:strike/>
          <w:szCs w:val="24"/>
          <w:lang w:eastAsia="en-US"/>
        </w:rPr>
        <w:t>told- og skattelovgivningen</w:t>
      </w:r>
      <w:r w:rsidRPr="003E0486">
        <w:rPr>
          <w:b/>
          <w:i/>
          <w:szCs w:val="24"/>
          <w:lang w:eastAsia="en-US"/>
        </w:rPr>
        <w:t xml:space="preserve">toldlovgivningen, anden relevant lovgivning, der er omhandlet i </w:t>
      </w:r>
      <w:r w:rsidR="00D3001B" w:rsidRPr="003E0486">
        <w:rPr>
          <w:b/>
          <w:i/>
          <w:szCs w:val="24"/>
          <w:lang w:eastAsia="en-US"/>
        </w:rPr>
        <w:t>denne forordning</w:t>
      </w:r>
      <w:r w:rsidR="00D3001B">
        <w:rPr>
          <w:b/>
          <w:i/>
          <w:szCs w:val="24"/>
          <w:lang w:eastAsia="en-US"/>
        </w:rPr>
        <w:t>s</w:t>
      </w:r>
      <w:r w:rsidR="00D3001B" w:rsidRPr="003E0486">
        <w:rPr>
          <w:b/>
          <w:i/>
          <w:szCs w:val="24"/>
          <w:lang w:eastAsia="en-US"/>
        </w:rPr>
        <w:t xml:space="preserve"> </w:t>
      </w:r>
      <w:r w:rsidRPr="003E0486">
        <w:rPr>
          <w:b/>
          <w:i/>
          <w:szCs w:val="24"/>
          <w:lang w:eastAsia="en-US"/>
        </w:rPr>
        <w:t>artikel 20, stk. 1, litra c), og skatteregler</w:t>
      </w:r>
      <w:r w:rsidRPr="003E0486">
        <w:rPr>
          <w:szCs w:val="24"/>
          <w:lang w:eastAsia="en-US"/>
        </w:rPr>
        <w:t xml:space="preserve"> og ingen registrering af alvorlige strafbare handlinger; de overtrædelser og strafbare handlinger, der skal tages i betragtning, er dem, der vedrører økonomiske eller erhvervsmæssige aktiviteter</w:t>
      </w:r>
      <w:r w:rsidR="00E66B23">
        <w:rPr>
          <w:b/>
          <w:szCs w:val="24"/>
          <w:lang w:eastAsia="en-US"/>
        </w:rPr>
        <w:t xml:space="preserve"> [Ændring 100]</w:t>
      </w:r>
    </w:p>
    <w:p w14:paraId="0D57936D" w14:textId="77777777" w:rsidR="00831B3F" w:rsidRDefault="00831B3F">
      <w:pPr>
        <w:widowControl/>
        <w:rPr>
          <w:szCs w:val="24"/>
          <w:lang w:eastAsia="en-US"/>
        </w:rPr>
      </w:pPr>
      <w:r>
        <w:rPr>
          <w:szCs w:val="24"/>
          <w:lang w:eastAsia="en-US"/>
        </w:rPr>
        <w:br w:type="page"/>
      </w:r>
    </w:p>
    <w:p w14:paraId="25D9CA31" w14:textId="79FA2B2F"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ansøgerens bevis for en høj grad af kontrol over sin virksomhed og over varestrømmen i kraft af et system til forvaltning af forretningsregnskaber og, om nødvendigt, transportdokumenter, som gør det muligt at gennemføre passende toldkontrol, og dennes dokumentation for, at manglende overholdelse af regler er blevet afhjulpet; ansøgeren sikrer, at de relevante ansatte instrueres i at underrette toldmyndighederne, hvis det opdages, at der er problemer med regelefterlevelsen, og at der etableres procedurer for underretning af toldmyndighederne om sådanne problemer</w:t>
      </w:r>
    </w:p>
    <w:p w14:paraId="2F2E78A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økonomisk solvens, der anses for bevist, når ansøgeren har en god økonomisk formåen, der sætter den pågældende i stand til at opfylde sine forpligtelser, under behørig hensyntagen til den berørte erhvervsaktivitets særlige karakteristika</w:t>
      </w:r>
    </w:p>
    <w:p w14:paraId="24D7FAC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med hensyn til den i artikel 23, stk. 1, litra a), omhandlede bevilling, praktisk kompetence eller professionelle kvalifikationer, som har direkte tilknytning til den pågældende aktivitet</w:t>
      </w:r>
    </w:p>
    <w:p w14:paraId="147A40B6" w14:textId="77777777" w:rsidR="00831B3F" w:rsidRDefault="00831B3F">
      <w:pPr>
        <w:widowControl/>
        <w:rPr>
          <w:szCs w:val="24"/>
          <w:lang w:eastAsia="en-US"/>
        </w:rPr>
      </w:pPr>
      <w:r>
        <w:rPr>
          <w:szCs w:val="24"/>
          <w:lang w:eastAsia="en-US"/>
        </w:rPr>
        <w:br w:type="page"/>
      </w:r>
    </w:p>
    <w:p w14:paraId="0CBDA401" w14:textId="73BF7F0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med hensyn til den i artikel 23, stk. 1, litra b), omhandlede bevilling, passende sikkerhedstandarder og standarder for overholdelse, som er tilpasset den pågældende aktivitet. Standarderne anses for opfyldt, når ansøgeren godtgør, at der opretholdes passende foranstaltninger til at garantere den internationale forsyningskædes sikkerhed, herunder hvad angår den fysiske integritet og adgangskontrol, logistiske processer og behandling af særlige varetyper, personale og identifikation af vedkommendes handelspartnere.</w:t>
      </w:r>
    </w:p>
    <w:p w14:paraId="624974CE" w14:textId="2227E456" w:rsidR="003E0486" w:rsidRPr="00E66B23"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Kommissionen </w:t>
      </w:r>
      <w:r w:rsidRPr="003E0486">
        <w:rPr>
          <w:strike/>
          <w:szCs w:val="24"/>
          <w:lang w:eastAsia="en-US"/>
        </w:rPr>
        <w:t>vedtager ved gennemførelsesretsakter</w:t>
      </w:r>
      <w:r w:rsidRPr="003E0486">
        <w:rPr>
          <w:b/>
          <w:i/>
          <w:szCs w:val="24"/>
          <w:lang w:eastAsia="en-US"/>
        </w:rPr>
        <w:t>tillægges beføjelser til at vedtage delegerede retsakter i overensstemmelse med artikel 261 med henblik på at supplere denne forordning ved at fastlægge</w:t>
      </w:r>
      <w:r w:rsidRPr="003E0486">
        <w:rPr>
          <w:szCs w:val="24"/>
          <w:lang w:eastAsia="en-US"/>
        </w:rPr>
        <w:t xml:space="preserve"> de nærmere </w:t>
      </w:r>
      <w:r w:rsidRPr="003E0486">
        <w:rPr>
          <w:strike/>
          <w:szCs w:val="24"/>
          <w:lang w:eastAsia="en-US"/>
        </w:rPr>
        <w:t>vilkår</w:t>
      </w:r>
      <w:r w:rsidRPr="003E0486">
        <w:rPr>
          <w:b/>
          <w:i/>
          <w:szCs w:val="24"/>
          <w:lang w:eastAsia="en-US"/>
        </w:rPr>
        <w:t>bestemmelser</w:t>
      </w:r>
      <w:r w:rsidRPr="003E0486">
        <w:rPr>
          <w:szCs w:val="24"/>
          <w:lang w:eastAsia="en-US"/>
        </w:rPr>
        <w:t xml:space="preserve"> for anvendelsen af de kriterier, der er omhandlet i stk. 1.</w:t>
      </w:r>
      <w:r w:rsidRPr="003E0486">
        <w:rPr>
          <w:strike/>
          <w:szCs w:val="24"/>
          <w:lang w:eastAsia="en-US"/>
        </w:rPr>
        <w:t xml:space="preserve"> Disse gennemførelsesretsakter vedtages efter undersøgelsesproceduren i artikel 262, stk. 4.</w:t>
      </w:r>
      <w:r w:rsidR="00E66B23">
        <w:rPr>
          <w:b/>
          <w:szCs w:val="24"/>
          <w:lang w:eastAsia="en-US"/>
        </w:rPr>
        <w:t xml:space="preserve"> [Ændring 101]</w:t>
      </w:r>
    </w:p>
    <w:p w14:paraId="7FC6AC43" w14:textId="77777777" w:rsidR="00831B3F" w:rsidRDefault="00831B3F">
      <w:pPr>
        <w:widowControl/>
        <w:rPr>
          <w:szCs w:val="24"/>
          <w:lang w:eastAsia="en-US"/>
        </w:rPr>
      </w:pPr>
      <w:r>
        <w:rPr>
          <w:szCs w:val="24"/>
          <w:lang w:eastAsia="en-US"/>
        </w:rPr>
        <w:br w:type="page"/>
      </w:r>
    </w:p>
    <w:p w14:paraId="3712F6C0" w14:textId="31114D1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25</w:t>
      </w:r>
      <w:r w:rsidRPr="003E0486">
        <w:rPr>
          <w:szCs w:val="24"/>
          <w:lang w:eastAsia="en-US"/>
        </w:rPr>
        <w:br/>
        <w:t>Indrømmelse af status som tillid og kontrol-erhvervsdrivende</w:t>
      </w:r>
    </w:p>
    <w:p w14:paraId="6D90FD83" w14:textId="2B5B1BD1" w:rsidR="003E0486" w:rsidRPr="00E66B23"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En </w:t>
      </w:r>
      <w:r w:rsidRPr="003E0486">
        <w:rPr>
          <w:strike/>
          <w:szCs w:val="24"/>
          <w:lang w:eastAsia="en-US"/>
        </w:rPr>
        <w:t>importør eller eksportør</w:t>
      </w:r>
      <w:r w:rsidRPr="003E0486">
        <w:rPr>
          <w:b/>
          <w:i/>
          <w:szCs w:val="24"/>
          <w:lang w:eastAsia="en-US"/>
        </w:rPr>
        <w:t>person</w:t>
      </w:r>
      <w:r w:rsidRPr="003E0486">
        <w:rPr>
          <w:szCs w:val="24"/>
          <w:lang w:eastAsia="en-US"/>
        </w:rPr>
        <w:t xml:space="preserve">, der er hjemmehørende eller registreret i Unionens toldområde, opfylder kriterierne i stk. 3 og har udført regelmæssige toldtransaktioner som led i sin virksomhed i mindst </w:t>
      </w:r>
      <w:r w:rsidRPr="003E0486">
        <w:rPr>
          <w:strike/>
          <w:szCs w:val="24"/>
          <w:lang w:eastAsia="en-US"/>
        </w:rPr>
        <w:t>3</w:t>
      </w:r>
      <w:r w:rsidRPr="003E0486">
        <w:rPr>
          <w:b/>
          <w:i/>
          <w:szCs w:val="24"/>
          <w:lang w:eastAsia="en-US"/>
        </w:rPr>
        <w:t>to</w:t>
      </w:r>
      <w:r w:rsidRPr="003E0486">
        <w:rPr>
          <w:szCs w:val="24"/>
          <w:lang w:eastAsia="en-US"/>
        </w:rPr>
        <w:t xml:space="preserve"> år, kan ansøge om status som tillid og kontrol-erhvervsdrivende hos toldmyndigheden i den medlemsstat, hvor den pågældende person er etableret.</w:t>
      </w:r>
      <w:r w:rsidR="00E66B23">
        <w:rPr>
          <w:b/>
          <w:szCs w:val="24"/>
          <w:lang w:eastAsia="en-US"/>
        </w:rPr>
        <w:t xml:space="preserve"> [Ændring 102]</w:t>
      </w:r>
    </w:p>
    <w:p w14:paraId="6E5A7BA7" w14:textId="290F2E4F" w:rsidR="003E0486" w:rsidRPr="00E66B23"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r>
      <w:r w:rsidRPr="003E0486">
        <w:rPr>
          <w:strike/>
          <w:szCs w:val="24"/>
          <w:lang w:eastAsia="en-US"/>
        </w:rPr>
        <w:t>Toldmyndighederne</w:t>
      </w:r>
      <w:r w:rsidRPr="003E0486">
        <w:rPr>
          <w:b/>
          <w:i/>
          <w:szCs w:val="24"/>
          <w:lang w:eastAsia="en-US"/>
        </w:rPr>
        <w:t>EU-toldmyndigheden</w:t>
      </w:r>
      <w:r w:rsidRPr="003E0486">
        <w:rPr>
          <w:szCs w:val="24"/>
          <w:lang w:eastAsia="en-US"/>
        </w:rPr>
        <w:t xml:space="preserve"> indrømmer denne status efter høring af andre myndigheder, hvis det er nødvendigt, og efter at have </w:t>
      </w:r>
      <w:r w:rsidRPr="003E0486">
        <w:rPr>
          <w:strike/>
          <w:szCs w:val="24"/>
          <w:lang w:eastAsia="en-US"/>
        </w:rPr>
        <w:t>haft adgang til</w:t>
      </w:r>
      <w:r w:rsidRPr="003E0486">
        <w:rPr>
          <w:b/>
          <w:i/>
          <w:szCs w:val="24"/>
          <w:lang w:eastAsia="en-US"/>
        </w:rPr>
        <w:t>modtaget og vurderet</w:t>
      </w:r>
      <w:r w:rsidRPr="003E0486">
        <w:rPr>
          <w:szCs w:val="24"/>
          <w:lang w:eastAsia="en-US"/>
        </w:rPr>
        <w:t xml:space="preserve"> ansøgerens relevante data for de seneste </w:t>
      </w:r>
      <w:r w:rsidRPr="003E0486">
        <w:rPr>
          <w:strike/>
          <w:szCs w:val="24"/>
          <w:lang w:eastAsia="en-US"/>
        </w:rPr>
        <w:t>tre</w:t>
      </w:r>
      <w:r w:rsidRPr="003E0486">
        <w:rPr>
          <w:b/>
          <w:i/>
          <w:szCs w:val="24"/>
          <w:lang w:eastAsia="en-US"/>
        </w:rPr>
        <w:t>to</w:t>
      </w:r>
      <w:r w:rsidRPr="003E0486">
        <w:rPr>
          <w:szCs w:val="24"/>
          <w:lang w:eastAsia="en-US"/>
        </w:rPr>
        <w:t xml:space="preserve"> år med henblik på at vurdere, om kriterierne i stk. 3 er opfyldt.</w:t>
      </w:r>
      <w:r w:rsidR="00E66B23">
        <w:rPr>
          <w:b/>
          <w:szCs w:val="24"/>
          <w:lang w:eastAsia="en-US"/>
        </w:rPr>
        <w:t xml:space="preserve"> [Ændring 103]</w:t>
      </w:r>
    </w:p>
    <w:p w14:paraId="2046B99E" w14:textId="60C10D92" w:rsidR="003E0486" w:rsidRPr="00E66B23"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r>
      <w:r w:rsidRPr="003E0486">
        <w:rPr>
          <w:strike/>
          <w:szCs w:val="24"/>
          <w:lang w:eastAsia="en-US"/>
        </w:rPr>
        <w:t>Toldmyndighederne</w:t>
      </w:r>
      <w:r w:rsidRPr="003E0486">
        <w:rPr>
          <w:b/>
          <w:i/>
          <w:szCs w:val="24"/>
          <w:lang w:eastAsia="en-US"/>
        </w:rPr>
        <w:t>EU-toldmyndigheden</w:t>
      </w:r>
      <w:r w:rsidRPr="003E0486">
        <w:rPr>
          <w:szCs w:val="24"/>
          <w:lang w:eastAsia="en-US"/>
        </w:rPr>
        <w:t xml:space="preserve"> indrømmer</w:t>
      </w:r>
      <w:r w:rsidRPr="003E0486">
        <w:rPr>
          <w:b/>
          <w:i/>
          <w:szCs w:val="24"/>
          <w:lang w:eastAsia="en-US"/>
        </w:rPr>
        <w:t xml:space="preserve"> efter at have vurderet den kompetente nationale myndigheds revision</w:t>
      </w:r>
      <w:r w:rsidRPr="003E0486">
        <w:rPr>
          <w:szCs w:val="24"/>
          <w:lang w:eastAsia="en-US"/>
        </w:rPr>
        <w:t xml:space="preserve"> status som tillid og kontrol-erhvervsdrivende til en person, der opfylder alle følgende kriterier:</w:t>
      </w:r>
      <w:r w:rsidR="00E66B23">
        <w:rPr>
          <w:b/>
          <w:szCs w:val="24"/>
          <w:lang w:eastAsia="en-US"/>
        </w:rPr>
        <w:t xml:space="preserve"> [Ændring 104]</w:t>
      </w:r>
    </w:p>
    <w:p w14:paraId="544BB74B" w14:textId="56A60516" w:rsidR="003E0486" w:rsidRPr="00E66B23"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 xml:space="preserve">ingen alvorlige eller gentagne overtrædelser af </w:t>
      </w:r>
      <w:r w:rsidRPr="003E0486">
        <w:rPr>
          <w:strike/>
          <w:szCs w:val="24"/>
          <w:lang w:eastAsia="en-US"/>
        </w:rPr>
        <w:t>told- og skattelovgivningen</w:t>
      </w:r>
      <w:r w:rsidRPr="003E0486">
        <w:rPr>
          <w:b/>
          <w:i/>
          <w:szCs w:val="24"/>
          <w:lang w:eastAsia="en-US"/>
        </w:rPr>
        <w:t xml:space="preserve">toldlovgivningen, anden relevant lovgivning, der anvendes af toldmyndighederne i henhold til </w:t>
      </w:r>
      <w:r w:rsidR="00D3001B" w:rsidRPr="003E0486">
        <w:rPr>
          <w:b/>
          <w:i/>
          <w:szCs w:val="24"/>
          <w:lang w:eastAsia="en-US"/>
        </w:rPr>
        <w:t>denne forordning</w:t>
      </w:r>
      <w:r w:rsidR="00D3001B">
        <w:rPr>
          <w:b/>
          <w:i/>
          <w:szCs w:val="24"/>
          <w:lang w:eastAsia="en-US"/>
        </w:rPr>
        <w:t>s</w:t>
      </w:r>
      <w:r w:rsidR="00D3001B" w:rsidRPr="003E0486">
        <w:rPr>
          <w:b/>
          <w:i/>
          <w:szCs w:val="24"/>
          <w:lang w:eastAsia="en-US"/>
        </w:rPr>
        <w:t xml:space="preserve"> </w:t>
      </w:r>
      <w:r w:rsidRPr="003E0486">
        <w:rPr>
          <w:b/>
          <w:i/>
          <w:szCs w:val="24"/>
          <w:lang w:eastAsia="en-US"/>
        </w:rPr>
        <w:t>artikel 20, stk. 1, litra c), og skatteregler</w:t>
      </w:r>
      <w:r w:rsidRPr="003E0486">
        <w:rPr>
          <w:szCs w:val="24"/>
          <w:lang w:eastAsia="en-US"/>
        </w:rPr>
        <w:t xml:space="preserve"> og ingen registrering af alvorlige strafbare handlinger; de overtrædelser og strafbare handlinger, der skal tages i betragtning, er dem, der vedrører økonomiske eller erhvervsmæssige aktiviteter</w:t>
      </w:r>
      <w:r w:rsidR="00E66B23">
        <w:rPr>
          <w:b/>
          <w:szCs w:val="24"/>
          <w:lang w:eastAsia="en-US"/>
        </w:rPr>
        <w:t xml:space="preserve"> [Ændring 105]</w:t>
      </w:r>
    </w:p>
    <w:p w14:paraId="324B905D" w14:textId="77777777" w:rsidR="00831B3F" w:rsidRDefault="00831B3F">
      <w:pPr>
        <w:widowControl/>
        <w:rPr>
          <w:szCs w:val="24"/>
          <w:lang w:eastAsia="en-US"/>
        </w:rPr>
      </w:pPr>
      <w:r>
        <w:rPr>
          <w:szCs w:val="24"/>
          <w:lang w:eastAsia="en-US"/>
        </w:rPr>
        <w:br w:type="page"/>
      </w:r>
    </w:p>
    <w:p w14:paraId="77C38A5D" w14:textId="03CB88CB"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ansøgerens bevis for en høj grad af kontrol over sin virksomhed og over varestrømmen i kraft af et system til forvaltning af forretningsregnskaber og transportdokumenter, som gør det muligt at gennemføre passende toldkontrol, og dokumentation for, at overtrædelser er blevet afhjulpet; ansøgeren sikrer, at de relevante ansatte underretter toldmyndighederne, hvis det opdages, at der er problemer med regelefterlevelsen, og at der etableres procedurer for underretning af toldmyndighederne om sådanne problemer</w:t>
      </w:r>
    </w:p>
    <w:p w14:paraId="23A014FD" w14:textId="0F7109CC" w:rsidR="003E0486" w:rsidRPr="00E66B23" w:rsidRDefault="003E0486" w:rsidP="003E0486">
      <w:pPr>
        <w:spacing w:before="120" w:after="120" w:line="360" w:lineRule="auto"/>
        <w:ind w:left="1416" w:hanging="566"/>
        <w:rPr>
          <w:b/>
          <w:szCs w:val="24"/>
          <w:lang w:eastAsia="en-US"/>
        </w:rPr>
      </w:pPr>
      <w:r w:rsidRPr="003E0486">
        <w:rPr>
          <w:szCs w:val="24"/>
          <w:lang w:eastAsia="en-US"/>
        </w:rPr>
        <w:t>(c)</w:t>
      </w:r>
      <w:r w:rsidRPr="003E0486">
        <w:rPr>
          <w:szCs w:val="24"/>
          <w:lang w:eastAsia="en-US"/>
        </w:rPr>
        <w:tab/>
        <w:t>økonomisk solvens, der anses for bevist, når ansøgeren har</w:t>
      </w:r>
      <w:r w:rsidRPr="003E0486">
        <w:rPr>
          <w:strike/>
          <w:szCs w:val="24"/>
          <w:lang w:eastAsia="en-US"/>
        </w:rPr>
        <w:t xml:space="preserve"> en god</w:t>
      </w:r>
      <w:r w:rsidRPr="003E0486">
        <w:rPr>
          <w:szCs w:val="24"/>
          <w:lang w:eastAsia="en-US"/>
        </w:rPr>
        <w:t xml:space="preserve"> økonomisk formåen, der sætter den pågældende i stand til at opfylde sine forpligtelser, under behørig hensyntagen til den berørte erhvervsaktivitets særlige karakteristika. Navnlig skal ansøgeren de seneste tre år forud for indgivelsen af ansøgningen have opfyldt sine økonomiske forpligtelser med hensyn til betaling af told og alle andre afgifter eller skatter opkrævet ved eller i forbindelse med import eller eksport af varer, herunder moms og punktafgifter i forbindelse transaktioner internt i Unionen</w:t>
      </w:r>
      <w:r w:rsidR="00E66B23">
        <w:rPr>
          <w:b/>
          <w:szCs w:val="24"/>
          <w:lang w:eastAsia="en-US"/>
        </w:rPr>
        <w:t xml:space="preserve"> [Ændring 106]</w:t>
      </w:r>
    </w:p>
    <w:p w14:paraId="240C444A" w14:textId="77777777" w:rsidR="00831B3F" w:rsidRDefault="00831B3F">
      <w:pPr>
        <w:widowControl/>
        <w:rPr>
          <w:szCs w:val="24"/>
          <w:lang w:eastAsia="en-US"/>
        </w:rPr>
      </w:pPr>
      <w:r>
        <w:rPr>
          <w:szCs w:val="24"/>
          <w:lang w:eastAsia="en-US"/>
        </w:rPr>
        <w:br w:type="page"/>
      </w:r>
    </w:p>
    <w:p w14:paraId="4F51E37C" w14:textId="17EE179B"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praktisk kompetence eller professionelle kvalifikationer, som har direkte tilknytning til typen af aktivitet eller dennes omfang, herunder at de relevante ansatte instrueres i, hvordan de skal interagere med toldmyndighederne gennem EU's tolddatacenter</w:t>
      </w:r>
    </w:p>
    <w:p w14:paraId="1390E105" w14:textId="2D3F3C46" w:rsidR="003E0486" w:rsidRPr="00E66B23" w:rsidRDefault="003E0486" w:rsidP="003E0486">
      <w:pPr>
        <w:spacing w:before="120" w:after="120" w:line="360" w:lineRule="auto"/>
        <w:ind w:left="1416" w:hanging="566"/>
        <w:rPr>
          <w:b/>
          <w:szCs w:val="24"/>
          <w:lang w:eastAsia="en-US"/>
        </w:rPr>
      </w:pPr>
      <w:r w:rsidRPr="003E0486">
        <w:rPr>
          <w:szCs w:val="24"/>
          <w:lang w:eastAsia="en-US"/>
        </w:rPr>
        <w:t>(e)</w:t>
      </w:r>
      <w:r w:rsidRPr="003E0486">
        <w:rPr>
          <w:szCs w:val="24"/>
          <w:lang w:eastAsia="en-US"/>
        </w:rPr>
        <w:tab/>
        <w:t xml:space="preserve">passende sikkerhedstandarder og standarder for overholdelse, </w:t>
      </w:r>
      <w:r w:rsidRPr="003E0486">
        <w:rPr>
          <w:b/>
          <w:i/>
          <w:szCs w:val="24"/>
          <w:lang w:eastAsia="en-US"/>
        </w:rPr>
        <w:t xml:space="preserve">herunder produktsikkerhedsstandarder, </w:t>
      </w:r>
      <w:r w:rsidRPr="003E0486">
        <w:rPr>
          <w:szCs w:val="24"/>
          <w:lang w:eastAsia="en-US"/>
        </w:rPr>
        <w:t xml:space="preserve">som er tilpasset typen </w:t>
      </w:r>
      <w:r w:rsidRPr="003E0486">
        <w:rPr>
          <w:b/>
          <w:i/>
          <w:szCs w:val="24"/>
          <w:lang w:eastAsia="en-US"/>
        </w:rPr>
        <w:t>og omfanget af den udførte</w:t>
      </w:r>
      <w:r w:rsidRPr="003E0486">
        <w:rPr>
          <w:strike/>
          <w:szCs w:val="24"/>
          <w:lang w:eastAsia="en-US"/>
        </w:rPr>
        <w:t>af</w:t>
      </w:r>
      <w:r w:rsidRPr="003E0486">
        <w:rPr>
          <w:szCs w:val="24"/>
          <w:lang w:eastAsia="en-US"/>
        </w:rPr>
        <w:t xml:space="preserve"> aktivitet</w:t>
      </w:r>
      <w:r w:rsidRPr="003E0486">
        <w:rPr>
          <w:strike/>
          <w:szCs w:val="24"/>
          <w:lang w:eastAsia="en-US"/>
        </w:rPr>
        <w:t xml:space="preserve"> eller dennes omfang. Standarderne</w:t>
      </w:r>
      <w:r w:rsidRPr="003E0486">
        <w:rPr>
          <w:b/>
          <w:i/>
          <w:szCs w:val="24"/>
          <w:lang w:eastAsia="en-US"/>
        </w:rPr>
        <w:t>, herunder krav om, at ansøgeren deltager i obligatorisk uddannelse, der tilbydes af de kompetente myndigheder vedrørende aktivitetstypen</w:t>
      </w:r>
      <w:r w:rsidR="00D3001B">
        <w:rPr>
          <w:b/>
          <w:i/>
          <w:szCs w:val="24"/>
          <w:lang w:eastAsia="en-US"/>
        </w:rPr>
        <w:t>;</w:t>
      </w:r>
      <w:r w:rsidRPr="003E0486">
        <w:rPr>
          <w:b/>
          <w:i/>
          <w:szCs w:val="24"/>
          <w:lang w:eastAsia="en-US"/>
        </w:rPr>
        <w:t xml:space="preserve"> </w:t>
      </w:r>
      <w:r w:rsidR="00D3001B">
        <w:rPr>
          <w:b/>
          <w:i/>
          <w:szCs w:val="24"/>
          <w:lang w:eastAsia="en-US"/>
        </w:rPr>
        <w:t>d</w:t>
      </w:r>
      <w:r w:rsidRPr="003E0486">
        <w:rPr>
          <w:b/>
          <w:i/>
          <w:szCs w:val="24"/>
          <w:lang w:eastAsia="en-US"/>
        </w:rPr>
        <w:t>isse sikkerhedstandarder og standarder for overholdelse</w:t>
      </w:r>
      <w:r w:rsidRPr="003E0486">
        <w:rPr>
          <w:szCs w:val="24"/>
          <w:lang w:eastAsia="en-US"/>
        </w:rPr>
        <w:t xml:space="preserve"> anses for opfyldt, når ansøgeren godtgør, at der opretholdes passende foranstaltninger til at garantere den internationale forsyningskædes sikkerhed, herunder hvad angår den fysiske integritet og adgangskontrol, logistiske processer og behandling af særlige varetyper, personale og identifikation af vedkommendes handelspartnere.</w:t>
      </w:r>
      <w:r w:rsidR="00E66B23">
        <w:rPr>
          <w:b/>
          <w:szCs w:val="24"/>
          <w:lang w:eastAsia="en-US"/>
        </w:rPr>
        <w:t xml:space="preserve"> [Ændring 107]</w:t>
      </w:r>
    </w:p>
    <w:p w14:paraId="17AC4641" w14:textId="77777777" w:rsidR="00831B3F" w:rsidRDefault="00831B3F">
      <w:pPr>
        <w:widowControl/>
        <w:rPr>
          <w:szCs w:val="24"/>
          <w:lang w:eastAsia="en-US"/>
        </w:rPr>
      </w:pPr>
      <w:r>
        <w:rPr>
          <w:szCs w:val="24"/>
          <w:lang w:eastAsia="en-US"/>
        </w:rPr>
        <w:br w:type="page"/>
      </w:r>
    </w:p>
    <w:p w14:paraId="38152F8B" w14:textId="6DF80D16" w:rsidR="003E0486" w:rsidRPr="00E66B23" w:rsidRDefault="003E0486" w:rsidP="003E0486">
      <w:pPr>
        <w:spacing w:before="120" w:after="120" w:line="360" w:lineRule="auto"/>
        <w:ind w:left="1416" w:hanging="566"/>
        <w:rPr>
          <w:b/>
          <w:szCs w:val="24"/>
          <w:lang w:eastAsia="en-US"/>
        </w:rPr>
      </w:pPr>
      <w:r w:rsidRPr="003E0486">
        <w:rPr>
          <w:szCs w:val="24"/>
          <w:lang w:eastAsia="en-US"/>
        </w:rPr>
        <w:lastRenderedPageBreak/>
        <w:t>(f)</w:t>
      </w:r>
      <w:r w:rsidRPr="003E0486">
        <w:rPr>
          <w:szCs w:val="24"/>
          <w:lang w:eastAsia="en-US"/>
        </w:rPr>
        <w:tab/>
        <w:t xml:space="preserve">besiddelse af et elektronisk system, </w:t>
      </w:r>
      <w:r w:rsidRPr="003E0486">
        <w:rPr>
          <w:b/>
          <w:i/>
          <w:szCs w:val="24"/>
          <w:lang w:eastAsia="en-US"/>
        </w:rPr>
        <w:t>herunder systemer, der forvaltes af en tredjepartsudbyder, der ekstraordinært giver</w:t>
      </w:r>
      <w:r w:rsidRPr="003E0486">
        <w:rPr>
          <w:strike/>
          <w:szCs w:val="24"/>
          <w:lang w:eastAsia="en-US"/>
        </w:rPr>
        <w:t>der over for</w:t>
      </w:r>
      <w:r w:rsidRPr="003E0486">
        <w:rPr>
          <w:szCs w:val="24"/>
          <w:lang w:eastAsia="en-US"/>
        </w:rPr>
        <w:t xml:space="preserve"> toldmyndighederne </w:t>
      </w:r>
      <w:r w:rsidRPr="003E0486">
        <w:rPr>
          <w:b/>
          <w:i/>
          <w:szCs w:val="24"/>
          <w:lang w:eastAsia="en-US"/>
        </w:rPr>
        <w:t xml:space="preserve">adgang </w:t>
      </w:r>
      <w:r w:rsidRPr="003E0486">
        <w:rPr>
          <w:szCs w:val="24"/>
          <w:lang w:eastAsia="en-US"/>
        </w:rPr>
        <w:t xml:space="preserve">i realtid </w:t>
      </w:r>
      <w:r w:rsidRPr="003E0486">
        <w:rPr>
          <w:strike/>
          <w:szCs w:val="24"/>
          <w:lang w:eastAsia="en-US"/>
        </w:rPr>
        <w:t>i meddeler eller sørger for tilgængelighed af alle</w:t>
      </w:r>
      <w:r w:rsidRPr="003E0486">
        <w:rPr>
          <w:b/>
          <w:i/>
          <w:szCs w:val="24"/>
          <w:lang w:eastAsia="en-US"/>
        </w:rPr>
        <w:t>til passende og relevante</w:t>
      </w:r>
      <w:r w:rsidRPr="003E0486">
        <w:rPr>
          <w:szCs w:val="24"/>
          <w:lang w:eastAsia="en-US"/>
        </w:rPr>
        <w:t xml:space="preserve"> data om varebevægelser og om den i stk. 1 omhandlede persons overholdelse af alle de krav, der gælder for disse varer, herunder vedrørende sikkerhed, og som, hvor det er relevant, omfatter deling af følgende i EU's tolddatacenter</w:t>
      </w:r>
      <w:r w:rsidRPr="003E0486">
        <w:rPr>
          <w:b/>
          <w:i/>
          <w:szCs w:val="24"/>
          <w:lang w:eastAsia="en-US"/>
        </w:rPr>
        <w:t>, i overensstemmelse med de nærmere bestemmelser om anvendelse af kriterierne for en sådan adgang, der er fastsat i de delegerede retsakter omhandlet i stk. 10, litra b)</w:t>
      </w:r>
      <w:r w:rsidRPr="003E0486">
        <w:rPr>
          <w:szCs w:val="24"/>
          <w:lang w:eastAsia="en-US"/>
        </w:rPr>
        <w:t>:</w:t>
      </w:r>
      <w:r w:rsidR="00E66B23">
        <w:rPr>
          <w:b/>
          <w:szCs w:val="24"/>
          <w:lang w:eastAsia="en-US"/>
        </w:rPr>
        <w:t xml:space="preserve"> [Ændring 108]</w:t>
      </w:r>
    </w:p>
    <w:p w14:paraId="1FCDC037" w14:textId="58596F03"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toldregnskaber</w:t>
      </w:r>
    </w:p>
    <w:p w14:paraId="3353B3DB" w14:textId="3D91B5D4"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regnskabssystem</w:t>
      </w:r>
    </w:p>
    <w:p w14:paraId="2D27A30A" w14:textId="54C4F5C7"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forretningsregnskaber og transportdokumenter</w:t>
      </w:r>
    </w:p>
    <w:p w14:paraId="64A67F3D" w14:textId="0F65EF43"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iv)</w:t>
      </w:r>
      <w:r w:rsidR="003E0486" w:rsidRPr="003E0486">
        <w:rPr>
          <w:szCs w:val="24"/>
          <w:lang w:eastAsia="en-US"/>
        </w:rPr>
        <w:tab/>
        <w:t>sporings- og logistiksystemer, hvori varer angives som EU-varer eller som ikke-EU-varer, og hvori deres opbevaringssted anføres i relevante tilfælde</w:t>
      </w:r>
    </w:p>
    <w:p w14:paraId="626C215F" w14:textId="521CF161" w:rsidR="003E0486" w:rsidRPr="003E0486" w:rsidRDefault="009A05BD"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v)</w:t>
      </w:r>
      <w:r w:rsidR="003E0486" w:rsidRPr="003E0486">
        <w:rPr>
          <w:szCs w:val="24"/>
          <w:lang w:eastAsia="en-US"/>
        </w:rPr>
        <w:tab/>
        <w:t>licenser og bevillinger, der er udstedt i henhold til anden lovgivning, der anvendes af toldmyndighederne</w:t>
      </w:r>
    </w:p>
    <w:p w14:paraId="47921FA8" w14:textId="77777777" w:rsidR="00831B3F" w:rsidRDefault="00831B3F">
      <w:pPr>
        <w:widowControl/>
        <w:rPr>
          <w:szCs w:val="24"/>
          <w:lang w:eastAsia="en-US"/>
        </w:rPr>
      </w:pPr>
      <w:r>
        <w:rPr>
          <w:szCs w:val="24"/>
          <w:lang w:eastAsia="en-US"/>
        </w:rPr>
        <w:br w:type="page"/>
      </w:r>
    </w:p>
    <w:p w14:paraId="69492E06" w14:textId="073712B6" w:rsidR="003E0486" w:rsidRPr="003E0486" w:rsidRDefault="009A05BD" w:rsidP="003E0486">
      <w:pPr>
        <w:spacing w:before="120" w:after="120" w:line="360" w:lineRule="auto"/>
        <w:ind w:left="1982" w:hanging="566"/>
        <w:rPr>
          <w:szCs w:val="24"/>
          <w:lang w:eastAsia="en-US"/>
        </w:rPr>
      </w:pPr>
      <w:r>
        <w:rPr>
          <w:szCs w:val="24"/>
          <w:lang w:eastAsia="en-US"/>
        </w:rPr>
        <w:lastRenderedPageBreak/>
        <w:t>(</w:t>
      </w:r>
      <w:r w:rsidR="003E0486" w:rsidRPr="003E0486">
        <w:rPr>
          <w:szCs w:val="24"/>
          <w:lang w:eastAsia="en-US"/>
        </w:rPr>
        <w:t>vi)</w:t>
      </w:r>
      <w:r w:rsidR="003E0486" w:rsidRPr="003E0486">
        <w:rPr>
          <w:szCs w:val="24"/>
          <w:lang w:eastAsia="en-US"/>
        </w:rPr>
        <w:tab/>
        <w:t>fuldstændige oversigter, således at det kan kontrolleres, om toldskylden er fastlagt korrekt.</w:t>
      </w:r>
    </w:p>
    <w:p w14:paraId="37778754" w14:textId="553BD7AB" w:rsidR="003E0486" w:rsidRPr="00E66B23" w:rsidRDefault="0015186B" w:rsidP="003740C4">
      <w:pPr>
        <w:spacing w:before="120" w:after="120" w:line="360" w:lineRule="auto"/>
        <w:ind w:left="851" w:hanging="1"/>
        <w:rPr>
          <w:b/>
          <w:szCs w:val="24"/>
          <w:lang w:eastAsia="en-US"/>
        </w:rPr>
      </w:pPr>
      <w:r>
        <w:rPr>
          <w:b/>
          <w:i/>
          <w:szCs w:val="24"/>
          <w:lang w:eastAsia="en-US"/>
        </w:rPr>
        <w:t>S</w:t>
      </w:r>
      <w:r w:rsidR="003E0486" w:rsidRPr="003E0486">
        <w:rPr>
          <w:b/>
          <w:i/>
          <w:szCs w:val="24"/>
          <w:lang w:eastAsia="en-US"/>
        </w:rPr>
        <w:t>om en undtagelse fra litra f) og uagtet de forpligtelser, der er knyttet til status som importør eller status som formel importør, kan små og mellemstore virksomheder stille overensstemmelsesdata til rådighed for toldmyndighederne via et digitalt produktpas</w:t>
      </w:r>
      <w:r w:rsidR="00E66B23">
        <w:rPr>
          <w:b/>
          <w:szCs w:val="24"/>
          <w:lang w:eastAsia="en-US"/>
        </w:rPr>
        <w:t xml:space="preserve"> [Ændring 109]</w:t>
      </w:r>
    </w:p>
    <w:p w14:paraId="7F8F719C" w14:textId="610C71F3"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 i stk. 1 omhandlede personer skal overholde de forpligtelser, der er fastsat i artikel 7, stk. 2 og 3. Toldmyndighederne overvåger den tillid og kontrol-erhvervsdrivendes fortsatte overholdelse af kriterierne og betingelserne for status som autoriseret økonomisk operatør i overensstemmelse med artikel 7, stk. 4.</w:t>
      </w:r>
    </w:p>
    <w:p w14:paraId="3D06748B" w14:textId="17F698B4" w:rsidR="003E0486" w:rsidRPr="00E66B23" w:rsidRDefault="003E0486" w:rsidP="003E0486">
      <w:pPr>
        <w:spacing w:before="120" w:after="120" w:line="360" w:lineRule="auto"/>
        <w:ind w:left="850"/>
        <w:rPr>
          <w:b/>
          <w:szCs w:val="24"/>
          <w:lang w:eastAsia="en-US"/>
        </w:rPr>
      </w:pPr>
      <w:r w:rsidRPr="003E0486">
        <w:rPr>
          <w:szCs w:val="24"/>
          <w:lang w:eastAsia="en-US"/>
        </w:rPr>
        <w:t xml:space="preserve">Toldmyndighederne foretager mindst hvert </w:t>
      </w:r>
      <w:r w:rsidRPr="003E0486">
        <w:rPr>
          <w:strike/>
          <w:szCs w:val="24"/>
          <w:lang w:eastAsia="en-US"/>
        </w:rPr>
        <w:t>tredje</w:t>
      </w:r>
      <w:r w:rsidRPr="003E0486">
        <w:rPr>
          <w:b/>
          <w:i/>
          <w:szCs w:val="24"/>
          <w:lang w:eastAsia="en-US"/>
        </w:rPr>
        <w:t>andet</w:t>
      </w:r>
      <w:r w:rsidRPr="003E0486">
        <w:rPr>
          <w:szCs w:val="24"/>
          <w:lang w:eastAsia="en-US"/>
        </w:rPr>
        <w:t xml:space="preserve"> år en dybdegående overvågning af den tillid og kontrol-erhvervsdrivendes aktiviteter og interne regnskaber. Den tillid og kontrol-erhvervsdrivende underretter toldmyndighederne om enhver ændring i pågældendes selskabsstruktur, ejerskab, solvenssituation eller handelsmodeller eller andre væsentlige ændringer i sin situation og sine aktiviteter. Toldmyndighederne foretager en fornyet vurdering af status for den tillid og kontrol-erhvervsdrivende, hvis nogen af disse ændringer har en væsentlig indvirkning på dennes tillid og kontrol-status. Toldmyndighederne kan suspendere denne bevilling, indtil der er truffet afgørelse i forbindelse med den fornyede vurdering.</w:t>
      </w:r>
      <w:r w:rsidR="00E66B23">
        <w:rPr>
          <w:b/>
          <w:szCs w:val="24"/>
          <w:lang w:eastAsia="en-US"/>
        </w:rPr>
        <w:t xml:space="preserve"> [Ændring 110]</w:t>
      </w:r>
    </w:p>
    <w:p w14:paraId="4FB96A9B" w14:textId="77777777" w:rsidR="00831B3F" w:rsidRDefault="00831B3F">
      <w:pPr>
        <w:widowControl/>
        <w:rPr>
          <w:szCs w:val="24"/>
          <w:lang w:eastAsia="en-US"/>
        </w:rPr>
      </w:pPr>
      <w:r>
        <w:rPr>
          <w:szCs w:val="24"/>
          <w:lang w:eastAsia="en-US"/>
        </w:rPr>
        <w:br w:type="page"/>
      </w:r>
    </w:p>
    <w:p w14:paraId="3BB1D08A" w14:textId="54A3E362" w:rsidR="003E0486" w:rsidRPr="00E66B23" w:rsidRDefault="003E0486" w:rsidP="003E0486">
      <w:pPr>
        <w:spacing w:before="120" w:after="120" w:line="360" w:lineRule="auto"/>
        <w:ind w:left="850" w:hanging="850"/>
        <w:rPr>
          <w:b/>
          <w:szCs w:val="24"/>
          <w:lang w:eastAsia="en-US"/>
        </w:rPr>
      </w:pPr>
      <w:r w:rsidRPr="003E0486">
        <w:rPr>
          <w:szCs w:val="24"/>
          <w:lang w:eastAsia="en-US"/>
        </w:rPr>
        <w:lastRenderedPageBreak/>
        <w:t>5.</w:t>
      </w:r>
      <w:r w:rsidRPr="003E0486">
        <w:rPr>
          <w:szCs w:val="24"/>
          <w:lang w:eastAsia="en-US"/>
        </w:rPr>
        <w:tab/>
      </w:r>
      <w:r w:rsidRPr="003E0486">
        <w:rPr>
          <w:strike/>
          <w:szCs w:val="24"/>
          <w:lang w:eastAsia="en-US"/>
        </w:rPr>
        <w:t>Hvis en tillid og kontrol-erhvervsdrivende ændrer sin etableringsmedlemsstat, kan toldmyndighederne i den modtagende medlemsstat foretage en fornyet vurdering af tillid og kontrol-bevillingen efter høring af den medlemsstat, som oprindeligt indrømmede denne status, og efter at have modtaget de tidligere oplysninger vedrørende operatørerne. I forbindelse med udførelsen af den fornyede vurdering kan toldmyndigheden i den medlemsstat, der udstedte den oprindelige bevilling, suspendere denne.</w:t>
      </w:r>
      <w:r w:rsidR="00E66B23">
        <w:rPr>
          <w:b/>
          <w:szCs w:val="24"/>
          <w:lang w:eastAsia="en-US"/>
        </w:rPr>
        <w:t xml:space="preserve"> [Ændring 111]</w:t>
      </w:r>
    </w:p>
    <w:p w14:paraId="2F9A0205" w14:textId="73CDAB96" w:rsidR="003E0486" w:rsidRPr="00E66B23" w:rsidRDefault="003E0486" w:rsidP="003E0486">
      <w:pPr>
        <w:spacing w:before="120" w:after="120" w:line="360" w:lineRule="auto"/>
        <w:ind w:left="850"/>
        <w:rPr>
          <w:b/>
          <w:szCs w:val="24"/>
          <w:lang w:eastAsia="en-US"/>
        </w:rPr>
      </w:pPr>
      <w:r w:rsidRPr="003E0486">
        <w:rPr>
          <w:strike/>
          <w:szCs w:val="24"/>
          <w:lang w:eastAsia="en-US"/>
        </w:rPr>
        <w:t>Den</w:t>
      </w:r>
      <w:r w:rsidRPr="003E0486">
        <w:rPr>
          <w:b/>
          <w:i/>
          <w:szCs w:val="24"/>
          <w:lang w:eastAsia="en-US"/>
        </w:rPr>
        <w:t>Hv</w:t>
      </w:r>
      <w:r w:rsidR="00FA7B9E">
        <w:rPr>
          <w:b/>
          <w:i/>
          <w:szCs w:val="24"/>
          <w:lang w:eastAsia="en-US"/>
        </w:rPr>
        <w:t>or</w:t>
      </w:r>
      <w:r w:rsidRPr="003E0486">
        <w:rPr>
          <w:b/>
          <w:i/>
          <w:szCs w:val="24"/>
          <w:lang w:eastAsia="en-US"/>
        </w:rPr>
        <w:t xml:space="preserve"> en</w:t>
      </w:r>
      <w:r w:rsidRPr="003E0486">
        <w:rPr>
          <w:szCs w:val="24"/>
          <w:lang w:eastAsia="en-US"/>
        </w:rPr>
        <w:t xml:space="preserve"> tillid og kontrol-erhvervsdrivende </w:t>
      </w:r>
      <w:r w:rsidRPr="003E0486">
        <w:rPr>
          <w:b/>
          <w:i/>
          <w:szCs w:val="24"/>
          <w:lang w:eastAsia="en-US"/>
        </w:rPr>
        <w:t xml:space="preserve">ændrer sin etableringsmedlemsstat, </w:t>
      </w:r>
      <w:r w:rsidRPr="003E0486">
        <w:rPr>
          <w:szCs w:val="24"/>
          <w:lang w:eastAsia="en-US"/>
        </w:rPr>
        <w:t>underretter</w:t>
      </w:r>
      <w:r w:rsidRPr="003E0486">
        <w:rPr>
          <w:b/>
          <w:i/>
          <w:szCs w:val="24"/>
          <w:lang w:eastAsia="en-US"/>
        </w:rPr>
        <w:t xml:space="preserve"> vedkommende</w:t>
      </w:r>
      <w:r w:rsidRPr="003E0486">
        <w:rPr>
          <w:szCs w:val="24"/>
          <w:lang w:eastAsia="en-US"/>
        </w:rPr>
        <w:t xml:space="preserve"> toldmyndighederne i den modtagende medlemsstat om enhver ændring i pågældendes selskabsstruktur, ejerskab, solvenssituation eller handelsmodeller eller om andre væsentlige ændringer i sin situation og sine aktiviteter.</w:t>
      </w:r>
      <w:r w:rsidR="00E66B23">
        <w:rPr>
          <w:b/>
          <w:szCs w:val="24"/>
          <w:lang w:eastAsia="en-US"/>
        </w:rPr>
        <w:t xml:space="preserve"> [Ændring 112]</w:t>
      </w:r>
    </w:p>
    <w:p w14:paraId="664946F6" w14:textId="77777777" w:rsidR="00831B3F" w:rsidRDefault="00831B3F">
      <w:pPr>
        <w:widowControl/>
        <w:rPr>
          <w:b/>
          <w:i/>
          <w:szCs w:val="24"/>
          <w:lang w:eastAsia="en-US"/>
        </w:rPr>
      </w:pPr>
      <w:r>
        <w:rPr>
          <w:b/>
          <w:i/>
          <w:szCs w:val="24"/>
          <w:lang w:eastAsia="en-US"/>
        </w:rPr>
        <w:br w:type="page"/>
      </w:r>
    </w:p>
    <w:p w14:paraId="424C4306" w14:textId="781B2F69" w:rsidR="003E0486" w:rsidRPr="00E66B23" w:rsidRDefault="003E0486" w:rsidP="003E0486">
      <w:pPr>
        <w:spacing w:before="120" w:after="120" w:line="360" w:lineRule="auto"/>
        <w:ind w:left="850" w:hanging="850"/>
        <w:rPr>
          <w:b/>
          <w:szCs w:val="24"/>
          <w:lang w:eastAsia="en-US"/>
        </w:rPr>
      </w:pPr>
      <w:r w:rsidRPr="003E0486">
        <w:rPr>
          <w:b/>
          <w:i/>
          <w:szCs w:val="24"/>
          <w:lang w:eastAsia="en-US"/>
        </w:rPr>
        <w:lastRenderedPageBreak/>
        <w:t>5a.</w:t>
      </w:r>
      <w:r w:rsidRPr="003E0486">
        <w:rPr>
          <w:szCs w:val="24"/>
          <w:lang w:eastAsia="en-US"/>
        </w:rPr>
        <w:tab/>
      </w:r>
      <w:r w:rsidRPr="003E0486">
        <w:rPr>
          <w:b/>
          <w:i/>
          <w:szCs w:val="24"/>
          <w:lang w:eastAsia="en-US"/>
        </w:rPr>
        <w:t>Toldmyndighederne i den modtagende medlemsstat kan i samråd med den medlemsstat, som oprindeligt indrømmede den erhvervsdrivende sin tillid og kontrol-status, foretage en fornyet vurdering af, om nogen af disse ændringer har indvirkning på den pågældende erhvervsdrivendes tillid og kontrol-status. Toldmyndighederne i den modtagende medlemsstat kan om nødvendigt suspendere den oprindelige bevilling. En sådan suspension meddeles i tolddatacentret. Senest tre år efter at den tillid og kontrol-erhvervsdrivende har ændret sin etableringsmedlemsstat, eller efter at toldmyndighederne i den modtagende medlemsstat har foretaget en fornyet vurdering af den erhvervsdrivendes tillid og kontrol-status, og hvert tredje år derefter, foretager toldmyndighederne i den modtagende medlemsstat en dybdegående overvågning af den tillid og kontrol-erhvervsdrivendes aktiviteter og dennes interne regnskaber som omhandlet i stk. 4.</w:t>
      </w:r>
      <w:r w:rsidR="00E66B23">
        <w:rPr>
          <w:b/>
          <w:szCs w:val="24"/>
          <w:lang w:eastAsia="en-US"/>
        </w:rPr>
        <w:t xml:space="preserve"> [Ændring 113]</w:t>
      </w:r>
    </w:p>
    <w:p w14:paraId="02B4026B" w14:textId="343C8BFC" w:rsidR="003E0486" w:rsidRPr="00E66B23"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 xml:space="preserve">Hvis en tillid og kontrol-erhvervsdrivende </w:t>
      </w:r>
      <w:r w:rsidRPr="003E0486">
        <w:rPr>
          <w:strike/>
          <w:szCs w:val="24"/>
          <w:lang w:eastAsia="en-US"/>
        </w:rPr>
        <w:t>mistænkes for at være</w:t>
      </w:r>
      <w:r w:rsidRPr="003E0486">
        <w:rPr>
          <w:b/>
          <w:i/>
          <w:szCs w:val="24"/>
          <w:lang w:eastAsia="en-US"/>
        </w:rPr>
        <w:t>er</w:t>
      </w:r>
      <w:r w:rsidRPr="003E0486">
        <w:rPr>
          <w:szCs w:val="24"/>
          <w:lang w:eastAsia="en-US"/>
        </w:rPr>
        <w:t xml:space="preserve"> involveret i svigagtig aktivitet i forbindelse med sin økonomiske eller erhvervsmæssige aktivitet</w:t>
      </w:r>
      <w:r w:rsidRPr="003E0486">
        <w:rPr>
          <w:b/>
          <w:i/>
          <w:szCs w:val="24"/>
          <w:lang w:eastAsia="en-US"/>
        </w:rPr>
        <w:t xml:space="preserve"> eller alvorlig overtrædelse af anden relevant lovgivning, der anvendes af toldmyndighederne i henhold til </w:t>
      </w:r>
      <w:r w:rsidR="00FA7B9E" w:rsidRPr="003E0486">
        <w:rPr>
          <w:b/>
          <w:i/>
          <w:szCs w:val="24"/>
          <w:lang w:eastAsia="en-US"/>
        </w:rPr>
        <w:t>denne forordning</w:t>
      </w:r>
      <w:r w:rsidR="00FA7B9E">
        <w:rPr>
          <w:b/>
          <w:i/>
          <w:szCs w:val="24"/>
          <w:lang w:eastAsia="en-US"/>
        </w:rPr>
        <w:t>s</w:t>
      </w:r>
      <w:r w:rsidR="00FA7B9E" w:rsidRPr="003E0486">
        <w:rPr>
          <w:b/>
          <w:i/>
          <w:szCs w:val="24"/>
          <w:lang w:eastAsia="en-US"/>
        </w:rPr>
        <w:t xml:space="preserve"> </w:t>
      </w:r>
      <w:r w:rsidRPr="003E0486">
        <w:rPr>
          <w:b/>
          <w:i/>
          <w:szCs w:val="24"/>
          <w:lang w:eastAsia="en-US"/>
        </w:rPr>
        <w:t>artikel 20, stk. 1, litra c)</w:t>
      </w:r>
      <w:r w:rsidRPr="003E0486">
        <w:rPr>
          <w:szCs w:val="24"/>
          <w:lang w:eastAsia="en-US"/>
        </w:rPr>
        <w:t>, suspenderes dennes status</w:t>
      </w:r>
      <w:r w:rsidRPr="003E0486">
        <w:rPr>
          <w:b/>
          <w:i/>
          <w:szCs w:val="24"/>
          <w:lang w:eastAsia="en-US"/>
        </w:rPr>
        <w:t xml:space="preserve"> af toldmyndighederne</w:t>
      </w:r>
      <w:r w:rsidRPr="003E0486">
        <w:rPr>
          <w:szCs w:val="24"/>
          <w:lang w:eastAsia="en-US"/>
        </w:rPr>
        <w:t>.</w:t>
      </w:r>
      <w:r w:rsidRPr="003E0486">
        <w:rPr>
          <w:b/>
          <w:i/>
          <w:szCs w:val="24"/>
          <w:lang w:eastAsia="en-US"/>
        </w:rPr>
        <w:t xml:space="preserve"> Denne suspension registreres i tolddatacentret.</w:t>
      </w:r>
      <w:r w:rsidR="00E66B23">
        <w:rPr>
          <w:b/>
          <w:szCs w:val="24"/>
          <w:lang w:eastAsia="en-US"/>
        </w:rPr>
        <w:t xml:space="preserve"> [Ændring 114]</w:t>
      </w:r>
    </w:p>
    <w:p w14:paraId="051313EA" w14:textId="77777777" w:rsidR="00831B3F" w:rsidRDefault="00831B3F">
      <w:pPr>
        <w:widowControl/>
        <w:rPr>
          <w:szCs w:val="24"/>
          <w:lang w:eastAsia="en-US"/>
        </w:rPr>
      </w:pPr>
      <w:r>
        <w:rPr>
          <w:szCs w:val="24"/>
          <w:lang w:eastAsia="en-US"/>
        </w:rPr>
        <w:br w:type="page"/>
      </w:r>
    </w:p>
    <w:p w14:paraId="4ECD700D" w14:textId="24344A4C" w:rsidR="003E0486" w:rsidRPr="003E0486" w:rsidRDefault="003E0486" w:rsidP="003E0486">
      <w:pPr>
        <w:spacing w:before="120" w:after="120" w:line="360" w:lineRule="auto"/>
        <w:ind w:left="850"/>
        <w:rPr>
          <w:szCs w:val="24"/>
          <w:lang w:eastAsia="en-US"/>
        </w:rPr>
      </w:pPr>
      <w:r w:rsidRPr="003E0486">
        <w:rPr>
          <w:szCs w:val="24"/>
          <w:lang w:eastAsia="en-US"/>
        </w:rPr>
        <w:lastRenderedPageBreak/>
        <w:t>Hvis toldmyndighederne har suspenderet, annulleret eller tilbagekaldt en bevilling vedrørende tillid og kontrol-erhvervsdrivende i overensstemmelse med artikel 7, 9 og 10, skal de træffe de nødvendige foranstaltninger til at sikre, at de i denne artikels stk. 7 omhandlede bevillinger og de i denne artikels stk. 8 omhandlede lettelser også suspenderes, annulleres eller tilbagekaldes.</w:t>
      </w:r>
    </w:p>
    <w:p w14:paraId="3A5090DF" w14:textId="292D0ECD" w:rsidR="003E0486" w:rsidRPr="00E66B23" w:rsidRDefault="003E0486" w:rsidP="003E0486">
      <w:pPr>
        <w:spacing w:before="120" w:after="120" w:line="360" w:lineRule="auto"/>
        <w:ind w:left="850" w:hanging="850"/>
        <w:rPr>
          <w:b/>
          <w:szCs w:val="24"/>
          <w:lang w:eastAsia="en-US"/>
        </w:rPr>
      </w:pPr>
      <w:r w:rsidRPr="003E0486">
        <w:rPr>
          <w:szCs w:val="24"/>
          <w:lang w:eastAsia="en-US"/>
        </w:rPr>
        <w:t>7.</w:t>
      </w:r>
      <w:r w:rsidRPr="003E0486">
        <w:rPr>
          <w:szCs w:val="24"/>
          <w:lang w:eastAsia="en-US"/>
        </w:rPr>
        <w:tab/>
        <w:t xml:space="preserve">Toldmyndighederne </w:t>
      </w:r>
      <w:r w:rsidRPr="003E0486">
        <w:rPr>
          <w:strike/>
          <w:szCs w:val="24"/>
          <w:lang w:eastAsia="en-US"/>
        </w:rPr>
        <w:t>kan give</w:t>
      </w:r>
      <w:r w:rsidRPr="003E0486">
        <w:rPr>
          <w:b/>
          <w:i/>
          <w:szCs w:val="24"/>
          <w:lang w:eastAsia="en-US"/>
        </w:rPr>
        <w:t>giver</w:t>
      </w:r>
      <w:r w:rsidRPr="003E0486">
        <w:rPr>
          <w:szCs w:val="24"/>
          <w:lang w:eastAsia="en-US"/>
        </w:rPr>
        <w:t xml:space="preserve"> tilladelse til, at tillid og kontrol-erhvervsdrivende:</w:t>
      </w:r>
      <w:r w:rsidR="00E66B23">
        <w:rPr>
          <w:b/>
          <w:szCs w:val="24"/>
          <w:lang w:eastAsia="en-US"/>
        </w:rPr>
        <w:t xml:space="preserve"> [Ændring 115]</w:t>
      </w:r>
    </w:p>
    <w:p w14:paraId="3FD285F1" w14:textId="080D3840"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meddeler en del af oplysningerne om pågældendes varer efter frigivelsen af disse varer i overensstemmelse med</w:t>
      </w:r>
      <w:r w:rsidR="00FA7B9E">
        <w:rPr>
          <w:szCs w:val="24"/>
          <w:lang w:eastAsia="en-US"/>
        </w:rPr>
        <w:t xml:space="preserve"> </w:t>
      </w:r>
      <w:r w:rsidRPr="003E0486">
        <w:rPr>
          <w:szCs w:val="24"/>
          <w:lang w:eastAsia="en-US"/>
        </w:rPr>
        <w:t>artikel 59, stk. 3</w:t>
      </w:r>
    </w:p>
    <w:p w14:paraId="0A693A9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udfører visse kontroller og frigiver varerne ved modtagelsen af dem på importørens, ejerens eller modtagerens forretningssted og/eller ved afsendelsen fra eksportørens, ejerens eller afsenderens forretningssted, jf. artikel 61</w:t>
      </w:r>
    </w:p>
    <w:p w14:paraId="01FA0DC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betragter den nødvendige sikkerhed for, at transaktionerne forløber korrekt, som ydet med henblik på at opnå bevillinger til særlige procedurer i overensstemmelser artikel 102, 103, 109 og 123</w:t>
      </w:r>
    </w:p>
    <w:p w14:paraId="70F01B8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med regelmæssige mellemrum fastsætter toldskylden svarende til det samlede import- eller eksportafgiftsbeløb for alle de varer, som den pågældende erhvervsdrivende har frigivet, i overensstemmelse med artikel 181, stk. 4</w:t>
      </w:r>
    </w:p>
    <w:p w14:paraId="4F817201" w14:textId="77777777" w:rsidR="00831B3F" w:rsidRDefault="00831B3F">
      <w:pPr>
        <w:widowControl/>
        <w:rPr>
          <w:szCs w:val="24"/>
          <w:lang w:eastAsia="en-US"/>
        </w:rPr>
      </w:pPr>
      <w:r>
        <w:rPr>
          <w:szCs w:val="24"/>
          <w:lang w:eastAsia="en-US"/>
        </w:rPr>
        <w:br w:type="page"/>
      </w:r>
    </w:p>
    <w:p w14:paraId="465C203F" w14:textId="47EFA45D"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udsætter betalingen af toldskylden i overensstemmelse med artikel 188.</w:t>
      </w:r>
    </w:p>
    <w:p w14:paraId="574DEF85" w14:textId="66D5944D"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ea)</w:t>
      </w:r>
      <w:r w:rsidR="003E0486" w:rsidRPr="003E0486">
        <w:rPr>
          <w:szCs w:val="24"/>
          <w:lang w:eastAsia="en-US"/>
        </w:rPr>
        <w:tab/>
      </w:r>
      <w:r w:rsidR="003E0486" w:rsidRPr="003E0486">
        <w:rPr>
          <w:b/>
          <w:i/>
          <w:szCs w:val="24"/>
          <w:lang w:eastAsia="en-US"/>
        </w:rPr>
        <w:t>foretager centraliseret toldbehandling i overensstemmelse med artikel 72</w:t>
      </w:r>
      <w:r w:rsidR="00E66B23">
        <w:rPr>
          <w:b/>
          <w:szCs w:val="24"/>
          <w:lang w:eastAsia="en-US"/>
        </w:rPr>
        <w:t xml:space="preserve"> [Ændring 116]</w:t>
      </w:r>
    </w:p>
    <w:p w14:paraId="63EAAAF7" w14:textId="11D30B01"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eb)</w:t>
      </w:r>
      <w:r w:rsidR="003E0486" w:rsidRPr="003E0486">
        <w:rPr>
          <w:szCs w:val="24"/>
          <w:lang w:eastAsia="en-US"/>
        </w:rPr>
        <w:tab/>
      </w:r>
      <w:r w:rsidR="003E0486" w:rsidRPr="003E0486">
        <w:rPr>
          <w:b/>
          <w:i/>
          <w:szCs w:val="24"/>
          <w:lang w:eastAsia="en-US"/>
        </w:rPr>
        <w:t>foretager en indskrivning i klarererens regnskaber</w:t>
      </w:r>
      <w:r w:rsidR="00FA7B9E">
        <w:rPr>
          <w:b/>
          <w:i/>
          <w:szCs w:val="24"/>
          <w:lang w:eastAsia="en-US"/>
        </w:rPr>
        <w:t xml:space="preserve"> i overensstemmelse med</w:t>
      </w:r>
      <w:r w:rsidR="003E0486" w:rsidRPr="003E0486">
        <w:rPr>
          <w:b/>
          <w:i/>
          <w:szCs w:val="24"/>
          <w:lang w:eastAsia="en-US"/>
        </w:rPr>
        <w:t xml:space="preserve"> artikel 73.</w:t>
      </w:r>
      <w:r w:rsidR="00E66B23">
        <w:rPr>
          <w:b/>
          <w:szCs w:val="24"/>
          <w:lang w:eastAsia="en-US"/>
        </w:rPr>
        <w:t xml:space="preserve"> [Ændring 117]</w:t>
      </w:r>
    </w:p>
    <w:p w14:paraId="3CADA3EA" w14:textId="244442BB" w:rsidR="003E0486" w:rsidRPr="00E66B23" w:rsidRDefault="003E0486" w:rsidP="003E0486">
      <w:pPr>
        <w:spacing w:before="120" w:after="120" w:line="360" w:lineRule="auto"/>
        <w:ind w:left="850" w:hanging="850"/>
        <w:rPr>
          <w:b/>
          <w:szCs w:val="24"/>
          <w:lang w:eastAsia="en-US"/>
        </w:rPr>
      </w:pPr>
      <w:r w:rsidRPr="003E0486">
        <w:rPr>
          <w:b/>
          <w:i/>
          <w:szCs w:val="24"/>
          <w:lang w:eastAsia="en-US"/>
        </w:rPr>
        <w:t>7a.</w:t>
      </w:r>
      <w:r w:rsidRPr="003E0486">
        <w:rPr>
          <w:szCs w:val="24"/>
          <w:lang w:eastAsia="en-US"/>
        </w:rPr>
        <w:tab/>
      </w:r>
      <w:r w:rsidRPr="003E0486">
        <w:rPr>
          <w:b/>
          <w:i/>
          <w:szCs w:val="24"/>
          <w:lang w:eastAsia="en-US"/>
        </w:rPr>
        <w:t>Toldmyndighederne bestræber sig bedst muligt på at tilpasse deres praksis med tildeling af de i stk. 7 omhandlede bevillinger til andre toldmyndigheders praksis for at sikre en ensartet tilgang i hele Unionen. EU-Toldmyndigheden koordinerer toldmyndighedernes arbejde og overvåger en sådan ensartet tilgang, så bevillingerne kan gives automatisk efter udpegelse af en tillid og kontrol-erhvervsdrivende.</w:t>
      </w:r>
      <w:r w:rsidR="00E66B23">
        <w:rPr>
          <w:b/>
          <w:szCs w:val="24"/>
          <w:lang w:eastAsia="en-US"/>
        </w:rPr>
        <w:t xml:space="preserve"> [Ændring 118]</w:t>
      </w:r>
    </w:p>
    <w:p w14:paraId="6C762E35" w14:textId="673844B9" w:rsidR="003E0486" w:rsidRPr="00E66B23" w:rsidRDefault="003E0486" w:rsidP="003E0486">
      <w:pPr>
        <w:spacing w:before="120" w:after="120" w:line="360" w:lineRule="auto"/>
        <w:ind w:left="850" w:hanging="850"/>
        <w:rPr>
          <w:b/>
          <w:szCs w:val="24"/>
          <w:lang w:eastAsia="en-US"/>
        </w:rPr>
      </w:pPr>
      <w:r w:rsidRPr="003E0486">
        <w:rPr>
          <w:szCs w:val="24"/>
          <w:lang w:eastAsia="en-US"/>
        </w:rPr>
        <w:t>8.</w:t>
      </w:r>
      <w:r w:rsidRPr="003E0486">
        <w:rPr>
          <w:szCs w:val="24"/>
          <w:lang w:eastAsia="en-US"/>
        </w:rPr>
        <w:tab/>
      </w:r>
      <w:r w:rsidRPr="003E0486">
        <w:rPr>
          <w:strike/>
          <w:szCs w:val="24"/>
          <w:lang w:eastAsia="en-US"/>
        </w:rPr>
        <w:t xml:space="preserve">Tillid og kontrol-erhvervsdrivende nyder godt af en mere fordelagtig behandling end andre økonomiske operatører for så vidt angår toldkontrol afhængigt af den indrømmede bevilling, herunder færre fysiske og dokumentrelaterede kontroller. </w:t>
      </w:r>
      <w:r w:rsidRPr="003E0486">
        <w:rPr>
          <w:szCs w:val="24"/>
          <w:lang w:eastAsia="en-US"/>
        </w:rPr>
        <w:t>Der skal tages hensyn til status som tillid og kontrol-erhvervsdrivende i forbindelse med toldrisikoforvaltning.</w:t>
      </w:r>
      <w:r w:rsidR="00E66B23">
        <w:rPr>
          <w:b/>
          <w:szCs w:val="24"/>
          <w:lang w:eastAsia="en-US"/>
        </w:rPr>
        <w:t xml:space="preserve"> [Ændring 119]</w:t>
      </w:r>
    </w:p>
    <w:p w14:paraId="69B6B1C2" w14:textId="77777777" w:rsidR="00831B3F" w:rsidRDefault="00831B3F">
      <w:pPr>
        <w:widowControl/>
        <w:rPr>
          <w:szCs w:val="24"/>
          <w:lang w:eastAsia="en-US"/>
        </w:rPr>
      </w:pPr>
      <w:r>
        <w:rPr>
          <w:szCs w:val="24"/>
          <w:lang w:eastAsia="en-US"/>
        </w:rPr>
        <w:br w:type="page"/>
      </w:r>
    </w:p>
    <w:p w14:paraId="0CD79E2B" w14:textId="33FF719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9.</w:t>
      </w:r>
      <w:r w:rsidRPr="003E0486">
        <w:rPr>
          <w:szCs w:val="24"/>
          <w:lang w:eastAsia="en-US"/>
        </w:rPr>
        <w:tab/>
        <w:t>Uanset artikel 110 gælder det, at hvis importøren eller eksportøren af de varer, der føres ind i eller ud af toldområdet, har status som tillid og kontrol-erhvervsdrivende, anses varerne for at være omfattet af en toldsuspensionsordning og forbliver under toldtilsyn, indtil de når deres endelige bestemmelsessted uden forpligtelse til at henføre dem under forsendelse. Den tillid og kontrol-erhvervsdrivende er ansvarlig for betaling af told, andre skatter og andre afgifter i etableringsmedlemsstaten, hvor bevillingen er tildelt.</w:t>
      </w:r>
    </w:p>
    <w:p w14:paraId="46DB9549" w14:textId="10C2AABF" w:rsidR="003E0486" w:rsidRPr="00E66B23" w:rsidRDefault="003E0486" w:rsidP="003E0486">
      <w:pPr>
        <w:spacing w:before="120" w:after="120" w:line="360" w:lineRule="auto"/>
        <w:ind w:left="850" w:hanging="850"/>
        <w:rPr>
          <w:b/>
          <w:szCs w:val="24"/>
          <w:lang w:eastAsia="en-US"/>
        </w:rPr>
      </w:pPr>
      <w:r w:rsidRPr="003E0486">
        <w:rPr>
          <w:szCs w:val="24"/>
          <w:lang w:eastAsia="en-US"/>
        </w:rPr>
        <w:t>10.</w:t>
      </w:r>
      <w:r w:rsidRPr="003E0486">
        <w:rPr>
          <w:szCs w:val="24"/>
          <w:lang w:eastAsia="en-US"/>
        </w:rPr>
        <w:tab/>
        <w:t>Kommissionen tillægges beføjelser til at vedtage delegerede retsakter i overensstemmelse med artikel 261 med henblik på at supplere denne forordning ved at</w:t>
      </w:r>
      <w:r w:rsidRPr="003E0486">
        <w:rPr>
          <w:strike/>
          <w:szCs w:val="24"/>
          <w:lang w:eastAsia="en-US"/>
        </w:rPr>
        <w:t xml:space="preserve"> fastsætte arten og hyppigheden af de overvågningsaktiviteter, som er omhandlet i nærværende artikels stk. 4.</w:t>
      </w:r>
      <w:r w:rsidRPr="003E0486">
        <w:rPr>
          <w:b/>
          <w:i/>
          <w:szCs w:val="24"/>
          <w:lang w:eastAsia="en-US"/>
        </w:rPr>
        <w:t>:</w:t>
      </w:r>
      <w:r w:rsidR="00E66B23">
        <w:rPr>
          <w:b/>
          <w:szCs w:val="24"/>
          <w:lang w:eastAsia="en-US"/>
        </w:rPr>
        <w:t xml:space="preserve"> [Ændring 120]</w:t>
      </w:r>
    </w:p>
    <w:p w14:paraId="70FAFE2A" w14:textId="3703D301"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fastsætte regler for høring af de andre myndigheder, der er omhandlet i stk. 2, med henblik på fastlæggelse af status som tillid og kontrol-erhvervsdrivende</w:t>
      </w:r>
      <w:r w:rsidR="00E66B23">
        <w:rPr>
          <w:b/>
          <w:szCs w:val="24"/>
          <w:lang w:eastAsia="en-US"/>
        </w:rPr>
        <w:t xml:space="preserve"> [Ændring 121]</w:t>
      </w:r>
    </w:p>
    <w:p w14:paraId="67F579A1" w14:textId="62DECA2F"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fastsætte de nærmere bestemmelser om anvendelsen af de kriterier, der er omhandlet i stk. 3</w:t>
      </w:r>
      <w:r w:rsidR="00E66B23">
        <w:rPr>
          <w:b/>
          <w:szCs w:val="24"/>
          <w:lang w:eastAsia="en-US"/>
        </w:rPr>
        <w:t xml:space="preserve"> [Ændring 122]</w:t>
      </w:r>
    </w:p>
    <w:p w14:paraId="4F4816BD" w14:textId="5D97F6F8"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 xml:space="preserve">fastsætte typen og hyppigheden af de overvågningsaktiviteter, </w:t>
      </w:r>
      <w:r w:rsidR="00FA7B9E">
        <w:rPr>
          <w:b/>
          <w:i/>
          <w:szCs w:val="24"/>
          <w:lang w:eastAsia="en-US"/>
        </w:rPr>
        <w:t>der</w:t>
      </w:r>
      <w:r w:rsidR="00FA7B9E" w:rsidRPr="003E0486">
        <w:rPr>
          <w:b/>
          <w:i/>
          <w:szCs w:val="24"/>
          <w:lang w:eastAsia="en-US"/>
        </w:rPr>
        <w:t xml:space="preserve"> </w:t>
      </w:r>
      <w:r w:rsidR="003E0486" w:rsidRPr="003E0486">
        <w:rPr>
          <w:b/>
          <w:i/>
          <w:szCs w:val="24"/>
          <w:lang w:eastAsia="en-US"/>
        </w:rPr>
        <w:t>er omhandlet i stk. 4</w:t>
      </w:r>
      <w:r w:rsidR="00E66B23">
        <w:rPr>
          <w:b/>
          <w:szCs w:val="24"/>
          <w:lang w:eastAsia="en-US"/>
        </w:rPr>
        <w:t xml:space="preserve"> [Ændring 123]</w:t>
      </w:r>
    </w:p>
    <w:p w14:paraId="1B9D372A" w14:textId="3772209F" w:rsidR="003E0486" w:rsidRPr="00E66B23"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d)</w:t>
      </w:r>
      <w:r w:rsidR="003E0486" w:rsidRPr="003E0486">
        <w:rPr>
          <w:szCs w:val="24"/>
          <w:lang w:eastAsia="en-US"/>
        </w:rPr>
        <w:tab/>
      </w:r>
      <w:r w:rsidR="003E0486" w:rsidRPr="003E0486">
        <w:rPr>
          <w:b/>
          <w:i/>
          <w:szCs w:val="24"/>
          <w:lang w:eastAsia="en-US"/>
        </w:rPr>
        <w:t>fastsætte regler for fornyet vurdering af tillid og kontrol-status som omhandlet i stk. 5.</w:t>
      </w:r>
      <w:r w:rsidR="00E66B23">
        <w:rPr>
          <w:b/>
          <w:szCs w:val="24"/>
          <w:lang w:eastAsia="en-US"/>
        </w:rPr>
        <w:t xml:space="preserve"> [Ændring 124]</w:t>
      </w:r>
    </w:p>
    <w:p w14:paraId="2481F2B1" w14:textId="77777777" w:rsidR="00831B3F" w:rsidRDefault="00831B3F">
      <w:pPr>
        <w:widowControl/>
        <w:rPr>
          <w:strike/>
          <w:szCs w:val="24"/>
          <w:lang w:eastAsia="en-US"/>
        </w:rPr>
      </w:pPr>
      <w:r>
        <w:rPr>
          <w:strike/>
          <w:szCs w:val="24"/>
          <w:lang w:eastAsia="en-US"/>
        </w:rPr>
        <w:br w:type="page"/>
      </w:r>
    </w:p>
    <w:p w14:paraId="795A0C50" w14:textId="20CE46E1" w:rsidR="003E0486" w:rsidRPr="003E0486" w:rsidRDefault="003E0486" w:rsidP="003E0486">
      <w:pPr>
        <w:spacing w:before="120" w:after="120" w:line="360" w:lineRule="auto"/>
        <w:ind w:left="850" w:hanging="850"/>
        <w:rPr>
          <w:szCs w:val="24"/>
          <w:lang w:eastAsia="en-US"/>
        </w:rPr>
      </w:pPr>
      <w:r w:rsidRPr="003E0486">
        <w:rPr>
          <w:strike/>
          <w:szCs w:val="24"/>
          <w:lang w:eastAsia="en-US"/>
        </w:rPr>
        <w:lastRenderedPageBreak/>
        <w:t>11.</w:t>
      </w:r>
      <w:r w:rsidRPr="0015230B">
        <w:rPr>
          <w:strike/>
          <w:szCs w:val="24"/>
          <w:lang w:eastAsia="en-US"/>
        </w:rPr>
        <w:tab/>
      </w:r>
      <w:r w:rsidRPr="003E0486">
        <w:rPr>
          <w:strike/>
          <w:szCs w:val="24"/>
          <w:lang w:eastAsia="en-US"/>
        </w:rPr>
        <w:t>Kommissionen vedtager ved gennemførelsesretsakter:</w:t>
      </w:r>
    </w:p>
    <w:p w14:paraId="0E9752E6"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(a)</w:t>
      </w:r>
      <w:r w:rsidRPr="003E0486">
        <w:rPr>
          <w:szCs w:val="24"/>
          <w:lang w:eastAsia="en-US"/>
        </w:rPr>
        <w:tab/>
      </w:r>
      <w:r w:rsidRPr="003E0486">
        <w:rPr>
          <w:strike/>
          <w:szCs w:val="24"/>
          <w:lang w:eastAsia="en-US"/>
        </w:rPr>
        <w:t>reglerne for høring af andre myndigheder med henblik på fastlæggelse af status som tillid og kontrol-erhvervsdrivende som omhandlet i stk. 2</w:t>
      </w:r>
    </w:p>
    <w:p w14:paraId="5E540284"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(b)</w:t>
      </w:r>
      <w:r w:rsidRPr="003E0486">
        <w:rPr>
          <w:szCs w:val="24"/>
          <w:lang w:eastAsia="en-US"/>
        </w:rPr>
        <w:tab/>
      </w:r>
      <w:r w:rsidRPr="003E0486">
        <w:rPr>
          <w:strike/>
          <w:szCs w:val="24"/>
          <w:lang w:eastAsia="en-US"/>
        </w:rPr>
        <w:t>de nærmere vilkår for anvendelsen af de kriterier, der er omhandlet i stk. 3</w:t>
      </w:r>
    </w:p>
    <w:p w14:paraId="57F16E4C" w14:textId="75D0D03A" w:rsidR="003E0486" w:rsidRPr="003E0486" w:rsidRDefault="003E0486" w:rsidP="003E0486">
      <w:pPr>
        <w:spacing w:before="120" w:after="120" w:line="360" w:lineRule="auto"/>
        <w:ind w:left="1416" w:hanging="566"/>
        <w:rPr>
          <w:szCs w:val="24"/>
          <w:lang w:eastAsia="en-US"/>
        </w:rPr>
      </w:pPr>
      <w:r w:rsidRPr="003E0486">
        <w:rPr>
          <w:strike/>
          <w:szCs w:val="24"/>
          <w:lang w:eastAsia="en-US"/>
        </w:rPr>
        <w:t>(c)</w:t>
      </w:r>
      <w:r w:rsidRPr="003E0486">
        <w:rPr>
          <w:szCs w:val="24"/>
          <w:lang w:eastAsia="en-US"/>
        </w:rPr>
        <w:tab/>
      </w:r>
      <w:r w:rsidRPr="003E0486">
        <w:rPr>
          <w:strike/>
          <w:szCs w:val="24"/>
          <w:lang w:eastAsia="en-US"/>
        </w:rPr>
        <w:t>reglerne for høring af toldmyndighederne som omhandlet i stk. 5.</w:t>
      </w:r>
      <w:r w:rsidR="00D217BC">
        <w:rPr>
          <w:strike/>
          <w:szCs w:val="24"/>
          <w:lang w:eastAsia="en-US"/>
        </w:rPr>
        <w:t xml:space="preserve"> </w:t>
      </w:r>
      <w:r w:rsidR="00D217BC">
        <w:rPr>
          <w:b/>
          <w:szCs w:val="24"/>
          <w:lang w:eastAsia="en-US"/>
        </w:rPr>
        <w:t>[Ændring 125]</w:t>
      </w:r>
    </w:p>
    <w:p w14:paraId="64214C79" w14:textId="6E77FC82" w:rsidR="003E0486" w:rsidRPr="00D217BC" w:rsidRDefault="003E0486" w:rsidP="003E0486">
      <w:pPr>
        <w:spacing w:before="120" w:after="120" w:line="360" w:lineRule="auto"/>
        <w:ind w:left="850"/>
        <w:rPr>
          <w:b/>
          <w:szCs w:val="24"/>
          <w:lang w:eastAsia="en-US"/>
        </w:rPr>
      </w:pPr>
      <w:r w:rsidRPr="003E0486">
        <w:rPr>
          <w:strike/>
          <w:szCs w:val="24"/>
          <w:lang w:eastAsia="en-US"/>
        </w:rPr>
        <w:t>Disse gennemførelsesretsakter vedtages efter undersøgelsesproceduren i artikel 262, stk. 4.</w:t>
      </w:r>
      <w:r w:rsidR="00E66B23">
        <w:rPr>
          <w:b/>
          <w:szCs w:val="24"/>
          <w:lang w:eastAsia="en-US"/>
        </w:rPr>
        <w:t xml:space="preserve"> </w:t>
      </w:r>
      <w:r w:rsidR="00D217BC">
        <w:rPr>
          <w:b/>
          <w:szCs w:val="24"/>
          <w:lang w:eastAsia="en-US"/>
        </w:rPr>
        <w:t>[Ændring 126]</w:t>
      </w:r>
    </w:p>
    <w:p w14:paraId="6C7FA941" w14:textId="656BAA7A" w:rsidR="003E0486" w:rsidRPr="00D217BC" w:rsidRDefault="003E0486" w:rsidP="003E0486">
      <w:pPr>
        <w:spacing w:before="120" w:after="120" w:line="360" w:lineRule="auto"/>
        <w:ind w:left="850" w:hanging="850"/>
        <w:rPr>
          <w:b/>
          <w:szCs w:val="24"/>
          <w:lang w:eastAsia="en-US"/>
        </w:rPr>
      </w:pPr>
      <w:r w:rsidRPr="003E0486">
        <w:rPr>
          <w:b/>
          <w:i/>
          <w:szCs w:val="24"/>
          <w:lang w:eastAsia="en-US"/>
        </w:rPr>
        <w:t>11a.</w:t>
      </w:r>
      <w:r w:rsidRPr="003E0486">
        <w:rPr>
          <w:szCs w:val="24"/>
          <w:lang w:eastAsia="en-US"/>
        </w:rPr>
        <w:tab/>
      </w:r>
      <w:r w:rsidRPr="003E0486">
        <w:rPr>
          <w:b/>
          <w:i/>
          <w:szCs w:val="24"/>
          <w:lang w:eastAsia="en-US"/>
        </w:rPr>
        <w:t>Kommissionen og medlemsstaterne opretter et system til støtte for kapacitetsopbygning og udveksling af bedste praksis til brug for erhvervsdrivende, der er mikrovirksomheder og små og mellemstore virksomheder, og som har opnået eller ansøgt om tillid og kontrol-status.</w:t>
      </w:r>
      <w:r w:rsidR="00D217BC">
        <w:rPr>
          <w:b/>
          <w:szCs w:val="24"/>
          <w:lang w:eastAsia="en-US"/>
        </w:rPr>
        <w:t xml:space="preserve"> [Ændring 127]</w:t>
      </w:r>
    </w:p>
    <w:p w14:paraId="75B356E1" w14:textId="77777777" w:rsidR="00831B3F" w:rsidRDefault="00831B3F">
      <w:pPr>
        <w:widowControl/>
        <w:rPr>
          <w:szCs w:val="24"/>
          <w:lang w:eastAsia="en-US"/>
        </w:rPr>
      </w:pPr>
      <w:r>
        <w:rPr>
          <w:szCs w:val="24"/>
          <w:lang w:eastAsia="en-US"/>
        </w:rPr>
        <w:br w:type="page"/>
      </w:r>
    </w:p>
    <w:p w14:paraId="788D00A5" w14:textId="284838A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26</w:t>
      </w:r>
      <w:r w:rsidRPr="003E0486">
        <w:rPr>
          <w:szCs w:val="24"/>
          <w:lang w:eastAsia="en-US"/>
        </w:rPr>
        <w:br/>
        <w:t>Overgangsbestemmelser vedrørende autoriserede økonomiske operatører med bevilling til at udnytte forenklede toldbestemmelser</w:t>
      </w:r>
    </w:p>
    <w:p w14:paraId="545EB8A5" w14:textId="17E58BC3" w:rsidR="003E0486" w:rsidRPr="00D217BC"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r>
      <w:r w:rsidRPr="003E0486">
        <w:rPr>
          <w:strike/>
          <w:szCs w:val="24"/>
          <w:lang w:eastAsia="en-US"/>
        </w:rPr>
        <w:t xml:space="preserve">Indtil den dato, der er fastsat i artikel 265, stk. 4, kan </w:t>
      </w:r>
      <w:r w:rsidRPr="003E0486">
        <w:rPr>
          <w:szCs w:val="24"/>
          <w:lang w:eastAsia="en-US"/>
        </w:rPr>
        <w:t>Toldmyndighederne</w:t>
      </w:r>
      <w:r w:rsidRPr="003E0486">
        <w:rPr>
          <w:b/>
          <w:i/>
          <w:szCs w:val="24"/>
          <w:lang w:eastAsia="en-US"/>
        </w:rPr>
        <w:t xml:space="preserve"> kan</w:t>
      </w:r>
      <w:r w:rsidRPr="003E0486">
        <w:rPr>
          <w:szCs w:val="24"/>
          <w:lang w:eastAsia="en-US"/>
        </w:rPr>
        <w:t xml:space="preserve"> indrømme personer, der opfylder kriterierne, status som autoriseret økonomisk operatør med bevilling til at udnytte forenklede toldbestemmelser og give dem tilladelse til at drage fordel af visse forenklinger og lettelser i overensstemmelse med toldlovgivningen.</w:t>
      </w:r>
      <w:r w:rsidR="00D217BC">
        <w:rPr>
          <w:b/>
          <w:szCs w:val="24"/>
          <w:lang w:eastAsia="en-US"/>
        </w:rPr>
        <w:t xml:space="preserve"> [Ændring 128]</w:t>
      </w:r>
    </w:p>
    <w:p w14:paraId="50DE71C6" w14:textId="1D47AF73" w:rsidR="003E0486" w:rsidRPr="00D217BC"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Inden den dato, der er fastsat i artikel 265, stk. 3, vurderer toldmyndighederne de gyldige bevillinger til autoriserede økonomiske operatører til at udnytte forenklede toldbestemmelser for at kontrollere, om deres indehavere kan </w:t>
      </w:r>
      <w:r w:rsidRPr="003E0486">
        <w:rPr>
          <w:strike/>
          <w:szCs w:val="24"/>
          <w:lang w:eastAsia="en-US"/>
        </w:rPr>
        <w:t xml:space="preserve">i </w:t>
      </w:r>
      <w:r w:rsidRPr="003E0486">
        <w:rPr>
          <w:szCs w:val="24"/>
          <w:lang w:eastAsia="en-US"/>
        </w:rPr>
        <w:t>indrømmes status som tillid og kontrol-erhvervsdrivende.</w:t>
      </w:r>
      <w:r w:rsidRPr="003E0486">
        <w:rPr>
          <w:strike/>
          <w:szCs w:val="24"/>
          <w:lang w:eastAsia="en-US"/>
        </w:rPr>
        <w:t xml:space="preserve"> Hvis dette ikke er tilfældet, tilbagekaldes status som autoriseret økonomisk operatør med bevilling til at udnytte forenklede toldbestemmelser og de forenklinger, der er nævnt i artikel 23, stk. 5.</w:t>
      </w:r>
      <w:r w:rsidR="00D217BC">
        <w:rPr>
          <w:b/>
          <w:szCs w:val="24"/>
          <w:lang w:eastAsia="en-US"/>
        </w:rPr>
        <w:t xml:space="preserve"> [Ændring 129]</w:t>
      </w:r>
    </w:p>
    <w:p w14:paraId="00BF9EFC" w14:textId="2E0CD9B8" w:rsidR="003E0486" w:rsidRPr="00D217BC" w:rsidRDefault="003E0486" w:rsidP="003E0486">
      <w:pPr>
        <w:spacing w:before="120" w:after="120" w:line="360" w:lineRule="auto"/>
        <w:ind w:left="850" w:hanging="850"/>
        <w:rPr>
          <w:b/>
          <w:szCs w:val="24"/>
          <w:lang w:eastAsia="en-US"/>
        </w:rPr>
      </w:pPr>
      <w:r w:rsidRPr="006C0A55">
        <w:rPr>
          <w:strike/>
          <w:szCs w:val="24"/>
          <w:lang w:eastAsia="en-US"/>
        </w:rPr>
        <w:t>3.</w:t>
      </w:r>
      <w:r w:rsidRPr="006C0A55">
        <w:rPr>
          <w:strike/>
          <w:szCs w:val="24"/>
          <w:lang w:eastAsia="en-US"/>
        </w:rPr>
        <w:tab/>
      </w:r>
      <w:r w:rsidRPr="003E0486">
        <w:rPr>
          <w:strike/>
          <w:szCs w:val="24"/>
          <w:lang w:eastAsia="en-US"/>
        </w:rPr>
        <w:t>Indtil bevillingen tages op til fornyet vurdering, eller indtil den dato, der er fastsat i artikel 265, stk. 3, alt efter hvilken dato der kommer først, forbliver anerkendelsen af status som autoriseret økonomisk operatør med bevilling til at udnytte forenklede toldbestemmelser gyldig, medmindre artikel 9 og 10 om annullering, tilbagekaldelse eller ændring af afgørelser finder anvendelse.</w:t>
      </w:r>
      <w:r w:rsidR="00D217BC">
        <w:rPr>
          <w:b/>
          <w:szCs w:val="24"/>
          <w:lang w:eastAsia="en-US"/>
        </w:rPr>
        <w:t xml:space="preserve"> [Ændring 130]</w:t>
      </w:r>
    </w:p>
    <w:p w14:paraId="64B9CF0F" w14:textId="77777777" w:rsidR="00831B3F" w:rsidRDefault="00831B3F">
      <w:pPr>
        <w:widowControl/>
        <w:rPr>
          <w:szCs w:val="24"/>
          <w:lang w:eastAsia="en-US"/>
        </w:rPr>
      </w:pPr>
      <w:r>
        <w:rPr>
          <w:szCs w:val="24"/>
          <w:lang w:eastAsia="en-US"/>
        </w:rPr>
        <w:br w:type="page"/>
      </w:r>
    </w:p>
    <w:p w14:paraId="5242EC28" w14:textId="15F11BB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5 </w:t>
      </w:r>
      <w:r w:rsidRPr="003E0486">
        <w:rPr>
          <w:szCs w:val="24"/>
          <w:lang w:eastAsia="en-US"/>
        </w:rPr>
        <w:br/>
        <w:t>Toldrepræsentation</w:t>
      </w:r>
      <w:r w:rsidRPr="003E0486">
        <w:rPr>
          <w:b/>
          <w:i/>
          <w:szCs w:val="24"/>
          <w:lang w:eastAsia="en-US"/>
        </w:rPr>
        <w:t xml:space="preserve"> </w:t>
      </w:r>
      <w:r w:rsidR="00217355">
        <w:rPr>
          <w:b/>
          <w:szCs w:val="24"/>
          <w:lang w:eastAsia="en-US"/>
        </w:rPr>
        <w:t>[</w:t>
      </w:r>
      <w:r w:rsidRPr="00D217BC">
        <w:rPr>
          <w:b/>
          <w:szCs w:val="24"/>
          <w:lang w:eastAsia="en-US"/>
        </w:rPr>
        <w:t>Ændring</w:t>
      </w:r>
      <w:r w:rsidR="0015230B">
        <w:rPr>
          <w:b/>
          <w:szCs w:val="24"/>
          <w:lang w:eastAsia="en-US"/>
        </w:rPr>
        <w:t xml:space="preserve"> </w:t>
      </w:r>
      <w:r w:rsidRPr="00D217BC">
        <w:rPr>
          <w:b/>
          <w:szCs w:val="24"/>
          <w:lang w:eastAsia="en-US"/>
        </w:rPr>
        <w:t>131</w:t>
      </w:r>
      <w:r w:rsidRPr="003E0486">
        <w:rPr>
          <w:b/>
          <w:i/>
          <w:szCs w:val="24"/>
          <w:lang w:eastAsia="en-US"/>
        </w:rPr>
        <w:t xml:space="preserve"> - </w:t>
      </w:r>
      <w:r w:rsidRPr="00217355">
        <w:rPr>
          <w:b/>
          <w:i/>
          <w:szCs w:val="24"/>
          <w:lang w:eastAsia="en-US"/>
        </w:rPr>
        <w:t>ved</w:t>
      </w:r>
      <w:r w:rsidRPr="003E0486">
        <w:rPr>
          <w:b/>
          <w:i/>
          <w:szCs w:val="24"/>
          <w:lang w:eastAsia="en-US"/>
        </w:rPr>
        <w:t>rører ikke den danske tekst</w:t>
      </w:r>
      <w:r w:rsidR="00217355" w:rsidRPr="00217355">
        <w:rPr>
          <w:b/>
          <w:szCs w:val="24"/>
          <w:lang w:eastAsia="en-US"/>
        </w:rPr>
        <w:t>]</w:t>
      </w:r>
    </w:p>
    <w:p w14:paraId="6C6AA6B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27</w:t>
      </w:r>
      <w:r w:rsidRPr="003E0486">
        <w:rPr>
          <w:szCs w:val="24"/>
          <w:lang w:eastAsia="en-US"/>
        </w:rPr>
        <w:br/>
        <w:t>Toldrepræsentanter</w:t>
      </w:r>
    </w:p>
    <w:p w14:paraId="528B1DF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Enhver person kan udpege en toldrepræsentant.</w:t>
      </w:r>
    </w:p>
    <w:p w14:paraId="3E0951E4" w14:textId="77777777" w:rsidR="003E0486" w:rsidRPr="003E0486" w:rsidRDefault="003E0486" w:rsidP="003E0486">
      <w:pPr>
        <w:spacing w:before="120" w:after="120" w:line="360" w:lineRule="auto"/>
        <w:ind w:left="850"/>
        <w:rPr>
          <w:szCs w:val="24"/>
          <w:lang w:eastAsia="en-US"/>
        </w:rPr>
      </w:pPr>
      <w:r w:rsidRPr="003E0486">
        <w:rPr>
          <w:szCs w:val="24"/>
          <w:lang w:eastAsia="en-US"/>
        </w:rPr>
        <w:t>En sådan repræsentation kan være enten direkte, når toldrepræsentanten handler i en anden persons navn og på en anden persons vegne, eller indirekte, når toldrepræsentanten handler i eget navn, men på en anden persons vegne.</w:t>
      </w:r>
    </w:p>
    <w:p w14:paraId="06976469" w14:textId="77777777" w:rsidR="003E0486" w:rsidRPr="003E0486" w:rsidRDefault="003E0486" w:rsidP="003E0486">
      <w:pPr>
        <w:spacing w:before="120" w:after="120" w:line="360" w:lineRule="auto"/>
        <w:ind w:left="850"/>
        <w:rPr>
          <w:szCs w:val="24"/>
          <w:lang w:eastAsia="en-US"/>
        </w:rPr>
      </w:pPr>
      <w:r w:rsidRPr="003E0486">
        <w:rPr>
          <w:szCs w:val="24"/>
          <w:lang w:eastAsia="en-US"/>
        </w:rPr>
        <w:t>En indirekte toldrepræsentant, der handler i eget navn, men på vegne af en importør eller eksportør, betragtes som importør eller eksportør med henblik på henholdsvis artikel 20 og 22.</w:t>
      </w:r>
    </w:p>
    <w:p w14:paraId="78F3B5A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 toldrepræsentant skal være etableret i Unionens toldområde.</w:t>
      </w:r>
    </w:p>
    <w:p w14:paraId="388DD47D" w14:textId="77777777" w:rsidR="003E0486" w:rsidRPr="003E0486" w:rsidRDefault="003E0486" w:rsidP="003E0486">
      <w:pPr>
        <w:spacing w:before="120" w:after="120" w:line="360" w:lineRule="auto"/>
        <w:ind w:left="850"/>
        <w:rPr>
          <w:szCs w:val="24"/>
          <w:lang w:eastAsia="en-US"/>
        </w:rPr>
      </w:pPr>
      <w:r w:rsidRPr="003E0486">
        <w:rPr>
          <w:szCs w:val="24"/>
          <w:lang w:eastAsia="en-US"/>
        </w:rPr>
        <w:t>Medmindre andet er fastsat, dispenseres der fra dette krav, når toldrepræsentanten handler på vegne af personer, der ikke skal være etableret i Unionens toldområde.</w:t>
      </w:r>
    </w:p>
    <w:p w14:paraId="62230300" w14:textId="77777777" w:rsidR="00831B3F" w:rsidRDefault="00831B3F">
      <w:pPr>
        <w:widowControl/>
        <w:rPr>
          <w:szCs w:val="24"/>
          <w:lang w:eastAsia="en-US"/>
        </w:rPr>
      </w:pPr>
      <w:r>
        <w:rPr>
          <w:szCs w:val="24"/>
          <w:lang w:eastAsia="en-US"/>
        </w:rPr>
        <w:br w:type="page"/>
      </w:r>
    </w:p>
    <w:p w14:paraId="341D980D" w14:textId="47494D3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En toldrepræsentant, der har status som tillid og kontrol-erhvervsdrivende, anerkendes kun som sådan, når pågældende handler som indirekte repræsentant. Toldrepræsentanten kan, når pågældende handler som direkte repræsentant, anerkendes som tillid og kontrol-erhvervsdrivende, hvis den person, i hvis navn og på hvis vegne denne repræsentant handler, har fået en sådan status.</w:t>
      </w:r>
    </w:p>
    <w:p w14:paraId="6E5EFFFD" w14:textId="223722EB" w:rsidR="003E0486" w:rsidRPr="00D217BC" w:rsidRDefault="003E0486" w:rsidP="003E0486">
      <w:pPr>
        <w:spacing w:before="120" w:after="120" w:line="360" w:lineRule="auto"/>
        <w:ind w:left="850" w:hanging="850"/>
        <w:rPr>
          <w:b/>
          <w:szCs w:val="24"/>
          <w:lang w:eastAsia="en-US"/>
        </w:rPr>
      </w:pPr>
      <w:r w:rsidRPr="003E0486">
        <w:rPr>
          <w:b/>
          <w:i/>
          <w:szCs w:val="24"/>
          <w:lang w:eastAsia="en-US"/>
        </w:rPr>
        <w:t>3a.</w:t>
      </w:r>
      <w:r w:rsidRPr="003E0486">
        <w:rPr>
          <w:szCs w:val="24"/>
          <w:lang w:eastAsia="en-US"/>
        </w:rPr>
        <w:tab/>
      </w:r>
      <w:r w:rsidRPr="003E0486">
        <w:rPr>
          <w:b/>
          <w:i/>
          <w:szCs w:val="24"/>
          <w:lang w:eastAsia="en-US"/>
        </w:rPr>
        <w:t xml:space="preserve">I en periode på fem år fra den 1. januar 2029 </w:t>
      </w:r>
      <w:r w:rsidR="00FA7B9E">
        <w:rPr>
          <w:b/>
          <w:i/>
          <w:szCs w:val="24"/>
          <w:lang w:eastAsia="en-US"/>
        </w:rPr>
        <w:t xml:space="preserve">er </w:t>
      </w:r>
      <w:r w:rsidRPr="003E0486">
        <w:rPr>
          <w:b/>
          <w:i/>
          <w:szCs w:val="24"/>
          <w:lang w:eastAsia="en-US"/>
        </w:rPr>
        <w:t>det muligt for en toldrepræsentant, der handler som en direkte repræsentant, også at blive anerkendt som en tillid og kontrol-erhvervsdrivende, hvis den person, i hvis navn og på hvis vegne denne repræsentant handler, er en mikrovirksomhed eller en lille virksomhed.</w:t>
      </w:r>
      <w:r w:rsidR="00D217BC">
        <w:rPr>
          <w:b/>
          <w:szCs w:val="24"/>
          <w:lang w:eastAsia="en-US"/>
        </w:rPr>
        <w:t xml:space="preserve"> [Ændring 132]</w:t>
      </w:r>
    </w:p>
    <w:p w14:paraId="4D8F81D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fastsætter i overensstemmelse med EU-lovgivningen, på hvilke betingelser en toldrepræsentant kan levere ydelser i Unionens toldområde.</w:t>
      </w:r>
    </w:p>
    <w:p w14:paraId="157636A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Medlemsstaterne anvender betingelserne fastsat i overensstemmelse med stk. 4, på toldrepræsentanter, der ikke er etableret i Unionens toldområde.</w:t>
      </w:r>
    </w:p>
    <w:p w14:paraId="731C95E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tillægges beføjelser til at vedtage delegerede retsakter i overensstemmelse med artikel 261 med henblik på at supplere denne forordning ved at fastsætte:</w:t>
      </w:r>
    </w:p>
    <w:p w14:paraId="7EC74B7A" w14:textId="77777777" w:rsidR="00831B3F" w:rsidRDefault="00831B3F">
      <w:pPr>
        <w:widowControl/>
        <w:rPr>
          <w:szCs w:val="24"/>
          <w:lang w:eastAsia="en-US"/>
        </w:rPr>
      </w:pPr>
      <w:r>
        <w:rPr>
          <w:szCs w:val="24"/>
          <w:lang w:eastAsia="en-US"/>
        </w:rPr>
        <w:br w:type="page"/>
      </w:r>
    </w:p>
    <w:p w14:paraId="2AB010A5" w14:textId="74370BA9"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(a)</w:t>
      </w:r>
      <w:r w:rsidRPr="003E0486">
        <w:rPr>
          <w:szCs w:val="24"/>
          <w:lang w:eastAsia="en-US"/>
        </w:rPr>
        <w:tab/>
        <w:t>de tilfælde, hvor den i stk. 2, andet afsnit, omhandlede dispensation ikke finder anvendelse</w:t>
      </w:r>
    </w:p>
    <w:p w14:paraId="3F7B4D4D" w14:textId="3B6E65AD" w:rsidR="003E0486" w:rsidRPr="00AD0947"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 xml:space="preserve">på hvilke betingelser en toldrepræsentant </w:t>
      </w:r>
      <w:r w:rsidRPr="003E0486">
        <w:rPr>
          <w:strike/>
          <w:szCs w:val="24"/>
          <w:lang w:eastAsia="en-US"/>
        </w:rPr>
        <w:t>kan</w:t>
      </w:r>
      <w:r w:rsidRPr="003E0486">
        <w:rPr>
          <w:b/>
          <w:i/>
          <w:szCs w:val="24"/>
          <w:lang w:eastAsia="en-US"/>
        </w:rPr>
        <w:t>har tilladelse til at</w:t>
      </w:r>
      <w:r w:rsidRPr="003E0486">
        <w:rPr>
          <w:szCs w:val="24"/>
          <w:lang w:eastAsia="en-US"/>
        </w:rPr>
        <w:t xml:space="preserve"> levere ydelser</w:t>
      </w:r>
      <w:r w:rsidRPr="003E0486">
        <w:rPr>
          <w:strike/>
          <w:szCs w:val="24"/>
          <w:lang w:eastAsia="en-US"/>
        </w:rPr>
        <w:t xml:space="preserve"> under</w:t>
      </w:r>
      <w:r w:rsidRPr="003E0486">
        <w:rPr>
          <w:szCs w:val="24"/>
          <w:lang w:eastAsia="en-US"/>
        </w:rPr>
        <w:t xml:space="preserve"> i Unionens toldområde, jf. stk. 4</w:t>
      </w:r>
      <w:r w:rsidR="00AD0947">
        <w:rPr>
          <w:b/>
          <w:szCs w:val="24"/>
          <w:lang w:eastAsia="en-US"/>
        </w:rPr>
        <w:t xml:space="preserve"> [Ændring 133]</w:t>
      </w:r>
    </w:p>
    <w:p w14:paraId="7851681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28</w:t>
      </w:r>
      <w:r w:rsidRPr="003E0486">
        <w:rPr>
          <w:szCs w:val="24"/>
          <w:lang w:eastAsia="en-US"/>
        </w:rPr>
        <w:br/>
        <w:t>Bemyndigelse af repræsentanterne</w:t>
      </w:r>
    </w:p>
    <w:p w14:paraId="661475B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en toldrepræsentant har at gøre med toldmyndighederne, skal den pågældende erklære at handle på vegne af den person, der repræsenteres, og angive, hvorvidt det drejer sig om direkte eller indirekte repræsentation.</w:t>
      </w:r>
    </w:p>
    <w:p w14:paraId="39F471C1" w14:textId="77777777" w:rsidR="003E0486" w:rsidRPr="003E0486" w:rsidRDefault="003E0486" w:rsidP="003E0486">
      <w:pPr>
        <w:spacing w:before="120" w:after="120" w:line="360" w:lineRule="auto"/>
        <w:ind w:left="850"/>
        <w:rPr>
          <w:szCs w:val="24"/>
          <w:lang w:eastAsia="en-US"/>
        </w:rPr>
      </w:pPr>
      <w:r w:rsidRPr="003E0486">
        <w:rPr>
          <w:szCs w:val="24"/>
          <w:lang w:eastAsia="en-US"/>
        </w:rPr>
        <w:t>Personer, der ikke erklærer, at de handler som toldrepræsentant, eller som erklærer, at de handler som toldrepræsentant uden at være bemyndiget hertil, anses for at handle i eget navn og på egne vegne.</w:t>
      </w:r>
    </w:p>
    <w:p w14:paraId="71BCBA2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afkræve personer, der erklærer, at de handler som toldrepræsentant, bevis for, at den repræsenterede person har bemyndiget dem hertil.</w:t>
      </w:r>
    </w:p>
    <w:p w14:paraId="703E371E" w14:textId="77777777" w:rsidR="003E0486" w:rsidRPr="003E0486" w:rsidRDefault="003E0486" w:rsidP="003E0486">
      <w:pPr>
        <w:spacing w:before="120" w:after="120" w:line="360" w:lineRule="auto"/>
        <w:ind w:left="850"/>
        <w:rPr>
          <w:szCs w:val="24"/>
          <w:lang w:eastAsia="en-US"/>
        </w:rPr>
      </w:pPr>
      <w:r w:rsidRPr="003E0486">
        <w:rPr>
          <w:szCs w:val="24"/>
          <w:lang w:eastAsia="en-US"/>
        </w:rPr>
        <w:t>I specifikke tilfælde kræver toldmyndighederne ikke et sådant bevis.</w:t>
      </w:r>
    </w:p>
    <w:p w14:paraId="39551077" w14:textId="77777777" w:rsidR="00831B3F" w:rsidRDefault="00831B3F">
      <w:pPr>
        <w:widowControl/>
        <w:rPr>
          <w:szCs w:val="24"/>
          <w:lang w:eastAsia="en-US"/>
        </w:rPr>
      </w:pPr>
      <w:r>
        <w:rPr>
          <w:szCs w:val="24"/>
          <w:lang w:eastAsia="en-US"/>
        </w:rPr>
        <w:br w:type="page"/>
      </w:r>
    </w:p>
    <w:p w14:paraId="1DD568B8" w14:textId="3EA7758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Toldmyndighederne kræver ikke, at en person, der handler som toldrepræsentant og regelmæssigt foretager handlinger og opfylder formaliteter, hver gang skal fremlægge bevis for bemyndigelsen, såfremt en sådan person er i stand til at fremlægge bevis herfor på toldmyndighedernes anmodning.</w:t>
      </w:r>
    </w:p>
    <w:p w14:paraId="1F1F27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de tilfælde, hvor bevis for bemyndigelsen ikke skal kræves af toldmyndighederne, jf. nærværende artikels stk. 2.</w:t>
      </w:r>
    </w:p>
    <w:p w14:paraId="092F86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vedtager ved gennemførelsesretsakter reglerne for overdragelse af og bevis for bemyndigelsen nævnt i stk. 3. Disse gennemførelsesretsakter vedtages efter undersøgelsesproceduren i artikel 262, stk. 4.</w:t>
      </w:r>
    </w:p>
    <w:p w14:paraId="4380CA72" w14:textId="77777777" w:rsidR="00831B3F" w:rsidRDefault="00831B3F">
      <w:pPr>
        <w:widowControl/>
        <w:rPr>
          <w:szCs w:val="24"/>
          <w:lang w:eastAsia="en-US"/>
        </w:rPr>
      </w:pPr>
      <w:r>
        <w:rPr>
          <w:szCs w:val="24"/>
          <w:lang w:eastAsia="en-US"/>
        </w:rPr>
        <w:br w:type="page"/>
      </w:r>
    </w:p>
    <w:p w14:paraId="7F48A8F4" w14:textId="0F657D3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III </w:t>
      </w:r>
      <w:r w:rsidRPr="003E0486">
        <w:rPr>
          <w:szCs w:val="24"/>
          <w:lang w:eastAsia="en-US"/>
        </w:rPr>
        <w:br/>
        <w:t>EU's tolddatacenter</w:t>
      </w:r>
    </w:p>
    <w:p w14:paraId="2186968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29</w:t>
      </w:r>
      <w:r w:rsidRPr="003E0486">
        <w:rPr>
          <w:szCs w:val="24"/>
          <w:lang w:eastAsia="en-US"/>
        </w:rPr>
        <w:br/>
        <w:t>EU's tolddatacenters funktioner og formål</w:t>
      </w:r>
    </w:p>
    <w:p w14:paraId="43494C26" w14:textId="5B081CE8" w:rsidR="003E0486" w:rsidRPr="00AD0947"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EU's tolddatacenter skal levere en række sikre og cyberrobuste elektroniske tjenester og systemer til anvendelse af data, herunder anvendelse af personoplysninger </w:t>
      </w:r>
      <w:r w:rsidRPr="003E0486">
        <w:rPr>
          <w:b/>
          <w:i/>
          <w:szCs w:val="24"/>
          <w:lang w:eastAsia="en-US"/>
        </w:rPr>
        <w:t xml:space="preserve">og andre data </w:t>
      </w:r>
      <w:r w:rsidRPr="003E0486">
        <w:rPr>
          <w:szCs w:val="24"/>
          <w:lang w:eastAsia="en-US"/>
        </w:rPr>
        <w:t>til toldformål. Funktionerne skal omfatte at:</w:t>
      </w:r>
      <w:r w:rsidR="00AD0947">
        <w:rPr>
          <w:b/>
          <w:szCs w:val="24"/>
          <w:lang w:eastAsia="en-US"/>
        </w:rPr>
        <w:t xml:space="preserve"> [Ændring 134]</w:t>
      </w:r>
    </w:p>
    <w:p w14:paraId="6DFB33D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muliggøre elektronisk gennemførelse af toldlovgivningen</w:t>
      </w:r>
    </w:p>
    <w:p w14:paraId="59014188" w14:textId="51A3B3D0" w:rsidR="003E0486" w:rsidRPr="00AD0947"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sikre kvaliteten, integriteten</w:t>
      </w:r>
      <w:r w:rsidRPr="003E0486">
        <w:rPr>
          <w:b/>
          <w:i/>
          <w:szCs w:val="24"/>
          <w:lang w:eastAsia="en-US"/>
        </w:rPr>
        <w:t>, sikkerheden</w:t>
      </w:r>
      <w:r w:rsidRPr="003E0486">
        <w:rPr>
          <w:szCs w:val="24"/>
          <w:lang w:eastAsia="en-US"/>
        </w:rPr>
        <w:t>, sporbarheden og uafviseligheden af de data, der behandles deri, herunder ændring af sådanne data</w:t>
      </w:r>
      <w:r w:rsidR="00AD0947">
        <w:rPr>
          <w:b/>
          <w:szCs w:val="24"/>
          <w:lang w:eastAsia="en-US"/>
        </w:rPr>
        <w:t xml:space="preserve"> [Ændring 135]</w:t>
      </w:r>
    </w:p>
    <w:p w14:paraId="203BEAA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sikre overholdelse af bestemmelserne i Europa-Parlamentets og Rådets forordning (EU) 2016/679</w:t>
      </w:r>
      <w:r w:rsidRPr="003E0486">
        <w:rPr>
          <w:szCs w:val="24"/>
          <w:vertAlign w:val="superscript"/>
          <w:lang w:val="en-GB" w:eastAsia="en-US"/>
        </w:rPr>
        <w:footnoteReference w:id="35"/>
      </w:r>
      <w:r w:rsidRPr="003E0486">
        <w:rPr>
          <w:szCs w:val="24"/>
          <w:lang w:eastAsia="en-US"/>
        </w:rPr>
        <w:t xml:space="preserve"> og (EU) 2018/1725 og Europa-Parlamentets og Rådets direktiv (EU) 2016/680</w:t>
      </w:r>
      <w:r w:rsidRPr="003E0486">
        <w:rPr>
          <w:szCs w:val="24"/>
          <w:vertAlign w:val="superscript"/>
          <w:lang w:val="en-GB" w:eastAsia="en-US"/>
        </w:rPr>
        <w:footnoteReference w:id="36"/>
      </w:r>
      <w:r w:rsidRPr="003E0486">
        <w:rPr>
          <w:szCs w:val="24"/>
          <w:lang w:eastAsia="en-US"/>
        </w:rPr>
        <w:t xml:space="preserve"> vedrørende behandling af personoplysninger</w:t>
      </w:r>
    </w:p>
    <w:p w14:paraId="2FD0F1E2" w14:textId="77777777" w:rsidR="00831B3F" w:rsidRDefault="00831B3F">
      <w:pPr>
        <w:widowControl/>
        <w:rPr>
          <w:b/>
          <w:i/>
          <w:szCs w:val="24"/>
          <w:lang w:eastAsia="en-US"/>
        </w:rPr>
      </w:pPr>
      <w:r>
        <w:rPr>
          <w:b/>
          <w:i/>
          <w:szCs w:val="24"/>
          <w:lang w:eastAsia="en-US"/>
        </w:rPr>
        <w:br w:type="page"/>
      </w:r>
    </w:p>
    <w:p w14:paraId="35A6DABF" w14:textId="495DAACC" w:rsidR="003E0486" w:rsidRPr="00AD0947" w:rsidRDefault="003E0486" w:rsidP="003E0486">
      <w:pPr>
        <w:spacing w:before="120" w:after="120" w:line="360" w:lineRule="auto"/>
        <w:ind w:left="1416" w:hanging="566"/>
        <w:rPr>
          <w:b/>
          <w:szCs w:val="24"/>
          <w:lang w:eastAsia="en-US"/>
        </w:rPr>
      </w:pPr>
      <w:r w:rsidRPr="003E0486">
        <w:rPr>
          <w:b/>
          <w:i/>
          <w:szCs w:val="24"/>
          <w:lang w:eastAsia="en-US"/>
        </w:rPr>
        <w:lastRenderedPageBreak/>
        <w:t>ca)</w:t>
      </w:r>
      <w:r w:rsidRPr="003E0486">
        <w:rPr>
          <w:szCs w:val="24"/>
          <w:lang w:eastAsia="en-US"/>
        </w:rPr>
        <w:tab/>
      </w:r>
      <w:r w:rsidRPr="003E0486">
        <w:rPr>
          <w:b/>
          <w:i/>
          <w:szCs w:val="24"/>
          <w:lang w:eastAsia="en-US"/>
        </w:rPr>
        <w:t xml:space="preserve">sikre overholdelse af bestemmelserne i Europa-Parlamentets og Rådets forordning (EU) </w:t>
      </w:r>
      <w:r w:rsidR="00946FA0">
        <w:rPr>
          <w:b/>
          <w:i/>
          <w:szCs w:val="24"/>
          <w:lang w:eastAsia="en-US"/>
        </w:rPr>
        <w:t>2023/2841</w:t>
      </w:r>
      <w:r w:rsidR="00946FA0">
        <w:rPr>
          <w:rStyle w:val="FootnoteReference"/>
          <w:b/>
          <w:i/>
          <w:szCs w:val="24"/>
          <w:lang w:eastAsia="en-US"/>
        </w:rPr>
        <w:footnoteReference w:id="37"/>
      </w:r>
      <w:r w:rsidR="00AD0947">
        <w:rPr>
          <w:b/>
          <w:szCs w:val="24"/>
          <w:vertAlign w:val="superscript"/>
          <w:lang w:eastAsia="en-US"/>
        </w:rPr>
        <w:t xml:space="preserve"> </w:t>
      </w:r>
      <w:r w:rsidR="00AD0947" w:rsidRPr="00AD0947">
        <w:rPr>
          <w:b/>
          <w:szCs w:val="24"/>
          <w:lang w:eastAsia="en-US"/>
        </w:rPr>
        <w:t>[Ændring 136]</w:t>
      </w:r>
    </w:p>
    <w:p w14:paraId="5D229A71" w14:textId="74FBEF1B" w:rsidR="003E0486" w:rsidRPr="00AD0947" w:rsidRDefault="003E0486" w:rsidP="003E0486">
      <w:pPr>
        <w:spacing w:before="120" w:after="120" w:line="360" w:lineRule="auto"/>
        <w:ind w:left="1416" w:hanging="566"/>
        <w:rPr>
          <w:b/>
          <w:szCs w:val="24"/>
          <w:lang w:eastAsia="en-US"/>
        </w:rPr>
      </w:pPr>
      <w:r w:rsidRPr="003E0486">
        <w:rPr>
          <w:szCs w:val="24"/>
          <w:lang w:eastAsia="en-US"/>
        </w:rPr>
        <w:t>(d)</w:t>
      </w:r>
      <w:r w:rsidRPr="003E0486">
        <w:rPr>
          <w:szCs w:val="24"/>
          <w:lang w:eastAsia="en-US"/>
        </w:rPr>
        <w:tab/>
        <w:t>muliggøre</w:t>
      </w:r>
      <w:r w:rsidRPr="003E0486">
        <w:rPr>
          <w:b/>
          <w:i/>
          <w:szCs w:val="24"/>
          <w:lang w:eastAsia="en-US"/>
        </w:rPr>
        <w:t xml:space="preserve"> og sikre</w:t>
      </w:r>
      <w:r w:rsidRPr="003E0486">
        <w:rPr>
          <w:szCs w:val="24"/>
          <w:lang w:eastAsia="en-US"/>
        </w:rPr>
        <w:t xml:space="preserve"> risikoanalyse, økonomisk analyse og dataanalyse</w:t>
      </w:r>
      <w:r w:rsidRPr="003E0486">
        <w:rPr>
          <w:b/>
          <w:i/>
          <w:szCs w:val="24"/>
          <w:lang w:eastAsia="en-US"/>
        </w:rPr>
        <w:t>, forenklede toldbestemmelser og handelslettelser</w:t>
      </w:r>
      <w:r w:rsidRPr="003E0486">
        <w:rPr>
          <w:szCs w:val="24"/>
          <w:lang w:eastAsia="en-US"/>
        </w:rPr>
        <w:t xml:space="preserve">, herunder gennem anvendelse af systemer med kunstig intelligens i overensstemmelse med [forordningen om kunstig intelligens </w:t>
      </w:r>
      <w:r w:rsidRPr="003E0486">
        <w:rPr>
          <w:strike/>
          <w:szCs w:val="24"/>
          <w:lang w:eastAsia="en-US"/>
        </w:rPr>
        <w:t>2021/0106 (COD)</w:t>
      </w:r>
      <w:r w:rsidRPr="003E0486">
        <w:rPr>
          <w:b/>
          <w:i/>
          <w:szCs w:val="24"/>
          <w:lang w:eastAsia="en-US"/>
        </w:rPr>
        <w:t>2021/0106(COD)</w:t>
      </w:r>
      <w:r w:rsidRPr="003E0486">
        <w:rPr>
          <w:szCs w:val="24"/>
          <w:lang w:eastAsia="en-US"/>
        </w:rPr>
        <w:t>]</w:t>
      </w:r>
      <w:r w:rsidRPr="003E0486">
        <w:rPr>
          <w:szCs w:val="24"/>
          <w:vertAlign w:val="superscript"/>
          <w:lang w:val="en-GB" w:eastAsia="en-US"/>
        </w:rPr>
        <w:footnoteReference w:id="38"/>
      </w:r>
      <w:r w:rsidR="00AD0947">
        <w:rPr>
          <w:b/>
          <w:szCs w:val="24"/>
          <w:lang w:eastAsia="en-US"/>
        </w:rPr>
        <w:t xml:space="preserve"> [Ændring 137]</w:t>
      </w:r>
    </w:p>
    <w:p w14:paraId="138BBEB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muliggøre interoperabilitet mellem de pågældende tjenester og systemer og andre elektroniske systemer, platforme eller miljøer med henblik på samarbejde i overensstemmelse med afsnit XIII</w:t>
      </w:r>
    </w:p>
    <w:p w14:paraId="732027E7" w14:textId="51BEF5AA" w:rsidR="003E0486" w:rsidRPr="00AD0947"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ea)</w:t>
      </w:r>
      <w:r w:rsidR="003E0486" w:rsidRPr="003E0486">
        <w:rPr>
          <w:szCs w:val="24"/>
          <w:lang w:eastAsia="en-US"/>
        </w:rPr>
        <w:tab/>
      </w:r>
      <w:r w:rsidR="003E0486" w:rsidRPr="003E0486">
        <w:rPr>
          <w:b/>
          <w:i/>
          <w:szCs w:val="24"/>
          <w:lang w:eastAsia="en-US"/>
        </w:rPr>
        <w:t>udføre den forretningsmæssige og tekniske omdannelse af data for at muliggøre udveksling af data med de ikketoldrelaterede EU-systemer, der er opført i bilag Ia, gennem et EU-kvikskrankemiljø for systemet til udveksling af certifikater på toldområdet ("EU CSW-CERTEX")</w:t>
      </w:r>
      <w:r w:rsidR="00AD0947">
        <w:rPr>
          <w:b/>
          <w:szCs w:val="24"/>
          <w:lang w:eastAsia="en-US"/>
        </w:rPr>
        <w:t xml:space="preserve"> [Ændring 138]</w:t>
      </w:r>
    </w:p>
    <w:p w14:paraId="05E34803" w14:textId="77777777" w:rsidR="00831B3F" w:rsidRDefault="00831B3F">
      <w:pPr>
        <w:widowControl/>
        <w:rPr>
          <w:b/>
          <w:i/>
          <w:szCs w:val="24"/>
          <w:lang w:eastAsia="en-US"/>
        </w:rPr>
      </w:pPr>
      <w:r>
        <w:rPr>
          <w:b/>
          <w:i/>
          <w:szCs w:val="24"/>
          <w:lang w:eastAsia="en-US"/>
        </w:rPr>
        <w:br w:type="page"/>
      </w:r>
    </w:p>
    <w:p w14:paraId="33A7B650" w14:textId="6BF52E64" w:rsidR="003E0486" w:rsidRPr="00AD0947" w:rsidRDefault="009A05BD" w:rsidP="003E0486">
      <w:pPr>
        <w:spacing w:before="120" w:after="120" w:line="360" w:lineRule="auto"/>
        <w:ind w:left="1416" w:hanging="566"/>
        <w:rPr>
          <w:b/>
          <w:szCs w:val="24"/>
          <w:lang w:eastAsia="en-US"/>
        </w:rPr>
      </w:pPr>
      <w:r>
        <w:rPr>
          <w:b/>
          <w:i/>
          <w:szCs w:val="24"/>
          <w:lang w:eastAsia="en-US"/>
        </w:rPr>
        <w:lastRenderedPageBreak/>
        <w:t>(</w:t>
      </w:r>
      <w:r w:rsidR="003E0486" w:rsidRPr="003E0486">
        <w:rPr>
          <w:b/>
          <w:i/>
          <w:szCs w:val="24"/>
          <w:lang w:eastAsia="en-US"/>
        </w:rPr>
        <w:t>eb)</w:t>
      </w:r>
      <w:r w:rsidR="003E0486" w:rsidRPr="003E0486">
        <w:rPr>
          <w:szCs w:val="24"/>
          <w:lang w:eastAsia="en-US"/>
        </w:rPr>
        <w:tab/>
      </w:r>
      <w:r w:rsidR="003E0486" w:rsidRPr="003E0486">
        <w:rPr>
          <w:b/>
          <w:i/>
          <w:szCs w:val="24"/>
          <w:lang w:eastAsia="en-US"/>
        </w:rPr>
        <w:t>muliggøre interoperabilitet med det europæiske søfartsmiljø med ét kontaktpunkt med henblik på at levere og opfylde de toldformaliteter, der er angivet i bilaget til forordning (EU) 2019/1239</w:t>
      </w:r>
      <w:r w:rsidR="00AD0947">
        <w:rPr>
          <w:b/>
          <w:szCs w:val="24"/>
          <w:lang w:eastAsia="en-US"/>
        </w:rPr>
        <w:t xml:space="preserve"> [Ændring 139]</w:t>
      </w:r>
    </w:p>
    <w:p w14:paraId="4409FC65" w14:textId="00B8A2B7" w:rsidR="003E0486" w:rsidRPr="00AD0947" w:rsidRDefault="003E0486" w:rsidP="003E0486">
      <w:pPr>
        <w:spacing w:before="120" w:after="120" w:line="360" w:lineRule="auto"/>
        <w:ind w:left="1416" w:hanging="566"/>
        <w:rPr>
          <w:b/>
          <w:szCs w:val="24"/>
          <w:lang w:eastAsia="en-US"/>
        </w:rPr>
      </w:pPr>
      <w:r w:rsidRPr="003E0486">
        <w:rPr>
          <w:strike/>
          <w:szCs w:val="24"/>
          <w:lang w:eastAsia="en-US"/>
        </w:rPr>
        <w:t>(f)</w:t>
      </w:r>
      <w:r w:rsidRPr="00F30597">
        <w:rPr>
          <w:strike/>
          <w:szCs w:val="24"/>
          <w:lang w:eastAsia="en-US"/>
        </w:rPr>
        <w:tab/>
      </w:r>
      <w:r w:rsidRPr="003E0486">
        <w:rPr>
          <w:strike/>
          <w:szCs w:val="24"/>
          <w:lang w:eastAsia="en-US"/>
        </w:rPr>
        <w:t>integrere Den Europæiske Unions kvikskrankemiljø for systemet til udveksling af certifikater på toldområdet, der er oprettet ved artikel 4 i forordning (EU) 2022/2399</w:t>
      </w:r>
      <w:r w:rsidR="00AD0947">
        <w:rPr>
          <w:b/>
          <w:szCs w:val="24"/>
          <w:lang w:eastAsia="en-US"/>
        </w:rPr>
        <w:t xml:space="preserve"> [Ændring 140]</w:t>
      </w:r>
    </w:p>
    <w:p w14:paraId="4E2486A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muliggøre udveksling af oplysninger med tredjelande</w:t>
      </w:r>
    </w:p>
    <w:p w14:paraId="6A4EBE4F" w14:textId="08883FBC" w:rsidR="003E0486" w:rsidRPr="00AD0947" w:rsidRDefault="003E0486" w:rsidP="003E0486">
      <w:pPr>
        <w:spacing w:before="120" w:after="120" w:line="360" w:lineRule="auto"/>
        <w:ind w:left="1416" w:hanging="566"/>
        <w:rPr>
          <w:b/>
          <w:szCs w:val="24"/>
          <w:lang w:eastAsia="en-US"/>
        </w:rPr>
      </w:pPr>
      <w:r w:rsidRPr="003E0486">
        <w:rPr>
          <w:szCs w:val="24"/>
          <w:lang w:eastAsia="en-US"/>
        </w:rPr>
        <w:t>(h)</w:t>
      </w:r>
      <w:r w:rsidRPr="003E0486">
        <w:rPr>
          <w:szCs w:val="24"/>
          <w:lang w:eastAsia="en-US"/>
        </w:rPr>
        <w:tab/>
        <w:t>muliggøre toldovervågning af varer</w:t>
      </w:r>
      <w:r w:rsidRPr="003E0486">
        <w:rPr>
          <w:b/>
          <w:i/>
          <w:szCs w:val="24"/>
          <w:lang w:eastAsia="en-US"/>
        </w:rPr>
        <w:t xml:space="preserve"> og bidrage til håndhævelsen af anden lovgivning, der anvendes af toldmyndighederne</w:t>
      </w:r>
      <w:r w:rsidRPr="003E0486">
        <w:rPr>
          <w:szCs w:val="24"/>
          <w:lang w:eastAsia="en-US"/>
        </w:rPr>
        <w:t>.</w:t>
      </w:r>
      <w:r w:rsidR="00AD0947">
        <w:rPr>
          <w:b/>
          <w:szCs w:val="24"/>
          <w:lang w:eastAsia="en-US"/>
        </w:rPr>
        <w:t xml:space="preserve"> [Ændring 141]</w:t>
      </w:r>
    </w:p>
    <w:p w14:paraId="69E7D06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 handlinger, som personerne, Kommissionen, toldmyndighederne, EU-Toldmyndigheden eller andre myndigheder udfører ved hjælp af de funktioner, der er anført i stk. 1, forbliver handlinger foretaget af disse personer, Kommissionen, toldmyndighederne, EU-Toldmyndigheden eller andre myndigheder, selv om de er blevet automatiseret.</w:t>
      </w:r>
    </w:p>
    <w:p w14:paraId="7D32512F" w14:textId="296E1EE4" w:rsidR="003E0486" w:rsidRPr="00AD0947"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Kommissionen udvikler</w:t>
      </w:r>
      <w:r w:rsidRPr="003E0486">
        <w:rPr>
          <w:strike/>
          <w:szCs w:val="24"/>
          <w:lang w:eastAsia="en-US"/>
        </w:rPr>
        <w:t>, gennemfører og vedligeholder</w:t>
      </w:r>
      <w:r w:rsidRPr="003E0486">
        <w:rPr>
          <w:szCs w:val="24"/>
          <w:lang w:eastAsia="en-US"/>
        </w:rPr>
        <w:t xml:space="preserve"> EU's tolddatacenter, herunder ved at offentliggørelse af de tekniske specifikationer til at behandle data inden for centret, </w:t>
      </w:r>
      <w:r w:rsidRPr="003E0486">
        <w:rPr>
          <w:strike/>
          <w:szCs w:val="24"/>
          <w:lang w:eastAsia="en-US"/>
        </w:rPr>
        <w:t xml:space="preserve">og </w:t>
      </w:r>
      <w:r w:rsidRPr="003E0486">
        <w:rPr>
          <w:szCs w:val="24"/>
          <w:lang w:eastAsia="en-US"/>
        </w:rPr>
        <w:t>fastlægger en ramme for datakvalitet</w:t>
      </w:r>
      <w:r w:rsidRPr="003E0486">
        <w:rPr>
          <w:b/>
          <w:i/>
          <w:szCs w:val="24"/>
          <w:lang w:eastAsia="en-US"/>
        </w:rPr>
        <w:t xml:space="preserve"> og etablerer et offentligt kontaktpunkt for hastende anmodninger eller trusler mod sikkerheden vedrørende EU's tolddatacenter</w:t>
      </w:r>
      <w:r w:rsidRPr="003E0486">
        <w:rPr>
          <w:szCs w:val="24"/>
          <w:lang w:eastAsia="en-US"/>
        </w:rPr>
        <w:t>.</w:t>
      </w:r>
      <w:r w:rsidRPr="003E0486">
        <w:rPr>
          <w:b/>
          <w:i/>
          <w:szCs w:val="24"/>
          <w:lang w:eastAsia="en-US"/>
        </w:rPr>
        <w:t xml:space="preserve"> EU-Toldmyndigheden driver og vedligeholder </w:t>
      </w:r>
      <w:r w:rsidR="00FA7B9E">
        <w:rPr>
          <w:b/>
          <w:i/>
          <w:szCs w:val="24"/>
          <w:lang w:eastAsia="en-US"/>
        </w:rPr>
        <w:t>det</w:t>
      </w:r>
      <w:r w:rsidRPr="003E0486">
        <w:rPr>
          <w:b/>
          <w:i/>
          <w:szCs w:val="24"/>
          <w:lang w:eastAsia="en-US"/>
        </w:rPr>
        <w:t>.</w:t>
      </w:r>
      <w:r w:rsidR="00AD0947">
        <w:rPr>
          <w:b/>
          <w:szCs w:val="24"/>
          <w:lang w:eastAsia="en-US"/>
        </w:rPr>
        <w:t xml:space="preserve"> [Ændring 142]</w:t>
      </w:r>
    </w:p>
    <w:p w14:paraId="26EA78EE" w14:textId="77777777" w:rsidR="008C3E3A" w:rsidRDefault="008C3E3A">
      <w:pPr>
        <w:widowControl/>
        <w:rPr>
          <w:szCs w:val="24"/>
          <w:lang w:eastAsia="en-US"/>
        </w:rPr>
      </w:pPr>
      <w:r>
        <w:rPr>
          <w:szCs w:val="24"/>
          <w:lang w:eastAsia="en-US"/>
        </w:rPr>
        <w:br w:type="page"/>
      </w:r>
    </w:p>
    <w:p w14:paraId="0E617582" w14:textId="082FA57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tillægges beføjelser til at vedtage delegerede retsakter i overensstemmelse med artikel 261 med henblik på at udvide de funktioner, der er omhandlet i stk. 1, for at tage hensyn til nye opgaver, der er pålagt de myndigheder, der er omhandlet i denne forordnings artikel 31, i medfør af EU-lovgivning eller for at tilpasse disse funktioner til disse myndigheders skiftende behov i forbindelse med gennemførelsen af toldlovgivningen eller anden lovgivning, som anvendes af toldmyndighederne.</w:t>
      </w:r>
    </w:p>
    <w:p w14:paraId="4BE5B2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fastlægger ved gennemførelsesretsakter:</w:t>
      </w:r>
    </w:p>
    <w:p w14:paraId="45F9D968" w14:textId="135B896C" w:rsidR="003E0486" w:rsidRPr="00AD0947"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de tekniske ordninger for vedligeholdelse og benyttelse af de elektroniske systemer, som medlemsstaterne og Kommissionen har udviklet i henhold til artikel 16, stk. 1, i forordning (EU) nr. 952/2013</w:t>
      </w:r>
      <w:r w:rsidRPr="003E0486">
        <w:rPr>
          <w:b/>
          <w:i/>
          <w:szCs w:val="24"/>
          <w:lang w:eastAsia="en-US"/>
        </w:rPr>
        <w:t xml:space="preserve"> og i henhold til forordning (EU) 2022/2399 i forbindelse med forordning (EU) </w:t>
      </w:r>
      <w:r w:rsidR="00CF6E82">
        <w:rPr>
          <w:b/>
          <w:i/>
          <w:szCs w:val="24"/>
          <w:lang w:eastAsia="en-US"/>
        </w:rPr>
        <w:t>2023/2841</w:t>
      </w:r>
      <w:r w:rsidRPr="003E0486">
        <w:rPr>
          <w:b/>
          <w:i/>
          <w:szCs w:val="24"/>
          <w:lang w:eastAsia="en-US"/>
        </w:rPr>
        <w:t xml:space="preserve"> og med direktiv (EU) 2022/2555, herunder retningslinjer udstedt af Den Europæiske Unions Agentur for Cybersikkerhed (ENISA)</w:t>
      </w:r>
      <w:r w:rsidR="00AD0947">
        <w:rPr>
          <w:b/>
          <w:szCs w:val="24"/>
          <w:lang w:eastAsia="en-US"/>
        </w:rPr>
        <w:t xml:space="preserve"> [Ændring 143]</w:t>
      </w:r>
    </w:p>
    <w:p w14:paraId="1D16494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et arbejdsprogram for gradvis udfasning af disse systemer.</w:t>
      </w:r>
    </w:p>
    <w:p w14:paraId="7B059169"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5C0135AF" w14:textId="77777777" w:rsidR="008C3E3A" w:rsidRDefault="008C3E3A">
      <w:pPr>
        <w:widowControl/>
        <w:rPr>
          <w:b/>
          <w:i/>
          <w:szCs w:val="24"/>
          <w:lang w:eastAsia="en-US"/>
        </w:rPr>
      </w:pPr>
      <w:r>
        <w:rPr>
          <w:b/>
          <w:i/>
          <w:szCs w:val="24"/>
          <w:lang w:eastAsia="en-US"/>
        </w:rPr>
        <w:br w:type="page"/>
      </w:r>
    </w:p>
    <w:p w14:paraId="1FA875F0" w14:textId="0C2E01A1" w:rsidR="003E0486" w:rsidRPr="003E0486" w:rsidRDefault="003E0486" w:rsidP="003E0486">
      <w:pPr>
        <w:spacing w:before="120" w:after="120" w:line="360" w:lineRule="auto"/>
        <w:jc w:val="center"/>
        <w:rPr>
          <w:szCs w:val="24"/>
          <w:lang w:eastAsia="en-US"/>
        </w:rPr>
      </w:pPr>
      <w:r w:rsidRPr="003E0486">
        <w:rPr>
          <w:b/>
          <w:i/>
          <w:szCs w:val="24"/>
          <w:lang w:eastAsia="en-US"/>
        </w:rPr>
        <w:lastRenderedPageBreak/>
        <w:t>Artikel 29a</w:t>
      </w:r>
      <w:r w:rsidRPr="003E0486">
        <w:rPr>
          <w:szCs w:val="24"/>
          <w:lang w:eastAsia="en-US"/>
        </w:rPr>
        <w:br/>
      </w:r>
      <w:r w:rsidRPr="003E0486">
        <w:rPr>
          <w:b/>
          <w:i/>
          <w:szCs w:val="24"/>
          <w:lang w:eastAsia="en-US"/>
        </w:rPr>
        <w:t>Pilotfase på EU's tolddatacenter</w:t>
      </w:r>
    </w:p>
    <w:p w14:paraId="1CC1375B"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Før den dato, der er fastsat i artikel 265, stk. 3, kan Kommissionen fastlægge en pilotfase for brugen af EU's tolddatacenter. Pilotfasen skal være frivillig og have til formål at teste EU's tolddatacenters funktioner.</w:t>
      </w:r>
    </w:p>
    <w:p w14:paraId="3B755641"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Kommissionen samarbejder med EU-Toldmyndigheden, toldmyndigheder og andre myndigheder og relevante interessenter i forbindelse med planlægningen og tilrettelæggelsen af pilotfasen.</w:t>
      </w:r>
    </w:p>
    <w:p w14:paraId="1F7ADE4C"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3.</w:t>
      </w:r>
      <w:r w:rsidRPr="003E0486">
        <w:rPr>
          <w:szCs w:val="24"/>
          <w:lang w:eastAsia="en-US"/>
        </w:rPr>
        <w:tab/>
      </w:r>
      <w:r w:rsidRPr="003E0486">
        <w:rPr>
          <w:b/>
          <w:i/>
          <w:szCs w:val="24"/>
          <w:lang w:eastAsia="en-US"/>
        </w:rPr>
        <w:t>For så vidt angår stk. 1 vedtager Kommissionen gennemførelsesretsakter, der præciserer følgende:</w:t>
      </w:r>
    </w:p>
    <w:p w14:paraId="47AEC58D" w14:textId="6FB7FB24"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de tekniske betingelser for planlægningen og tilrettelæggelsen</w:t>
      </w:r>
    </w:p>
    <w:p w14:paraId="16DD980E" w14:textId="5E6535E3"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de funktioner, der skal anvendes og testes</w:t>
      </w:r>
    </w:p>
    <w:p w14:paraId="4E1EFECB" w14:textId="7C84C122"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den præcise varighed af pilotfasen</w:t>
      </w:r>
    </w:p>
    <w:p w14:paraId="162183F2" w14:textId="39B3A6E3" w:rsidR="003E0486" w:rsidRPr="00AD0947" w:rsidRDefault="003E0486" w:rsidP="003E0486">
      <w:pPr>
        <w:spacing w:before="120" w:after="120" w:line="360" w:lineRule="auto"/>
        <w:ind w:left="850"/>
        <w:rPr>
          <w:b/>
          <w:szCs w:val="24"/>
          <w:lang w:eastAsia="en-US"/>
        </w:rPr>
      </w:pPr>
      <w:r w:rsidRPr="003E0486">
        <w:rPr>
          <w:b/>
          <w:i/>
          <w:szCs w:val="24"/>
          <w:lang w:eastAsia="en-US"/>
        </w:rPr>
        <w:t>Disse gennemførelsesretsakter vedtages efter undersøgelsesproceduren</w:t>
      </w:r>
      <w:r w:rsidR="00FA7B9E">
        <w:rPr>
          <w:b/>
          <w:i/>
          <w:szCs w:val="24"/>
          <w:lang w:eastAsia="en-US"/>
        </w:rPr>
        <w:t>, jf.</w:t>
      </w:r>
      <w:r w:rsidRPr="003E0486">
        <w:rPr>
          <w:b/>
          <w:i/>
          <w:szCs w:val="24"/>
          <w:lang w:eastAsia="en-US"/>
        </w:rPr>
        <w:t xml:space="preserve"> artikel 262, stk. 4.</w:t>
      </w:r>
      <w:r w:rsidR="00AD0947">
        <w:rPr>
          <w:b/>
          <w:szCs w:val="24"/>
          <w:lang w:eastAsia="en-US"/>
        </w:rPr>
        <w:t xml:space="preserve"> [Ændring 144]</w:t>
      </w:r>
    </w:p>
    <w:p w14:paraId="1C6E33FE" w14:textId="77777777" w:rsidR="00D01BF5" w:rsidRDefault="00D01BF5">
      <w:pPr>
        <w:widowControl/>
        <w:rPr>
          <w:szCs w:val="24"/>
          <w:lang w:eastAsia="en-US"/>
        </w:rPr>
      </w:pPr>
      <w:r>
        <w:rPr>
          <w:szCs w:val="24"/>
          <w:lang w:eastAsia="en-US"/>
        </w:rPr>
        <w:br w:type="page"/>
      </w:r>
    </w:p>
    <w:p w14:paraId="1ECF985C" w14:textId="3A7B04A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30</w:t>
      </w:r>
      <w:r w:rsidRPr="003E0486">
        <w:rPr>
          <w:szCs w:val="24"/>
          <w:lang w:eastAsia="en-US"/>
        </w:rPr>
        <w:br/>
        <w:t>Nationale applikationer til brug af data fra EU's tolddatacenter</w:t>
      </w:r>
    </w:p>
    <w:p w14:paraId="1D14B2CD" w14:textId="3FC81172" w:rsidR="003E0486" w:rsidRPr="00AD0947"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Medlemsstaterne </w:t>
      </w:r>
      <w:r w:rsidRPr="003E0486">
        <w:rPr>
          <w:strike/>
          <w:szCs w:val="24"/>
          <w:lang w:eastAsia="en-US"/>
        </w:rPr>
        <w:t>kan</w:t>
      </w:r>
      <w:r w:rsidRPr="003E0486">
        <w:rPr>
          <w:b/>
          <w:i/>
          <w:szCs w:val="24"/>
          <w:lang w:eastAsia="en-US"/>
        </w:rPr>
        <w:t>gør deres bedste for at</w:t>
      </w:r>
      <w:r w:rsidRPr="003E0486">
        <w:rPr>
          <w:szCs w:val="24"/>
          <w:lang w:eastAsia="en-US"/>
        </w:rPr>
        <w:t xml:space="preserve"> udvikle de nødvendige applikationer til at koble sig på EU's tolddatacenter med henblik på at levere data til og behandle data fra EU's tolddatacenter</w:t>
      </w:r>
      <w:r w:rsidRPr="003E0486">
        <w:rPr>
          <w:b/>
          <w:i/>
          <w:szCs w:val="24"/>
          <w:lang w:eastAsia="en-US"/>
        </w:rPr>
        <w:t>, hvis de pågældende applikationer ikke allerede findes</w:t>
      </w:r>
      <w:r w:rsidRPr="003E0486">
        <w:rPr>
          <w:szCs w:val="24"/>
          <w:lang w:eastAsia="en-US"/>
        </w:rPr>
        <w:t>.</w:t>
      </w:r>
      <w:r w:rsidR="00AD0947">
        <w:rPr>
          <w:b/>
          <w:szCs w:val="24"/>
          <w:lang w:eastAsia="en-US"/>
        </w:rPr>
        <w:t xml:space="preserve"> [Ændring 145]</w:t>
      </w:r>
    </w:p>
    <w:p w14:paraId="3E1C30D9" w14:textId="704466CE" w:rsidR="003E0486" w:rsidRPr="00AD0947" w:rsidRDefault="003E0486" w:rsidP="003E0486">
      <w:pPr>
        <w:spacing w:before="120" w:after="120" w:line="360" w:lineRule="auto"/>
        <w:ind w:left="850" w:hanging="850"/>
        <w:rPr>
          <w:b/>
          <w:szCs w:val="24"/>
          <w:lang w:eastAsia="en-US"/>
        </w:rPr>
      </w:pPr>
      <w:r w:rsidRPr="003E0486">
        <w:rPr>
          <w:b/>
          <w:i/>
          <w:szCs w:val="24"/>
          <w:lang w:eastAsia="en-US"/>
        </w:rPr>
        <w:t>1a.</w:t>
      </w:r>
      <w:r w:rsidRPr="003E0486">
        <w:rPr>
          <w:szCs w:val="24"/>
          <w:lang w:eastAsia="en-US"/>
        </w:rPr>
        <w:tab/>
      </w:r>
      <w:r w:rsidRPr="003E0486">
        <w:rPr>
          <w:b/>
          <w:i/>
          <w:szCs w:val="24"/>
          <w:lang w:eastAsia="en-US"/>
        </w:rPr>
        <w:t>Medlemsstaterne sikrer, at de ansøgninger, der er omhandlet i stk. 1, er i overensstemmelse med bestemmelserne i Europa-Parlamentets og Rådets direktiv (EU) 2022/2555</w:t>
      </w:r>
      <w:r w:rsidRPr="003E0486">
        <w:rPr>
          <w:szCs w:val="24"/>
          <w:vertAlign w:val="superscript"/>
          <w:lang w:val="en-GB" w:eastAsia="en-US"/>
        </w:rPr>
        <w:footnoteReference w:id="39"/>
      </w:r>
      <w:r w:rsidRPr="003E0486">
        <w:rPr>
          <w:b/>
          <w:i/>
          <w:szCs w:val="24"/>
          <w:lang w:eastAsia="en-US"/>
        </w:rPr>
        <w:t>, navnlig med hensyn til foranstaltninger til styring af cybersikkerhedsrisici. Medlemsstaterne dækker toldinfrastrukturen i deres nationale cybersikkerhedsstrategi.</w:t>
      </w:r>
      <w:r w:rsidR="00AD0947">
        <w:rPr>
          <w:b/>
          <w:szCs w:val="24"/>
          <w:lang w:eastAsia="en-US"/>
        </w:rPr>
        <w:t xml:space="preserve"> [Ændring 146]</w:t>
      </w:r>
    </w:p>
    <w:p w14:paraId="5A8ACE8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Medlemsstaterne kan anmode EU-Toldmyndigheden om at udvikle de i stk. 1 omhandlede applikationer. I så fald finansierer disse medlemsstater udviklingen.</w:t>
      </w:r>
    </w:p>
    <w:p w14:paraId="1A21AE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EU-Toldmyndigheden udarbejder en applikation i overensstemmelse med stk. 2, stiller den denne til rådighed for alle medlemsstater.</w:t>
      </w:r>
    </w:p>
    <w:p w14:paraId="3E207A24" w14:textId="77777777" w:rsidR="00D01BF5" w:rsidRDefault="00D01BF5">
      <w:pPr>
        <w:widowControl/>
        <w:rPr>
          <w:szCs w:val="24"/>
          <w:lang w:eastAsia="en-US"/>
        </w:rPr>
      </w:pPr>
      <w:r>
        <w:rPr>
          <w:szCs w:val="24"/>
          <w:lang w:eastAsia="en-US"/>
        </w:rPr>
        <w:br w:type="page"/>
      </w:r>
    </w:p>
    <w:p w14:paraId="192CFA24" w14:textId="6F041F4C" w:rsidR="003E0486" w:rsidRPr="00AD0947" w:rsidRDefault="003E0486" w:rsidP="003E0486">
      <w:pPr>
        <w:spacing w:before="120" w:after="120" w:line="360" w:lineRule="auto"/>
        <w:jc w:val="center"/>
        <w:rPr>
          <w:b/>
          <w:szCs w:val="24"/>
          <w:lang w:eastAsia="en-US"/>
        </w:rPr>
      </w:pPr>
      <w:r w:rsidRPr="003E0486">
        <w:rPr>
          <w:szCs w:val="24"/>
          <w:lang w:eastAsia="en-US"/>
        </w:rPr>
        <w:lastRenderedPageBreak/>
        <w:t>Artikel 31</w:t>
      </w:r>
      <w:r w:rsidRPr="003E0486">
        <w:rPr>
          <w:szCs w:val="24"/>
          <w:lang w:eastAsia="en-US"/>
        </w:rPr>
        <w:br/>
        <w:t>Formål med behandlingen af personoplysninger og andre oplysninger i EU's tolddatacenter</w:t>
      </w:r>
      <w:r w:rsidRPr="003E0486">
        <w:rPr>
          <w:b/>
          <w:i/>
          <w:szCs w:val="24"/>
          <w:lang w:eastAsia="en-US"/>
        </w:rPr>
        <w:t xml:space="preserve"> og EU CSW-CERTEX</w:t>
      </w:r>
      <w:r w:rsidR="00AD0947">
        <w:rPr>
          <w:b/>
          <w:szCs w:val="24"/>
          <w:lang w:eastAsia="en-US"/>
        </w:rPr>
        <w:t xml:space="preserve"> [Ændring 147]</w:t>
      </w:r>
    </w:p>
    <w:p w14:paraId="6D8504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Personer kan få adgang til de data, herunder personoplysninger og forretningsmæssigt følsomme data, der er lagret eller på anden måde er tilgængelige i EU's tolddatacenter, som er blevet videregivet af eller på vegne af den pågældende person, eller som er rettet til eller tiltænkt til denne. En sådan adgang må udelukkende finde sted med henblik på at:</w:t>
      </w:r>
    </w:p>
    <w:p w14:paraId="230C8E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opfylde den pågældende persons indberetningsforpligtelser i henhold til toldlovgivningen eller anden lovgivning, der anvendes af toldmyndighederne, herunder fastlæggelse af enhver persons hæftelse for told, gebyrer og skatter, der måtte være skyldige i Unionen, og</w:t>
      </w:r>
    </w:p>
    <w:p w14:paraId="33BF148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dokumentere, at den pågældende person overholder toldlovgivningen og anden lovgivning, der anvendes af toldmyndighederne.</w:t>
      </w:r>
    </w:p>
    <w:p w14:paraId="4482569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 toldmyndighed må behandle data, herunder personoplysninger og forretningsmæssigt følsomme data, der er lagret eller på anden måde er tilgængelige i EU's tolddatacenter, såfremt behandlingen udelukkende vedrører og er nødvendig med henblik på følgende formål:</w:t>
      </w:r>
    </w:p>
    <w:p w14:paraId="6A8E3BF5" w14:textId="77777777" w:rsidR="00D01BF5" w:rsidRDefault="00D01BF5">
      <w:pPr>
        <w:widowControl/>
        <w:rPr>
          <w:szCs w:val="24"/>
          <w:lang w:eastAsia="en-US"/>
        </w:rPr>
      </w:pPr>
      <w:r>
        <w:rPr>
          <w:szCs w:val="24"/>
          <w:lang w:eastAsia="en-US"/>
        </w:rPr>
        <w:br w:type="page"/>
      </w:r>
    </w:p>
    <w:p w14:paraId="5741458F" w14:textId="7EFA7CAF"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(a)</w:t>
      </w:r>
      <w:r w:rsidRPr="003E0486">
        <w:rPr>
          <w:szCs w:val="24"/>
          <w:lang w:eastAsia="en-US"/>
        </w:rPr>
        <w:tab/>
        <w:t>at udføre myndighedens opgaver i forbindelse med gennemførelsen af toldlovgivningen eller anden lovgivning, der anvendes af toldmyndighederne, herunder fastlæggelse af enhver persons hæftelse for told, gebyrer og skatter, der måtte være skyldige i Unionen, og kontrol af overholdelsen af denne lovgivning</w:t>
      </w:r>
    </w:p>
    <w:p w14:paraId="7E16633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udføre myndighedens opgaver i forbindelse med kontrol og risikoforvaltning, jf. afsnit IV</w:t>
      </w:r>
    </w:p>
    <w:p w14:paraId="3BE89D1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udføre de opgaver, der er nødvendige for samarbejdet på de betingelser, der er fastsat i afsnit XIII.</w:t>
      </w:r>
    </w:p>
    <w:p w14:paraId="65DEE45A" w14:textId="2780D3B8" w:rsidR="003E0486" w:rsidRPr="00AD0947" w:rsidRDefault="003E0486" w:rsidP="003E0486">
      <w:pPr>
        <w:spacing w:before="120" w:after="120" w:line="360" w:lineRule="auto"/>
        <w:ind w:left="850"/>
        <w:rPr>
          <w:b/>
          <w:szCs w:val="24"/>
          <w:lang w:eastAsia="en-US"/>
        </w:rPr>
      </w:pPr>
      <w:r w:rsidRPr="003E0486">
        <w:rPr>
          <w:szCs w:val="24"/>
          <w:lang w:eastAsia="en-US"/>
        </w:rPr>
        <w:t>For at sikre en effektiv toldkontrol er det muligt for alle</w:t>
      </w:r>
      <w:r w:rsidRPr="003E0486">
        <w:rPr>
          <w:b/>
          <w:i/>
          <w:szCs w:val="24"/>
          <w:lang w:eastAsia="en-US"/>
        </w:rPr>
        <w:t xml:space="preserve"> nationale</w:t>
      </w:r>
      <w:r w:rsidRPr="003E0486">
        <w:rPr>
          <w:szCs w:val="24"/>
          <w:lang w:eastAsia="en-US"/>
        </w:rPr>
        <w:t xml:space="preserve"> toldmyndigheder at modtage og behandle data fra en toldkontrol, når varer, der ikke opfylder kravene, er blevet opdaget.</w:t>
      </w:r>
      <w:r w:rsidR="00AD0947">
        <w:rPr>
          <w:b/>
          <w:szCs w:val="24"/>
          <w:lang w:eastAsia="en-US"/>
        </w:rPr>
        <w:t xml:space="preserve"> [Ændring 148]</w:t>
      </w:r>
    </w:p>
    <w:p w14:paraId="32EB339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må behandle data, herunder personoplysninger og forretningsmæssigt følsomme data, der er lagret eller på anden måde er tilgængelige i EU's tolddatacenter, såfremt behandlingen udelukkende vedrører og er nødvendig med henblik på følgende formål:</w:t>
      </w:r>
    </w:p>
    <w:p w14:paraId="04276BC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udføre myndighedens opgaver i forbindelse med toldrisikoforvaltning, jf. afsnit IV, kapitel 3</w:t>
      </w:r>
    </w:p>
    <w:p w14:paraId="0D7E1172" w14:textId="77777777" w:rsidR="00D01BF5" w:rsidRDefault="00D01BF5">
      <w:pPr>
        <w:widowControl/>
        <w:rPr>
          <w:szCs w:val="24"/>
          <w:lang w:eastAsia="en-US"/>
        </w:rPr>
      </w:pPr>
      <w:r>
        <w:rPr>
          <w:szCs w:val="24"/>
          <w:lang w:eastAsia="en-US"/>
        </w:rPr>
        <w:br w:type="page"/>
      </w:r>
    </w:p>
    <w:p w14:paraId="775F2435" w14:textId="6D9F25E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udføre myndighedens opgaver, jf. afsnit XII, kapitel 2</w:t>
      </w:r>
    </w:p>
    <w:p w14:paraId="17FD00D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udføre de opgaver, der er relevante for det samarbejde, som er fastsat i afsnit XIII.</w:t>
      </w:r>
    </w:p>
    <w:p w14:paraId="6014F344" w14:textId="38780BFA" w:rsidR="003E0486" w:rsidRPr="00AD0947" w:rsidRDefault="003E0486" w:rsidP="003E0486">
      <w:pPr>
        <w:spacing w:before="120" w:after="120" w:line="360" w:lineRule="auto"/>
        <w:ind w:left="850"/>
        <w:rPr>
          <w:b/>
          <w:szCs w:val="24"/>
          <w:lang w:eastAsia="en-US"/>
        </w:rPr>
      </w:pPr>
      <w:r w:rsidRPr="003E0486">
        <w:rPr>
          <w:b/>
          <w:i/>
          <w:szCs w:val="24"/>
          <w:lang w:eastAsia="en-US"/>
        </w:rPr>
        <w:t xml:space="preserve">Med forbehold af direktiv (EU) 2016/943 og efter den dato, der er fastsat i artikel 265, stk. 4, stiller medlemsstaternes toldmyndigheder eller EU-Toldmyndigheden efter anmodning ikkepersonlige, ikkekommercielt følsomme toldoplysninger til rådighed. Erhvervsdrivende skal have mulighed for i erklæringer at anmode om, at dataelementer såsom, men ikke begrænset til, firmanavne, adresser, varernes værdi, det materielle nummer og varebeskrivelsen betragtes som kommercielt følsomme. Hvis der fremsættes en sådan anmodning, skal medlemsstaternes toldmyndigheder eller EU-Toldmyndigheden ikke følge anmodningen om frigivelse af tolddata og </w:t>
      </w:r>
      <w:r w:rsidR="00FA7B9E">
        <w:rPr>
          <w:b/>
          <w:i/>
          <w:szCs w:val="24"/>
          <w:lang w:eastAsia="en-US"/>
        </w:rPr>
        <w:t>stiller</w:t>
      </w:r>
      <w:r w:rsidR="00FA7B9E" w:rsidRPr="003E0486">
        <w:rPr>
          <w:b/>
          <w:i/>
          <w:szCs w:val="24"/>
          <w:lang w:eastAsia="en-US"/>
        </w:rPr>
        <w:t xml:space="preserve"> </w:t>
      </w:r>
      <w:r w:rsidRPr="003E0486">
        <w:rPr>
          <w:b/>
          <w:i/>
          <w:szCs w:val="24"/>
          <w:lang w:eastAsia="en-US"/>
        </w:rPr>
        <w:t>ikke disse data til rådighed.</w:t>
      </w:r>
      <w:r w:rsidR="00AD0947">
        <w:rPr>
          <w:b/>
          <w:szCs w:val="24"/>
          <w:lang w:eastAsia="en-US"/>
        </w:rPr>
        <w:t xml:space="preserve"> [Ændring 149]</w:t>
      </w:r>
    </w:p>
    <w:p w14:paraId="1EC5716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må behandle data, herunder personoplysninger og forretningsmæssigt følsomme data, der er lagret eller på anden måde er tilgængelige i EU's tolddatacenter, såfremt behandlingen udelukkende vedrører og er nødvendig med henblik på følgende formål:</w:t>
      </w:r>
    </w:p>
    <w:p w14:paraId="3CA5E191" w14:textId="77777777" w:rsidR="00D01BF5" w:rsidRDefault="00D01BF5">
      <w:pPr>
        <w:widowControl/>
        <w:rPr>
          <w:szCs w:val="24"/>
          <w:lang w:eastAsia="en-US"/>
        </w:rPr>
      </w:pPr>
      <w:r>
        <w:rPr>
          <w:szCs w:val="24"/>
          <w:lang w:eastAsia="en-US"/>
        </w:rPr>
        <w:br w:type="page"/>
      </w:r>
    </w:p>
    <w:p w14:paraId="179BBC35" w14:textId="38700613"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(a)</w:t>
      </w:r>
      <w:r w:rsidRPr="003E0486">
        <w:rPr>
          <w:szCs w:val="24"/>
          <w:lang w:eastAsia="en-US"/>
        </w:rPr>
        <w:tab/>
        <w:t>at udføre Kommissionens opgaver i forbindelse med risikoforvaltning, jf. afsnit IV, kapitel 3</w:t>
      </w:r>
    </w:p>
    <w:p w14:paraId="4C8FFD8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udføre Kommissionens opgaver i forbindelse med tarifering af varer, fastlæggelse af deres oprindelse og værdi og toldovervågning af dem i overensstemmelse med afsnit I og IX</w:t>
      </w:r>
    </w:p>
    <w:p w14:paraId="4AFE917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udføre Kommissionens opgaver i forbindelse med restriktive foranstaltninger og krisestyring i overensstemmelse med afsnit XI</w:t>
      </w:r>
    </w:p>
    <w:p w14:paraId="23205A0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udføre Kommissionens opgaver i forbindelse med EU-Toldmyndigheden i overensstemmelse med afsnit XII</w:t>
      </w:r>
    </w:p>
    <w:p w14:paraId="2B2999ED" w14:textId="70703FEC"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at udføre de opgaver, der er nødvendige for samarbejdet på de betingelser, der er fastsat i afsnit XIII</w:t>
      </w:r>
    </w:p>
    <w:p w14:paraId="7602F07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at vurdere og evaluere toldunionens resultater i overensstemmelse med afsnit XV, kapitel 1</w:t>
      </w:r>
    </w:p>
    <w:p w14:paraId="69CFD72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at overvåge gennemførelsen og sikre ensartet anvendelse af toldlovgivningen eller anden lovgivning, der anvendes af toldmyndighederne, herunder fastlæggelse af enhver persons hæftelse for told, gebyrer og skatter, der måtte være skyldige i Unionen</w:t>
      </w:r>
    </w:p>
    <w:p w14:paraId="0BC6D4DB" w14:textId="77777777" w:rsidR="00D01BF5" w:rsidRDefault="00D01BF5">
      <w:pPr>
        <w:widowControl/>
        <w:rPr>
          <w:szCs w:val="24"/>
          <w:lang w:eastAsia="en-US"/>
        </w:rPr>
      </w:pPr>
      <w:r>
        <w:rPr>
          <w:szCs w:val="24"/>
          <w:lang w:eastAsia="en-US"/>
        </w:rPr>
        <w:br w:type="page"/>
      </w:r>
    </w:p>
    <w:p w14:paraId="657CD4FE" w14:textId="1D51333A"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(h)</w:t>
      </w:r>
      <w:r w:rsidRPr="003E0486">
        <w:rPr>
          <w:szCs w:val="24"/>
          <w:lang w:eastAsia="en-US"/>
        </w:rPr>
        <w:tab/>
        <w:t>at udarbejde statistikker og andre analyser som krævet i EU-lovgivningen, for hvilke dataene i EU's tolddatacenter er nødvendige</w:t>
      </w:r>
    </w:p>
    <w:p w14:paraId="01040379" w14:textId="33E41D54" w:rsidR="003E0486" w:rsidRPr="00AD0947" w:rsidRDefault="009A05BD"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ha)</w:t>
      </w:r>
      <w:r w:rsidR="003E0486" w:rsidRPr="003E0486">
        <w:rPr>
          <w:szCs w:val="24"/>
          <w:lang w:eastAsia="en-US"/>
        </w:rPr>
        <w:tab/>
      </w:r>
      <w:r w:rsidR="003E0486" w:rsidRPr="003E0486">
        <w:rPr>
          <w:b/>
          <w:i/>
          <w:szCs w:val="24"/>
          <w:lang w:eastAsia="en-US"/>
        </w:rPr>
        <w:t>at bidrage til håndhævelsen af anden relevant EU-lovgivning.</w:t>
      </w:r>
      <w:r w:rsidR="00AD0947">
        <w:rPr>
          <w:b/>
          <w:szCs w:val="24"/>
          <w:lang w:eastAsia="en-US"/>
        </w:rPr>
        <w:t xml:space="preserve"> [Ændring 150]</w:t>
      </w:r>
    </w:p>
    <w:p w14:paraId="1205DB5A" w14:textId="10E786A9" w:rsidR="003E0486" w:rsidRPr="00AD0947" w:rsidRDefault="003E0486" w:rsidP="003E0486">
      <w:pPr>
        <w:spacing w:before="120" w:after="120" w:line="360" w:lineRule="auto"/>
        <w:ind w:left="850"/>
        <w:rPr>
          <w:b/>
          <w:szCs w:val="24"/>
          <w:lang w:eastAsia="en-US"/>
        </w:rPr>
      </w:pPr>
      <w:r w:rsidRPr="003E0486">
        <w:rPr>
          <w:b/>
          <w:i/>
          <w:szCs w:val="24"/>
          <w:lang w:eastAsia="en-US"/>
        </w:rPr>
        <w:t>Kommissionen behandler kun data i det omfang, det er nødvendigt og nyttigt med henblik på opfyldelse af de i dette stykke omhandlede formål.</w:t>
      </w:r>
      <w:r w:rsidR="00AD0947">
        <w:rPr>
          <w:b/>
          <w:szCs w:val="24"/>
          <w:lang w:eastAsia="en-US"/>
        </w:rPr>
        <w:t xml:space="preserve"> [Ændring 151]</w:t>
      </w:r>
    </w:p>
    <w:p w14:paraId="05BCCD7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Det Europæiske Kontor for Bekæmpelse af Svig ("OLAF") må behandle data, herunder personoplysninger og forretningsmæssigt følsomme data, der er lagret eller på anden måde er tilgængelige i EU's tolddatacenter, såfremt behandlingen udelukkende vedrører og er nødvendig for udførelsen af dets aktiviteter vedrørende toldspørgsmål, jf. artikel 1 i Europa-Parlamentets og Rådets forordning (EU, Euratom) nr. 883/2013 og Rådets forordning (EF) nr. 515/97, og såfremt de betingelser vedrørende databeskyttelse, der er fastsat i disse forordninger, overholdes.</w:t>
      </w:r>
    </w:p>
    <w:p w14:paraId="70D67CDF" w14:textId="77777777" w:rsidR="00D01BF5" w:rsidRDefault="00D01BF5">
      <w:pPr>
        <w:widowControl/>
        <w:rPr>
          <w:szCs w:val="24"/>
          <w:lang w:eastAsia="en-US"/>
        </w:rPr>
      </w:pPr>
      <w:r>
        <w:rPr>
          <w:szCs w:val="24"/>
          <w:lang w:eastAsia="en-US"/>
        </w:rPr>
        <w:br w:type="page"/>
      </w:r>
    </w:p>
    <w:p w14:paraId="3723DF75" w14:textId="3A8A2C25" w:rsidR="003E0486" w:rsidRPr="00AD0947" w:rsidRDefault="003E0486" w:rsidP="003E0486">
      <w:pPr>
        <w:spacing w:before="120" w:after="120" w:line="360" w:lineRule="auto"/>
        <w:ind w:left="850" w:hanging="850"/>
        <w:rPr>
          <w:b/>
          <w:szCs w:val="24"/>
          <w:lang w:eastAsia="en-US"/>
        </w:rPr>
      </w:pPr>
      <w:r w:rsidRPr="003E0486">
        <w:rPr>
          <w:szCs w:val="24"/>
          <w:lang w:eastAsia="en-US"/>
        </w:rPr>
        <w:lastRenderedPageBreak/>
        <w:t>6.</w:t>
      </w:r>
      <w:r w:rsidRPr="003E0486">
        <w:rPr>
          <w:szCs w:val="24"/>
          <w:lang w:eastAsia="en-US"/>
        </w:rPr>
        <w:tab/>
        <w:t xml:space="preserve">Den Europæiske Anklagemyndighed ("EPPO") må </w:t>
      </w:r>
      <w:r w:rsidRPr="003E0486">
        <w:rPr>
          <w:strike/>
          <w:szCs w:val="24"/>
          <w:lang w:eastAsia="en-US"/>
        </w:rPr>
        <w:t xml:space="preserve">efter anmodning </w:t>
      </w:r>
      <w:r w:rsidRPr="003E0486">
        <w:rPr>
          <w:szCs w:val="24"/>
          <w:lang w:eastAsia="en-US"/>
        </w:rPr>
        <w:t>tilgå</w:t>
      </w:r>
      <w:r w:rsidRPr="003E0486">
        <w:rPr>
          <w:b/>
          <w:i/>
          <w:szCs w:val="24"/>
          <w:lang w:eastAsia="en-US"/>
        </w:rPr>
        <w:t xml:space="preserve"> og behandle</w:t>
      </w:r>
      <w:r w:rsidRPr="003E0486">
        <w:rPr>
          <w:szCs w:val="24"/>
          <w:lang w:eastAsia="en-US"/>
        </w:rPr>
        <w:t xml:space="preserve"> data, herunder personoplysninger og forretningsmæssigt følsomme data, der er lagret eller på anden måde er tilgængelige i EU's tolddatacenter, såfremt adgangen udelukkende vedrører og er nødvendig for udførelsen af dets opgaver, jf. artikel 4 i </w:t>
      </w:r>
      <w:r w:rsidRPr="003E0486">
        <w:rPr>
          <w:strike/>
          <w:szCs w:val="24"/>
          <w:lang w:eastAsia="en-US"/>
        </w:rPr>
        <w:t xml:space="preserve">Rådets </w:t>
      </w:r>
      <w:r w:rsidRPr="003E0486">
        <w:rPr>
          <w:szCs w:val="24"/>
          <w:lang w:eastAsia="en-US"/>
        </w:rPr>
        <w:t>forordning (EU) 2017/1939</w:t>
      </w:r>
      <w:r w:rsidRPr="003E0486">
        <w:rPr>
          <w:strike/>
          <w:szCs w:val="24"/>
          <w:lang w:eastAsia="en-US"/>
        </w:rPr>
        <w:t>, for så vidt den adfærd</w:t>
      </w:r>
      <w:r w:rsidRPr="003740C4">
        <w:rPr>
          <w:strike/>
          <w:szCs w:val="24"/>
          <w:vertAlign w:val="superscript"/>
          <w:lang w:val="en-GB" w:eastAsia="en-US"/>
        </w:rPr>
        <w:footnoteReference w:id="40"/>
      </w:r>
      <w:r w:rsidRPr="003E0486">
        <w:rPr>
          <w:strike/>
          <w:szCs w:val="24"/>
          <w:lang w:eastAsia="en-US"/>
        </w:rPr>
        <w:t>, der efterforskes af EPPO, vedrører told, og såfremt de betingelser, der er fastsat i en gennemførelsesretsakt vedtaget efter nærværende artikels stk</w:t>
      </w:r>
      <w:r w:rsidRPr="003E0486">
        <w:rPr>
          <w:szCs w:val="24"/>
          <w:lang w:eastAsia="en-US"/>
        </w:rPr>
        <w:t>.</w:t>
      </w:r>
      <w:r w:rsidRPr="003E0486">
        <w:rPr>
          <w:strike/>
          <w:szCs w:val="24"/>
          <w:lang w:eastAsia="en-US"/>
        </w:rPr>
        <w:t xml:space="preserve"> 14, overholdes</w:t>
      </w:r>
      <w:r w:rsidRPr="003740C4">
        <w:rPr>
          <w:szCs w:val="24"/>
          <w:lang w:eastAsia="en-US"/>
        </w:rPr>
        <w:t>.</w:t>
      </w:r>
      <w:r w:rsidR="00AD0947">
        <w:rPr>
          <w:b/>
          <w:szCs w:val="24"/>
          <w:lang w:eastAsia="en-US"/>
        </w:rPr>
        <w:t xml:space="preserve"> [Ændring 152]</w:t>
      </w:r>
    </w:p>
    <w:p w14:paraId="76405FAF" w14:textId="28A0DAB9" w:rsidR="003E0486" w:rsidRPr="00AD0947" w:rsidRDefault="003E0486" w:rsidP="003E0486">
      <w:pPr>
        <w:spacing w:before="120" w:after="120" w:line="360" w:lineRule="auto"/>
        <w:ind w:left="850" w:hanging="850"/>
        <w:rPr>
          <w:b/>
          <w:szCs w:val="24"/>
          <w:lang w:eastAsia="en-US"/>
        </w:rPr>
      </w:pPr>
      <w:r w:rsidRPr="003E0486">
        <w:rPr>
          <w:szCs w:val="24"/>
          <w:lang w:eastAsia="en-US"/>
        </w:rPr>
        <w:t>7.</w:t>
      </w:r>
      <w:r w:rsidRPr="003E0486">
        <w:rPr>
          <w:szCs w:val="24"/>
          <w:lang w:eastAsia="en-US"/>
        </w:rPr>
        <w:tab/>
        <w:t>Medlemsstaternes skattemyndigheder må behandle data, herunder personoplysninger og forretningsmæssigt følsomme data, der er lagret eller på anden måde er tilgængelige i EU's tolddatacenter, såfremt behandlingen udelukkende vedrører og er nødvendig for at fastslå, om en person hæfter for told, gebyrer og skatter, der måtte være skyldige i Unionen i forbindelse med de relevante varer</w:t>
      </w:r>
      <w:r w:rsidRPr="003E0486">
        <w:rPr>
          <w:strike/>
          <w:szCs w:val="24"/>
          <w:lang w:eastAsia="en-US"/>
        </w:rPr>
        <w:t>, og såfremt de betingelser, der er fastsat i en gennemførelsesretsakt vedtaget efter denne artikels stk</w:t>
      </w:r>
      <w:r w:rsidRPr="003E0486">
        <w:rPr>
          <w:szCs w:val="24"/>
          <w:lang w:eastAsia="en-US"/>
        </w:rPr>
        <w:t>.</w:t>
      </w:r>
      <w:r w:rsidRPr="003E0486">
        <w:rPr>
          <w:strike/>
          <w:szCs w:val="24"/>
          <w:lang w:eastAsia="en-US"/>
        </w:rPr>
        <w:t xml:space="preserve"> 14, overholdes</w:t>
      </w:r>
      <w:r w:rsidRPr="003740C4">
        <w:rPr>
          <w:szCs w:val="24"/>
          <w:lang w:eastAsia="en-US"/>
        </w:rPr>
        <w:t>.</w:t>
      </w:r>
      <w:r w:rsidR="00AD0947">
        <w:rPr>
          <w:b/>
          <w:szCs w:val="24"/>
          <w:lang w:eastAsia="en-US"/>
        </w:rPr>
        <w:t xml:space="preserve"> [Ændring 153]</w:t>
      </w:r>
    </w:p>
    <w:p w14:paraId="533A9C93" w14:textId="77777777" w:rsidR="00D01BF5" w:rsidRDefault="00D01BF5">
      <w:pPr>
        <w:widowControl/>
        <w:rPr>
          <w:szCs w:val="24"/>
          <w:lang w:eastAsia="en-US"/>
        </w:rPr>
      </w:pPr>
      <w:r>
        <w:rPr>
          <w:szCs w:val="24"/>
          <w:lang w:eastAsia="en-US"/>
        </w:rPr>
        <w:br w:type="page"/>
      </w:r>
    </w:p>
    <w:p w14:paraId="1EA3AC5F" w14:textId="76CB1134" w:rsidR="003E0486" w:rsidRPr="00AD0947" w:rsidRDefault="003E0486" w:rsidP="003E0486">
      <w:pPr>
        <w:spacing w:before="120" w:after="120" w:line="360" w:lineRule="auto"/>
        <w:ind w:left="850" w:hanging="850"/>
        <w:rPr>
          <w:b/>
          <w:szCs w:val="24"/>
          <w:lang w:eastAsia="en-US"/>
        </w:rPr>
      </w:pPr>
      <w:r w:rsidRPr="003E0486">
        <w:rPr>
          <w:szCs w:val="24"/>
          <w:lang w:eastAsia="en-US"/>
        </w:rPr>
        <w:lastRenderedPageBreak/>
        <w:t>8.</w:t>
      </w:r>
      <w:r w:rsidRPr="003E0486">
        <w:rPr>
          <w:szCs w:val="24"/>
          <w:lang w:eastAsia="en-US"/>
        </w:rPr>
        <w:tab/>
        <w:t xml:space="preserve">De kompetente myndigheder som defineret i artikel 3, nr. 3), i </w:t>
      </w:r>
      <w:r w:rsidRPr="003E0486">
        <w:rPr>
          <w:strike/>
          <w:szCs w:val="24"/>
          <w:lang w:eastAsia="en-US"/>
        </w:rPr>
        <w:t xml:space="preserve">Europa-Parlamentets og Rådets </w:t>
      </w:r>
      <w:r w:rsidRPr="003E0486">
        <w:rPr>
          <w:szCs w:val="24"/>
          <w:lang w:eastAsia="en-US"/>
        </w:rPr>
        <w:t>forordning (EU) 2017/625</w:t>
      </w:r>
      <w:r w:rsidRPr="003740C4">
        <w:rPr>
          <w:strike/>
          <w:szCs w:val="24"/>
          <w:vertAlign w:val="superscript"/>
          <w:lang w:val="en-GB" w:eastAsia="en-US"/>
        </w:rPr>
        <w:footnoteReference w:id="41"/>
      </w:r>
      <w:r w:rsidRPr="003E0486">
        <w:rPr>
          <w:szCs w:val="24"/>
          <w:lang w:eastAsia="en-US"/>
        </w:rPr>
        <w:t xml:space="preserve"> må tilgå data, herunder personoplysninger og forretningsmæssigt følsomme data, der er lagret eller på anden måde er tilgængelige i EU's tolddatacenter, såfremt adgangen udelukkende vedrører og er nødvendig for håndhævelsen af EU-lovgivningen om markedsføringen af eller sikkerheden for fødevarer, foder og planter og for samarbejdet med toldmyndighederne om at minimere risikoen for, at produkter, der ikke opfylder kravene, indføres i Unionen</w:t>
      </w:r>
      <w:r w:rsidRPr="003E0486">
        <w:rPr>
          <w:strike/>
          <w:szCs w:val="24"/>
          <w:lang w:eastAsia="en-US"/>
        </w:rPr>
        <w:t>, og såfremt de betingelser, der er fastsat i en gennemførelsesretsakt vedtaget efter denne artikels stk</w:t>
      </w:r>
      <w:r w:rsidRPr="003E0486">
        <w:rPr>
          <w:szCs w:val="24"/>
          <w:lang w:eastAsia="en-US"/>
        </w:rPr>
        <w:t>.</w:t>
      </w:r>
      <w:r w:rsidRPr="003E0486">
        <w:rPr>
          <w:strike/>
          <w:szCs w:val="24"/>
          <w:lang w:eastAsia="en-US"/>
        </w:rPr>
        <w:t xml:space="preserve"> 14, overholdes</w:t>
      </w:r>
      <w:r w:rsidRPr="003740C4">
        <w:rPr>
          <w:szCs w:val="24"/>
          <w:lang w:eastAsia="en-US"/>
        </w:rPr>
        <w:t>.</w:t>
      </w:r>
      <w:r w:rsidR="00AD0947">
        <w:rPr>
          <w:b/>
          <w:szCs w:val="24"/>
          <w:lang w:eastAsia="en-US"/>
        </w:rPr>
        <w:t xml:space="preserve"> [Ændring 154]</w:t>
      </w:r>
    </w:p>
    <w:p w14:paraId="08186C4A" w14:textId="229CF5A8" w:rsidR="003E0486" w:rsidRPr="00AD0947" w:rsidRDefault="003E0486" w:rsidP="003E0486">
      <w:pPr>
        <w:spacing w:before="120" w:after="120" w:line="360" w:lineRule="auto"/>
        <w:ind w:left="850" w:hanging="850"/>
        <w:rPr>
          <w:b/>
          <w:szCs w:val="24"/>
          <w:lang w:eastAsia="en-US"/>
        </w:rPr>
      </w:pPr>
      <w:r w:rsidRPr="003E0486">
        <w:rPr>
          <w:szCs w:val="24"/>
          <w:lang w:eastAsia="en-US"/>
        </w:rPr>
        <w:t>9.</w:t>
      </w:r>
      <w:r w:rsidRPr="003E0486">
        <w:rPr>
          <w:szCs w:val="24"/>
          <w:lang w:eastAsia="en-US"/>
        </w:rPr>
        <w:tab/>
        <w:t>Den markedsovervågningsmyndighed, der er udpeget af medlemsstaterne i overensstemmelse med artikel 10 i Europa-Parlamentets og Rådets forordning (EU) 2019/1020 må behandle data, herunder personoplysninger og forretningsmæssigt følsomme data, der er lagret eller på anden måde er tilgængelige i EU's tolddatacenter, såfremt behandlingen udelukkende vedrører og er nødvendig for at håndhæve EU-lovgivningen om markedsføringen af eller sikkerheden for produkter og for samarbejdet med toldmyndighederne om at minimere risikoen for, at varer, der ikke opfylder kravene, indføres i Unionen</w:t>
      </w:r>
      <w:r w:rsidRPr="003E0486">
        <w:rPr>
          <w:strike/>
          <w:szCs w:val="24"/>
          <w:lang w:eastAsia="en-US"/>
        </w:rPr>
        <w:t>, og såfremt de betingelser, der er fastsat i en gennemførelsesretsakt vedtaget efter denne artikels stk</w:t>
      </w:r>
      <w:r w:rsidRPr="003E0486">
        <w:rPr>
          <w:szCs w:val="24"/>
          <w:lang w:eastAsia="en-US"/>
        </w:rPr>
        <w:t>.</w:t>
      </w:r>
      <w:r w:rsidRPr="003E0486">
        <w:rPr>
          <w:strike/>
          <w:szCs w:val="24"/>
          <w:lang w:eastAsia="en-US"/>
        </w:rPr>
        <w:t xml:space="preserve"> 14, overholdes</w:t>
      </w:r>
      <w:r w:rsidRPr="003740C4">
        <w:rPr>
          <w:szCs w:val="24"/>
          <w:lang w:eastAsia="en-US"/>
        </w:rPr>
        <w:t>.</w:t>
      </w:r>
      <w:r w:rsidR="00AD0947">
        <w:rPr>
          <w:b/>
          <w:szCs w:val="24"/>
          <w:lang w:eastAsia="en-US"/>
        </w:rPr>
        <w:t xml:space="preserve"> [Ændring 155]</w:t>
      </w:r>
    </w:p>
    <w:p w14:paraId="26529575" w14:textId="77777777" w:rsidR="00D01BF5" w:rsidRDefault="00D01BF5">
      <w:pPr>
        <w:widowControl/>
        <w:rPr>
          <w:szCs w:val="24"/>
          <w:lang w:eastAsia="en-US"/>
        </w:rPr>
      </w:pPr>
      <w:r>
        <w:rPr>
          <w:szCs w:val="24"/>
          <w:lang w:eastAsia="en-US"/>
        </w:rPr>
        <w:br w:type="page"/>
      </w:r>
    </w:p>
    <w:p w14:paraId="2BFF1A11" w14:textId="3E25C6B2" w:rsidR="003E0486" w:rsidRPr="00AD0947" w:rsidRDefault="003E0486" w:rsidP="003E0486">
      <w:pPr>
        <w:spacing w:before="120" w:after="120" w:line="360" w:lineRule="auto"/>
        <w:ind w:left="850" w:hanging="850"/>
        <w:rPr>
          <w:b/>
          <w:szCs w:val="24"/>
          <w:lang w:eastAsia="en-US"/>
        </w:rPr>
      </w:pPr>
      <w:r w:rsidRPr="003E0486">
        <w:rPr>
          <w:szCs w:val="24"/>
          <w:lang w:eastAsia="en-US"/>
        </w:rPr>
        <w:lastRenderedPageBreak/>
        <w:t>10.</w:t>
      </w:r>
      <w:r w:rsidRPr="003E0486">
        <w:rPr>
          <w:szCs w:val="24"/>
          <w:lang w:eastAsia="en-US"/>
        </w:rPr>
        <w:tab/>
        <w:t>Den Europæiske Unions Agentur for Retshåndhævelsessamarbejde (Europol) må</w:t>
      </w:r>
      <w:r w:rsidRPr="003E0486">
        <w:rPr>
          <w:strike/>
          <w:szCs w:val="24"/>
          <w:lang w:eastAsia="en-US"/>
        </w:rPr>
        <w:t xml:space="preserve"> efter anmodning</w:t>
      </w:r>
      <w:r w:rsidRPr="003E0486">
        <w:rPr>
          <w:szCs w:val="24"/>
          <w:lang w:eastAsia="en-US"/>
        </w:rPr>
        <w:t xml:space="preserve"> tilgå data, herunder personoplysninger og forretningsmæssigt følsomme data, der er lagret eller på anden måde er tilgængelige i EU's tolddatacenter, såfremt adgangen udelukkende vedrører og er nødvendig for udførelsen af dets opgaver, jf. artikel 4 i Europa-Parlamentets og Rådets forordning (EU) 2016/794, så længe disse opgaver vedrører toldrelaterede spørgsmål</w:t>
      </w:r>
      <w:r w:rsidRPr="003E0486">
        <w:rPr>
          <w:strike/>
          <w:szCs w:val="24"/>
          <w:lang w:eastAsia="en-US"/>
        </w:rPr>
        <w:t>, og såfremt de betingelser, der er fastsat i en gennemførelsesretsakt vedtaget efter nærværende artikels stk</w:t>
      </w:r>
      <w:r w:rsidRPr="003E0486">
        <w:rPr>
          <w:szCs w:val="24"/>
          <w:lang w:eastAsia="en-US"/>
        </w:rPr>
        <w:t>.</w:t>
      </w:r>
      <w:r w:rsidRPr="003E0486">
        <w:rPr>
          <w:strike/>
          <w:szCs w:val="24"/>
          <w:lang w:eastAsia="en-US"/>
        </w:rPr>
        <w:t xml:space="preserve"> 14, overholdes</w:t>
      </w:r>
      <w:r w:rsidRPr="003740C4">
        <w:rPr>
          <w:szCs w:val="24"/>
          <w:lang w:eastAsia="en-US"/>
        </w:rPr>
        <w:t>.</w:t>
      </w:r>
      <w:r w:rsidR="00AD0947">
        <w:rPr>
          <w:b/>
          <w:szCs w:val="24"/>
          <w:lang w:eastAsia="en-US"/>
        </w:rPr>
        <w:t xml:space="preserve"> [Ændring 156]</w:t>
      </w:r>
    </w:p>
    <w:p w14:paraId="7497C714" w14:textId="1C8657BF" w:rsidR="003E0486" w:rsidRPr="00AD0947" w:rsidRDefault="003E0486" w:rsidP="003E0486">
      <w:pPr>
        <w:spacing w:before="120" w:after="120" w:line="360" w:lineRule="auto"/>
        <w:ind w:left="850" w:hanging="850"/>
        <w:rPr>
          <w:b/>
          <w:szCs w:val="24"/>
          <w:lang w:eastAsia="en-US"/>
        </w:rPr>
      </w:pPr>
      <w:r w:rsidRPr="003E0486">
        <w:rPr>
          <w:szCs w:val="24"/>
          <w:lang w:eastAsia="en-US"/>
        </w:rPr>
        <w:t>11.</w:t>
      </w:r>
      <w:r w:rsidRPr="003E0486">
        <w:rPr>
          <w:szCs w:val="24"/>
          <w:lang w:eastAsia="en-US"/>
        </w:rPr>
        <w:tab/>
        <w:t xml:space="preserve">Andre nationale myndigheder og EU-organer, herunder Det Europæiske Agentur for Grænse- og Kystbevogtning (Frontex), må behandle ikkepersonoplysninger, der er lagret eller på anden måde er tilgængelige i EU's tolddatacenter, </w:t>
      </w:r>
      <w:r w:rsidRPr="003E0486">
        <w:rPr>
          <w:strike/>
          <w:szCs w:val="24"/>
          <w:lang w:eastAsia="en-US"/>
        </w:rPr>
        <w:t xml:space="preserve">på de betingelser, der er fastsat i en gennemførelsesretsakt vedtaget efter denne artikels stk. 14, </w:t>
      </w:r>
      <w:r w:rsidRPr="003E0486">
        <w:rPr>
          <w:szCs w:val="24"/>
          <w:lang w:eastAsia="en-US"/>
        </w:rPr>
        <w:t>med henblik på at:</w:t>
      </w:r>
      <w:r w:rsidR="00AD0947">
        <w:rPr>
          <w:b/>
          <w:szCs w:val="24"/>
          <w:lang w:eastAsia="en-US"/>
        </w:rPr>
        <w:t xml:space="preserve"> [Ændring 157]</w:t>
      </w:r>
    </w:p>
    <w:p w14:paraId="7DBD405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udføre deres opgaver i forbindelse med opfyldelsen af toldformaliteter</w:t>
      </w:r>
    </w:p>
    <w:p w14:paraId="605AA0B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udføre de opgaver, der er pålagt disse myndigheder i henhold til EU-lovgivningen</w:t>
      </w:r>
    </w:p>
    <w:p w14:paraId="0FD4C5E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udføre deres opgaver i forbindelse med udførelsen af de risikoforvaltningsaktiviteter på EU-plan, der er omhandlet i artikel 52.</w:t>
      </w:r>
    </w:p>
    <w:p w14:paraId="2CF2CD68" w14:textId="77777777" w:rsidR="00D01BF5" w:rsidRDefault="00D01BF5">
      <w:pPr>
        <w:widowControl/>
        <w:rPr>
          <w:szCs w:val="24"/>
          <w:lang w:eastAsia="en-US"/>
        </w:rPr>
      </w:pPr>
      <w:r>
        <w:rPr>
          <w:szCs w:val="24"/>
          <w:lang w:eastAsia="en-US"/>
        </w:rPr>
        <w:br w:type="page"/>
      </w:r>
    </w:p>
    <w:p w14:paraId="70BA0470" w14:textId="01F8987D" w:rsidR="003E0486" w:rsidRPr="00AD0947" w:rsidRDefault="003E0486" w:rsidP="003E0486">
      <w:pPr>
        <w:spacing w:before="120" w:after="120" w:line="360" w:lineRule="auto"/>
        <w:ind w:left="850" w:hanging="850"/>
        <w:rPr>
          <w:b/>
          <w:szCs w:val="24"/>
          <w:lang w:eastAsia="en-US"/>
        </w:rPr>
      </w:pPr>
      <w:r w:rsidRPr="003E0486">
        <w:rPr>
          <w:szCs w:val="24"/>
          <w:lang w:eastAsia="en-US"/>
        </w:rPr>
        <w:lastRenderedPageBreak/>
        <w:t>12.</w:t>
      </w:r>
      <w:r w:rsidRPr="003E0486">
        <w:rPr>
          <w:szCs w:val="24"/>
          <w:lang w:eastAsia="en-US"/>
        </w:rPr>
        <w:tab/>
        <w:t>Indtil den dato, der er fastsat i artikel 265, stk. 3, skal Kommissionen, OLAF</w:t>
      </w:r>
      <w:r w:rsidRPr="003E0486">
        <w:rPr>
          <w:b/>
          <w:i/>
          <w:szCs w:val="24"/>
          <w:lang w:eastAsia="en-US"/>
        </w:rPr>
        <w:t>, EPPO</w:t>
      </w:r>
      <w:r w:rsidRPr="003E0486">
        <w:rPr>
          <w:szCs w:val="24"/>
          <w:lang w:eastAsia="en-US"/>
        </w:rPr>
        <w:t xml:space="preserve"> og EU-Toldmyndigheden, når denne er blevet oprettet, kunne behandle data, herunder personoplysninger, fra de eksisterende elektroniske systemer til udveksling af oplysninger, der er udviklet af Kommissionen i henhold til forordning (EU) nr. 952/2013, forudsat at behandlingen udelukkende vedrører de i stk. 4, 5 og 6 nævnte formål.</w:t>
      </w:r>
      <w:r w:rsidR="00AD0947">
        <w:rPr>
          <w:b/>
          <w:szCs w:val="24"/>
          <w:lang w:eastAsia="en-US"/>
        </w:rPr>
        <w:t xml:space="preserve"> [Ændring 158]</w:t>
      </w:r>
    </w:p>
    <w:p w14:paraId="2B4939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13.</w:t>
      </w:r>
      <w:r w:rsidRPr="003E0486">
        <w:rPr>
          <w:szCs w:val="24"/>
          <w:lang w:eastAsia="en-US"/>
        </w:rPr>
        <w:tab/>
        <w:t>Kommissionen tillægges beføjelser til at vedtage delegerede retsakter i overensstemmelse med artikel 261 med henblik på at ændre stk. 2 og 4 for at præcisere og supplere de deri fastlagte formål i lyset af de skiftende behov i forbindelse med gennemførelsen af toldlovgivningen eller anden lovgivning.</w:t>
      </w:r>
    </w:p>
    <w:p w14:paraId="33390E02" w14:textId="264C0752" w:rsidR="003E0486" w:rsidRPr="00AD0947" w:rsidRDefault="003E0486" w:rsidP="003E0486">
      <w:pPr>
        <w:spacing w:before="120" w:after="120" w:line="360" w:lineRule="auto"/>
        <w:ind w:left="850" w:hanging="850"/>
        <w:rPr>
          <w:b/>
          <w:szCs w:val="24"/>
          <w:lang w:eastAsia="en-US"/>
        </w:rPr>
      </w:pPr>
      <w:r w:rsidRPr="003E0486">
        <w:rPr>
          <w:b/>
          <w:i/>
          <w:szCs w:val="24"/>
          <w:lang w:eastAsia="en-US"/>
        </w:rPr>
        <w:t>13a.</w:t>
      </w:r>
      <w:r w:rsidRPr="003E0486">
        <w:rPr>
          <w:szCs w:val="24"/>
          <w:lang w:eastAsia="en-US"/>
        </w:rPr>
        <w:tab/>
      </w:r>
      <w:r w:rsidRPr="003E0486">
        <w:rPr>
          <w:b/>
          <w:i/>
          <w:szCs w:val="24"/>
          <w:lang w:eastAsia="en-US"/>
        </w:rPr>
        <w:t xml:space="preserve">For så vidt angår behandlingen af personoplysninger i EU CSW-CERTEX er Kommissionen fælles dataansvarlig i den betydning, der </w:t>
      </w:r>
      <w:r w:rsidR="007F32A4">
        <w:rPr>
          <w:b/>
          <w:i/>
          <w:szCs w:val="24"/>
          <w:lang w:eastAsia="en-US"/>
        </w:rPr>
        <w:t xml:space="preserve">fremgår af </w:t>
      </w:r>
      <w:r w:rsidRPr="003E0486">
        <w:rPr>
          <w:b/>
          <w:i/>
          <w:szCs w:val="24"/>
          <w:lang w:eastAsia="en-US"/>
        </w:rPr>
        <w:t xml:space="preserve">artikel 28, stk. 1, i forordning (EU) 2018/1725, og toldmyndighederne og medlemsstaternes kompetente partnermyndigheder med ansvar for de ikketoldrelaterede EU-formaliteter, der er opført i bilaget, er fælles dataansvarlige i den betydning, der </w:t>
      </w:r>
      <w:r w:rsidR="007F32A4">
        <w:rPr>
          <w:b/>
          <w:i/>
          <w:szCs w:val="24"/>
          <w:lang w:eastAsia="en-US"/>
        </w:rPr>
        <w:t xml:space="preserve">fremgår af </w:t>
      </w:r>
      <w:r w:rsidRPr="003E0486">
        <w:rPr>
          <w:b/>
          <w:i/>
          <w:szCs w:val="24"/>
          <w:lang w:eastAsia="en-US"/>
        </w:rPr>
        <w:t>artikel 26, stk. 1, i forordning (EU) 2016/679.</w:t>
      </w:r>
      <w:r w:rsidR="00AD0947">
        <w:rPr>
          <w:b/>
          <w:szCs w:val="24"/>
          <w:lang w:eastAsia="en-US"/>
        </w:rPr>
        <w:t xml:space="preserve"> [Ændring 159]</w:t>
      </w:r>
    </w:p>
    <w:p w14:paraId="2AE0B998" w14:textId="77777777" w:rsidR="00D01BF5" w:rsidRDefault="00D01BF5">
      <w:pPr>
        <w:widowControl/>
        <w:rPr>
          <w:strike/>
          <w:szCs w:val="24"/>
          <w:lang w:eastAsia="en-US"/>
        </w:rPr>
      </w:pPr>
      <w:r>
        <w:rPr>
          <w:strike/>
          <w:szCs w:val="24"/>
          <w:lang w:eastAsia="en-US"/>
        </w:rPr>
        <w:br w:type="page"/>
      </w:r>
    </w:p>
    <w:p w14:paraId="2EDB305B" w14:textId="79BEE193" w:rsidR="003E0486" w:rsidRPr="003E0486" w:rsidRDefault="003E0486" w:rsidP="003E0486">
      <w:pPr>
        <w:spacing w:before="120" w:after="120" w:line="360" w:lineRule="auto"/>
        <w:ind w:left="850" w:hanging="850"/>
        <w:rPr>
          <w:szCs w:val="24"/>
          <w:lang w:eastAsia="en-US"/>
        </w:rPr>
      </w:pPr>
      <w:r w:rsidRPr="003E0486">
        <w:rPr>
          <w:strike/>
          <w:szCs w:val="24"/>
          <w:lang w:eastAsia="en-US"/>
        </w:rPr>
        <w:lastRenderedPageBreak/>
        <w:t>14.</w:t>
      </w:r>
      <w:r w:rsidRPr="003740C4">
        <w:rPr>
          <w:strike/>
          <w:szCs w:val="24"/>
          <w:lang w:eastAsia="en-US"/>
        </w:rPr>
        <w:tab/>
      </w:r>
      <w:r w:rsidRPr="003E0486">
        <w:rPr>
          <w:strike/>
          <w:szCs w:val="24"/>
          <w:lang w:eastAsia="en-US"/>
        </w:rPr>
        <w:t>Kommissionen fastsætter ved hjælp af gennemførelsesretsakter regler og nærmere bestemmelser for adgang til og behandling af data for de myndigheder, der er omhandlet i stk. 6-11, herunder behandling af personoplysninger og forretningsmæssigt følsomme data, der er lagret eller på anden måde er tilgængelige i EU's tolddatacenter. Ved fastsættelsen af disse regler og nærmere bestemmelser skal Kommissionen for hver myndighed eller kategori af myndigheder:</w:t>
      </w:r>
    </w:p>
    <w:p w14:paraId="29DACD6E"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(a)</w:t>
      </w:r>
      <w:r w:rsidRPr="003E0486">
        <w:rPr>
          <w:szCs w:val="24"/>
          <w:lang w:eastAsia="en-US"/>
        </w:rPr>
        <w:tab/>
      </w:r>
      <w:r w:rsidRPr="003E0486">
        <w:rPr>
          <w:strike/>
          <w:szCs w:val="24"/>
          <w:lang w:eastAsia="en-US"/>
        </w:rPr>
        <w:t>vurdere de eksisterende beskyttelsesforanstaltninger, som den pågældende myndighed anvender for at sikre, at oplysningerne behandles i overensstemmelse med formålet</w:t>
      </w:r>
    </w:p>
    <w:p w14:paraId="4A07BB8B"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(b)</w:t>
      </w:r>
      <w:r w:rsidRPr="003E0486">
        <w:rPr>
          <w:szCs w:val="24"/>
          <w:lang w:eastAsia="en-US"/>
        </w:rPr>
        <w:tab/>
      </w:r>
      <w:r w:rsidRPr="003E0486">
        <w:rPr>
          <w:strike/>
          <w:szCs w:val="24"/>
          <w:lang w:eastAsia="en-US"/>
        </w:rPr>
        <w:t>sikre, at behandlingen står i et rimeligt forhold til formålet og er nødvendig</w:t>
      </w:r>
    </w:p>
    <w:p w14:paraId="25B2A162"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(c)</w:t>
      </w:r>
      <w:r w:rsidRPr="003E0486">
        <w:rPr>
          <w:szCs w:val="24"/>
          <w:lang w:eastAsia="en-US"/>
        </w:rPr>
        <w:tab/>
      </w:r>
      <w:r w:rsidRPr="003E0486">
        <w:rPr>
          <w:strike/>
          <w:szCs w:val="24"/>
          <w:lang w:eastAsia="en-US"/>
        </w:rPr>
        <w:t>fastlægge de specifikke kategorier af oplysninger, som myndigheden må få adgang til eller behandle</w:t>
      </w:r>
    </w:p>
    <w:p w14:paraId="50E5F6EE"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(d)</w:t>
      </w:r>
      <w:r w:rsidRPr="003E0486">
        <w:rPr>
          <w:szCs w:val="24"/>
          <w:lang w:eastAsia="en-US"/>
        </w:rPr>
        <w:tab/>
      </w:r>
      <w:r w:rsidRPr="003E0486">
        <w:rPr>
          <w:strike/>
          <w:szCs w:val="24"/>
          <w:lang w:eastAsia="en-US"/>
        </w:rPr>
        <w:t>overveje behovet for, at den pågældende myndighed udpeger et bestemt kontaktpunkt, en kontaktperson eller flere kontaktpersoner eller stiller yderligere garantier</w:t>
      </w:r>
    </w:p>
    <w:p w14:paraId="213EE97F" w14:textId="77777777" w:rsidR="003E0486" w:rsidRPr="003E0486" w:rsidRDefault="003E0486" w:rsidP="003E0486">
      <w:pPr>
        <w:spacing w:before="120" w:after="120" w:line="360" w:lineRule="auto"/>
        <w:ind w:left="1416" w:hanging="566"/>
        <w:rPr>
          <w:szCs w:val="24"/>
          <w:lang w:eastAsia="en-US"/>
        </w:rPr>
      </w:pPr>
      <w:r w:rsidRPr="003E0486">
        <w:rPr>
          <w:strike/>
          <w:szCs w:val="24"/>
          <w:lang w:eastAsia="en-US"/>
        </w:rPr>
        <w:t>(e)</w:t>
      </w:r>
      <w:r w:rsidRPr="003E0486">
        <w:rPr>
          <w:szCs w:val="24"/>
          <w:lang w:eastAsia="en-US"/>
        </w:rPr>
        <w:tab/>
      </w:r>
      <w:r w:rsidRPr="003E0486">
        <w:rPr>
          <w:strike/>
          <w:szCs w:val="24"/>
          <w:lang w:eastAsia="en-US"/>
        </w:rPr>
        <w:t>vurdere behovet for at begrænse den efterfølgende udveksling af dataene</w:t>
      </w:r>
    </w:p>
    <w:p w14:paraId="0590693C" w14:textId="61D89470" w:rsidR="003E0486" w:rsidRPr="00F30597" w:rsidRDefault="003E0486" w:rsidP="003E0486">
      <w:pPr>
        <w:spacing w:before="120" w:after="120" w:line="360" w:lineRule="auto"/>
        <w:ind w:left="1416" w:hanging="566"/>
        <w:rPr>
          <w:b/>
          <w:szCs w:val="24"/>
          <w:lang w:eastAsia="en-US"/>
        </w:rPr>
      </w:pPr>
      <w:r w:rsidRPr="003E0486">
        <w:rPr>
          <w:strike/>
          <w:szCs w:val="24"/>
          <w:lang w:eastAsia="en-US"/>
        </w:rPr>
        <w:t>(f)</w:t>
      </w:r>
      <w:r w:rsidRPr="003E0486">
        <w:rPr>
          <w:szCs w:val="24"/>
          <w:lang w:eastAsia="en-US"/>
        </w:rPr>
        <w:tab/>
      </w:r>
      <w:r w:rsidRPr="003E0486">
        <w:rPr>
          <w:strike/>
          <w:szCs w:val="24"/>
          <w:lang w:eastAsia="en-US"/>
        </w:rPr>
        <w:t>fastlægge betingelserne og de nærmere bestemmelser for anmodninger om adgang til data, herunder personoplysninger eller forretningsmæssigt følsomme data, og hvilke af de fælles dataansvarlige der giver adgang til EU's tolddatacenter.</w:t>
      </w:r>
      <w:r w:rsidR="00F30597">
        <w:rPr>
          <w:b/>
          <w:szCs w:val="24"/>
          <w:lang w:eastAsia="en-US"/>
        </w:rPr>
        <w:t xml:space="preserve"> [Ændring 160]</w:t>
      </w:r>
    </w:p>
    <w:p w14:paraId="1021C9D6" w14:textId="6CA87260" w:rsidR="003E0486" w:rsidRPr="004B4621" w:rsidRDefault="003E0486" w:rsidP="003E0486">
      <w:pPr>
        <w:spacing w:before="120" w:after="120" w:line="360" w:lineRule="auto"/>
        <w:ind w:left="850"/>
        <w:rPr>
          <w:b/>
          <w:szCs w:val="24"/>
          <w:lang w:eastAsia="en-US"/>
        </w:rPr>
      </w:pPr>
      <w:r w:rsidRPr="003E0486">
        <w:rPr>
          <w:strike/>
          <w:szCs w:val="24"/>
          <w:lang w:eastAsia="en-US"/>
        </w:rPr>
        <w:t>Disse gennemførelsesretsakter vedtages efter undersøgelsesproceduren i artikel 262, stk. 4.</w:t>
      </w:r>
      <w:r w:rsidR="004B4621">
        <w:rPr>
          <w:b/>
          <w:szCs w:val="24"/>
          <w:lang w:eastAsia="en-US"/>
        </w:rPr>
        <w:t xml:space="preserve"> [Ændring 161]</w:t>
      </w:r>
    </w:p>
    <w:p w14:paraId="55AB8BA5" w14:textId="77777777" w:rsidR="00D01BF5" w:rsidRDefault="00D01BF5">
      <w:pPr>
        <w:widowControl/>
        <w:rPr>
          <w:szCs w:val="24"/>
          <w:lang w:eastAsia="en-US"/>
        </w:rPr>
      </w:pPr>
      <w:r>
        <w:rPr>
          <w:szCs w:val="24"/>
          <w:lang w:eastAsia="en-US"/>
        </w:rPr>
        <w:br w:type="page"/>
      </w:r>
    </w:p>
    <w:p w14:paraId="7B48E291" w14:textId="0A3CB2F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32</w:t>
      </w:r>
      <w:r w:rsidRPr="003E0486">
        <w:rPr>
          <w:szCs w:val="24"/>
          <w:lang w:eastAsia="en-US"/>
        </w:rPr>
        <w:br/>
        <w:t>Personoplysninger i EU's tolddatacenter</w:t>
      </w:r>
    </w:p>
    <w:p w14:paraId="3628CDF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Personoplysningerne for følgende kategorier af registrerede må behandles i EU's tolddatacenter, såfremt behandlingen udelukkende vedrører og er nødvendig med henblik på de formål, der er fastsat i artikel 31:</w:t>
      </w:r>
    </w:p>
    <w:p w14:paraId="567319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registrerede, der er registreret eller ansøger om registrering som økonomiske operatører i overensstemmelse med artikel 19</w:t>
      </w:r>
    </w:p>
    <w:p w14:paraId="18A1A077" w14:textId="397C7D31" w:rsidR="003E0486" w:rsidRPr="004B4621"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registrerede, som</w:t>
      </w:r>
      <w:r w:rsidRPr="003E0486">
        <w:rPr>
          <w:b/>
          <w:i/>
          <w:szCs w:val="24"/>
          <w:lang w:eastAsia="en-US"/>
        </w:rPr>
        <w:t xml:space="preserve"> er økonomiske operatører, der</w:t>
      </w:r>
      <w:r w:rsidRPr="003E0486">
        <w:rPr>
          <w:szCs w:val="24"/>
          <w:lang w:eastAsia="en-US"/>
        </w:rPr>
        <w:t xml:space="preserve"> lejlighedsvis er involveret i aktiviteter, der er omfattet af toldlovgivningen eller anden lovgivning, der anvendes af toldmyndighederne</w:t>
      </w:r>
      <w:r w:rsidR="004B4621">
        <w:rPr>
          <w:b/>
          <w:szCs w:val="24"/>
          <w:lang w:eastAsia="en-US"/>
        </w:rPr>
        <w:t xml:space="preserve"> [Ændring 162]</w:t>
      </w:r>
    </w:p>
    <w:p w14:paraId="0B95C33C" w14:textId="6304451A" w:rsidR="003E0486" w:rsidRPr="004B4621" w:rsidRDefault="003E0486" w:rsidP="003E0486">
      <w:pPr>
        <w:spacing w:before="120" w:after="120" w:line="360" w:lineRule="auto"/>
        <w:ind w:left="1416" w:hanging="566"/>
        <w:rPr>
          <w:b/>
          <w:szCs w:val="24"/>
          <w:lang w:eastAsia="en-US"/>
        </w:rPr>
      </w:pPr>
      <w:r w:rsidRPr="003E0486">
        <w:rPr>
          <w:szCs w:val="24"/>
          <w:lang w:eastAsia="en-US"/>
        </w:rPr>
        <w:t>(c)</w:t>
      </w:r>
      <w:r w:rsidRPr="003E0486">
        <w:rPr>
          <w:szCs w:val="24"/>
          <w:lang w:eastAsia="en-US"/>
        </w:rPr>
        <w:tab/>
        <w:t>registrerede,</w:t>
      </w:r>
      <w:r w:rsidRPr="003E0486">
        <w:rPr>
          <w:b/>
          <w:i/>
          <w:szCs w:val="24"/>
          <w:lang w:eastAsia="en-US"/>
        </w:rPr>
        <w:t xml:space="preserve"> der er økonomiske operatører, og</w:t>
      </w:r>
      <w:r w:rsidRPr="003E0486">
        <w:rPr>
          <w:szCs w:val="24"/>
          <w:lang w:eastAsia="en-US"/>
        </w:rPr>
        <w:t xml:space="preserve"> hvis personoplysninger er indeholdt i den dokumentation, der er omhandlet i artikel 40, eller i al yderligere dokumentation der er nødvendig for at opfylde forpligtelserne i henhold til toldlovgivningen og anden lovgivning, som toldmyndighederne anvender</w:t>
      </w:r>
      <w:r w:rsidR="004B4621">
        <w:rPr>
          <w:b/>
          <w:szCs w:val="24"/>
          <w:lang w:eastAsia="en-US"/>
        </w:rPr>
        <w:t xml:space="preserve"> [Ændring 163]</w:t>
      </w:r>
    </w:p>
    <w:p w14:paraId="0B6F8BA6" w14:textId="6F181045" w:rsidR="003E0486" w:rsidRPr="004B4621" w:rsidRDefault="003E0486" w:rsidP="003E0486">
      <w:pPr>
        <w:spacing w:before="120" w:after="120" w:line="360" w:lineRule="auto"/>
        <w:ind w:left="1416" w:hanging="566"/>
        <w:rPr>
          <w:b/>
          <w:szCs w:val="24"/>
          <w:lang w:eastAsia="en-US"/>
        </w:rPr>
      </w:pPr>
      <w:r w:rsidRPr="003E0486">
        <w:rPr>
          <w:szCs w:val="24"/>
          <w:lang w:eastAsia="en-US"/>
        </w:rPr>
        <w:t>(d)</w:t>
      </w:r>
      <w:r w:rsidRPr="003E0486">
        <w:rPr>
          <w:szCs w:val="24"/>
          <w:lang w:eastAsia="en-US"/>
        </w:rPr>
        <w:tab/>
        <w:t>registrerede,</w:t>
      </w:r>
      <w:r w:rsidRPr="003E0486">
        <w:rPr>
          <w:b/>
          <w:i/>
          <w:szCs w:val="24"/>
          <w:lang w:eastAsia="en-US"/>
        </w:rPr>
        <w:t xml:space="preserve"> der er økonomiske operatører, og</w:t>
      </w:r>
      <w:r w:rsidRPr="003E0486">
        <w:rPr>
          <w:szCs w:val="24"/>
          <w:lang w:eastAsia="en-US"/>
        </w:rPr>
        <w:t xml:space="preserve"> hvis personoplysninger er indeholdt i de data, der indsamles med henblik på risikoforvaltning i henhold til artikel 50, stk. 3, litra a)</w:t>
      </w:r>
      <w:r w:rsidR="004B4621">
        <w:rPr>
          <w:b/>
          <w:szCs w:val="24"/>
          <w:lang w:eastAsia="en-US"/>
        </w:rPr>
        <w:t xml:space="preserve"> [Ændring 164]</w:t>
      </w:r>
    </w:p>
    <w:p w14:paraId="2B738300" w14:textId="77777777" w:rsidR="00D01BF5" w:rsidRDefault="00D01BF5">
      <w:pPr>
        <w:widowControl/>
        <w:rPr>
          <w:szCs w:val="24"/>
          <w:lang w:eastAsia="en-US"/>
        </w:rPr>
      </w:pPr>
      <w:r>
        <w:rPr>
          <w:szCs w:val="24"/>
          <w:lang w:eastAsia="en-US"/>
        </w:rPr>
        <w:br w:type="page"/>
      </w:r>
    </w:p>
    <w:p w14:paraId="514D1148" w14:textId="31191CD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autoriseret personale hos toldmyndigheder, andre myndigheder end toldmyndighederne eller andre relevante myndigheder eller bemyndigede organer, hvis personoplysninger er nødvendige for at sikre passende kontrol og tilsyn med adgangen til oplysningerne i EU's tolddatacenter</w:t>
      </w:r>
    </w:p>
    <w:p w14:paraId="149CD6E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personale eller bemyndigede tredjeparter, der arbejder på vegne af Kommissionen, EU-Toldmyndigheden eller andre EU-organer, der er bemyndiget til at tilgå EU's tolddatacenter.</w:t>
      </w:r>
    </w:p>
    <w:p w14:paraId="5FEDAE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Følgende kategorier af personoplysninger må behandles i EU's tolddatacenter i overensstemmelse med artikel 31:</w:t>
      </w:r>
    </w:p>
    <w:p w14:paraId="3C3C95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personoplysninger i EU's tolddatamodel, jf. artikel 36</w:t>
      </w:r>
    </w:p>
    <w:p w14:paraId="7B3E489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personoplysninger, der er indeholdt i de data, der indsamles med henblik på risikoforvaltning i henhold til artikel 50, stk. 3, litra a)</w:t>
      </w:r>
    </w:p>
    <w:p w14:paraId="1F73FE0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personoplysninger, der er nødvendige for at sikre en korrekt identifikation af det personale, der er bemyndiget til at behandle data i EU's tolddatacenter, jf. stk. 1, litra e) og f)</w:t>
      </w:r>
    </w:p>
    <w:p w14:paraId="7720D4AD" w14:textId="77777777" w:rsidR="00D01BF5" w:rsidRDefault="00D01BF5">
      <w:pPr>
        <w:widowControl/>
        <w:rPr>
          <w:szCs w:val="24"/>
          <w:lang w:eastAsia="en-US"/>
        </w:rPr>
      </w:pPr>
      <w:r>
        <w:rPr>
          <w:szCs w:val="24"/>
          <w:lang w:eastAsia="en-US"/>
        </w:rPr>
        <w:br w:type="page"/>
      </w:r>
    </w:p>
    <w:p w14:paraId="3FE55AD6" w14:textId="0975614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 til at vedtage delegerede retsakter i overensstemmelse med artikel 261 med henblik på at ændre eller supplere de kategorier af registrerede og kategorierne af personoplysninger, som er omhandlet nærværende artikels stk. 1 og 2 for at tage hensyn til udviklingen inden for informationsteknologi og i lyset af fremskridtene i informationssamfundet.</w:t>
      </w:r>
    </w:p>
    <w:p w14:paraId="5CDAAD1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33</w:t>
      </w:r>
      <w:r w:rsidRPr="003E0486">
        <w:rPr>
          <w:szCs w:val="24"/>
          <w:lang w:eastAsia="en-US"/>
        </w:rPr>
        <w:br/>
        <w:t>Opbevaringsperioden for personoplysninger i EU's tolddatacenter</w:t>
      </w:r>
    </w:p>
    <w:p w14:paraId="4C2F340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Personoplysninger i EU's tolddatacenter kan lagres ved hjælp af en specifik tjeneste i en periode på højst ti år fra den dato, hvor disse data registreres i tjenesten. De tilfælde, der er omhandlet i artikel 48, og undersøgelser eller efterforskninger iværksat af OLAF, EPPO eller af medlemsstaternes myndigheder, traktatbrudssager indledt af Kommissionen og administrative og retslige procedurer, der involverer personoplysninger, har opsættende virkning med hensyn til opbevaringsperioden for så vidt angår disse oplysninger.</w:t>
      </w:r>
    </w:p>
    <w:p w14:paraId="49EBE73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Efter den periode, der er fastsat i stk. 1, slettes eller anonymiseres personoplysninger alt efter omstændighederne.</w:t>
      </w:r>
    </w:p>
    <w:p w14:paraId="7A12917B" w14:textId="44357866" w:rsidR="003E0486" w:rsidRPr="004B4621" w:rsidRDefault="003E0486" w:rsidP="003E0486">
      <w:pPr>
        <w:spacing w:before="120" w:after="120" w:line="360" w:lineRule="auto"/>
        <w:ind w:left="850" w:hanging="850"/>
        <w:rPr>
          <w:b/>
          <w:szCs w:val="24"/>
          <w:lang w:eastAsia="en-US"/>
        </w:rPr>
      </w:pPr>
      <w:r w:rsidRPr="003E0486">
        <w:rPr>
          <w:strike/>
          <w:szCs w:val="24"/>
          <w:lang w:eastAsia="en-US"/>
        </w:rPr>
        <w:t>3.</w:t>
      </w:r>
      <w:r w:rsidRPr="003740C4">
        <w:rPr>
          <w:strike/>
          <w:szCs w:val="24"/>
          <w:lang w:eastAsia="en-US"/>
        </w:rPr>
        <w:tab/>
      </w:r>
      <w:r w:rsidRPr="003E0486">
        <w:rPr>
          <w:strike/>
          <w:szCs w:val="24"/>
          <w:lang w:eastAsia="en-US"/>
        </w:rPr>
        <w:t>Kommissionen fastsætter ved hjælp af gennemførelsesretsakter reglerne for anonymisering af personoplysninger efter udløbet af opbevaringsperioden.</w:t>
      </w:r>
      <w:r w:rsidR="004B4621">
        <w:rPr>
          <w:b/>
          <w:szCs w:val="24"/>
          <w:lang w:eastAsia="en-US"/>
        </w:rPr>
        <w:t xml:space="preserve"> [Ændring 165]</w:t>
      </w:r>
    </w:p>
    <w:p w14:paraId="2CD43DB3" w14:textId="77777777" w:rsidR="00D01BF5" w:rsidRDefault="00D01BF5">
      <w:pPr>
        <w:widowControl/>
        <w:rPr>
          <w:szCs w:val="24"/>
          <w:lang w:eastAsia="en-US"/>
        </w:rPr>
      </w:pPr>
      <w:r>
        <w:rPr>
          <w:szCs w:val="24"/>
          <w:lang w:eastAsia="en-US"/>
        </w:rPr>
        <w:br w:type="page"/>
      </w:r>
    </w:p>
    <w:p w14:paraId="35640DBA" w14:textId="418BD76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34</w:t>
      </w:r>
      <w:r w:rsidRPr="003E0486">
        <w:rPr>
          <w:szCs w:val="24"/>
          <w:lang w:eastAsia="en-US"/>
        </w:rPr>
        <w:br/>
        <w:t>Roller og ansvar med hensyn til personoplysninger i EU's tolddatacenter</w:t>
      </w:r>
    </w:p>
    <w:p w14:paraId="5A6F5D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Medlemsstaternes toldmyndigheder, Kommissionen og EU-Toldmyndigheden betragtes som fælles dataansvarlige med hensyn til behandlingen af personoplysninger i EU's tolddatacenter med henblik på risikoforvaltning og samarbejde som omhandlet i artikel 31, stk. 2, litra b) og c), artikel 31, stk. 3, litra a) og c), og artikel 31, stk. 4, litra a) og e).</w:t>
      </w:r>
    </w:p>
    <w:p w14:paraId="7D6B9B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Hver toldmyndighed alene betragtes som dataansvarlig i forbindelse med de personoplysninger, den behandler til de formål, der er omhandlet i artikel 31, stk. 2, litra a).</w:t>
      </w:r>
    </w:p>
    <w:p w14:paraId="2439BC7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betragtes som enedataansvarlig i forbindelse med de personoplysninger, den behandler til de formål, der er omhandlet i artikel 31, stk. 4, litra c), d), f) og g).</w:t>
      </w:r>
    </w:p>
    <w:p w14:paraId="560107C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Indtil den dato, der er fastsat i artikel 265, stk. 3, betragtes Kommissionen, OLAF, EPPO og EU-Toldmyndigheden som enedataansvarlige i forbindelse med den databehandling, der er omhandlet i artikel 31, stk. 12.</w:t>
      </w:r>
    </w:p>
    <w:p w14:paraId="42455D66" w14:textId="77777777" w:rsidR="00D01BF5" w:rsidRDefault="00D01BF5">
      <w:pPr>
        <w:widowControl/>
        <w:rPr>
          <w:szCs w:val="24"/>
          <w:lang w:eastAsia="en-US"/>
        </w:rPr>
      </w:pPr>
      <w:r>
        <w:rPr>
          <w:szCs w:val="24"/>
          <w:lang w:eastAsia="en-US"/>
        </w:rPr>
        <w:br w:type="page"/>
      </w:r>
    </w:p>
    <w:p w14:paraId="0093A374" w14:textId="654FD25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De i stk. 1 omhandlede fælles dataansvarlige skal:</w:t>
      </w:r>
    </w:p>
    <w:p w14:paraId="3AF243E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samarbejde om at behandle de(n) registreredes anmodning(er) rettidigt og om at lette udøvelsen af registreredes rettigheder</w:t>
      </w:r>
    </w:p>
    <w:p w14:paraId="7B24AA1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bistå hinanden med at identificere og håndtere eventuelle brud på datasikkerheden i forbindelse med den fælles behandling</w:t>
      </w:r>
    </w:p>
    <w:p w14:paraId="489D6B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udveksle de relevante oplysninger, der er nødvendige for at informere de registrerede i henhold til kapitel III, afdeling 2, i forordning (EU) 2016/679, kapitel III, afdeling 2, i forordning (EU) 2018/1725 og kapitel III i direktiv (EU) 2016/680, såfremt det er relevant.</w:t>
      </w:r>
    </w:p>
    <w:p w14:paraId="5A219F8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sikre og værne om sikkerheden, integriteten, tilgængeligheden og fortroligheden af de personoplysninger, der behandles i fællesskab i henhold til artikel 32 i forordning (EU) 2016/679, artikel 33 i forordning (EU) 2018/1725 og artikel 25 i direktiv (EU) 2016/680, såfremt det er relevant.</w:t>
      </w:r>
    </w:p>
    <w:p w14:paraId="56F1DF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fastlægger ved hjælp af gennemførelsesretsakter de fælles dataansvarliges respektive roller og forbindelser med de registrerede i overensstemmelse med artikel 26 i forordning (EU) 2016/679 og artikel 28 i forordning (EU) 2018/1725. Disse gennemførelsesretsakter vedtages efter undersøgelsesproceduren i artikel 262, stk. 4.</w:t>
      </w:r>
    </w:p>
    <w:p w14:paraId="42C91F68" w14:textId="77777777" w:rsidR="00D01BF5" w:rsidRDefault="00D01BF5">
      <w:pPr>
        <w:widowControl/>
        <w:rPr>
          <w:szCs w:val="24"/>
          <w:lang w:eastAsia="en-US"/>
        </w:rPr>
      </w:pPr>
      <w:r>
        <w:rPr>
          <w:szCs w:val="24"/>
          <w:lang w:eastAsia="en-US"/>
        </w:rPr>
        <w:br w:type="page"/>
      </w:r>
    </w:p>
    <w:p w14:paraId="18275CF0" w14:textId="7A1CED5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35</w:t>
      </w:r>
      <w:r w:rsidRPr="003E0486">
        <w:rPr>
          <w:szCs w:val="24"/>
          <w:lang w:eastAsia="en-US"/>
        </w:rPr>
        <w:br/>
        <w:t>Begrænsning af registreredes rettigheder</w:t>
      </w:r>
    </w:p>
    <w:p w14:paraId="3925299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en registrerets udøvelse indsigtsretten og retten til begrænsning af behandling som omhandlet i artikel 15 og 18 i forordning (EU) 2016/679 og artikel 17 og 20 i forordning (EU) 2018/1725 eller underretningen om et brud på datasikkerheden som omhandlet i artikel 34, stk. 1, i forordning (EU) 2016/679 og artikel 35, stk. 1, i forordning (EU) 2018/1725 ville bringe en igangværende undersøgelse vedrørende en fysisk person på toldområdet, gennemførelsen af toldkontrol eller forvaltningen af en specifik risiko, der er identificeret i forbindelse med en fysisk person på toldområdet, i fare, kan toldmyndighederne, EU-Toldmyndigheden og Kommissionen i overensstemmelse med artikel 23, stk. 1, litra c) e), f) og h), i forordning (EU) 2016/679 og Kommissionen og EU-Toldmyndigheden i overensstemmelse med artikel 25, stk. 1, litra a), c), e) og g), i forordning (EU) 2018/1725 helt eller delvis begrænse disse rettigheder, så længe begrænsningen er nødvendig og forholdsmæssig.</w:t>
      </w:r>
    </w:p>
    <w:p w14:paraId="61BA88B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Kommissionen og EU-Toldmyndigheden vurderer i hvert enkelt tilfælde nødvendigheden og forholdsmæssigheden af de begrænsninger, der er omhandlet i stk. 1, inden de anvendes, under hensyntagen til de potentielle risici med hensyn til den registreredes rettigheder og frihedsrettigheder.</w:t>
      </w:r>
    </w:p>
    <w:p w14:paraId="397492CC" w14:textId="77777777" w:rsidR="00D01BF5" w:rsidRDefault="00D01BF5">
      <w:pPr>
        <w:widowControl/>
        <w:rPr>
          <w:szCs w:val="24"/>
          <w:lang w:eastAsia="en-US"/>
        </w:rPr>
      </w:pPr>
      <w:r>
        <w:rPr>
          <w:szCs w:val="24"/>
          <w:lang w:eastAsia="en-US"/>
        </w:rPr>
        <w:br w:type="page"/>
      </w:r>
    </w:p>
    <w:p w14:paraId="4C1B80B0" w14:textId="38C6B0A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Når toldmyndighederne, EU-Toldmyndigheden eller Kommissionen behandler personoplysninger, der er modtaget fra andre organisationer som led i deres opgaver, skal de, når de handler som dataansvarlige eller fælles dataansvarlige, høre disse organisationer om mulige grunde til at indføre de begrænsninger, der er omhandlet i stk. 1, og om nødvendigheden og forholdsmæssigheden af sådanne begrænsninger, inden de anvender en begrænsning som omhandlet i stk. 1.</w:t>
      </w:r>
    </w:p>
    <w:p w14:paraId="5624C03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Når toldmyndighederne, Kommissionen eller EU-Toldmyndigheden helt eller delvis begrænser de i stk. 1 omhandlede rettigheder, træffer de følgende foranstaltninger:</w:t>
      </w:r>
    </w:p>
    <w:p w14:paraId="5AEF0DD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underretter i svaret på anmodningen den berørte registrerede om den anvendte begrænsning og om de vigtigste årsager hertil samt om muligheden for at indgive en klage til de nationale databeskyttelsesmyndigheder eller Den Europæiske Tilsynsførende for Databeskyttelse eller for at indbringe sagen for en national domstol eller Den Europæiske Unions Domstol, og</w:t>
      </w:r>
    </w:p>
    <w:p w14:paraId="1FF2E7B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registrerer årsagerne til begrænsningen, herunder en vurdering af nødvendigheden og forholdsmæssigheden af begrænsningen, og årsagerne til, at adgang ville bringe risikoforvaltningen og toldkontrollen i fare.</w:t>
      </w:r>
    </w:p>
    <w:p w14:paraId="04E7CB70" w14:textId="77777777" w:rsidR="00D01BF5" w:rsidRDefault="00D01BF5">
      <w:pPr>
        <w:widowControl/>
        <w:rPr>
          <w:szCs w:val="24"/>
          <w:lang w:eastAsia="en-US"/>
        </w:rPr>
      </w:pPr>
      <w:r>
        <w:rPr>
          <w:szCs w:val="24"/>
          <w:lang w:eastAsia="en-US"/>
        </w:rPr>
        <w:br w:type="page"/>
      </w:r>
    </w:p>
    <w:p w14:paraId="44B045ED" w14:textId="48306D8E" w:rsidR="003E0486" w:rsidRPr="003E0486" w:rsidRDefault="003E0486" w:rsidP="003E0486">
      <w:pPr>
        <w:spacing w:before="120" w:after="120" w:line="360" w:lineRule="auto"/>
        <w:ind w:left="850"/>
        <w:rPr>
          <w:szCs w:val="24"/>
          <w:lang w:eastAsia="en-US"/>
        </w:rPr>
      </w:pPr>
      <w:r w:rsidRPr="003E0486">
        <w:rPr>
          <w:szCs w:val="24"/>
          <w:lang w:eastAsia="en-US"/>
        </w:rPr>
        <w:lastRenderedPageBreak/>
        <w:t>Den underretning, der er omhandlet i første afsnit, litra a), kan udsættes, udelades eller afvises i overensstemmelse med artikel 25, stk. 8, i forordning (EU) 2018/1725, eller hvis videregivelsen af disse oplysninger ville være til skade med hensyn til formålet med begrænsningen.</w:t>
      </w:r>
    </w:p>
    <w:p w14:paraId="397764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Toldmyndighederne, Kommissionen eller EU-Toldmyndigheden medtager et afsnit i de databeskyttelsesmeddelelser, der offentliggøres på dens websted/intranet, med generelle oplysninger til de registrerede om muligheden for at begrænse registreredes rettigheder.</w:t>
      </w:r>
    </w:p>
    <w:p w14:paraId="3466903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fastsætter ved gennemførelsesretsakter beskyttelsesforanstaltninger til forhindring af misbrug og ulovlig adgang til eller videregivelse af de personoplysninger, for hvilke der gælder eller kan anvendes begrænsninger. Sådanne beskyttelsesforanstaltninger skal omfatte fastlæggelse af roller, ansvarsområder og proceduremæssige skridt samt behørig overvågning af begrænsninger og en periodisk gennemgang af deres anvendelse, som skal finde sted mindst hver 6. måned. Disse gennemførelsesretsakter vedtages efter undersøgelsesproceduren i artikel 262, stk. 4.</w:t>
      </w:r>
    </w:p>
    <w:p w14:paraId="452B4AA3" w14:textId="77777777" w:rsidR="00D01BF5" w:rsidRDefault="00D01BF5">
      <w:pPr>
        <w:widowControl/>
        <w:rPr>
          <w:szCs w:val="24"/>
          <w:lang w:eastAsia="en-US"/>
        </w:rPr>
      </w:pPr>
      <w:r>
        <w:rPr>
          <w:szCs w:val="24"/>
          <w:lang w:eastAsia="en-US"/>
        </w:rPr>
        <w:br w:type="page"/>
      </w:r>
    </w:p>
    <w:p w14:paraId="5DB669F6" w14:textId="4B743BE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36</w:t>
      </w:r>
      <w:r w:rsidRPr="003E0486">
        <w:rPr>
          <w:szCs w:val="24"/>
          <w:lang w:eastAsia="en-US"/>
        </w:rPr>
        <w:br/>
        <w:t xml:space="preserve">EU's tolddatamodel </w:t>
      </w:r>
    </w:p>
    <w:p w14:paraId="3A0BEB1E" w14:textId="77777777" w:rsidR="003E0486" w:rsidRPr="003E0486" w:rsidRDefault="003E0486" w:rsidP="003E0486">
      <w:pPr>
        <w:spacing w:before="120" w:after="120" w:line="360" w:lineRule="auto"/>
        <w:rPr>
          <w:szCs w:val="24"/>
          <w:lang w:eastAsia="en-US"/>
        </w:rPr>
      </w:pPr>
      <w:r w:rsidRPr="003E0486">
        <w:rPr>
          <w:szCs w:val="24"/>
          <w:lang w:eastAsia="en-US"/>
        </w:rPr>
        <w:t>Kommissionen tillægges beføjelser til at vedtage delegerede retsakter i overensstemmelse med artikel 261 med henblik at supplere denne forordning ved at fastsætte de data, der kræves for at opfylde de formål, der er omhandlet i artikel 31, stk. 1-4. Disse datakrav udgør EU's tolddatamodel.</w:t>
      </w:r>
    </w:p>
    <w:p w14:paraId="7647B53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37</w:t>
      </w:r>
      <w:r w:rsidRPr="003E0486">
        <w:rPr>
          <w:szCs w:val="24"/>
          <w:lang w:eastAsia="en-US"/>
        </w:rPr>
        <w:br/>
        <w:t xml:space="preserve">Tekniske samarbejdsredskaber </w:t>
      </w:r>
    </w:p>
    <w:p w14:paraId="37FEE3BB" w14:textId="3602D5CD" w:rsidR="003E0486" w:rsidRPr="004B4621"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Kommissionen, EU-Toldmyndigheden og toldmyndighederne anvender EU's tolddatacenter, når de udveksler oplysninger med de myndigheder og EU-organer, der er omhandlet i artikel 31, stk. 6-</w:t>
      </w:r>
      <w:r w:rsidRPr="003E0486">
        <w:rPr>
          <w:b/>
          <w:i/>
          <w:szCs w:val="24"/>
          <w:lang w:eastAsia="en-US"/>
        </w:rPr>
        <w:t xml:space="preserve">9 og </w:t>
      </w:r>
      <w:r w:rsidRPr="003E0486">
        <w:rPr>
          <w:szCs w:val="24"/>
          <w:lang w:eastAsia="en-US"/>
        </w:rPr>
        <w:t>11</w:t>
      </w:r>
      <w:r w:rsidRPr="003E0486">
        <w:rPr>
          <w:strike/>
          <w:szCs w:val="24"/>
          <w:lang w:eastAsia="en-US"/>
        </w:rPr>
        <w:t>,</w:t>
      </w:r>
      <w:r w:rsidRPr="003E0486">
        <w:rPr>
          <w:szCs w:val="24"/>
          <w:lang w:eastAsia="en-US"/>
        </w:rPr>
        <w:t xml:space="preserve"> i overensstemmelse med denne forordning.</w:t>
      </w:r>
      <w:r w:rsidRPr="003E0486">
        <w:rPr>
          <w:b/>
          <w:i/>
          <w:szCs w:val="24"/>
          <w:lang w:eastAsia="en-US"/>
        </w:rPr>
        <w:t xml:space="preserve"> Kommissionen, EU-Toldmyndigheden og toldmyndighederne bruger Europols netværksprogram til sikker informationsudveksling (SIENA), når de udveksler oplysninger med Europol.</w:t>
      </w:r>
      <w:r w:rsidR="004B4621">
        <w:rPr>
          <w:b/>
          <w:szCs w:val="24"/>
          <w:lang w:eastAsia="en-US"/>
        </w:rPr>
        <w:t xml:space="preserve"> [Ændring 166]</w:t>
      </w:r>
    </w:p>
    <w:p w14:paraId="487348F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For andre EU-formaliteter og -systemer, der er opført i bilaget til forordning (EU) 2022/2399, sikrer EU's tolddatacenter interoperabilitet gennem EU-kvikskrankemiljøet på toldområdet, der er oprettet ved nævnte forordning.</w:t>
      </w:r>
    </w:p>
    <w:p w14:paraId="7A445572" w14:textId="77777777" w:rsidR="00D01BF5" w:rsidRDefault="00D01BF5">
      <w:pPr>
        <w:widowControl/>
        <w:rPr>
          <w:szCs w:val="24"/>
          <w:lang w:eastAsia="en-US"/>
        </w:rPr>
      </w:pPr>
      <w:r>
        <w:rPr>
          <w:szCs w:val="24"/>
          <w:lang w:eastAsia="en-US"/>
        </w:rPr>
        <w:br w:type="page"/>
      </w:r>
    </w:p>
    <w:p w14:paraId="09C3D367" w14:textId="66656315" w:rsidR="003E0486" w:rsidRPr="004B4621" w:rsidRDefault="003E0486" w:rsidP="003E0486">
      <w:pPr>
        <w:spacing w:before="120" w:after="120" w:line="360" w:lineRule="auto"/>
        <w:ind w:left="850" w:hanging="850"/>
        <w:rPr>
          <w:b/>
          <w:szCs w:val="24"/>
          <w:lang w:eastAsia="en-US"/>
        </w:rPr>
      </w:pPr>
      <w:r w:rsidRPr="003E0486">
        <w:rPr>
          <w:szCs w:val="24"/>
          <w:lang w:eastAsia="en-US"/>
        </w:rPr>
        <w:lastRenderedPageBreak/>
        <w:t>3.</w:t>
      </w:r>
      <w:r w:rsidRPr="003E0486">
        <w:rPr>
          <w:szCs w:val="24"/>
          <w:lang w:eastAsia="en-US"/>
        </w:rPr>
        <w:tab/>
        <w:t>Dersom andre myndigheder end toldmyndigheder eller EU-organer</w:t>
      </w:r>
      <w:r w:rsidRPr="003E0486">
        <w:rPr>
          <w:b/>
          <w:i/>
          <w:szCs w:val="24"/>
          <w:lang w:eastAsia="en-US"/>
        </w:rPr>
        <w:t xml:space="preserve"> eller myndigheder fra tredjelande</w:t>
      </w:r>
      <w:r w:rsidRPr="003E0486">
        <w:rPr>
          <w:szCs w:val="24"/>
          <w:lang w:eastAsia="en-US"/>
        </w:rPr>
        <w:t xml:space="preserve"> anvender elektroniske midler, der er etableret ved EU-lovgivning og anvendes til at nå målene deri eller er omhandlet i denne, kan samarbejdet finde sted ved hjælp af interoperabiliteten mellem disse elektroniske midler og EU's tolddatacenter.</w:t>
      </w:r>
      <w:r w:rsidR="004B4621">
        <w:rPr>
          <w:b/>
          <w:szCs w:val="24"/>
          <w:lang w:eastAsia="en-US"/>
        </w:rPr>
        <w:t xml:space="preserve"> [Ændring 167]</w:t>
      </w:r>
    </w:p>
    <w:p w14:paraId="3891C074" w14:textId="2CBD1330" w:rsidR="003E0486" w:rsidRPr="004B4621"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Hvis andre myndigheder end toldmyndighederne</w:t>
      </w:r>
      <w:r w:rsidRPr="003E0486">
        <w:rPr>
          <w:b/>
          <w:i/>
          <w:szCs w:val="24"/>
          <w:lang w:eastAsia="en-US"/>
        </w:rPr>
        <w:t>, herunder myndigheder fra tredjelande,</w:t>
      </w:r>
      <w:r w:rsidRPr="003E0486">
        <w:rPr>
          <w:szCs w:val="24"/>
          <w:lang w:eastAsia="en-US"/>
        </w:rPr>
        <w:t xml:space="preserve"> ikke gør brug af elektroniske midler, der er etableret ved EU-lovgivning og anvendes til at nå målene deri eller er omhandlet i denne, kan disse myndigheder anvende de specifikke tjenester og systemer i EU's tolddatacenter i overensstemmelse med artikel 31.</w:t>
      </w:r>
      <w:r w:rsidR="004B4621">
        <w:rPr>
          <w:b/>
          <w:szCs w:val="24"/>
          <w:lang w:eastAsia="en-US"/>
        </w:rPr>
        <w:t xml:space="preserve"> [Ændring 168]</w:t>
      </w:r>
    </w:p>
    <w:p w14:paraId="4A90F8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vedtager ved gennemførelsesretsakter reglerne vedrørende de tekniske betingelserne for interoperabilitet og forbindelse som omhandlet i stk. 3 og 4. Disse gennemførelsesretsakter vedtages efter rådgivningsproceduren i artikel 262, stk. 4.</w:t>
      </w:r>
    </w:p>
    <w:p w14:paraId="47F43007" w14:textId="77777777" w:rsidR="00D01BF5" w:rsidRDefault="00D01BF5">
      <w:pPr>
        <w:widowControl/>
        <w:rPr>
          <w:szCs w:val="24"/>
          <w:lang w:eastAsia="en-US"/>
        </w:rPr>
      </w:pPr>
      <w:r>
        <w:rPr>
          <w:szCs w:val="24"/>
          <w:lang w:eastAsia="en-US"/>
        </w:rPr>
        <w:br w:type="page"/>
      </w:r>
    </w:p>
    <w:p w14:paraId="368D0474" w14:textId="2A8EEBAE"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38</w:t>
      </w:r>
      <w:r w:rsidRPr="003E0486">
        <w:rPr>
          <w:szCs w:val="24"/>
          <w:lang w:eastAsia="en-US"/>
        </w:rPr>
        <w:br/>
        <w:t>Udveksling af andre oplysninger mellem toldmyndigheder og økonomiske operatører</w:t>
      </w:r>
    </w:p>
    <w:p w14:paraId="5AF09B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 og økonomiske operatører kan udveksle alle oplysninger, som ikke er udtrykkeligt påkrævet ifølge toldlovgivningen, især med henblik på gensidigt samarbejde for at identificere og modvirke risici. Denne udveksling kan finde sted ifølge en skriftlig aftale og kan indebære, at toldmyndighederne får adgang til de økonomiske operatørers elektroniske systemer.</w:t>
      </w:r>
    </w:p>
    <w:p w14:paraId="5B8B452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Enhver oplysning, der gives af den ene part til den anden under det samarbejde, der henvises til i stk. 1, er fortrolig, medmindre begge parter er enige om andet, eller medmindre de gældende bestemmelser fastsætter andet.</w:t>
      </w:r>
    </w:p>
    <w:p w14:paraId="08E91BC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39</w:t>
      </w:r>
      <w:r w:rsidRPr="003E0486">
        <w:rPr>
          <w:szCs w:val="24"/>
          <w:lang w:eastAsia="en-US"/>
        </w:rPr>
        <w:br/>
        <w:t>Oplysninger fra toldmyndighederne</w:t>
      </w:r>
    </w:p>
    <w:p w14:paraId="71DC3C2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Enhver person kan anmode toldmyndighederne om oplysninger vedrørende anvendelsen af toldlovgivningen. Toldmyndighederne kan afvise en sådan anmodning, hvis den ikke vedrører en konkret overvejet aktivitet i forbindelse med international varehandel.</w:t>
      </w:r>
    </w:p>
    <w:p w14:paraId="149E28FA" w14:textId="77777777" w:rsidR="00D01BF5" w:rsidRDefault="00D01BF5">
      <w:pPr>
        <w:widowControl/>
        <w:rPr>
          <w:szCs w:val="24"/>
          <w:lang w:eastAsia="en-US"/>
        </w:rPr>
      </w:pPr>
      <w:r>
        <w:rPr>
          <w:szCs w:val="24"/>
          <w:lang w:eastAsia="en-US"/>
        </w:rPr>
        <w:br w:type="page"/>
      </w:r>
    </w:p>
    <w:p w14:paraId="28FC4BE2" w14:textId="7DE350C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sørger for en regelmæssig dialog med de økonomiske operatører og andre myndigheder, der er involveret i international varehandel. De sørger for større åbenhed ved at gøre toldlovgivningen, generelle administrative afgørelser og ansøgningsblanketter frit tilgængelige, uden vederlag, hvor dette er praktisk muligt, og via internettet.</w:t>
      </w:r>
    </w:p>
    <w:p w14:paraId="71F7DB11" w14:textId="26E8D04E" w:rsidR="003E0486" w:rsidRPr="004B4621" w:rsidRDefault="003E0486" w:rsidP="003E0486">
      <w:pPr>
        <w:spacing w:before="120" w:after="120" w:line="360" w:lineRule="auto"/>
        <w:ind w:left="850" w:hanging="850"/>
        <w:rPr>
          <w:b/>
          <w:szCs w:val="24"/>
          <w:lang w:eastAsia="en-US"/>
        </w:rPr>
      </w:pPr>
      <w:r w:rsidRPr="003E0486">
        <w:rPr>
          <w:b/>
          <w:i/>
          <w:szCs w:val="24"/>
          <w:lang w:eastAsia="en-US"/>
        </w:rPr>
        <w:t>2a.</w:t>
      </w:r>
      <w:r w:rsidRPr="003E0486">
        <w:rPr>
          <w:szCs w:val="24"/>
          <w:lang w:eastAsia="en-US"/>
        </w:rPr>
        <w:tab/>
      </w:r>
      <w:r w:rsidRPr="003E0486">
        <w:rPr>
          <w:b/>
          <w:i/>
          <w:szCs w:val="24"/>
          <w:lang w:eastAsia="en-US"/>
        </w:rPr>
        <w:t>En omfattende og brugervenlig digital grænseflade skal også give adgang til alle oplysninger vedrørende autonome foranstaltninger, herunder tariffer, kvoter, sanktioner og embargoer, med det formål at forbedre virksomhedernes overholdelse af disse foranstaltninger. Dette skal også fremme større sammenhæng mellem forskellige autonome foranstaltninger.</w:t>
      </w:r>
      <w:r w:rsidR="004B4621">
        <w:rPr>
          <w:b/>
          <w:szCs w:val="24"/>
          <w:lang w:eastAsia="en-US"/>
        </w:rPr>
        <w:t xml:space="preserve"> [Ændring 169]</w:t>
      </w:r>
    </w:p>
    <w:p w14:paraId="4C9BFD5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40</w:t>
      </w:r>
      <w:r w:rsidRPr="003E0486">
        <w:rPr>
          <w:szCs w:val="24"/>
          <w:lang w:eastAsia="en-US"/>
        </w:rPr>
        <w:br/>
        <w:t>Oplysninger og dokumentation</w:t>
      </w:r>
    </w:p>
    <w:p w14:paraId="17527DE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personer meddeler eller sørger for tilgængelighed af data og oplysninger, der er nødvendige for den specifikke toldprocedure, som varer er henført eller skal henføres under, skal de fremsende eller give adgang til digitale kopier af originale papirdokumenter, der er anvendt til at fremskaffe disse data og oplysninger, såfremt sådanne originale papirdokumenter findes.</w:t>
      </w:r>
    </w:p>
    <w:p w14:paraId="3A87DC2E" w14:textId="77777777" w:rsidR="00D01BF5" w:rsidRDefault="00D01BF5">
      <w:pPr>
        <w:widowControl/>
        <w:rPr>
          <w:szCs w:val="24"/>
          <w:lang w:eastAsia="en-US"/>
        </w:rPr>
      </w:pPr>
      <w:r>
        <w:rPr>
          <w:szCs w:val="24"/>
          <w:lang w:eastAsia="en-US"/>
        </w:rPr>
        <w:br w:type="page"/>
      </w:r>
    </w:p>
    <w:p w14:paraId="52B58A9E" w14:textId="1296B41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Indtil den dato, der er fastsat i artikel 266, stk. 3, skal den dokumentation, der er nødvendig for anvendelsen af de bestemmelser, der gælder for den toldprocedure, som varerne angives til, være i klarererens besiddelse og til rådighed for toldmyndighederne på det tidspunkt, hvor toldangivelsen indgives.</w:t>
      </w:r>
    </w:p>
    <w:p w14:paraId="1993BEF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Dokumentationen for de gældende ikketoldrelaterede EU-formaliteter, der er opført i bilaget til forordning (EU) 2022/2399, anses for at være fremsendt, at være gjort tilgængelig eller at være i klarererens besiddelse, hvis toldmyndighederne kan indhente de nødvendige oplysninger fra de relevante ikketoldrelaterede EU-systemer gennem Den Europæiske Unions kvikskrankemiljø for systemet til udveksling af certifikater på toldområdet i overensstemmelse med nævnte forordnings artikel 10, stk. 1, litra a) og c).</w:t>
      </w:r>
    </w:p>
    <w:p w14:paraId="5411F55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Der skal også fremlægges dokumentation, hvis det er nødvendigt med henblik på toldrisikoforvaltning og kontrol.</w:t>
      </w:r>
    </w:p>
    <w:p w14:paraId="4FFD6B0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Uden at det berører anden lovgivning, der anvendes af toldmyndighederne, kan toldmyndighederne give økonomiske operatører tilladelse til at udfærdige den dokumentation, der er omhandlet i stk. 3.</w:t>
      </w:r>
    </w:p>
    <w:p w14:paraId="42359BF3" w14:textId="77777777" w:rsidR="00D01BF5" w:rsidRDefault="00D01BF5">
      <w:pPr>
        <w:widowControl/>
        <w:rPr>
          <w:szCs w:val="24"/>
          <w:lang w:eastAsia="en-US"/>
        </w:rPr>
      </w:pPr>
      <w:r>
        <w:rPr>
          <w:szCs w:val="24"/>
          <w:lang w:eastAsia="en-US"/>
        </w:rPr>
        <w:br w:type="page"/>
      </w:r>
    </w:p>
    <w:p w14:paraId="48010C98" w14:textId="091693E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Medmindre andet fremgår for specifikke dokumenter, skal den berørte personen med henblik på toldkontrol opbevare dokumenter og oplysninger i mindst tre kalenderår og i en form, som toldmyndighederne har adgang til og kan acceptere. Denne frist løber:</w:t>
      </w:r>
    </w:p>
    <w:p w14:paraId="6B4CFD8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fra udgangen af det år, hvor varerne frigives</w:t>
      </w:r>
    </w:p>
    <w:p w14:paraId="03A6395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fra udgangen af det år, hvor de ophører med at være undergivet toldtilsyn, når der er tale om varer, der er overgået til fri omsætning uden told eller til nedsat importafgiftssats på grund af deres særlige anvendelsesformål</w:t>
      </w:r>
    </w:p>
    <w:p w14:paraId="1AF2CBF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fra udgangen af det år, hvor toldproceduren blev afsluttet, eller den midlertidige opbevaring ophørte, hvis der er tale om varer, der er henført under en anden toldprocedure, eller varer under midlertidig opbevaring.</w:t>
      </w:r>
    </w:p>
    <w:p w14:paraId="6F88C61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Hvis en toldkontrol vedrørende en toldskyld viser, at det er nødvendigt at korrigere bogføringen heraf, og den berørte person er blevet underrettet herom, opbevares dokumenterne og oplysningerne i yderligere tre år ud over den i nærværende artikels stk. 6 fastsatte frist, jf. dog artikel 182, stk. 4.</w:t>
      </w:r>
    </w:p>
    <w:p w14:paraId="6D24FD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Hvis der er anmodet om prøvelse af en afgørelse, eller administrative eller retslige procedurer er indledt, skal dokumenterne og oplysningerne opbevares i den i stk. 1 fastsatte periode, eller indtil prøvelsesproceduren eller den administrative eller retslige procedure er afsluttet, alt eller hvilken dato der er den seneste.</w:t>
      </w:r>
    </w:p>
    <w:p w14:paraId="030D1B1F" w14:textId="77777777" w:rsidR="00D01BF5" w:rsidRDefault="00D01BF5">
      <w:pPr>
        <w:widowControl/>
        <w:rPr>
          <w:b/>
          <w:i/>
          <w:szCs w:val="24"/>
          <w:lang w:eastAsia="en-US"/>
        </w:rPr>
      </w:pPr>
      <w:r>
        <w:rPr>
          <w:b/>
          <w:i/>
          <w:szCs w:val="24"/>
          <w:lang w:eastAsia="en-US"/>
        </w:rPr>
        <w:br w:type="page"/>
      </w:r>
    </w:p>
    <w:p w14:paraId="3F10D168" w14:textId="1DACA39A" w:rsidR="003E0486" w:rsidRPr="003E0486" w:rsidRDefault="003E0486" w:rsidP="003E0486">
      <w:pPr>
        <w:spacing w:before="120" w:after="120" w:line="360" w:lineRule="auto"/>
        <w:jc w:val="center"/>
        <w:rPr>
          <w:szCs w:val="24"/>
          <w:lang w:eastAsia="en-US"/>
        </w:rPr>
      </w:pPr>
      <w:r w:rsidRPr="003E0486">
        <w:rPr>
          <w:b/>
          <w:i/>
          <w:szCs w:val="24"/>
          <w:lang w:eastAsia="en-US"/>
        </w:rPr>
        <w:lastRenderedPageBreak/>
        <w:t>Afsnit IIIa</w:t>
      </w:r>
      <w:r w:rsidRPr="003E0486">
        <w:rPr>
          <w:szCs w:val="24"/>
          <w:lang w:eastAsia="en-US"/>
        </w:rPr>
        <w:br/>
      </w:r>
      <w:r w:rsidRPr="003E0486">
        <w:rPr>
          <w:b/>
          <w:i/>
          <w:szCs w:val="24"/>
          <w:lang w:eastAsia="en-US"/>
        </w:rPr>
        <w:t>EU-KVIKSKRANKEMILJØ PÅ TOLDOMRÅDET</w:t>
      </w:r>
    </w:p>
    <w:p w14:paraId="033E4F96" w14:textId="77777777" w:rsidR="003E0486" w:rsidRPr="003E0486" w:rsidRDefault="003E0486" w:rsidP="003E0486">
      <w:pPr>
        <w:spacing w:before="120" w:after="120" w:line="360" w:lineRule="auto"/>
        <w:jc w:val="center"/>
        <w:rPr>
          <w:szCs w:val="24"/>
          <w:lang w:eastAsia="en-US"/>
        </w:rPr>
      </w:pPr>
      <w:r w:rsidRPr="003E0486">
        <w:rPr>
          <w:b/>
          <w:i/>
          <w:szCs w:val="24"/>
          <w:lang w:eastAsia="en-US"/>
        </w:rPr>
        <w:t>Artikel 40a</w:t>
      </w:r>
      <w:r w:rsidRPr="003E0486">
        <w:rPr>
          <w:szCs w:val="24"/>
          <w:lang w:eastAsia="en-US"/>
        </w:rPr>
        <w:br/>
      </w:r>
      <w:r w:rsidRPr="003E0486">
        <w:rPr>
          <w:b/>
          <w:i/>
          <w:szCs w:val="24"/>
          <w:lang w:eastAsia="en-US"/>
        </w:rPr>
        <w:t>Oprettelse af et EU-kvikskrankemiljø på toldområdet</w:t>
      </w:r>
    </w:p>
    <w:p w14:paraId="087FE7F1" w14:textId="4DC1AB2E"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Der oprettes et EU-kvikskrankemiljø på toldområdet. Det skal omfatte EU-tolddatacentret</w:t>
      </w:r>
      <w:r w:rsidR="002D519F">
        <w:rPr>
          <w:b/>
          <w:i/>
          <w:szCs w:val="24"/>
          <w:lang w:eastAsia="en-US"/>
        </w:rPr>
        <w:t>, der er</w:t>
      </w:r>
      <w:r w:rsidRPr="003E0486">
        <w:rPr>
          <w:b/>
          <w:i/>
          <w:szCs w:val="24"/>
          <w:lang w:eastAsia="en-US"/>
        </w:rPr>
        <w:t xml:space="preserve"> omhandlet i artikel 29</w:t>
      </w:r>
      <w:r w:rsidR="002D519F">
        <w:rPr>
          <w:b/>
          <w:i/>
          <w:szCs w:val="24"/>
          <w:lang w:eastAsia="en-US"/>
        </w:rPr>
        <w:t>,</w:t>
      </w:r>
      <w:r w:rsidRPr="003E0486">
        <w:rPr>
          <w:b/>
          <w:i/>
          <w:szCs w:val="24"/>
          <w:lang w:eastAsia="en-US"/>
        </w:rPr>
        <w:t xml:space="preserve"> og de ikketoldrelaterede EU-systemer, der er omhandlet i bilag Ia.</w:t>
      </w:r>
    </w:p>
    <w:p w14:paraId="2DF1AFBE"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Kommissionen skal forbinde EU's tolddatacenter med Unionens ikketoldrelaterede systemer senest på de datoer, der er fastsat i bilag Ia, og muliggøre udveksling af oplysninger om de ikketoldrelaterede EU-formaliteter, der er opført deri.</w:t>
      </w:r>
    </w:p>
    <w:p w14:paraId="2BEFD66B"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3.</w:t>
      </w:r>
      <w:r w:rsidRPr="003E0486">
        <w:rPr>
          <w:szCs w:val="24"/>
          <w:lang w:eastAsia="en-US"/>
        </w:rPr>
        <w:tab/>
      </w:r>
      <w:r w:rsidRPr="003E0486">
        <w:rPr>
          <w:b/>
          <w:i/>
          <w:szCs w:val="24"/>
          <w:lang w:eastAsia="en-US"/>
        </w:rPr>
        <w:t>Kommissionen tillægges beføjelser til at vedtage delegerede retsakter i overensstemmelse med artikel 261 med henblik på at ændre bilag Ia for så vidt angår ikketoldrelaterede EU-formaliteter, deres respektive ikketoldrelaterede EU-systemer som fastsat i anden EU-lovgivning end toldlovgivningen og datoen for indførelse af de sammenkoblinger, der er omhandlet i denne artikels stk. 2.</w:t>
      </w:r>
    </w:p>
    <w:p w14:paraId="5D7B4A33" w14:textId="77777777" w:rsidR="006269E1" w:rsidRDefault="006269E1">
      <w:pPr>
        <w:widowControl/>
        <w:rPr>
          <w:b/>
          <w:i/>
          <w:szCs w:val="24"/>
          <w:lang w:eastAsia="en-US"/>
        </w:rPr>
      </w:pPr>
      <w:r>
        <w:rPr>
          <w:b/>
          <w:i/>
          <w:szCs w:val="24"/>
          <w:lang w:eastAsia="en-US"/>
        </w:rPr>
        <w:br w:type="page"/>
      </w:r>
    </w:p>
    <w:p w14:paraId="2B019FA0" w14:textId="2411E497" w:rsidR="003E0486" w:rsidRPr="003E0486" w:rsidRDefault="003E0486" w:rsidP="003E0486">
      <w:pPr>
        <w:spacing w:before="120" w:after="120" w:line="360" w:lineRule="auto"/>
        <w:jc w:val="center"/>
        <w:rPr>
          <w:szCs w:val="24"/>
          <w:lang w:eastAsia="en-US"/>
        </w:rPr>
      </w:pPr>
      <w:r w:rsidRPr="003E0486">
        <w:rPr>
          <w:b/>
          <w:i/>
          <w:szCs w:val="24"/>
          <w:lang w:eastAsia="en-US"/>
        </w:rPr>
        <w:lastRenderedPageBreak/>
        <w:t>Artikel 40b</w:t>
      </w:r>
      <w:r w:rsidRPr="003E0486">
        <w:rPr>
          <w:szCs w:val="24"/>
          <w:lang w:eastAsia="en-US"/>
        </w:rPr>
        <w:br/>
      </w:r>
      <w:r w:rsidRPr="003E0486">
        <w:rPr>
          <w:b/>
          <w:i/>
          <w:szCs w:val="24"/>
          <w:lang w:eastAsia="en-US"/>
        </w:rPr>
        <w:t>Det digitale samarbejde offentlige myndigheder imellem om ikketoldrelaterede EU-formaliteter</w:t>
      </w:r>
    </w:p>
    <w:p w14:paraId="785589A9"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For hver af de ikketoldrelaterede EU-formaliteter, der er opført i bilag Ia, skal EU CSW-CERTEX muliggøre informationsudveksling mellem EU's tolddatacenter og de relevante ikketoldrelaterede EU-systemer med henblik på følgende:</w:t>
      </w:r>
    </w:p>
    <w:p w14:paraId="048F1A5D" w14:textId="203920DE"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at stille de relevante data til rådighed for toldmyndighederne, således at de kan foretage den nødvendige kontrol af disse formaliteter i overensstemmelse med denne forordning på en automatiseret måde</w:t>
      </w:r>
    </w:p>
    <w:p w14:paraId="00F30455" w14:textId="0F2CA17A"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at stille de relevante data til rådighed for de kompetente partnermyndigheder, således at de kan udføre mængdemæssig forvaltning af godkendte varer i de ikketoldrelaterede EU-systemer på grundlag af de varer, der er angivet til toldmyndighederne og frigivet af de pågældende myndigheder</w:t>
      </w:r>
    </w:p>
    <w:p w14:paraId="05F9DA3E" w14:textId="19D0EE1D"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 xml:space="preserve">at lette og støtte integreringen af procedurer mellem toldmyndigheder og kompetente partnermyndigheder, således at der kan ske fuldt automatiseret opfyldelse af de formaliteter, der er nødvendige for at henføre varerne under en toldprocedure eller reeksportere dem, og samarbejde om koordinering af kontrol i overensstemmelse med </w:t>
      </w:r>
      <w:r w:rsidR="002D519F" w:rsidRPr="003E0486">
        <w:rPr>
          <w:b/>
          <w:i/>
          <w:szCs w:val="24"/>
          <w:lang w:eastAsia="en-US"/>
        </w:rPr>
        <w:t>denne forordning</w:t>
      </w:r>
      <w:r w:rsidR="002D519F">
        <w:rPr>
          <w:b/>
          <w:i/>
          <w:szCs w:val="24"/>
          <w:lang w:eastAsia="en-US"/>
        </w:rPr>
        <w:t>s</w:t>
      </w:r>
      <w:r w:rsidR="002D519F" w:rsidRPr="003E0486">
        <w:rPr>
          <w:b/>
          <w:i/>
          <w:szCs w:val="24"/>
          <w:lang w:eastAsia="en-US"/>
        </w:rPr>
        <w:t xml:space="preserve"> </w:t>
      </w:r>
      <w:r w:rsidR="003E0486" w:rsidRPr="003E0486">
        <w:rPr>
          <w:b/>
          <w:i/>
          <w:szCs w:val="24"/>
          <w:lang w:eastAsia="en-US"/>
        </w:rPr>
        <w:t>artikel 43, stk. 3</w:t>
      </w:r>
    </w:p>
    <w:p w14:paraId="1D0BEF32" w14:textId="77777777" w:rsidR="006269E1" w:rsidRDefault="006269E1">
      <w:pPr>
        <w:widowControl/>
        <w:rPr>
          <w:b/>
          <w:i/>
          <w:szCs w:val="24"/>
          <w:lang w:eastAsia="en-US"/>
        </w:rPr>
      </w:pPr>
      <w:r>
        <w:rPr>
          <w:b/>
          <w:i/>
          <w:szCs w:val="24"/>
          <w:lang w:eastAsia="en-US"/>
        </w:rPr>
        <w:br w:type="page"/>
      </w:r>
    </w:p>
    <w:p w14:paraId="5D363A30" w14:textId="4E2755F4" w:rsidR="003E0486" w:rsidRPr="003E0486" w:rsidRDefault="009A05BD" w:rsidP="003E0486">
      <w:pPr>
        <w:spacing w:before="120" w:after="120" w:line="360" w:lineRule="auto"/>
        <w:ind w:left="1416" w:hanging="566"/>
        <w:rPr>
          <w:szCs w:val="24"/>
          <w:lang w:eastAsia="en-US"/>
        </w:rPr>
      </w:pPr>
      <w:r>
        <w:rPr>
          <w:b/>
          <w:i/>
          <w:szCs w:val="24"/>
          <w:lang w:eastAsia="en-US"/>
        </w:rPr>
        <w:lastRenderedPageBreak/>
        <w:t>(</w:t>
      </w:r>
      <w:r w:rsidR="003E0486" w:rsidRPr="003E0486">
        <w:rPr>
          <w:b/>
          <w:i/>
          <w:szCs w:val="24"/>
          <w:lang w:eastAsia="en-US"/>
        </w:rPr>
        <w:t>d)</w:t>
      </w:r>
      <w:r w:rsidR="003E0486" w:rsidRPr="003E0486">
        <w:rPr>
          <w:szCs w:val="24"/>
          <w:lang w:eastAsia="en-US"/>
        </w:rPr>
        <w:tab/>
      </w:r>
      <w:r w:rsidR="003E0486" w:rsidRPr="003E0486">
        <w:rPr>
          <w:b/>
          <w:i/>
          <w:szCs w:val="24"/>
          <w:lang w:eastAsia="en-US"/>
        </w:rPr>
        <w:t>at muliggøre enhver anden automatisk dataoverførsel mellem toldmyndigheder og de relevante kompetente partnermyndigheder i henhold til EU-lovgivning om fastsættelse af ikketoldrelaterede EU-formaliteter, uden at det berører den nationale anvendelse af disse data.</w:t>
      </w:r>
    </w:p>
    <w:p w14:paraId="04633B96"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For hver af de ikketoldrelaterede EU-formaliteter, der er opført i bilag Ia, skal EU CSW-CERTEX indeholde følgende funktioner:</w:t>
      </w:r>
    </w:p>
    <w:p w14:paraId="6DF18C2E" w14:textId="43EA7AB1"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om muligt ensrette den toldrelaterede og den ikketoldrelaterede terminologi og udpege, hvilken toldprocedure eller reeksport dokumentationen kan anvendes til, på grundlag af den administrative afgørelse, som den i dokumentationen anførte kompetente partnermyndighed har truffet, og</w:t>
      </w:r>
    </w:p>
    <w:p w14:paraId="669BC4BC" w14:textId="08A5684A" w:rsidR="003E0486" w:rsidRPr="003E0486" w:rsidRDefault="009A05BD"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om nødvendigt konvertere formatet af de data, der er nødvendige for at opfylde de relevante ikketoldrelevante EU-formaliteter på toldområdet, til et dataformat, der er kompatibelt med toldangivelsen eller reeksportangivelsen og omvendt, uden at ændre dataenes indhold.</w:t>
      </w:r>
    </w:p>
    <w:p w14:paraId="6036B1E0" w14:textId="77777777" w:rsidR="006269E1" w:rsidRDefault="006269E1">
      <w:pPr>
        <w:widowControl/>
        <w:rPr>
          <w:b/>
          <w:i/>
          <w:szCs w:val="24"/>
          <w:lang w:eastAsia="en-US"/>
        </w:rPr>
      </w:pPr>
      <w:r>
        <w:rPr>
          <w:b/>
          <w:i/>
          <w:szCs w:val="24"/>
          <w:lang w:eastAsia="en-US"/>
        </w:rPr>
        <w:br w:type="page"/>
      </w:r>
    </w:p>
    <w:p w14:paraId="00D73C3D" w14:textId="6DE408E9" w:rsidR="003E0486" w:rsidRPr="003E0486" w:rsidRDefault="003E0486" w:rsidP="003E0486">
      <w:pPr>
        <w:spacing w:before="120" w:after="120" w:line="360" w:lineRule="auto"/>
        <w:ind w:left="850" w:hanging="850"/>
        <w:rPr>
          <w:szCs w:val="24"/>
          <w:lang w:eastAsia="en-US"/>
        </w:rPr>
      </w:pPr>
      <w:r w:rsidRPr="003E0486">
        <w:rPr>
          <w:b/>
          <w:i/>
          <w:szCs w:val="24"/>
          <w:lang w:eastAsia="en-US"/>
        </w:rPr>
        <w:lastRenderedPageBreak/>
        <w:t>3.</w:t>
      </w:r>
      <w:r w:rsidRPr="003E0486">
        <w:rPr>
          <w:szCs w:val="24"/>
          <w:lang w:eastAsia="en-US"/>
        </w:rPr>
        <w:tab/>
      </w:r>
      <w:r w:rsidRPr="003E0486">
        <w:rPr>
          <w:b/>
          <w:i/>
          <w:szCs w:val="24"/>
          <w:lang w:eastAsia="en-US"/>
        </w:rPr>
        <w:t>Kommissionen tillægges beføjelser til at vedtage delegerede retsakter i overensstemmelse med artikel 261 med henblik på at supplere denne forordning ved at præcisere de dataelementer, der skal udveksles gennem EU CSW-CERTEX i overensstemmelse med nærværende artikels stk. 1.</w:t>
      </w:r>
    </w:p>
    <w:p w14:paraId="5C2E9EC4" w14:textId="77777777" w:rsidR="003E0486" w:rsidRPr="003E0486" w:rsidRDefault="003E0486" w:rsidP="003E0486">
      <w:pPr>
        <w:spacing w:before="120" w:after="120" w:line="360" w:lineRule="auto"/>
        <w:jc w:val="center"/>
        <w:rPr>
          <w:szCs w:val="24"/>
          <w:lang w:eastAsia="en-US"/>
        </w:rPr>
      </w:pPr>
      <w:r w:rsidRPr="003E0486">
        <w:rPr>
          <w:b/>
          <w:i/>
          <w:szCs w:val="24"/>
          <w:lang w:eastAsia="en-US"/>
        </w:rPr>
        <w:t>Artikel 40c</w:t>
      </w:r>
      <w:r w:rsidRPr="003E0486">
        <w:rPr>
          <w:szCs w:val="24"/>
          <w:lang w:eastAsia="en-US"/>
        </w:rPr>
        <w:br/>
      </w:r>
      <w:r w:rsidRPr="003E0486">
        <w:rPr>
          <w:b/>
          <w:i/>
          <w:szCs w:val="24"/>
          <w:lang w:eastAsia="en-US"/>
        </w:rPr>
        <w:t>Det digitale samarbejde mellem virksomheder og offentlige myndigheder om ikketoldrelaterede EU-formaliteter</w:t>
      </w:r>
    </w:p>
    <w:p w14:paraId="038D9E4C"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Kommissionen vedtager gennemførelsesretsakter, der fastlægger, hvilke af de ikketoldrelaterede EU-formaliteter, der er opført i bilag Ia, som opfylder følgende kriterier:</w:t>
      </w:r>
    </w:p>
    <w:p w14:paraId="6AFE876C" w14:textId="6FA914A3" w:rsidR="003E0486" w:rsidRPr="003E0486" w:rsidRDefault="000419BF"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der er et vist overlap mellem de oplysninger, der gives toldmyndighederne og de oplysninger, der skal indgå i den ikketoldrelaterede dokumentation, der kræves for de ikketoldrelaterede EU-formaliteter, der er opført i bilag Ia</w:t>
      </w:r>
    </w:p>
    <w:p w14:paraId="419E34D1" w14:textId="7F4B7F4F" w:rsidR="003E0486" w:rsidRPr="003E0486" w:rsidRDefault="000419BF"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antallet af ikketoldrelaterede dokumenter, der udstedes i Unionen</w:t>
      </w:r>
      <w:r w:rsidR="002D519F">
        <w:rPr>
          <w:b/>
          <w:i/>
          <w:szCs w:val="24"/>
          <w:lang w:eastAsia="en-US"/>
        </w:rPr>
        <w:t>, for</w:t>
      </w:r>
      <w:r w:rsidR="003E0486" w:rsidRPr="003E0486">
        <w:rPr>
          <w:b/>
          <w:i/>
          <w:szCs w:val="24"/>
          <w:lang w:eastAsia="en-US"/>
        </w:rPr>
        <w:t xml:space="preserve"> den specifikke formalitet, er ikke ubetydelig</w:t>
      </w:r>
    </w:p>
    <w:p w14:paraId="6D5D160E" w14:textId="2587F795" w:rsidR="003E0486" w:rsidRPr="003E0486" w:rsidRDefault="000419BF"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det tilsvarende ikketoldrelaterede EU-system, der er omhandlet i bilag Ia, kan identificere de økonomiske operatører ved hjælp af deres EORI-nummer</w:t>
      </w:r>
    </w:p>
    <w:p w14:paraId="5E6E2E3B" w14:textId="77777777" w:rsidR="006269E1" w:rsidRDefault="006269E1">
      <w:pPr>
        <w:widowControl/>
        <w:rPr>
          <w:b/>
          <w:i/>
          <w:szCs w:val="24"/>
          <w:lang w:eastAsia="en-US"/>
        </w:rPr>
      </w:pPr>
      <w:r>
        <w:rPr>
          <w:b/>
          <w:i/>
          <w:szCs w:val="24"/>
          <w:lang w:eastAsia="en-US"/>
        </w:rPr>
        <w:br w:type="page"/>
      </w:r>
    </w:p>
    <w:p w14:paraId="27241903" w14:textId="0E60036C" w:rsidR="003E0486" w:rsidRPr="003E0486" w:rsidRDefault="000419BF" w:rsidP="003E0486">
      <w:pPr>
        <w:spacing w:before="120" w:after="120" w:line="360" w:lineRule="auto"/>
        <w:ind w:left="1416" w:hanging="566"/>
        <w:rPr>
          <w:szCs w:val="24"/>
          <w:lang w:eastAsia="en-US"/>
        </w:rPr>
      </w:pPr>
      <w:r>
        <w:rPr>
          <w:b/>
          <w:i/>
          <w:szCs w:val="24"/>
          <w:lang w:eastAsia="en-US"/>
        </w:rPr>
        <w:lastRenderedPageBreak/>
        <w:t>(</w:t>
      </w:r>
      <w:r w:rsidR="003E0486" w:rsidRPr="003E0486">
        <w:rPr>
          <w:b/>
          <w:i/>
          <w:szCs w:val="24"/>
          <w:lang w:eastAsia="en-US"/>
        </w:rPr>
        <w:t>d)</w:t>
      </w:r>
      <w:r w:rsidR="003E0486" w:rsidRPr="003E0486">
        <w:rPr>
          <w:szCs w:val="24"/>
          <w:lang w:eastAsia="en-US"/>
        </w:rPr>
        <w:tab/>
      </w:r>
      <w:r w:rsidR="003E0486" w:rsidRPr="003E0486">
        <w:rPr>
          <w:b/>
          <w:i/>
          <w:szCs w:val="24"/>
          <w:lang w:eastAsia="en-US"/>
        </w:rPr>
        <w:t>den gældende anden EU-lovgivning end toldlovgivningen gør det muligt at opfylde den specifikke formalitet via EU's tolddatacenter i overensstemmelse med artikel 11.</w:t>
      </w:r>
    </w:p>
    <w:p w14:paraId="2EE060BB" w14:textId="146FF451"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Hvis en ikketoldrelateret EU-formalitet er blevet udpeget som værende i overensstemmelse med kriterierne i stk. 1, kan økonomiske operatører levere et integreret datasæt, der indeholder alle de relevante oplysninger, der er nødvendige for at opfylde de gældende toldformaliteter og ikketoldrelaterede EU-formaliteter i fællesskab</w:t>
      </w:r>
      <w:r w:rsidR="002D519F">
        <w:rPr>
          <w:b/>
          <w:i/>
          <w:szCs w:val="24"/>
          <w:lang w:eastAsia="en-US"/>
        </w:rPr>
        <w:t xml:space="preserve">, </w:t>
      </w:r>
      <w:r w:rsidR="002D519F" w:rsidRPr="003E0486">
        <w:rPr>
          <w:b/>
          <w:i/>
          <w:szCs w:val="24"/>
          <w:lang w:eastAsia="en-US"/>
        </w:rPr>
        <w:t>i EU's tolddatacenter</w:t>
      </w:r>
      <w:r w:rsidRPr="003E0486">
        <w:rPr>
          <w:b/>
          <w:i/>
          <w:szCs w:val="24"/>
          <w:lang w:eastAsia="en-US"/>
        </w:rPr>
        <w:t>.</w:t>
      </w:r>
    </w:p>
    <w:p w14:paraId="70EBBB33" w14:textId="22FEBD8F" w:rsidR="003E0486" w:rsidRPr="003E0486" w:rsidRDefault="003E0486" w:rsidP="003E0486">
      <w:pPr>
        <w:spacing w:before="120" w:after="120" w:line="360" w:lineRule="auto"/>
        <w:ind w:left="850" w:hanging="850"/>
        <w:rPr>
          <w:szCs w:val="24"/>
          <w:lang w:eastAsia="en-US"/>
        </w:rPr>
      </w:pPr>
      <w:r w:rsidRPr="003E0486">
        <w:rPr>
          <w:b/>
          <w:i/>
          <w:szCs w:val="24"/>
          <w:lang w:eastAsia="en-US"/>
        </w:rPr>
        <w:t>3.</w:t>
      </w:r>
      <w:r w:rsidRPr="003E0486">
        <w:rPr>
          <w:szCs w:val="24"/>
          <w:lang w:eastAsia="en-US"/>
        </w:rPr>
        <w:tab/>
      </w:r>
      <w:r w:rsidRPr="003E0486">
        <w:rPr>
          <w:b/>
          <w:i/>
          <w:szCs w:val="24"/>
          <w:lang w:eastAsia="en-US"/>
        </w:rPr>
        <w:t xml:space="preserve">Det integrerede datasæt omhandlet i stk. 2 skal anses for at udgøre indgivelsen af data, der kræves af kompetente partnermyndigheder </w:t>
      </w:r>
      <w:r w:rsidR="002D519F">
        <w:rPr>
          <w:b/>
          <w:i/>
          <w:szCs w:val="24"/>
          <w:lang w:eastAsia="en-US"/>
        </w:rPr>
        <w:t xml:space="preserve">for </w:t>
      </w:r>
      <w:r w:rsidRPr="003E0486">
        <w:rPr>
          <w:b/>
          <w:i/>
          <w:szCs w:val="24"/>
          <w:lang w:eastAsia="en-US"/>
        </w:rPr>
        <w:t>de ikketoldrelaterede EU-formaliteter, der er opført i bilag Ia.</w:t>
      </w:r>
    </w:p>
    <w:p w14:paraId="1E79887E" w14:textId="77777777" w:rsidR="003E0486" w:rsidRPr="003E0486" w:rsidRDefault="003E0486" w:rsidP="003E0486">
      <w:pPr>
        <w:spacing w:before="120" w:after="120" w:line="360" w:lineRule="auto"/>
        <w:jc w:val="center"/>
        <w:rPr>
          <w:szCs w:val="24"/>
          <w:lang w:eastAsia="en-US"/>
        </w:rPr>
      </w:pPr>
      <w:r w:rsidRPr="003E0486">
        <w:rPr>
          <w:b/>
          <w:i/>
          <w:szCs w:val="24"/>
          <w:lang w:eastAsia="en-US"/>
        </w:rPr>
        <w:t>Artikel 40d</w:t>
      </w:r>
      <w:r w:rsidRPr="003E0486">
        <w:rPr>
          <w:szCs w:val="24"/>
          <w:lang w:eastAsia="en-US"/>
        </w:rPr>
        <w:br/>
      </w:r>
      <w:r w:rsidRPr="003E0486">
        <w:rPr>
          <w:b/>
          <w:i/>
          <w:szCs w:val="24"/>
          <w:lang w:eastAsia="en-US"/>
        </w:rPr>
        <w:t>Kompetente partnermyndigheders brug af EORI</w:t>
      </w:r>
    </w:p>
    <w:p w14:paraId="37761215" w14:textId="77777777" w:rsidR="003E0486" w:rsidRPr="003E0486" w:rsidRDefault="003E0486" w:rsidP="003E0486">
      <w:pPr>
        <w:spacing w:before="120" w:after="120" w:line="360" w:lineRule="auto"/>
        <w:rPr>
          <w:szCs w:val="24"/>
          <w:lang w:eastAsia="en-US"/>
        </w:rPr>
      </w:pPr>
      <w:r w:rsidRPr="003E0486">
        <w:rPr>
          <w:b/>
          <w:i/>
          <w:szCs w:val="24"/>
          <w:lang w:eastAsia="en-US"/>
        </w:rPr>
        <w:t>I forbindelse med udførelsen af deres opgaver skal de kompetente partnermyndigheder have adgang til EORI med henblik på at validere de relevante data om økonomiske operatører.</w:t>
      </w:r>
    </w:p>
    <w:p w14:paraId="7A65E6B3" w14:textId="77777777" w:rsidR="006269E1" w:rsidRDefault="006269E1">
      <w:pPr>
        <w:widowControl/>
        <w:rPr>
          <w:b/>
          <w:i/>
          <w:szCs w:val="24"/>
          <w:lang w:eastAsia="en-US"/>
        </w:rPr>
      </w:pPr>
      <w:r>
        <w:rPr>
          <w:b/>
          <w:i/>
          <w:szCs w:val="24"/>
          <w:lang w:eastAsia="en-US"/>
        </w:rPr>
        <w:br w:type="page"/>
      </w:r>
    </w:p>
    <w:p w14:paraId="47A06DF8" w14:textId="4FF6EE75" w:rsidR="003E0486" w:rsidRPr="003E0486" w:rsidRDefault="006269E1" w:rsidP="003E0486">
      <w:pPr>
        <w:spacing w:before="120" w:after="120" w:line="360" w:lineRule="auto"/>
        <w:jc w:val="center"/>
        <w:rPr>
          <w:szCs w:val="24"/>
          <w:lang w:eastAsia="en-US"/>
        </w:rPr>
      </w:pPr>
      <w:r>
        <w:rPr>
          <w:b/>
          <w:i/>
          <w:szCs w:val="24"/>
          <w:lang w:eastAsia="en-US"/>
        </w:rPr>
        <w:lastRenderedPageBreak/>
        <w:t>A</w:t>
      </w:r>
      <w:r w:rsidR="003E0486" w:rsidRPr="003E0486">
        <w:rPr>
          <w:b/>
          <w:i/>
          <w:szCs w:val="24"/>
          <w:lang w:eastAsia="en-US"/>
        </w:rPr>
        <w:t>rtikel 40e</w:t>
      </w:r>
      <w:r w:rsidR="003E0486" w:rsidRPr="003E0486">
        <w:rPr>
          <w:szCs w:val="24"/>
          <w:lang w:eastAsia="en-US"/>
        </w:rPr>
        <w:br/>
      </w:r>
      <w:r w:rsidR="003E0486" w:rsidRPr="003E0486">
        <w:rPr>
          <w:b/>
          <w:i/>
          <w:szCs w:val="24"/>
          <w:lang w:eastAsia="en-US"/>
        </w:rPr>
        <w:t>Nationale koordinatorer for EU-kvikskrankemiljøet på toldområdet</w:t>
      </w:r>
    </w:p>
    <w:p w14:paraId="70A7A1BA" w14:textId="77777777" w:rsidR="003E0486" w:rsidRPr="003E0486" w:rsidRDefault="003E0486" w:rsidP="003E0486">
      <w:pPr>
        <w:spacing w:before="120" w:after="120" w:line="360" w:lineRule="auto"/>
        <w:rPr>
          <w:szCs w:val="24"/>
          <w:lang w:eastAsia="en-US"/>
        </w:rPr>
      </w:pPr>
      <w:r w:rsidRPr="003E0486">
        <w:rPr>
          <w:b/>
          <w:i/>
          <w:szCs w:val="24"/>
          <w:lang w:eastAsia="en-US"/>
        </w:rPr>
        <w:t>Hver medlemsstat udpeger en national koordinator for EU-kvikskrankemiljøet på toldområdet. Den nationale koordinator varetager følgende opgaver for at støtte gennemførelsen af denne forordning:</w:t>
      </w:r>
    </w:p>
    <w:p w14:paraId="69F44638" w14:textId="7F866856" w:rsidR="003E0486" w:rsidRPr="003E0486" w:rsidRDefault="000419BF"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fungere som nationalt kontaktpunkt for Kommissionen for alle anliggender vedrørende gennemførelsen af EU-kvikskrankemiljøet på toldområdet og</w:t>
      </w:r>
    </w:p>
    <w:p w14:paraId="5B36B0AD" w14:textId="2B47A665" w:rsidR="003E0486" w:rsidRPr="003E0486" w:rsidRDefault="000419BF"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fremme og støtte samarbejdet på nationalt plan mellem toldmyndighederne og de kompetente nationale partnermyndigheder.</w:t>
      </w:r>
    </w:p>
    <w:p w14:paraId="5C24D0FC" w14:textId="208896AB" w:rsidR="003E0486" w:rsidRPr="003E0486" w:rsidRDefault="006269E1" w:rsidP="003E0486">
      <w:pPr>
        <w:spacing w:before="120" w:after="120" w:line="360" w:lineRule="auto"/>
        <w:jc w:val="center"/>
        <w:rPr>
          <w:szCs w:val="24"/>
          <w:lang w:eastAsia="en-US"/>
        </w:rPr>
      </w:pPr>
      <w:r>
        <w:rPr>
          <w:b/>
          <w:i/>
          <w:szCs w:val="24"/>
          <w:lang w:eastAsia="en-US"/>
        </w:rPr>
        <w:t>A</w:t>
      </w:r>
      <w:r w:rsidR="003E0486" w:rsidRPr="003E0486">
        <w:rPr>
          <w:b/>
          <w:i/>
          <w:szCs w:val="24"/>
          <w:lang w:eastAsia="en-US"/>
        </w:rPr>
        <w:t>rtikel 40f</w:t>
      </w:r>
      <w:r w:rsidR="003E0486" w:rsidRPr="003E0486">
        <w:rPr>
          <w:szCs w:val="24"/>
          <w:lang w:eastAsia="en-US"/>
        </w:rPr>
        <w:br/>
      </w:r>
      <w:r w:rsidR="003E0486" w:rsidRPr="003E0486">
        <w:rPr>
          <w:b/>
          <w:i/>
          <w:szCs w:val="24"/>
          <w:lang w:eastAsia="en-US"/>
        </w:rPr>
        <w:t>Overvågning og rapportering</w:t>
      </w:r>
    </w:p>
    <w:p w14:paraId="0B724238"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Kommissionen overvåger regelmæssigt den måde, hvorpå EU-kvikskrankemiljøet på toldområdet fungerer, idet den bl.a. tager hensyn til oplysninger, der er relevante for overvågningen, og som stilles til rådighed af medlemsstaterne.</w:t>
      </w:r>
    </w:p>
    <w:p w14:paraId="775769FB" w14:textId="77777777" w:rsidR="006269E1" w:rsidRDefault="006269E1">
      <w:pPr>
        <w:widowControl/>
        <w:rPr>
          <w:b/>
          <w:i/>
          <w:szCs w:val="24"/>
          <w:lang w:eastAsia="en-US"/>
        </w:rPr>
      </w:pPr>
      <w:r>
        <w:rPr>
          <w:b/>
          <w:i/>
          <w:szCs w:val="24"/>
          <w:lang w:eastAsia="en-US"/>
        </w:rPr>
        <w:br w:type="page"/>
      </w:r>
    </w:p>
    <w:p w14:paraId="39631CAF" w14:textId="3308E574" w:rsidR="003E0486" w:rsidRPr="003E0486" w:rsidRDefault="003E0486" w:rsidP="003E0486">
      <w:pPr>
        <w:spacing w:before="120" w:after="120" w:line="360" w:lineRule="auto"/>
        <w:ind w:left="850" w:hanging="850"/>
        <w:rPr>
          <w:szCs w:val="24"/>
          <w:lang w:eastAsia="en-US"/>
        </w:rPr>
      </w:pPr>
      <w:r w:rsidRPr="003E0486">
        <w:rPr>
          <w:b/>
          <w:i/>
          <w:szCs w:val="24"/>
          <w:lang w:eastAsia="en-US"/>
        </w:rPr>
        <w:lastRenderedPageBreak/>
        <w:t>2.</w:t>
      </w:r>
      <w:r w:rsidRPr="003E0486">
        <w:rPr>
          <w:szCs w:val="24"/>
          <w:lang w:eastAsia="en-US"/>
        </w:rPr>
        <w:tab/>
      </w:r>
      <w:r w:rsidRPr="003E0486">
        <w:rPr>
          <w:b/>
          <w:i/>
          <w:szCs w:val="24"/>
          <w:lang w:eastAsia="en-US"/>
        </w:rPr>
        <w:t>Senest den 31. december 2027 og derefter hvert år forelægger Kommissionen en rapport om denne forordnings gennemførelse for Europa-Parlamentet og Rådet. Denne rapport skal indeholde en oversigt over ikketoldrelaterede EU-formaliteter, der indgår i EU-lovgivningen og Kommissionens lovgivningsforslag.</w:t>
      </w:r>
    </w:p>
    <w:p w14:paraId="2A504436" w14:textId="21BAD3B8" w:rsidR="003E0486" w:rsidRPr="004B4621" w:rsidRDefault="003E0486" w:rsidP="003E0486">
      <w:pPr>
        <w:spacing w:before="120" w:after="120" w:line="360" w:lineRule="auto"/>
        <w:ind w:left="850" w:hanging="850"/>
        <w:rPr>
          <w:b/>
          <w:szCs w:val="24"/>
          <w:lang w:eastAsia="en-US"/>
        </w:rPr>
      </w:pPr>
      <w:r w:rsidRPr="003E0486">
        <w:rPr>
          <w:b/>
          <w:i/>
          <w:szCs w:val="24"/>
          <w:lang w:eastAsia="en-US"/>
        </w:rPr>
        <w:t>3.</w:t>
      </w:r>
      <w:r w:rsidRPr="003E0486">
        <w:rPr>
          <w:szCs w:val="24"/>
          <w:lang w:eastAsia="en-US"/>
        </w:rPr>
        <w:tab/>
      </w:r>
      <w:r w:rsidRPr="003E0486">
        <w:rPr>
          <w:b/>
          <w:i/>
          <w:szCs w:val="24"/>
          <w:lang w:eastAsia="en-US"/>
        </w:rPr>
        <w:t xml:space="preserve">Senest den 31. december 2027 og derefter hvert tredje år skal den i </w:t>
      </w:r>
      <w:r w:rsidR="00CF6E82">
        <w:rPr>
          <w:b/>
          <w:i/>
          <w:szCs w:val="24"/>
          <w:lang w:eastAsia="en-US"/>
        </w:rPr>
        <w:t>stk. 2</w:t>
      </w:r>
      <w:r w:rsidRPr="003E0486">
        <w:rPr>
          <w:b/>
          <w:i/>
          <w:szCs w:val="24"/>
          <w:lang w:eastAsia="en-US"/>
        </w:rPr>
        <w:t xml:space="preserve"> omhandlede rapport også indeholde oplysninger om den overvågning og evaluering, der er gennemført i overensstemmelse med henholdsvis stk. 1 og </w:t>
      </w:r>
      <w:r w:rsidR="002D519F">
        <w:rPr>
          <w:b/>
          <w:i/>
          <w:szCs w:val="24"/>
          <w:lang w:eastAsia="en-US"/>
        </w:rPr>
        <w:t xml:space="preserve">stk. </w:t>
      </w:r>
      <w:r w:rsidRPr="003E0486">
        <w:rPr>
          <w:b/>
          <w:i/>
          <w:szCs w:val="24"/>
          <w:lang w:eastAsia="en-US"/>
        </w:rPr>
        <w:t>2, herunder indvirkningen på de økonomiske operatører og navnlig på små og mellemstore virksomheder.</w:t>
      </w:r>
      <w:r w:rsidR="004B4621">
        <w:rPr>
          <w:b/>
          <w:szCs w:val="24"/>
          <w:lang w:eastAsia="en-US"/>
        </w:rPr>
        <w:t xml:space="preserve"> [Ændring 170]</w:t>
      </w:r>
    </w:p>
    <w:p w14:paraId="1032E17A" w14:textId="77777777" w:rsidR="006269E1" w:rsidRDefault="006269E1">
      <w:pPr>
        <w:widowControl/>
        <w:rPr>
          <w:szCs w:val="24"/>
          <w:lang w:eastAsia="en-US"/>
        </w:rPr>
      </w:pPr>
      <w:r>
        <w:rPr>
          <w:szCs w:val="24"/>
          <w:lang w:eastAsia="en-US"/>
        </w:rPr>
        <w:br w:type="page"/>
      </w:r>
    </w:p>
    <w:p w14:paraId="64558EE7" w14:textId="6F89B00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IV </w:t>
      </w:r>
      <w:r w:rsidRPr="003E0486">
        <w:rPr>
          <w:szCs w:val="24"/>
          <w:lang w:eastAsia="en-US"/>
        </w:rPr>
        <w:br/>
        <w:t>TOLDTILSYN, TOLDKONTROL OG RISIKOFORVALTNING</w:t>
      </w:r>
    </w:p>
    <w:p w14:paraId="4158121A"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Toldtilsyn</w:t>
      </w:r>
    </w:p>
    <w:p w14:paraId="6ABB55A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41</w:t>
      </w:r>
      <w:r w:rsidRPr="003E0486">
        <w:rPr>
          <w:szCs w:val="24"/>
          <w:lang w:eastAsia="en-US"/>
        </w:rPr>
        <w:br/>
        <w:t>Toldtilsyn</w:t>
      </w:r>
    </w:p>
    <w:p w14:paraId="2FD191D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der skal føres ind i eller ud af Unionens toldområde, skal være under toldtilsyn og kan underkastes toldkontrol.</w:t>
      </w:r>
    </w:p>
    <w:p w14:paraId="15D53C27" w14:textId="6ADFD984" w:rsidR="003E0486" w:rsidRPr="004B4621"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Varer, der føres ind i Unionens toldområde</w:t>
      </w:r>
      <w:r w:rsidRPr="003E0486">
        <w:rPr>
          <w:b/>
          <w:i/>
          <w:szCs w:val="24"/>
          <w:lang w:eastAsia="en-US"/>
        </w:rPr>
        <w:t>,</w:t>
      </w:r>
      <w:r w:rsidRPr="003E0486">
        <w:rPr>
          <w:szCs w:val="24"/>
          <w:lang w:eastAsia="en-US"/>
        </w:rPr>
        <w:t xml:space="preserve"> forbliver under et sådant tilsyn</w:t>
      </w:r>
      <w:r w:rsidRPr="003E0486">
        <w:rPr>
          <w:strike/>
          <w:szCs w:val="24"/>
          <w:lang w:eastAsia="en-US"/>
        </w:rPr>
        <w:t>, så længe det er nødvendigt</w:t>
      </w:r>
      <w:r w:rsidRPr="003E0486">
        <w:rPr>
          <w:szCs w:val="24"/>
          <w:lang w:eastAsia="en-US"/>
        </w:rPr>
        <w:t xml:space="preserve"> for at fastslå deres toldmæssige status.</w:t>
      </w:r>
      <w:r w:rsidR="004B4621">
        <w:rPr>
          <w:b/>
          <w:szCs w:val="24"/>
          <w:lang w:eastAsia="en-US"/>
        </w:rPr>
        <w:t xml:space="preserve"> [Ændring 171]</w:t>
      </w:r>
    </w:p>
    <w:p w14:paraId="307163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Ikke-EU-varer forbliver under toldtilsyn, indtil de skifter toldmæssig status, de føres ud af Unionens toldområde, eller de tilintetgøres.</w:t>
      </w:r>
    </w:p>
    <w:p w14:paraId="0902522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Ved indførsel til Unionens toldområde undergives EU-varer toldtilsyn, indtil deres toldmæssige status er bekræftet, medmindre de henføres under proceduren for særligt anvendelsesformål.</w:t>
      </w:r>
    </w:p>
    <w:p w14:paraId="33DB5182" w14:textId="77777777" w:rsidR="006269E1" w:rsidRDefault="006269E1">
      <w:pPr>
        <w:widowControl/>
        <w:rPr>
          <w:szCs w:val="24"/>
          <w:lang w:eastAsia="en-US"/>
        </w:rPr>
      </w:pPr>
      <w:r>
        <w:rPr>
          <w:szCs w:val="24"/>
          <w:lang w:eastAsia="en-US"/>
        </w:rPr>
        <w:br w:type="page"/>
      </w:r>
    </w:p>
    <w:p w14:paraId="39178926" w14:textId="0B00AC3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EU-varer, der er henført under proceduren for særligt anvendelsesformål, er undergivet toldtilsyn i følgende tilfælde:</w:t>
      </w:r>
    </w:p>
    <w:p w14:paraId="56F559D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varerne egner sig til anvendelse flere gange i en periode, der ikke overstiger to år efter datoen for deres første anvendelse til de formål, der er fastsat for anvendelse af afgiftsfritagelsen eller den nedsatte toldafgift.</w:t>
      </w:r>
    </w:p>
    <w:p w14:paraId="1D852BB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indtil varerne er blevet anvendt til de formål, der er fastsat for anvendelse af afgiftsfritagelse eller nedsat afgiftssats</w:t>
      </w:r>
    </w:p>
    <w:p w14:paraId="18EA8FF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indtil varerne er blevet ført ud af Unionens toldområde, tilintetgjort eller afstået til staten</w:t>
      </w:r>
    </w:p>
    <w:p w14:paraId="79A23FC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indtil varerne er blevet anvendt til andre formål end dem, der er fastsat for anvendelse af afgiftsfritagelse eller nedsat afgiftssats, og de relevante importafgifter er blevet betalt.</w:t>
      </w:r>
    </w:p>
    <w:p w14:paraId="607502C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EU-varer, der frigives til eksport eller henføres under passiv forædling, er undergivet toldtilsyn, indtil de føres ud af Unionens toldområde, afstås til staten eller tilintetgøres, eller toldangivelsen eller relevante oplysninger om eksporten erklæres ugyldige.</w:t>
      </w:r>
    </w:p>
    <w:p w14:paraId="49BCCF22" w14:textId="77777777" w:rsidR="00377848" w:rsidRDefault="00377848">
      <w:pPr>
        <w:widowControl/>
        <w:rPr>
          <w:szCs w:val="24"/>
          <w:lang w:eastAsia="en-US"/>
        </w:rPr>
      </w:pPr>
      <w:r>
        <w:rPr>
          <w:szCs w:val="24"/>
          <w:lang w:eastAsia="en-US"/>
        </w:rPr>
        <w:br w:type="page"/>
      </w:r>
    </w:p>
    <w:p w14:paraId="03F8EF68" w14:textId="2168BA3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EU-varer, der er henført under intern forsendelse, er undergivet toldtilsyn, indtil de ankommer til deres bestemmelsessted i Unionens toldområde.</w:t>
      </w:r>
    </w:p>
    <w:p w14:paraId="00050B1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Ihændehaveren af varer under toldtilsyn kan med toldmyndighedernes tilladelse til hver enhver tid undersøge varerne eller udtage stikprøver, navnlig med henblik på at fastslå varernes tarifering, toldværdi eller toldmæssige status.</w:t>
      </w:r>
    </w:p>
    <w:p w14:paraId="5C879F4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42</w:t>
      </w:r>
      <w:r w:rsidRPr="003E0486">
        <w:rPr>
          <w:szCs w:val="24"/>
          <w:lang w:eastAsia="en-US"/>
        </w:rPr>
        <w:br/>
        <w:t>Kompetente toldsteder</w:t>
      </w:r>
    </w:p>
    <w:p w14:paraId="59F5BD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Medmindre andet er fastsat i anden lovgivning, som anvendes af toldmyndighederne, fastsætter medlemsstaterne deres toldsteders placering og kompetence.</w:t>
      </w:r>
    </w:p>
    <w:p w14:paraId="437CA85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Medlemsstaterne sørger for, at de officielle åbningstider for disse steder er rimelige og hensigtsmæssige, under hensyntagen til trafikkens og varernes art og de toldprocedurer, som varerne skal henføres under, således at den internationale trafikstrøm hverken forhindres eller forstyrres.</w:t>
      </w:r>
    </w:p>
    <w:p w14:paraId="56FDEA4E" w14:textId="77777777" w:rsidR="00377848" w:rsidRDefault="00377848">
      <w:pPr>
        <w:widowControl/>
        <w:rPr>
          <w:szCs w:val="24"/>
          <w:lang w:eastAsia="en-US"/>
        </w:rPr>
      </w:pPr>
      <w:r>
        <w:rPr>
          <w:szCs w:val="24"/>
          <w:lang w:eastAsia="en-US"/>
        </w:rPr>
        <w:br w:type="page"/>
      </w:r>
    </w:p>
    <w:p w14:paraId="20520F28" w14:textId="6B632E8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Det kompetente toldsted for tilsynet med henførslen af varer under en toldprocedure er det toldsted, der er ansvarligt for det sted, hvor importøren eller eksportøren er etableret.</w:t>
      </w:r>
    </w:p>
    <w:p w14:paraId="071C424F" w14:textId="77777777" w:rsidR="003E0486" w:rsidRPr="003E0486" w:rsidRDefault="003E0486" w:rsidP="003E0486">
      <w:pPr>
        <w:spacing w:before="120" w:after="120" w:line="360" w:lineRule="auto"/>
        <w:ind w:left="850"/>
        <w:rPr>
          <w:szCs w:val="24"/>
          <w:lang w:eastAsia="en-US"/>
        </w:rPr>
      </w:pPr>
      <w:r w:rsidRPr="003E0486">
        <w:rPr>
          <w:szCs w:val="24"/>
          <w:lang w:eastAsia="en-US"/>
        </w:rPr>
        <w:t>Uanset første afsnit er det kompetente toldsted for tilsynet med henførslen under en toldprocedure, når det vedrører andre importører og eksportører end tillid og kontrol-erhvervsdrivende og formelle importører, det toldsted, der er ansvarligt for stedet, hvor toldangivelsen i overensstemmelse med artikel 63, stk. 4, er blevet indgivet, eller hvor den ville være blevet indgivet før anvendelsen af modifikationen vedrørende metoden til at meddele oplysninger, som er fastlagt i artikel 63, stk. 2.</w:t>
      </w:r>
    </w:p>
    <w:p w14:paraId="62287CD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Det toldsted, der er ansvarligt for etableringsstedet for tillid og kontrol-erhvervsdrivendes eller etableringsstedet for formelle importører, skal:</w:t>
      </w:r>
    </w:p>
    <w:p w14:paraId="4649D0B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føre tilsyn med, at varerne henføres under den pågældende toldprocedure</w:t>
      </w:r>
    </w:p>
    <w:p w14:paraId="18D803E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foretage toldkontrol med henblik på bekræftelse af de afgivne oplysninger og om nødvendigt anmode om yderligere dokumentation</w:t>
      </w:r>
    </w:p>
    <w:p w14:paraId="321B449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det er berettiget, anmode det toldsted, der er ansvarligt for varernes afsendelsessted eller endelige bestemmelsessted, om at foretage en toldkontrol</w:t>
      </w:r>
    </w:p>
    <w:p w14:paraId="73D446C5" w14:textId="77777777" w:rsidR="00377848" w:rsidRDefault="00377848">
      <w:pPr>
        <w:widowControl/>
        <w:rPr>
          <w:szCs w:val="24"/>
          <w:lang w:eastAsia="en-US"/>
        </w:rPr>
      </w:pPr>
      <w:r>
        <w:rPr>
          <w:szCs w:val="24"/>
          <w:lang w:eastAsia="en-US"/>
        </w:rPr>
        <w:br w:type="page"/>
      </w:r>
    </w:p>
    <w:p w14:paraId="5B23E046" w14:textId="6612A1C1"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hvis der er en risiko, der nødvendiggør, at der træffes foranstaltninger, så snart varerne ankommer til Unionens toldområde, eller inden de forlader Unionens toldområde, anmode det toldsted, der er ansvarligt for det sted, hvor varerne føres ind i eller ud af Unionens toldområde, om at foretage toldkontrol</w:t>
      </w:r>
    </w:p>
    <w:p w14:paraId="0A5FC1D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udføre toldformaliteterne med henblik på opkrævning af det import- eller eksportafgiftsbeløb, der svarer til enhver toldskyld.</w:t>
      </w:r>
    </w:p>
    <w:p w14:paraId="169BF1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Det toldsted, der er ansvarligt for varernes afsendelses- eller bestemmelsessted eller, jf. stk. 4, litra d), for det sted, hvor varerne føres ind i eller ud af Unionens toldområde, foretager den toldkontrol, som det toldsted, der er ansvarligt for importørens etableringssted, anmoder om, og forelægger resultaterne af denne kontrol for dette toldsted, uden at dette berører dets egen kontrol i forbindelse med varer, der føres ind i eller ud af Unionens toldområde.</w:t>
      </w:r>
    </w:p>
    <w:p w14:paraId="778CB5A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De kompetente toldsteder skal have adgang til de oplysninger, der er nødvendige for at sikre en korrekt anvendelse af lovgivningen.</w:t>
      </w:r>
    </w:p>
    <w:p w14:paraId="2CFE5AF4" w14:textId="77777777" w:rsidR="00377848" w:rsidRDefault="00377848">
      <w:pPr>
        <w:widowControl/>
        <w:rPr>
          <w:szCs w:val="24"/>
          <w:lang w:eastAsia="en-US"/>
        </w:rPr>
      </w:pPr>
      <w:r>
        <w:rPr>
          <w:szCs w:val="24"/>
          <w:lang w:eastAsia="en-US"/>
        </w:rPr>
        <w:br w:type="page"/>
      </w:r>
    </w:p>
    <w:p w14:paraId="6C20E489" w14:textId="31ABF5B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Kommissionen præciserer ved hjælp af gennemførelsesretsakter procedurereglerne for fastlæggelse af andre kompetente toldsteder end dem, der er omhandlet i stk. 3, herunder indpassagetoldsteder og udpassagetoldsteder og procedurereglerne for samarbejde mellem toldsteder som omhandlet i stk. 5. Disse gennemførelsesretsakter vedtages efter undersøgelsesproceduren i artikel 262, stk. 4.</w:t>
      </w:r>
    </w:p>
    <w:p w14:paraId="44EC5022"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Toldkontrol</w:t>
      </w:r>
    </w:p>
    <w:p w14:paraId="38CB05A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43</w:t>
      </w:r>
      <w:r w:rsidRPr="003E0486">
        <w:rPr>
          <w:szCs w:val="24"/>
          <w:lang w:eastAsia="en-US"/>
        </w:rPr>
        <w:br/>
        <w:t>Toldkontrol</w:t>
      </w:r>
    </w:p>
    <w:p w14:paraId="5FA41D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bestemmelserne i kapitel 3 i dette afsnit, kan toldmyndighederne udføre enhver toldkontrol, de skønner nødvendig, herunder stikprøvekontrol.</w:t>
      </w:r>
    </w:p>
    <w:p w14:paraId="360D795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Toldkontrol kan især omfatte undersøgelse af varerne, udtagelse af prøver, verifikation af ægtheden, integriteten, nøjagtigheden og fuldstændigheden af de data, som en person har fremlagt, og af dokumenters eksistens, ægthed, rigtighed og gyldighed, undersøgelse af de økonomiske operatørers bogføring, handelsmæssige optegnelser og datakilder, kontrol af transportmidler, af bagage og af andre effekter, som personer medbringer, og administrative undersøgelser og lignende handlinger. Om nødvendigt omfatter toldkontrol behandling af elektroniske data, herunder datakilden til de data, der fremsendes til EU's tolddatacenter.</w:t>
      </w:r>
    </w:p>
    <w:p w14:paraId="1060759D" w14:textId="77777777" w:rsidR="00377848" w:rsidRDefault="00377848">
      <w:pPr>
        <w:widowControl/>
        <w:rPr>
          <w:szCs w:val="24"/>
          <w:lang w:eastAsia="en-US"/>
        </w:rPr>
      </w:pPr>
      <w:r>
        <w:rPr>
          <w:szCs w:val="24"/>
          <w:lang w:eastAsia="en-US"/>
        </w:rPr>
        <w:br w:type="page"/>
      </w:r>
    </w:p>
    <w:p w14:paraId="3DF3F7E3" w14:textId="34F4049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der for de samme varer skal foretages anden kontrol end toldkontrol af andre myndigheder, skal toldmyndighederne i nært samarbejde med disse andre myndigheder tilstræbe, at denne kontrol, så vidt det overhovedet er muligt, foretages på samme tid og sted som toldkontrollen (one-stop-shop), og toldmyndighederne skal varetage den koordinerende rolle.</w:t>
      </w:r>
    </w:p>
    <w:p w14:paraId="537982A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44</w:t>
      </w:r>
      <w:r w:rsidRPr="003E0486">
        <w:rPr>
          <w:szCs w:val="24"/>
          <w:lang w:eastAsia="en-US"/>
        </w:rPr>
        <w:br/>
        <w:t>Verifikation af de fremlagte data</w:t>
      </w:r>
    </w:p>
    <w:p w14:paraId="7796FE1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med henblik på at verificere nøjagtigheden af de data, som personer har fremsendt til toldmyndighederne:</w:t>
      </w:r>
    </w:p>
    <w:p w14:paraId="769D962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undersøge data og dokumentation, herunder tilgå datakilder, som de økonomiske operatører er i besiddelse af, eller som tjenesteydere har lagret på deres vegne</w:t>
      </w:r>
    </w:p>
    <w:p w14:paraId="16958CF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kræve fremlæggelse af andre dokumenter eller data, som de økonomiske operatører er i besiddelse af, eller som tjenesteydere har lagret på deres vegne</w:t>
      </w:r>
    </w:p>
    <w:p w14:paraId="024DA7E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kræve adgang til personens elektroniske registre</w:t>
      </w:r>
    </w:p>
    <w:p w14:paraId="782E863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undersøge varerne</w:t>
      </w:r>
    </w:p>
    <w:p w14:paraId="2BE06C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udtage stikprøver med henblik på analyse eller dybtgående kontrol af varerne.</w:t>
      </w:r>
    </w:p>
    <w:p w14:paraId="367AF152" w14:textId="77777777" w:rsidR="00377848" w:rsidRDefault="00377848">
      <w:pPr>
        <w:widowControl/>
        <w:rPr>
          <w:szCs w:val="24"/>
          <w:lang w:eastAsia="en-US"/>
        </w:rPr>
      </w:pPr>
      <w:r>
        <w:rPr>
          <w:szCs w:val="24"/>
          <w:lang w:eastAsia="en-US"/>
        </w:rPr>
        <w:br w:type="page"/>
      </w:r>
    </w:p>
    <w:p w14:paraId="5BA8129A" w14:textId="5F8CC55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kan til enhver tid kræve, at varer losses og pakkes ud, for at de kan undersøge dem, tage stikprøver eller undersøge det transportmiddel, hvorpå varerne befinder sig.</w:t>
      </w:r>
    </w:p>
    <w:p w14:paraId="59DE7A1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foranstaltningerne vedrørende verifikation af de i stk. 1 omhandlede oplysninger. Disse gennemførelsesretsakter vedtages efter undersøgelsesproceduren i artikel 262, stk. 4.</w:t>
      </w:r>
    </w:p>
    <w:p w14:paraId="46FF47A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45</w:t>
      </w:r>
      <w:r w:rsidRPr="003E0486">
        <w:rPr>
          <w:szCs w:val="24"/>
          <w:lang w:eastAsia="en-US"/>
        </w:rPr>
        <w:br/>
        <w:t>Undersøgelse og prøveudtagning af varer</w:t>
      </w:r>
    </w:p>
    <w:p w14:paraId="4A6DD14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Transport af varerne til det sted, hvor undersøgelsen og prøveudtagningen skal finde sted, og alle nødvendige behandlinger i forbindelse hermed foretages af importøren, eksportøren eller transportøren eller på dennes ansvar. Udgifterne hertil afholdes af importøren eller eksportøren.</w:t>
      </w:r>
    </w:p>
    <w:p w14:paraId="077147BA" w14:textId="77777777" w:rsidR="00377848" w:rsidRDefault="00377848">
      <w:pPr>
        <w:widowControl/>
        <w:rPr>
          <w:szCs w:val="24"/>
          <w:lang w:eastAsia="en-US"/>
        </w:rPr>
      </w:pPr>
      <w:r>
        <w:rPr>
          <w:szCs w:val="24"/>
          <w:lang w:eastAsia="en-US"/>
        </w:rPr>
        <w:br w:type="page"/>
      </w:r>
    </w:p>
    <w:p w14:paraId="720350CF" w14:textId="2588AD6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Importøren, eksportøren eller transportøren har ret til at overvære eller lade sig repræsentere ved undersøgelsen af varerne og prøveudtagningerne. Hvis toldmyndighederne har rimelig grund hertil, kan de forlange, at importøren, eksportøren eller transportøren selv eller dennes repræsentant er til stede under undersøgelsen af varerne eller prøveudtagningen, eller at han giver dem den assistance, der er nødvendig for at lette undersøgelsen eller prøveudtagningen.</w:t>
      </w:r>
    </w:p>
    <w:p w14:paraId="04400D3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yder ikke erstatning for prøver, som de udtager, når det i øvrigt sker efter gældende bestemmelser, men de afholder analyse- og kontrolomkostningerne.</w:t>
      </w:r>
    </w:p>
    <w:p w14:paraId="2848905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undersøgelsen kun vedrører en del af varerne, eller der udtages prøver, anses resultatet af delundersøgelsen eller af analysen eller undersøgelsen af de udtagne prøver for at gælde for alle varerne i den samme forsendelse.</w:t>
      </w:r>
    </w:p>
    <w:p w14:paraId="02D60F68" w14:textId="77777777" w:rsidR="003E0486" w:rsidRPr="003E0486" w:rsidRDefault="003E0486" w:rsidP="003E0486">
      <w:pPr>
        <w:spacing w:before="120" w:after="120" w:line="360" w:lineRule="auto"/>
        <w:ind w:left="850"/>
        <w:rPr>
          <w:szCs w:val="24"/>
          <w:lang w:eastAsia="en-US"/>
        </w:rPr>
      </w:pPr>
      <w:r w:rsidRPr="003E0486">
        <w:rPr>
          <w:szCs w:val="24"/>
          <w:lang w:eastAsia="en-US"/>
        </w:rPr>
        <w:t>Importøren eller eksportøren kan dog anmode om en yderligere undersøgelse eller prøveudtagning af varerne, når pågældende skønner, at resultatet af delundersøgelsen eller af analysen eller undersøgelsen af de udtagne prøver ikke gælder for resten af de berørte varer. Anmodningen tages til følge, forudsat at varerne ikke er blevet frigivet, eller, hvis de er blevet frigivet, at importøren eller eksportøren godtgør, at de ikke er blevet ændret på nogen måde.</w:t>
      </w:r>
    </w:p>
    <w:p w14:paraId="6EB7FE06" w14:textId="77777777" w:rsidR="00377848" w:rsidRDefault="00377848">
      <w:pPr>
        <w:widowControl/>
        <w:rPr>
          <w:szCs w:val="24"/>
          <w:lang w:eastAsia="en-US"/>
        </w:rPr>
      </w:pPr>
      <w:r>
        <w:rPr>
          <w:szCs w:val="24"/>
          <w:lang w:eastAsia="en-US"/>
        </w:rPr>
        <w:br w:type="page"/>
      </w:r>
    </w:p>
    <w:p w14:paraId="6919CC4A" w14:textId="1FD94EF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Kommissionen præciserer ved gennemførelsesretsakter foranstaltningerne vedrørende undersøgelse og prøveudtagning af varer som omhandlet i denne artikel. Disse gennemførelsesretsakter vedtages efter undersøgelsesproceduren i artikel 262, stk. 4.</w:t>
      </w:r>
    </w:p>
    <w:p w14:paraId="1DBF25F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46</w:t>
      </w:r>
      <w:r w:rsidRPr="003E0486">
        <w:rPr>
          <w:szCs w:val="24"/>
          <w:lang w:eastAsia="en-US"/>
        </w:rPr>
        <w:br/>
        <w:t>Resultater af verifikationen</w:t>
      </w:r>
    </w:p>
    <w:p w14:paraId="4920B24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Resultatet af verifikationen af data fra importøren, eksportøren eller transportøren tjener som grundlag for anvendelsen af de bestemmelser, der gælder for den toldprocedure, som varerne henføres under.</w:t>
      </w:r>
    </w:p>
    <w:p w14:paraId="0664FC9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der ikke er foretaget verifikation af de indgivne oplysninger, finder stk. 1 anvendelse på grundlag af oplysningerne fra importøren eller eksportøren.</w:t>
      </w:r>
    </w:p>
    <w:p w14:paraId="6B3A93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Resultatet af toldmyndighedernes verifikation har samme retskraft i hele Unionens toldområde.</w:t>
      </w:r>
    </w:p>
    <w:p w14:paraId="414BD2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foranstaltningerne vedrørende resultaterne af verifikationen som omhandlet i denne artikel. Disse gennemførelsesretsakter vedtages efter undersøgelsesproceduren i artikel 262, stk. 4.</w:t>
      </w:r>
    </w:p>
    <w:p w14:paraId="43DE7914" w14:textId="77777777" w:rsidR="00377848" w:rsidRDefault="00377848">
      <w:pPr>
        <w:widowControl/>
        <w:rPr>
          <w:szCs w:val="24"/>
          <w:lang w:eastAsia="en-US"/>
        </w:rPr>
      </w:pPr>
      <w:r>
        <w:rPr>
          <w:szCs w:val="24"/>
          <w:lang w:eastAsia="en-US"/>
        </w:rPr>
        <w:br w:type="page"/>
      </w:r>
    </w:p>
    <w:p w14:paraId="14D0F21B" w14:textId="23991C4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47</w:t>
      </w:r>
      <w:r w:rsidRPr="003E0486">
        <w:rPr>
          <w:szCs w:val="24"/>
          <w:lang w:eastAsia="en-US"/>
        </w:rPr>
        <w:br/>
        <w:t>Identifikationsforanstaltninger</w:t>
      </w:r>
    </w:p>
    <w:p w14:paraId="2EE4A68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eller i givet fald de økonomiske operatører, der af toldmyndighederne har fået bevilling dertil, træffer de fornødne foranstaltninger til at identificere varerne, når dette er nødvendigt for at sikre overholdelsen af de bestemmelser, der er fastsat for benyttelsen af den relevante toldprocedure, som varerne skal henføres under.</w:t>
      </w:r>
    </w:p>
    <w:p w14:paraId="14D4CBFB" w14:textId="77777777" w:rsidR="003E0486" w:rsidRPr="003E0486" w:rsidRDefault="003E0486" w:rsidP="003E0486">
      <w:pPr>
        <w:spacing w:before="120" w:after="120" w:line="360" w:lineRule="auto"/>
        <w:ind w:left="850"/>
        <w:rPr>
          <w:szCs w:val="24"/>
          <w:lang w:eastAsia="en-US"/>
        </w:rPr>
      </w:pPr>
      <w:r w:rsidRPr="003E0486">
        <w:rPr>
          <w:szCs w:val="24"/>
          <w:lang w:eastAsia="en-US"/>
        </w:rPr>
        <w:t>Disse identifikationsforanstaltninger har samme retskraft i hele Unionens toldområde.</w:t>
      </w:r>
    </w:p>
    <w:p w14:paraId="42A20E3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Identifikationsmærker, der er påsat varer, emballage eller transportmidler, må kun fjernes eller tilintetgøres af toldmyndighederne eller af andre personer, der har fået bevilling hertil af toldmyndighederne, medmindre det på grund af hændelige omstændigheder eller force majeure er absolut påkrævet at fjerne eller tilintetgøre dem af hensyn til beskyttelse af varerne eller transportmidlerne.</w:t>
      </w:r>
    </w:p>
    <w:p w14:paraId="5E08FA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hvilke foranstaltninger der udgør identifikationsforanstaltningerne som omhandlet i denne artikel. Disse gennemførelsesretsakter vedtages efter undersøgelsesproceduren i artikel 262, stk. 4.</w:t>
      </w:r>
    </w:p>
    <w:p w14:paraId="6308D4FA" w14:textId="77777777" w:rsidR="00670D7B" w:rsidRDefault="00670D7B">
      <w:pPr>
        <w:widowControl/>
        <w:rPr>
          <w:szCs w:val="24"/>
          <w:lang w:eastAsia="en-US"/>
        </w:rPr>
      </w:pPr>
      <w:r>
        <w:rPr>
          <w:szCs w:val="24"/>
          <w:lang w:eastAsia="en-US"/>
        </w:rPr>
        <w:br w:type="page"/>
      </w:r>
    </w:p>
    <w:p w14:paraId="197FC1A5" w14:textId="62549C9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48</w:t>
      </w:r>
      <w:r w:rsidRPr="003E0486">
        <w:rPr>
          <w:szCs w:val="24"/>
          <w:lang w:eastAsia="en-US"/>
        </w:rPr>
        <w:br/>
        <w:t>Kontrol efter frigivelse</w:t>
      </w:r>
    </w:p>
    <w:p w14:paraId="55349E0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 henblik på toldkontrol kan toldmyndighederne efter frigivelsen af varerne:</w:t>
      </w:r>
    </w:p>
    <w:p w14:paraId="5EA01AA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verificere nøjagtigheden og fuldstændigheden af de fremsendte data og eksistensen, ægtheden, nøjagtigheden og gyldigheden af al dokumentation</w:t>
      </w:r>
    </w:p>
    <w:p w14:paraId="3F2B993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gennemgå den økonomiske operatørs regnskaber og andre optegnelser vedrørende transaktioner med de pågældende varer eller vedrørende tidligere eller senere erhvervsmæssige transaktioner med de pågældende varer</w:t>
      </w:r>
    </w:p>
    <w:p w14:paraId="06A29CD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undersøge varerne og udtage stikprøver, så længe det stadig er muligt</w:t>
      </w:r>
    </w:p>
    <w:p w14:paraId="2766C7B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tilgå operatørernes systemer til kontrol af overholdelsen af forpligtelsen til at fremsende data til eller gøre dem tilgængelige for EU's tolddatacenter.</w:t>
      </w:r>
    </w:p>
    <w:p w14:paraId="2D0927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Kontrollen kan gennemføres hos importøren eller eksportøren eller hos ihændehaveren af varerne, eller hos enhver anden person, som direkte eller indirekte er forretningsmæssigt involveret i disse transaktioner, eller hos enhver anden person, som måtte være i besiddelse af de nævnte dokumenter og data i erhvervsøjemed.</w:t>
      </w:r>
    </w:p>
    <w:p w14:paraId="68607650" w14:textId="77777777" w:rsidR="00670D7B" w:rsidRDefault="00670D7B">
      <w:pPr>
        <w:widowControl/>
        <w:rPr>
          <w:szCs w:val="24"/>
          <w:lang w:eastAsia="en-US"/>
        </w:rPr>
      </w:pPr>
      <w:r>
        <w:rPr>
          <w:szCs w:val="24"/>
          <w:lang w:eastAsia="en-US"/>
        </w:rPr>
        <w:br w:type="page"/>
      </w:r>
    </w:p>
    <w:p w14:paraId="533F2529" w14:textId="64DF5F8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præciserer ved gennemførelsesretsakter de foranstaltninger, som skal finde anvendelse med hensyn til den kontrol, der er omhandlet i stk. 1, herunder i tilfælde, hvor transaktioner finder sted i mere end én medlemsstat, og foranstaltninger med hensyn til anvendelsen af revision og andre passende metoder i forbindelse med sådanne kontroller. Disse gennemførelsesretsakter vedtages i overensstemmelse med artikel 262, stk. 4.</w:t>
      </w:r>
    </w:p>
    <w:p w14:paraId="3881870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49</w:t>
      </w:r>
      <w:r w:rsidRPr="003E0486">
        <w:rPr>
          <w:szCs w:val="24"/>
          <w:lang w:eastAsia="en-US"/>
        </w:rPr>
        <w:br/>
        <w:t>Rejser med fly og skib inden for Unionen</w:t>
      </w:r>
    </w:p>
    <w:p w14:paraId="5C2648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skal kun foretages toldkontrol eller opfyldes toldformaliteter for så vidt angår håndbagage og indchecket bagage tilhørende personer, der foretager enten en fly- eller en skibsrejse inden for Unionen, for så vidt denne kontrol eller disse formaliteter er fastsat i toldlovgivningen.</w:t>
      </w:r>
    </w:p>
    <w:p w14:paraId="43C1B77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Stk. 1 finder anvendelse uden at det berører</w:t>
      </w:r>
    </w:p>
    <w:p w14:paraId="79A8B95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sikkerhed</w:t>
      </w:r>
    </w:p>
    <w:p w14:paraId="58DACEF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kontrol i tilknytning til anden lovgivning, som anvendes af toldmyndighederne.</w:t>
      </w:r>
    </w:p>
    <w:p w14:paraId="5A32584D" w14:textId="77777777" w:rsidR="00670D7B" w:rsidRDefault="00670D7B">
      <w:pPr>
        <w:widowControl/>
        <w:rPr>
          <w:szCs w:val="24"/>
          <w:lang w:eastAsia="en-US"/>
        </w:rPr>
      </w:pPr>
      <w:r>
        <w:rPr>
          <w:szCs w:val="24"/>
          <w:lang w:eastAsia="en-US"/>
        </w:rPr>
        <w:br w:type="page"/>
      </w:r>
    </w:p>
    <w:p w14:paraId="5D41BE1A" w14:textId="57A7C4B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fastsætter ved gennemførelsesretsakter de havne eller lufthavne, hvor toldkontrol og toldformaliteter skal anvendes på følgende:</w:t>
      </w:r>
    </w:p>
    <w:p w14:paraId="3E26E1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håndbagage og indchecket bagage tilhørende personer:</w:t>
      </w:r>
    </w:p>
    <w:p w14:paraId="74A142B1" w14:textId="76C74C67"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der rejser med et luftfartøj, som kommer fra en lufthavn i et tredjeland, og som efter mellemlanding i en EU-lufthavn skal fortsætte flyvningen til en anden EU-lufthavn</w:t>
      </w:r>
    </w:p>
    <w:p w14:paraId="69887530" w14:textId="562A4AA0"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der rejser med et luftfartøj, som mellemlander i en EU-lufthavn, inden det fortsætter flyvningen til en lufthavn i et tredjeland</w:t>
      </w:r>
    </w:p>
    <w:p w14:paraId="33049A10" w14:textId="030C1F33"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der benytter en forbindelse ad søvejen, som indebærer flere på hinanden følgende strækninger, og som varetages af et og samme skib, der påbegynder eller afslutter rejsen i en havn i et tredjeland eller anløber en sådan havn undervejs</w:t>
      </w:r>
    </w:p>
    <w:p w14:paraId="529739AB" w14:textId="7F671909"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iv)</w:t>
      </w:r>
      <w:r w:rsidR="003E0486" w:rsidRPr="003E0486">
        <w:rPr>
          <w:szCs w:val="24"/>
          <w:lang w:eastAsia="en-US"/>
        </w:rPr>
        <w:tab/>
        <w:t>om bord på et lystfartøj, et privatfly eller et forretningsfly</w:t>
      </w:r>
    </w:p>
    <w:p w14:paraId="381356E5" w14:textId="77777777" w:rsidR="00670D7B" w:rsidRDefault="00670D7B">
      <w:pPr>
        <w:widowControl/>
        <w:rPr>
          <w:szCs w:val="24"/>
          <w:lang w:eastAsia="en-US"/>
        </w:rPr>
      </w:pPr>
      <w:r>
        <w:rPr>
          <w:szCs w:val="24"/>
          <w:lang w:eastAsia="en-US"/>
        </w:rPr>
        <w:br w:type="page"/>
      </w:r>
    </w:p>
    <w:p w14:paraId="0E8C3781" w14:textId="5872682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håndbagage og indchecket bagage:</w:t>
      </w:r>
    </w:p>
    <w:p w14:paraId="343A164C" w14:textId="78CC05A4"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der ankommer til en EU-lufthavn om bord på et luftfartøj fra en lufthavn i et tredjeland, og som i EU-lufthavnen omlades til et andet luftfartøj, der foretager en flyvning inden for Unionen</w:t>
      </w:r>
    </w:p>
    <w:p w14:paraId="3376318F" w14:textId="6771C81F"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der i en EU-lufthavn bringes om bord i et luftfartøj, der foretager en flyvning inden for Unionen, med henblik på i en anden EU-lufthavn at blive omladet til et luftfartøj med en lufthavn i et tredjeland som bestemmelsessted.</w:t>
      </w:r>
    </w:p>
    <w:p w14:paraId="58580D85"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74C3381E" w14:textId="77777777" w:rsidR="00670D7B" w:rsidRDefault="00670D7B">
      <w:pPr>
        <w:widowControl/>
        <w:rPr>
          <w:szCs w:val="24"/>
          <w:lang w:eastAsia="en-US"/>
        </w:rPr>
      </w:pPr>
      <w:r>
        <w:rPr>
          <w:szCs w:val="24"/>
          <w:lang w:eastAsia="en-US"/>
        </w:rPr>
        <w:br w:type="page"/>
      </w:r>
    </w:p>
    <w:p w14:paraId="450B8799" w14:textId="58F9732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Toldrisikoforvaltning</w:t>
      </w:r>
    </w:p>
    <w:p w14:paraId="665DE21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50</w:t>
      </w:r>
      <w:r w:rsidRPr="003E0486">
        <w:rPr>
          <w:szCs w:val="24"/>
          <w:lang w:eastAsia="en-US"/>
        </w:rPr>
        <w:br/>
        <w:t>Generelle principper</w:t>
      </w:r>
    </w:p>
    <w:p w14:paraId="3AB70FE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afgør på grundlag af risikoforvaltning og primært på grundlag af automatiseret risikoanalyse, om varer, økonomiske operatører og forsyningskæder undergives toldkontrol eller bliver genstand for andre afbødende foranstaltninger, og i givet fald, hvor og hvornår denne kontrol og disse andre afbødende foranstaltninger finder sted</w:t>
      </w:r>
    </w:p>
    <w:p w14:paraId="1BE8F2D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EU-Toldmyndigheden og toldmyndighederne anvender toldrisikoforvaltning til at skelne mellem niveauerne for alle risici i forbindelse med varer, økonomiske operatører og forsyningskæder i overensstemmelse med bestemmelserne i dette kapitel.</w:t>
      </w:r>
    </w:p>
    <w:p w14:paraId="52B8321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Toldrisikoforvaltning skal mindst omfatte følgende aktiviteter, eventuelt organiseret som cyklus:</w:t>
      </w:r>
    </w:p>
    <w:p w14:paraId="7F6660FC" w14:textId="73697167" w:rsidR="003E0486" w:rsidRPr="00845A6B"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 xml:space="preserve">indsamling, behandling, udveksling og analyse af relevante data, der er tilgængelige i EU's tolddatacenter og fra andre kilder, herunder relevante data fra andre </w:t>
      </w:r>
      <w:r w:rsidRPr="003E0486">
        <w:rPr>
          <w:b/>
          <w:i/>
          <w:szCs w:val="24"/>
          <w:lang w:eastAsia="en-US"/>
        </w:rPr>
        <w:t xml:space="preserve">kompetente </w:t>
      </w:r>
      <w:r w:rsidRPr="003E0486">
        <w:rPr>
          <w:szCs w:val="24"/>
          <w:lang w:eastAsia="en-US"/>
        </w:rPr>
        <w:t>myndigheder end toldmyndighederne</w:t>
      </w:r>
      <w:r w:rsidR="00845A6B">
        <w:rPr>
          <w:b/>
          <w:szCs w:val="24"/>
          <w:lang w:eastAsia="en-US"/>
        </w:rPr>
        <w:t xml:space="preserve"> [Ændring 172]</w:t>
      </w:r>
    </w:p>
    <w:p w14:paraId="33E2EA3A" w14:textId="77777777" w:rsidR="00067EC0" w:rsidRDefault="00067EC0">
      <w:pPr>
        <w:widowControl/>
        <w:rPr>
          <w:szCs w:val="24"/>
          <w:lang w:eastAsia="en-US"/>
        </w:rPr>
      </w:pPr>
      <w:r>
        <w:rPr>
          <w:szCs w:val="24"/>
          <w:lang w:eastAsia="en-US"/>
        </w:rPr>
        <w:br w:type="page"/>
      </w:r>
    </w:p>
    <w:p w14:paraId="15A3B270" w14:textId="5CC6060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identifikation, analyse, vurdering eller forudsigelse af risici, herunder baseret på statistiske og prædiktive metoder og stikprøvekontrol</w:t>
      </w:r>
    </w:p>
    <w:p w14:paraId="4401352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udvikling af de nødvendige foranstaltninger til risikoforvaltning, herunder fastlæggelse af fælles prioriterede kontrolområder, fælles risikokriterier og -standarder og tilsynsstrategier</w:t>
      </w:r>
    </w:p>
    <w:p w14:paraId="7D60D1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fastsættelse og indledning af tiltag, herunder udvælgelse af passende afbødende foranstaltninger og toldkontrol</w:t>
      </w:r>
    </w:p>
    <w:p w14:paraId="06413FF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indsamling af feedback om gennemførelsen af risikoforvaltnings- og kontrolaktiviteter</w:t>
      </w:r>
    </w:p>
    <w:p w14:paraId="1040730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overvågning og gennemgang af risikoforvaltnings- og kontrolaktiviteter med henblik på at forbedre dem.</w:t>
      </w:r>
    </w:p>
    <w:p w14:paraId="138A7EA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Afbødende foranstaltninger kan omfatte følgende:</w:t>
      </w:r>
    </w:p>
    <w:p w14:paraId="4329D11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give transportøren eller eksportøren instruks om, at varerne ikke må lastes eller transporteres</w:t>
      </w:r>
    </w:p>
    <w:p w14:paraId="3646517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anmode om yderligere oplysninger eller tiltag</w:t>
      </w:r>
    </w:p>
    <w:p w14:paraId="2243B26B" w14:textId="77777777" w:rsidR="0010447A" w:rsidRDefault="0010447A">
      <w:pPr>
        <w:widowControl/>
        <w:rPr>
          <w:szCs w:val="24"/>
          <w:lang w:eastAsia="en-US"/>
        </w:rPr>
      </w:pPr>
      <w:r>
        <w:rPr>
          <w:szCs w:val="24"/>
          <w:lang w:eastAsia="en-US"/>
        </w:rPr>
        <w:br w:type="page"/>
      </w:r>
    </w:p>
    <w:p w14:paraId="42AF34D7" w14:textId="4D50727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at identificere situationer, hvor en anden toldmyndigheds indgriben kan være hensigtsmæssig</w:t>
      </w:r>
    </w:p>
    <w:p w14:paraId="568AFF4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anbefale det mest hensigtsmæssige sted og de mest hensigtsmæssige foranstaltninger med henblik på at gennemføre en kontrol</w:t>
      </w:r>
    </w:p>
    <w:p w14:paraId="2D71666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at fastlægge, hvilken rute der skal følges, og hvilken frist der skal overholdes, når varerne skal føres ud af Unionens toldområde.</w:t>
      </w:r>
    </w:p>
    <w:p w14:paraId="72730636" w14:textId="4B5E3FE6" w:rsidR="003E0486" w:rsidRPr="00845A6B" w:rsidRDefault="003E0486" w:rsidP="003E0486">
      <w:pPr>
        <w:spacing w:before="120" w:after="120" w:line="360" w:lineRule="auto"/>
        <w:ind w:left="850" w:hanging="850"/>
        <w:rPr>
          <w:b/>
          <w:szCs w:val="24"/>
          <w:lang w:eastAsia="en-US"/>
        </w:rPr>
      </w:pPr>
      <w:r w:rsidRPr="003E0486">
        <w:rPr>
          <w:b/>
          <w:i/>
          <w:szCs w:val="24"/>
          <w:lang w:eastAsia="en-US"/>
        </w:rPr>
        <w:t>4a.</w:t>
      </w:r>
      <w:r w:rsidRPr="003E0486">
        <w:rPr>
          <w:szCs w:val="24"/>
          <w:lang w:eastAsia="en-US"/>
        </w:rPr>
        <w:tab/>
      </w:r>
      <w:r w:rsidRPr="003E0486">
        <w:rPr>
          <w:b/>
          <w:i/>
          <w:szCs w:val="24"/>
          <w:lang w:eastAsia="en-US"/>
        </w:rPr>
        <w:t xml:space="preserve">Når toldmyndighederne træffer afgørelser vedrørende </w:t>
      </w:r>
      <w:r w:rsidR="0016356A">
        <w:rPr>
          <w:b/>
          <w:i/>
          <w:szCs w:val="24"/>
          <w:lang w:eastAsia="en-US"/>
        </w:rPr>
        <w:t xml:space="preserve">den i stk. 2 omhandlede </w:t>
      </w:r>
      <w:r w:rsidRPr="003E0486">
        <w:rPr>
          <w:b/>
          <w:i/>
          <w:szCs w:val="24"/>
          <w:lang w:eastAsia="en-US"/>
        </w:rPr>
        <w:t>toldrisikostyring, tager de hensyn til en importørs, eksportørs eller en formel importørs manglende overholdelse af anden lovgivning, som toldmyndighederne anvender, og som er en del af national ret, og som de kompetente myndigheder har underrettet toldmyndighederne om. Denne manglende overholdelse skal tages i betragtning med henblik på den relevante importørs, eksportørs eller formelle importørs risikoprofil.</w:t>
      </w:r>
      <w:r w:rsidR="00845A6B">
        <w:rPr>
          <w:b/>
          <w:szCs w:val="24"/>
          <w:lang w:eastAsia="en-US"/>
        </w:rPr>
        <w:t xml:space="preserve"> [Ændring 173]</w:t>
      </w:r>
    </w:p>
    <w:p w14:paraId="6D69D7CC" w14:textId="77777777" w:rsidR="0010447A" w:rsidRDefault="0010447A">
      <w:pPr>
        <w:widowControl/>
        <w:rPr>
          <w:szCs w:val="24"/>
          <w:lang w:eastAsia="en-US"/>
        </w:rPr>
      </w:pPr>
      <w:r>
        <w:rPr>
          <w:szCs w:val="24"/>
          <w:lang w:eastAsia="en-US"/>
        </w:rPr>
        <w:br w:type="page"/>
      </w:r>
    </w:p>
    <w:p w14:paraId="41C242AC" w14:textId="1A208A6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51</w:t>
      </w:r>
      <w:r w:rsidRPr="003E0486">
        <w:rPr>
          <w:szCs w:val="24"/>
          <w:lang w:eastAsia="en-US"/>
        </w:rPr>
        <w:br/>
        <w:t>Roller og ansvarsområder</w:t>
      </w:r>
    </w:p>
    <w:p w14:paraId="5484A077" w14:textId="603A4FE9" w:rsidR="003E0486" w:rsidRPr="00845A6B"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Kommissionen </w:t>
      </w:r>
      <w:r w:rsidRPr="003E0486">
        <w:rPr>
          <w:strike/>
          <w:szCs w:val="24"/>
          <w:lang w:eastAsia="en-US"/>
        </w:rPr>
        <w:t>kan fastsætte</w:t>
      </w:r>
      <w:r w:rsidRPr="003E0486">
        <w:rPr>
          <w:b/>
          <w:i/>
          <w:szCs w:val="24"/>
          <w:lang w:eastAsia="en-US"/>
        </w:rPr>
        <w:t>fastsætter</w:t>
      </w:r>
      <w:r w:rsidRPr="003E0486">
        <w:rPr>
          <w:szCs w:val="24"/>
          <w:lang w:eastAsia="en-US"/>
        </w:rPr>
        <w:t xml:space="preserve"> fælles prioriterede kontrolområder og fælles risikokriterier og</w:t>
      </w:r>
      <w:r w:rsidR="0016356A">
        <w:rPr>
          <w:b/>
          <w:i/>
          <w:szCs w:val="24"/>
          <w:lang w:eastAsia="en-US"/>
        </w:rPr>
        <w:t>, hvor</w:t>
      </w:r>
      <w:r w:rsidRPr="003E0486">
        <w:rPr>
          <w:b/>
          <w:i/>
          <w:szCs w:val="24"/>
          <w:lang w:eastAsia="en-US"/>
        </w:rPr>
        <w:t xml:space="preserve"> det er </w:t>
      </w:r>
      <w:r w:rsidR="0016356A">
        <w:rPr>
          <w:b/>
          <w:i/>
          <w:szCs w:val="24"/>
          <w:lang w:eastAsia="en-US"/>
        </w:rPr>
        <w:t>nødvendigt,</w:t>
      </w:r>
      <w:r w:rsidRPr="003E0486">
        <w:rPr>
          <w:b/>
          <w:i/>
          <w:szCs w:val="24"/>
          <w:lang w:eastAsia="en-US"/>
        </w:rPr>
        <w:t xml:space="preserve"> </w:t>
      </w:r>
      <w:r w:rsidRPr="003E0486">
        <w:rPr>
          <w:szCs w:val="24"/>
          <w:lang w:eastAsia="en-US"/>
        </w:rPr>
        <w:t>standarder for alle typer risici, herunder, men ikke begrænset til, risici vedrørende finansielle interesser.</w:t>
      </w:r>
      <w:r w:rsidR="00845A6B">
        <w:rPr>
          <w:b/>
          <w:szCs w:val="24"/>
          <w:lang w:eastAsia="en-US"/>
        </w:rPr>
        <w:t xml:space="preserve"> [Ændring 174]</w:t>
      </w:r>
    </w:p>
    <w:p w14:paraId="7F0CE93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Uden at det berører denne artikels stk. 6, litra f), og artikel 43 kan Kommissionen udpege specifikke områder inden for anden lovgivning, der anvendes af toldmyndighederne, når disse berettiger en prioriteret behandling med henblik på toldrisikoforvaltning og kontrol.</w:t>
      </w:r>
    </w:p>
    <w:p w14:paraId="2D5BEA1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kan:</w:t>
      </w:r>
    </w:p>
    <w:p w14:paraId="3A2FC7E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udstikke politiske retningslinjer til EU-Toldmyndigheden om risikoforvaltningsprojekter og tilsynsstrategier</w:t>
      </w:r>
    </w:p>
    <w:p w14:paraId="56158D9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anmode EU-Toldmyndigheden om at foretage en periodisk eller ad hoc-evaluering af gennemførelsen af eventuelle risikoforvaltningsaktiviteter</w:t>
      </w:r>
    </w:p>
    <w:p w14:paraId="13E5A01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anmode EU-Toldmyndigheden om at udarbejde en tilsynsstrategi for enhver risiko og foretage trusselsvurderinger.</w:t>
      </w:r>
    </w:p>
    <w:p w14:paraId="62827504" w14:textId="77777777" w:rsidR="0010447A" w:rsidRDefault="0010447A">
      <w:pPr>
        <w:widowControl/>
        <w:rPr>
          <w:szCs w:val="24"/>
          <w:lang w:eastAsia="en-US"/>
        </w:rPr>
      </w:pPr>
      <w:r>
        <w:rPr>
          <w:szCs w:val="24"/>
          <w:lang w:eastAsia="en-US"/>
        </w:rPr>
        <w:br w:type="page"/>
      </w:r>
    </w:p>
    <w:p w14:paraId="6B3A6738" w14:textId="1088932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Med henblik på de i stk. 1-3 omhandlede formål kan Kommissionen indsamle, behandle og analysere data, der er tilgængelige i EU's tolddatacenter og fra andre kilder, herunder fra andre myndigheder end toldmyndighederne.</w:t>
      </w:r>
    </w:p>
    <w:p w14:paraId="3A96AE4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EU-Toldmyndigheden udfører risikoforvaltningsaktiviteter på EU-plan på grundlag af de toldpolitiske retningslinjer, der er omhandlet i stk. 3, litra a), og de prioriteter, der er omhandlet i stk. 2. Den skal:</w:t>
      </w:r>
    </w:p>
    <w:p w14:paraId="41A8B90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indsamle, behandle, udveksle og analysere data, der er tilgængelige i EU's tolddatacenter og fra andre kilder, herunder fra andre myndigheder end toldmyndighederne</w:t>
      </w:r>
    </w:p>
    <w:p w14:paraId="00CF163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bistå Kommissionen med at fastlægge fælles prioriterede kontrolområder og fælles risikokriterier og -standarder på grundlag af operationel viden og teknisk ekspertise inden for risikoforvaltning</w:t>
      </w:r>
    </w:p>
    <w:p w14:paraId="2393F93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der anmodes herom i overensstemmelse med stk. 3, udvikle tilsynsstrategier, om nødvendigt sammen med andre myndigheder end toldmyndighederne, og foretage trusselsvurderinger</w:t>
      </w:r>
    </w:p>
    <w:p w14:paraId="7ECBDC5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udveksle relevante data med toldmyndighederne og andre myndigheder med henblik på dette afsnit, om muligt gennem EU's tolddatacenter, i overensstemmelse med artikel 53</w:t>
      </w:r>
    </w:p>
    <w:p w14:paraId="66B29B2D" w14:textId="77777777" w:rsidR="0010447A" w:rsidRDefault="0010447A">
      <w:pPr>
        <w:widowControl/>
        <w:rPr>
          <w:szCs w:val="24"/>
          <w:lang w:eastAsia="en-US"/>
        </w:rPr>
      </w:pPr>
      <w:r>
        <w:rPr>
          <w:szCs w:val="24"/>
          <w:lang w:eastAsia="en-US"/>
        </w:rPr>
        <w:br w:type="page"/>
      </w:r>
    </w:p>
    <w:p w14:paraId="6DD1C206" w14:textId="41D01496"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udvikle og gennemføre fælles risikoanalyser med henblik på at frembringe risikosignaler og risikoanalyseresultater og, hvor det er relevant, udstede kontrolanbefalinger til og angive andre passende afbødende foranstaltninger over for toldmyndighederne, herunder med henblik på anvendelse af de fælles prioriterede kontrolområder og de fælles risikokriterier og -standarder, som Kommissionen har fastsat, og håndtering af krisesituationer</w:t>
      </w:r>
    </w:p>
    <w:p w14:paraId="230D4782" w14:textId="16A4C332" w:rsidR="003E0486" w:rsidRPr="00845A6B" w:rsidRDefault="003E0486" w:rsidP="003E0486">
      <w:pPr>
        <w:spacing w:before="120" w:after="120" w:line="360" w:lineRule="auto"/>
        <w:ind w:left="1416" w:hanging="566"/>
        <w:rPr>
          <w:b/>
          <w:szCs w:val="24"/>
          <w:lang w:eastAsia="en-US"/>
        </w:rPr>
      </w:pPr>
      <w:r w:rsidRPr="003E0486">
        <w:rPr>
          <w:szCs w:val="24"/>
          <w:lang w:eastAsia="en-US"/>
        </w:rPr>
        <w:t>(f)</w:t>
      </w:r>
      <w:r w:rsidRPr="003E0486">
        <w:rPr>
          <w:szCs w:val="24"/>
          <w:lang w:eastAsia="en-US"/>
        </w:rPr>
        <w:tab/>
        <w:t>underrette OLAF, når den identificerer eller får mistanke om tilfælde af svig, og give OLAF alle nødvendige oplysninger i forbindelse med disse sager.</w:t>
      </w:r>
      <w:r w:rsidRPr="003E0486">
        <w:rPr>
          <w:b/>
          <w:i/>
          <w:szCs w:val="24"/>
          <w:lang w:eastAsia="en-US"/>
        </w:rPr>
        <w:t xml:space="preserve"> Europol underrettes også inden for rammerne af Europols mandat.</w:t>
      </w:r>
      <w:r w:rsidR="00845A6B">
        <w:rPr>
          <w:b/>
          <w:szCs w:val="24"/>
          <w:lang w:eastAsia="en-US"/>
        </w:rPr>
        <w:t xml:space="preserve"> [Ændring 175]</w:t>
      </w:r>
    </w:p>
    <w:p w14:paraId="4F7D0C49" w14:textId="2280AA1C" w:rsidR="003E0486" w:rsidRPr="00845A6B" w:rsidRDefault="00C26049" w:rsidP="003740C4">
      <w:pPr>
        <w:spacing w:before="120" w:after="120" w:line="360" w:lineRule="auto"/>
        <w:ind w:left="851" w:hanging="851"/>
        <w:rPr>
          <w:b/>
          <w:szCs w:val="24"/>
          <w:lang w:eastAsia="en-US"/>
        </w:rPr>
      </w:pPr>
      <w:r>
        <w:rPr>
          <w:b/>
          <w:i/>
          <w:szCs w:val="24"/>
          <w:lang w:eastAsia="en-US"/>
        </w:rPr>
        <w:t>5a.</w:t>
      </w:r>
      <w:r w:rsidR="003E0486" w:rsidRPr="003E0486">
        <w:rPr>
          <w:szCs w:val="24"/>
          <w:lang w:eastAsia="en-US"/>
        </w:rPr>
        <w:tab/>
      </w:r>
      <w:r w:rsidR="003E0486" w:rsidRPr="003E0486">
        <w:rPr>
          <w:b/>
          <w:i/>
          <w:szCs w:val="24"/>
          <w:lang w:eastAsia="en-US"/>
        </w:rPr>
        <w:t>EU-Toldmyndigheden kan opfordre Europol til at bidrage til risikoanalysen, der er omhandlet i stk. 5, litra e), med henblik på at fastlægge fælles prioriterede kontrolområder og fælles risikokriterier og standarder inden for rammerne af Europols mandat</w:t>
      </w:r>
      <w:r w:rsidR="00845A6B">
        <w:rPr>
          <w:b/>
          <w:szCs w:val="24"/>
          <w:lang w:eastAsia="en-US"/>
        </w:rPr>
        <w:t xml:space="preserve"> [Ændring 176]</w:t>
      </w:r>
    </w:p>
    <w:p w14:paraId="0B4D1FF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Toldmyndighederne skal ved hjælp af data, der er tilgængelige i EU's tolddatacenter og fra andre kilder:</w:t>
      </w:r>
    </w:p>
    <w:p w14:paraId="28D1141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indsamle, behandle, udveksle og analysere data, der er tilgængelige i EU's tolddatacenter og fra andre kilder, herunder fra andre myndigheder end toldmyndighederne</w:t>
      </w:r>
    </w:p>
    <w:p w14:paraId="0163A076" w14:textId="77777777" w:rsidR="0010447A" w:rsidRDefault="0010447A">
      <w:pPr>
        <w:widowControl/>
        <w:rPr>
          <w:szCs w:val="24"/>
          <w:lang w:eastAsia="en-US"/>
        </w:rPr>
      </w:pPr>
      <w:r>
        <w:rPr>
          <w:szCs w:val="24"/>
          <w:lang w:eastAsia="en-US"/>
        </w:rPr>
        <w:br w:type="page"/>
      </w:r>
    </w:p>
    <w:p w14:paraId="77FC6E66" w14:textId="6CF801A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udføre nationale risikoforvaltningsaktiviteter, herunder risikoanalyse og samarbejde og udveksling af oplysninger om risikoforvaltning med relevante nationale myndigheder, og træffe afbødende foranstaltninger</w:t>
      </w:r>
    </w:p>
    <w:p w14:paraId="2A243A2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gennemføre de nationale processer, der er nødvendige for gennemførelsen af fælles risikokriterier og -standarder og fælles prioriterede kontrolområder</w:t>
      </w:r>
    </w:p>
    <w:p w14:paraId="4AD8218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indarbejde EU-Toldmyndighedens risikosignaler, risikoanalyseresultater og kontrolanbefalinger</w:t>
      </w:r>
    </w:p>
    <w:p w14:paraId="608AB10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udstede kontrolanbefalinger til og angive andre passende afbødende foranstaltninger over for toldmyndighederne i andre medlemsstater</w:t>
      </w:r>
    </w:p>
    <w:p w14:paraId="43B523F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træffe kontrolbeslutninger</w:t>
      </w:r>
    </w:p>
    <w:p w14:paraId="17329CB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udføre kontrol i overensstemmelse med kapitel 2 i dette afsnit og med eventuelle gældende fælles risikokriterier og -standarder</w:t>
      </w:r>
    </w:p>
    <w:p w14:paraId="0BB20ED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give en begrundelse til EU-Toldmyndigheden i tilfælde af, at en kontrolanbefaling ikke er blevet gennemført.</w:t>
      </w:r>
    </w:p>
    <w:p w14:paraId="7C6FB6FC" w14:textId="77777777" w:rsidR="0010447A" w:rsidRDefault="0010447A">
      <w:pPr>
        <w:widowControl/>
        <w:rPr>
          <w:szCs w:val="24"/>
          <w:lang w:eastAsia="en-US"/>
        </w:rPr>
      </w:pPr>
      <w:r>
        <w:rPr>
          <w:szCs w:val="24"/>
          <w:lang w:eastAsia="en-US"/>
        </w:rPr>
        <w:br w:type="page"/>
      </w:r>
    </w:p>
    <w:p w14:paraId="48F00E18" w14:textId="660F850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EU-Toldmyndigheden underretter Kommissionen om sine risikoforvaltningsaktiviteter og resultaterne heraf hvert kvartal og, hvis det er nødvendigt, eller Kommissionen anmoder herom, på ad hoc-basis. Den forelægger Kommissionen alle nødvendige oplysninger herom.</w:t>
      </w:r>
    </w:p>
    <w:p w14:paraId="3C598D3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Indtil den dato, der er fastsat i artikel 265, stk. 1, kan Kommissionen udføre EU-Toldmyndighedens risikoforvaltningsopgaver som omhandlet i nærværende artikel.</w:t>
      </w:r>
    </w:p>
    <w:p w14:paraId="528ADF9A" w14:textId="4DFA492C" w:rsidR="003E0486" w:rsidRPr="00845A6B" w:rsidRDefault="003E0486" w:rsidP="003E0486">
      <w:pPr>
        <w:spacing w:before="120" w:after="120" w:line="360" w:lineRule="auto"/>
        <w:ind w:left="850" w:hanging="850"/>
        <w:rPr>
          <w:b/>
          <w:szCs w:val="24"/>
          <w:lang w:eastAsia="en-US"/>
        </w:rPr>
      </w:pPr>
      <w:r w:rsidRPr="003E0486">
        <w:rPr>
          <w:b/>
          <w:i/>
          <w:szCs w:val="24"/>
          <w:lang w:eastAsia="en-US"/>
        </w:rPr>
        <w:t>8a.</w:t>
      </w:r>
      <w:r w:rsidRPr="003E0486">
        <w:rPr>
          <w:szCs w:val="24"/>
          <w:lang w:eastAsia="en-US"/>
        </w:rPr>
        <w:tab/>
      </w:r>
      <w:r w:rsidRPr="003E0486">
        <w:rPr>
          <w:b/>
          <w:i/>
          <w:szCs w:val="24"/>
          <w:lang w:eastAsia="en-US"/>
        </w:rPr>
        <w:t>Kommissionen tillægges beføjelser til at vedtage delegerede retsakter i overensstemmelse med artikel 261 med henblik på at supplere denne forordning ved at fastsætte, hvilke oplysninger, der skal være indeholdt i betingelserne for ikke at udføre den i stk. 6, litra h), omhandlede kontrol.</w:t>
      </w:r>
      <w:r w:rsidR="00845A6B">
        <w:rPr>
          <w:b/>
          <w:szCs w:val="24"/>
          <w:lang w:eastAsia="en-US"/>
        </w:rPr>
        <w:t xml:space="preserve"> [Ændring 177]</w:t>
      </w:r>
    </w:p>
    <w:p w14:paraId="34B0FD6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52</w:t>
      </w:r>
      <w:r w:rsidRPr="003E0486">
        <w:rPr>
          <w:szCs w:val="24"/>
          <w:lang w:eastAsia="en-US"/>
        </w:rPr>
        <w:br/>
        <w:t>Fælles risikokriterier og -standarder</w:t>
      </w:r>
    </w:p>
    <w:p w14:paraId="04F50AF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 fælles risikokriterier og -standarder omfatter samtlige følgende elementer:</w:t>
      </w:r>
    </w:p>
    <w:p w14:paraId="47B27D5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beskrivelse af risiciene</w:t>
      </w:r>
    </w:p>
    <w:p w14:paraId="257E999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risikofaktorer eller -indikatorer, der skal anvendes til at udvælge varer eller økonomiske operatører til toldkontrol</w:t>
      </w:r>
    </w:p>
    <w:p w14:paraId="794A9AFA" w14:textId="77777777" w:rsidR="0010447A" w:rsidRDefault="0010447A">
      <w:pPr>
        <w:widowControl/>
        <w:rPr>
          <w:szCs w:val="24"/>
          <w:lang w:eastAsia="en-US"/>
        </w:rPr>
      </w:pPr>
      <w:r>
        <w:rPr>
          <w:szCs w:val="24"/>
          <w:lang w:eastAsia="en-US"/>
        </w:rPr>
        <w:br w:type="page"/>
      </w:r>
    </w:p>
    <w:p w14:paraId="04D717CA" w14:textId="64CBCB7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karakteren af den toldkontrol, som toldmyndighederne skal gennemføre</w:t>
      </w:r>
    </w:p>
    <w:p w14:paraId="4AB8635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anvendelsen af risikoanalyse og afhjælpende foranstaltninger i forsyningskæden, herunder anmodninger om oplysninger eller tiltag og instruktioner om ikke at laste eller transportere</w:t>
      </w:r>
    </w:p>
    <w:p w14:paraId="1EC8F5D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varigheden af anvendelsen af den i litra c) nævnte toldkontrol.</w:t>
      </w:r>
    </w:p>
    <w:p w14:paraId="1E8B6F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Ved fastsættelsen af fælles risikokriterier og -standarder tages der hensyn til følgende:</w:t>
      </w:r>
    </w:p>
    <w:p w14:paraId="665398D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om de står i rimeligt forhold til risikoen</w:t>
      </w:r>
    </w:p>
    <w:p w14:paraId="301C6EB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om det er nødvendigt at iværksætte kontrollen omgående</w:t>
      </w:r>
    </w:p>
    <w:p w14:paraId="4DCF414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den virkning for handelsstrømmene og de enkelte medlemsstaters kontrolressourcerne, som med rimelighed kan forventes.</w:t>
      </w:r>
    </w:p>
    <w:p w14:paraId="30CA6C10" w14:textId="77777777" w:rsidR="0010447A" w:rsidRDefault="0010447A">
      <w:pPr>
        <w:widowControl/>
        <w:rPr>
          <w:szCs w:val="24"/>
          <w:lang w:eastAsia="en-US"/>
        </w:rPr>
      </w:pPr>
      <w:r>
        <w:rPr>
          <w:szCs w:val="24"/>
          <w:lang w:eastAsia="en-US"/>
        </w:rPr>
        <w:br w:type="page"/>
      </w:r>
    </w:p>
    <w:p w14:paraId="230958B4" w14:textId="3E2872D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53</w:t>
      </w:r>
      <w:r w:rsidRPr="003E0486">
        <w:rPr>
          <w:szCs w:val="24"/>
          <w:lang w:eastAsia="en-US"/>
        </w:rPr>
        <w:br/>
        <w:t>Oplysninger, der er relevante for risikoforvaltning og kontrol</w:t>
      </w:r>
    </w:p>
    <w:p w14:paraId="389CC589" w14:textId="63A5B879" w:rsidR="003E0486" w:rsidRPr="00845A6B"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Alle risikooplysninger, signaler, risikoanalyseresultater, kontrolanbefalinger, kontrolbeslutninger og kontrolresultater registreres i den operationelle proces, som de vedrører, og i EU's tolddatacenter, uanset om de var baseret på nationale eller fælles risikoanalyser, eller om de var baseret på tilfældig udvælgelse.</w:t>
      </w:r>
      <w:r w:rsidR="00B33553">
        <w:rPr>
          <w:szCs w:val="24"/>
          <w:lang w:eastAsia="en-US"/>
        </w:rPr>
        <w:t xml:space="preserve"> </w:t>
      </w:r>
      <w:r w:rsidRPr="003E0486">
        <w:rPr>
          <w:szCs w:val="24"/>
          <w:lang w:eastAsia="en-US"/>
        </w:rPr>
        <w:t>Toldmyndighederne udveksler risikooplysninger med hinanden, med EU-Toldmyndigheden</w:t>
      </w:r>
      <w:r w:rsidRPr="003E0486">
        <w:rPr>
          <w:strike/>
          <w:szCs w:val="24"/>
          <w:lang w:eastAsia="en-US"/>
        </w:rPr>
        <w:t xml:space="preserve"> og</w:t>
      </w:r>
      <w:r w:rsidRPr="003E0486">
        <w:rPr>
          <w:b/>
          <w:i/>
          <w:szCs w:val="24"/>
          <w:lang w:eastAsia="en-US"/>
        </w:rPr>
        <w:t>,</w:t>
      </w:r>
      <w:r w:rsidRPr="003E0486">
        <w:rPr>
          <w:szCs w:val="24"/>
          <w:lang w:eastAsia="en-US"/>
        </w:rPr>
        <w:t xml:space="preserve"> med Kommissionen</w:t>
      </w:r>
      <w:r w:rsidRPr="003E0486">
        <w:rPr>
          <w:b/>
          <w:i/>
          <w:szCs w:val="24"/>
          <w:lang w:eastAsia="en-US"/>
        </w:rPr>
        <w:t xml:space="preserve"> og med Europol inden for rammerne af Europols mandat</w:t>
      </w:r>
      <w:r w:rsidRPr="003E0486">
        <w:rPr>
          <w:szCs w:val="24"/>
          <w:lang w:eastAsia="en-US"/>
        </w:rPr>
        <w:t>.</w:t>
      </w:r>
      <w:r w:rsidR="00845A6B">
        <w:rPr>
          <w:b/>
          <w:szCs w:val="24"/>
          <w:lang w:eastAsia="en-US"/>
        </w:rPr>
        <w:t xml:space="preserve"> [Ændring 178]</w:t>
      </w:r>
    </w:p>
    <w:p w14:paraId="7152F1E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EU-Toldmyndigheden og Kommissionen har ret til at behandle de elementer, der er omhandlet i denne artikels stk. 1, i overensstemmelse med deres roller og ansvarsområder som omhandlet i artikel 51 og 54.</w:t>
      </w:r>
    </w:p>
    <w:p w14:paraId="16183D8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anvender, hvor det er muligt, EU's tolddatacenter, til at indsamle eller interagere med andre datakilder, dokumenter eller oplysninger, som EU-Toldmyndigheden, Kommissionen eller en toldmyndighed har identificeret som relevante for risikoforvaltningen.</w:t>
      </w:r>
    </w:p>
    <w:p w14:paraId="3AFC7C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Indtil den dato, der er fastsat i artikel 265, stk. 1, udfører Kommissionen EU-Toldmyndighedens opgaver som omhandlet i nærværende artikel.</w:t>
      </w:r>
    </w:p>
    <w:p w14:paraId="038FD711" w14:textId="77777777" w:rsidR="0010447A" w:rsidRDefault="0010447A">
      <w:pPr>
        <w:widowControl/>
        <w:rPr>
          <w:szCs w:val="24"/>
          <w:lang w:eastAsia="en-US"/>
        </w:rPr>
      </w:pPr>
      <w:r>
        <w:rPr>
          <w:szCs w:val="24"/>
          <w:lang w:eastAsia="en-US"/>
        </w:rPr>
        <w:br w:type="page"/>
      </w:r>
    </w:p>
    <w:p w14:paraId="033DE6B2" w14:textId="60A0600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54</w:t>
      </w:r>
      <w:r w:rsidRPr="003E0486">
        <w:rPr>
          <w:szCs w:val="24"/>
          <w:lang w:eastAsia="en-US"/>
        </w:rPr>
        <w:br/>
        <w:t>Evaluering af toldrisikoforvaltningen</w:t>
      </w:r>
    </w:p>
    <w:p w14:paraId="78C7FBA0" w14:textId="340A7F9A" w:rsidR="003E0486" w:rsidRPr="00845A6B"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Kommissionen evaluerer mindst hvert </w:t>
      </w:r>
      <w:r w:rsidRPr="003E0486">
        <w:rPr>
          <w:strike/>
          <w:szCs w:val="24"/>
          <w:lang w:eastAsia="en-US"/>
        </w:rPr>
        <w:t xml:space="preserve">andet </w:t>
      </w:r>
      <w:r w:rsidRPr="003E0486">
        <w:rPr>
          <w:szCs w:val="24"/>
          <w:lang w:eastAsia="en-US"/>
        </w:rPr>
        <w:t>år</w:t>
      </w:r>
      <w:r w:rsidRPr="003E0486">
        <w:rPr>
          <w:b/>
          <w:i/>
          <w:szCs w:val="24"/>
          <w:lang w:eastAsia="en-US"/>
        </w:rPr>
        <w:t xml:space="preserve"> </w:t>
      </w:r>
      <w:r w:rsidRPr="003E0486">
        <w:rPr>
          <w:szCs w:val="24"/>
          <w:lang w:eastAsia="en-US"/>
        </w:rPr>
        <w:t>i samarbejde med EU-Toldmyndigheden og toldmyndighederne gennemførelsen af risikoforvaltningen med henblik på løbende at forbedre dens operationelle og strategiske effektivitet</w:t>
      </w:r>
      <w:r w:rsidR="003D27AF" w:rsidRPr="003D27AF">
        <w:rPr>
          <w:b/>
          <w:i/>
          <w:szCs w:val="24"/>
          <w:lang w:eastAsia="en-US"/>
        </w:rPr>
        <w:t xml:space="preserve"> </w:t>
      </w:r>
      <w:r w:rsidR="003D27AF" w:rsidRPr="003E0486">
        <w:rPr>
          <w:b/>
          <w:i/>
          <w:szCs w:val="24"/>
          <w:lang w:eastAsia="en-US"/>
        </w:rPr>
        <w:t>og offentliggør alle evalueringer</w:t>
      </w:r>
      <w:r w:rsidR="003D27AF">
        <w:rPr>
          <w:szCs w:val="24"/>
          <w:lang w:eastAsia="en-US"/>
        </w:rPr>
        <w:t>.</w:t>
      </w:r>
      <w:r w:rsidRPr="003E0486">
        <w:rPr>
          <w:szCs w:val="24"/>
          <w:lang w:eastAsia="en-US"/>
        </w:rPr>
        <w:t xml:space="preserve"> Kommissionen kan desuden løbende tilrettelægge evalueringsaktiviteter, hvor den finder det nødvendigt.</w:t>
      </w:r>
      <w:r w:rsidR="00845A6B">
        <w:rPr>
          <w:b/>
          <w:szCs w:val="24"/>
          <w:lang w:eastAsia="en-US"/>
        </w:rPr>
        <w:t xml:space="preserve"> [Ændring 179]</w:t>
      </w:r>
    </w:p>
    <w:p w14:paraId="2B0D157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 henblik herpå indsamler og analyserer EU-Toldmyndigheden relevante oplysninger og udfører alle nødvendige aktiviteter. EU-Toldmyndigheden kan anmode om periodiske rapporter eller ad hoc-rapporter fra en eller flere medlemsstater i denne henseende.</w:t>
      </w:r>
    </w:p>
    <w:p w14:paraId="2FFDA68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kan med henblik herpå og for at varetage sin rolle og sit ansvar i henhold til dette afsnit behandle alle relevante oplysninger, der er tilgængelige via EU's tolddatacenter, og den kan anmode om yderligere oplysninger fra EU-Toldmyndigheden og fra nationale myndigheder.</w:t>
      </w:r>
    </w:p>
    <w:p w14:paraId="178F830B" w14:textId="77777777" w:rsidR="0010447A" w:rsidRDefault="0010447A">
      <w:pPr>
        <w:widowControl/>
        <w:rPr>
          <w:szCs w:val="24"/>
          <w:lang w:eastAsia="en-US"/>
        </w:rPr>
      </w:pPr>
      <w:r>
        <w:rPr>
          <w:szCs w:val="24"/>
          <w:lang w:eastAsia="en-US"/>
        </w:rPr>
        <w:br w:type="page"/>
      </w:r>
    </w:p>
    <w:p w14:paraId="30EABEF8" w14:textId="403A4C5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Ved fastlæggelsen af fælles risikokriterier og fælles prioriterede kontrolområder tager Kommissionen, såfremt det er relevant, hensyn til evalueringer, der er foretaget i henhold til denne artikel.</w:t>
      </w:r>
    </w:p>
    <w:p w14:paraId="38AD0AD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55</w:t>
      </w:r>
      <w:r w:rsidRPr="003E0486">
        <w:rPr>
          <w:szCs w:val="24"/>
          <w:lang w:eastAsia="en-US"/>
        </w:rPr>
        <w:br/>
        <w:t>Tillæggelse af gennemførelsesbeføjelser</w:t>
      </w:r>
    </w:p>
    <w:p w14:paraId="618565F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Kommissionen vedtager ved hjælp af gennemførelsesretsakter foranstaltninger til at sikre en harmoniseret anvendelse af toldkontrol og risikoforvaltning, herunder udveksling af oplysninger, fastlæggelse af fælles risikokriterier og -standarder og fælles prioriterede kontrolområder som omhandlet i dette afsnit. Disse foranstaltninger skal mindst vedrøre følgende elementer:</w:t>
      </w:r>
    </w:p>
    <w:p w14:paraId="55A4C33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oplysninger, der skal registreres i EU's tolddatacenter i forbindelse med risikoforvaltning og -kontrol, herunder med hensyn til risikooplysninger, resultater af risikoanalyser, kontrolanbefalinger, kontrolbeslutninger og kontrolresultater samt retten til at tilgå og behandle sådanne oplysninger</w:t>
      </w:r>
    </w:p>
    <w:p w14:paraId="2CE1E7B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proceduremæssige foranstaltninger til midlertidig anvendelse af eller adgang til eksisterende toldinformationssystemer proceduremæssige foranstaltninger til forvaltning af interoperabiliteten mellem EU's tolddatacenter og andre systemer</w:t>
      </w:r>
    </w:p>
    <w:p w14:paraId="43D8A222" w14:textId="77777777" w:rsidR="0010447A" w:rsidRDefault="0010447A">
      <w:pPr>
        <w:widowControl/>
        <w:rPr>
          <w:szCs w:val="24"/>
          <w:lang w:eastAsia="en-US"/>
        </w:rPr>
      </w:pPr>
      <w:r>
        <w:rPr>
          <w:szCs w:val="24"/>
          <w:lang w:eastAsia="en-US"/>
        </w:rPr>
        <w:br w:type="page"/>
      </w:r>
    </w:p>
    <w:p w14:paraId="7182AC3F" w14:textId="77A303E0"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proceduremæssige foranstaltninger i forbindelse med anvendelsen af rapporteringskravet i relation til kontrol efter frigivelse og stikprøvekontrol</w:t>
      </w:r>
    </w:p>
    <w:p w14:paraId="3D16CE2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ordninger for samarbejde, herunder udveksling af oplysninger, mellem EU-Toldmyndigheden og andre specifikke EU-institutter, -organer og -kontorer og andre nationale kompetente myndigheder</w:t>
      </w:r>
    </w:p>
    <w:p w14:paraId="2EEF329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identifikation af den ansvarlige toldmyndighed i tilfælde af specifikke risikoforvaltningsprocesser, som kan vedrøre mere end én medlemsstat</w:t>
      </w:r>
    </w:p>
    <w:p w14:paraId="297499D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proceduremæssige aspekter af kontrol, herunder kontrol efter frigivelse, som vedrører mere end én medlemsstat, og tilgængeligheden af resultater af stikprøver og andre kontroller de berørte toldmyndigheder imellem</w:t>
      </w:r>
    </w:p>
    <w:p w14:paraId="793E451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ordninger for udveksling af risikooplysninger mellem toldmyndighederne, EU-Toldmyndigheden og med Kommissionen</w:t>
      </w:r>
    </w:p>
    <w:p w14:paraId="64ED4C7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fælles prioriterede kontrolområder og fælles risikokriterier og -standarder som omhandlet i artikel 51, stk. 1 og 2, og artikel 52, herunder de nærmere bestemmelser for deres hastende anvendelse, hvis det er nødvendigt.</w:t>
      </w:r>
    </w:p>
    <w:p w14:paraId="7E9C15AC"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7EF9D89D" w14:textId="77777777" w:rsidR="005945B0" w:rsidRDefault="005945B0">
      <w:pPr>
        <w:widowControl/>
        <w:rPr>
          <w:szCs w:val="24"/>
          <w:lang w:eastAsia="en-US"/>
        </w:rPr>
      </w:pPr>
      <w:r>
        <w:rPr>
          <w:szCs w:val="24"/>
          <w:lang w:eastAsia="en-US"/>
        </w:rPr>
        <w:br w:type="page"/>
      </w:r>
    </w:p>
    <w:p w14:paraId="44F86584" w14:textId="355452D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 særligt hastende tilfælde, der vedrører sådanne foranstaltninger, herunder de nærmere bestemmelser for deres hastende anvendelse for at reagere effektivt på kriser eller hændelser, der kan udgøre en overhængende sikkerhedsrisiko, og hvor det er behørigt begrundet i behovet for hurtigt at ajourføre den fælles risikoforvaltning og tilpasse udvekslingen af oplysninger, fælles risikokriterier og -standarder og fælles prioriterede kontrolområder til risikoudviklingen, vedtager Kommissionen efter proceduren i artikel 262, stk. 5, gennemførelsesretsakter, der finder anvendelse straks.</w:t>
      </w:r>
    </w:p>
    <w:p w14:paraId="085B408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Afsnit V </w:t>
      </w:r>
      <w:r w:rsidRPr="003E0486">
        <w:rPr>
          <w:szCs w:val="24"/>
          <w:lang w:eastAsia="en-US"/>
        </w:rPr>
        <w:br/>
        <w:t>HENFØRSEL AF VARER UNDER EN TOLDPROCEDURE</w:t>
      </w:r>
    </w:p>
    <w:p w14:paraId="2FC6A6FA"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Varers toldmæssige status</w:t>
      </w:r>
    </w:p>
    <w:p w14:paraId="73007FF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56</w:t>
      </w:r>
      <w:r w:rsidRPr="003E0486">
        <w:rPr>
          <w:szCs w:val="24"/>
          <w:lang w:eastAsia="en-US"/>
        </w:rPr>
        <w:br/>
        <w:t>Formodning om varers toldmæssige status som EU-varer</w:t>
      </w:r>
    </w:p>
    <w:p w14:paraId="7539001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Alle varer inden for Unionens toldområde formodes at have toldmæssig status som EU-varer, medmindre det bliver fastslået, at de ikke er EU-varer.</w:t>
      </w:r>
    </w:p>
    <w:p w14:paraId="26C54D6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specifikke tilfælde, hvor formodningen i stk. 1 ikke gælder, skal varers toldmæssige status som EU-varer bevises.</w:t>
      </w:r>
    </w:p>
    <w:p w14:paraId="32C5505F" w14:textId="77777777" w:rsidR="005945B0" w:rsidRDefault="005945B0">
      <w:pPr>
        <w:widowControl/>
        <w:rPr>
          <w:szCs w:val="24"/>
          <w:lang w:eastAsia="en-US"/>
        </w:rPr>
      </w:pPr>
      <w:r>
        <w:rPr>
          <w:szCs w:val="24"/>
          <w:lang w:eastAsia="en-US"/>
        </w:rPr>
        <w:br w:type="page"/>
      </w:r>
    </w:p>
    <w:p w14:paraId="7A36E9D7" w14:textId="51F8042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I specifikke tilfælde har varer, som fuldt ud er fremstillet inden for Unionens toldområde, ikke toldmæssig status som EU-varer, hvis de er fremstillet af varer under midlertidig opbevaring, eller varer, som er henført under proceduren for ekstern forsendelse, en oplagringsprocedure, proceduren for midlertidig import eller proceduren for aktiv forædling.</w:t>
      </w:r>
    </w:p>
    <w:p w14:paraId="27B5C84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w:t>
      </w:r>
    </w:p>
    <w:p w14:paraId="03D035D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specifikke tilfælde, hvor den i stk. 1, omhandlede formodning ikke gælder</w:t>
      </w:r>
    </w:p>
    <w:p w14:paraId="65AF275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betingelserne for at gøre det lettere at føre bevis for toldmæssig status som EU-varer</w:t>
      </w:r>
    </w:p>
    <w:p w14:paraId="0B8610F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specifikke tilfælde, hvor de varer, der er omhandlet i stk. 3, ikke har toldmæssig status som EU-varer</w:t>
      </w:r>
    </w:p>
    <w:p w14:paraId="3144FEE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procedurereglerne for forelæggelse og kontrol af bevis for toldmæssig status som EU-varer. Disse gennemførelsesretsakter vedtages efter undersøgelsesproceduren i artikel 262, stk. 4.</w:t>
      </w:r>
    </w:p>
    <w:p w14:paraId="32A6F711" w14:textId="77777777" w:rsidR="005945B0" w:rsidRDefault="005945B0">
      <w:pPr>
        <w:widowControl/>
        <w:rPr>
          <w:szCs w:val="24"/>
          <w:lang w:eastAsia="en-US"/>
        </w:rPr>
      </w:pPr>
      <w:r>
        <w:rPr>
          <w:szCs w:val="24"/>
          <w:lang w:eastAsia="en-US"/>
        </w:rPr>
        <w:br w:type="page"/>
      </w:r>
    </w:p>
    <w:p w14:paraId="3EF4192B" w14:textId="56A9296C"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57</w:t>
      </w:r>
      <w:r w:rsidRPr="003E0486">
        <w:rPr>
          <w:szCs w:val="24"/>
          <w:lang w:eastAsia="en-US"/>
        </w:rPr>
        <w:br/>
        <w:t>Tab af varers toldmæssige status som EU-varer</w:t>
      </w:r>
    </w:p>
    <w:p w14:paraId="35766F5F" w14:textId="77777777" w:rsidR="003E0486" w:rsidRPr="003E0486" w:rsidRDefault="003E0486" w:rsidP="003E0486">
      <w:pPr>
        <w:spacing w:before="120" w:after="120" w:line="360" w:lineRule="auto"/>
        <w:rPr>
          <w:szCs w:val="24"/>
          <w:lang w:eastAsia="en-US"/>
        </w:rPr>
      </w:pPr>
      <w:r w:rsidRPr="003E0486">
        <w:rPr>
          <w:szCs w:val="24"/>
          <w:lang w:eastAsia="en-US"/>
        </w:rPr>
        <w:t>EU-varer bliver til ikke-EU-varer i følgende tilfælde:</w:t>
      </w:r>
    </w:p>
    <w:p w14:paraId="1B9B66C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når de er ført ud af Unionens toldområde, for så vidt reglerne om intern forsendelse ikke finder anvendelse</w:t>
      </w:r>
    </w:p>
    <w:p w14:paraId="33C3B7C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(b)</w:t>
      </w:r>
      <w:r w:rsidRPr="003E0486">
        <w:rPr>
          <w:szCs w:val="24"/>
          <w:lang w:eastAsia="en-US"/>
        </w:rPr>
        <w:tab/>
        <w:t>når de er blevet henført under proceduren for ekstern forsendelse, en oplagringsprocedure eller proceduren for aktiv forædling, for så vidt toldlovgivningen tillader det</w:t>
      </w:r>
    </w:p>
    <w:p w14:paraId="766DA64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når de er blevet henført under proceduren for særligt anvendelsesformål og efterfølgende enten afstås til staten eller er blevet tilintetgjort og omdannet til affald</w:t>
      </w:r>
    </w:p>
    <w:p w14:paraId="678FF3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(d)</w:t>
      </w:r>
      <w:r w:rsidRPr="003E0486">
        <w:rPr>
          <w:szCs w:val="24"/>
          <w:lang w:eastAsia="en-US"/>
        </w:rPr>
        <w:tab/>
        <w:t>når angivelsen om overgang til fri omsætning erklæres ugyldig efter frigivelsen af varerne.</w:t>
      </w:r>
    </w:p>
    <w:p w14:paraId="187BECC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58</w:t>
      </w:r>
      <w:r w:rsidRPr="003E0486">
        <w:rPr>
          <w:szCs w:val="24"/>
          <w:lang w:eastAsia="en-US"/>
        </w:rPr>
        <w:br/>
        <w:t>EU-varer, der forlader Unionens toldområde midlertidigt</w:t>
      </w:r>
    </w:p>
    <w:p w14:paraId="6537723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de i artikel 112, stk. 2, litra b), c), d) og e), omhandlede tilfælde bevarer varer kun deres toldmæssige status som EU-varer, hvis denne status er godtgjort på de betingelser og ved hjælp af de metoder, der er fastsat i toldlovgivningen.</w:t>
      </w:r>
    </w:p>
    <w:p w14:paraId="08D823AD" w14:textId="77777777" w:rsidR="005945B0" w:rsidRDefault="005945B0">
      <w:pPr>
        <w:widowControl/>
        <w:rPr>
          <w:szCs w:val="24"/>
          <w:lang w:eastAsia="en-US"/>
        </w:rPr>
      </w:pPr>
      <w:r>
        <w:rPr>
          <w:szCs w:val="24"/>
          <w:lang w:eastAsia="en-US"/>
        </w:rPr>
        <w:br w:type="page"/>
      </w:r>
    </w:p>
    <w:p w14:paraId="1B26C091" w14:textId="4A61110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 specifikke tilfælde kan EU-varer uden at være omfattet af nogen toldprocedure føres fra et sted til et andet inden for Unionens toldområde og midlertidigt føres ud af dette område, uden at deres toldmæssige status ændres.</w:t>
      </w:r>
    </w:p>
    <w:p w14:paraId="38B640C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tillægges beføjelser til at vedtage delegerede retsakter i overensstemmelse med artikel 261 med henblik på at supplere denne forordning ved at fastsætte de specifikke tilfælde, hvor den toldmæssige status for de varer, der er omhandlet i stk. 2, ikke ændres.</w:t>
      </w:r>
    </w:p>
    <w:p w14:paraId="42E11FA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Henførsel og frigivelse</w:t>
      </w:r>
    </w:p>
    <w:p w14:paraId="5187934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59</w:t>
      </w:r>
      <w:r w:rsidRPr="003E0486">
        <w:rPr>
          <w:szCs w:val="24"/>
          <w:lang w:eastAsia="en-US"/>
        </w:rPr>
        <w:br/>
        <w:t xml:space="preserve">Henførsel af varer under en toldprocedure </w:t>
      </w:r>
    </w:p>
    <w:p w14:paraId="59299C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Importører, eksportører og personer, der er ansvarlige for proceduren, og som har til hensigt at henføre varer under en toldprocedure, meddeler eller sørger for tilgængelighed af de data, der er nødvendige for den pågældende procedure, så snart de foreligger, og under alle omstændigheder inden varernes frigivelse.</w:t>
      </w:r>
    </w:p>
    <w:p w14:paraId="2C7328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Formelle importører meddeler eller sørger for tilgængelighed af oplysningerne om fjernsalg af varer, der skal importeres i Unionens toldområde, senest dagen efter den dato, hvor betalingen blev modtaget, og under alle omstændigheder inden varerne frigives.</w:t>
      </w:r>
    </w:p>
    <w:p w14:paraId="53AB457D" w14:textId="77777777" w:rsidR="005945B0" w:rsidRDefault="005945B0">
      <w:pPr>
        <w:widowControl/>
        <w:rPr>
          <w:szCs w:val="24"/>
          <w:lang w:eastAsia="en-US"/>
        </w:rPr>
      </w:pPr>
      <w:r>
        <w:rPr>
          <w:szCs w:val="24"/>
          <w:lang w:eastAsia="en-US"/>
        </w:rPr>
        <w:br w:type="page"/>
      </w:r>
    </w:p>
    <w:p w14:paraId="58E266D0" w14:textId="66DD524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Uanset stk. 1 kan toldmyndighederne under behørigt begrundede omstændigheder i forbindelse med dokumentationen eller fastsættelsen af varernes endelige værdi tillade, at tillid og kontrol-erhvervsdrivende fremsender en del af dataene, bortset fra forhåndsoplysninger for fragt, efter frigivelsen af varerne. Importøren eller eksportøren meddeler de udeladte oplysninger inden for en specifik frist.</w:t>
      </w:r>
    </w:p>
    <w:p w14:paraId="008F208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Varerne skal henføres under toldproceduren, når de frigives. Datoen for frigivelsen er, medmindre andet er fastsat, den dato, der lægges til grund for anvendelsen af de bestemmelser, der gælder for den toldprocedure, som varerne henføres under, og for alle andre import- eller eksportformaliteter.</w:t>
      </w:r>
    </w:p>
    <w:p w14:paraId="0DDF31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de data og oplysninger, der er omhandlet i nærværende artikels stk. 1 og 2, og de specifikke data, der kan fremsendes efter varernes frigivelse, og fristerne for fremsendelse af sådanne data, jf. nærværende artikels stk. 3.</w:t>
      </w:r>
    </w:p>
    <w:p w14:paraId="4528CAA3" w14:textId="77777777" w:rsidR="005945B0" w:rsidRDefault="005945B0">
      <w:pPr>
        <w:widowControl/>
        <w:rPr>
          <w:szCs w:val="24"/>
          <w:lang w:eastAsia="en-US"/>
        </w:rPr>
      </w:pPr>
      <w:r>
        <w:rPr>
          <w:szCs w:val="24"/>
          <w:lang w:eastAsia="en-US"/>
        </w:rPr>
        <w:br w:type="page"/>
      </w:r>
    </w:p>
    <w:p w14:paraId="4679369D" w14:textId="6C95AD5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60</w:t>
      </w:r>
      <w:r w:rsidRPr="003E0486">
        <w:rPr>
          <w:szCs w:val="24"/>
          <w:lang w:eastAsia="en-US"/>
        </w:rPr>
        <w:br/>
        <w:t>Frigivelse af varerne</w:t>
      </w:r>
    </w:p>
    <w:p w14:paraId="3330F3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 toldmyndigheder, der er ansvarlige for henførslen af varerne under en toldprocedure i overensstemmelse med artikel 42, stk. 3, træffer afgørelse om frigivelse af varerne under hensyntagen til resultatet af risikoanalysen af de data, som importøren eller eksportøren har fremsendt, og, hvor det er relevant, resultaterne af en eventuel kontrol.</w:t>
      </w:r>
    </w:p>
    <w:p w14:paraId="77FE0C8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Varer frigives, hvis følgende betingelser er opfyldt:</w:t>
      </w:r>
    </w:p>
    <w:p w14:paraId="68343A23" w14:textId="2D37F416" w:rsidR="003E0486" w:rsidRPr="00845A6B"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en importør</w:t>
      </w:r>
      <w:r w:rsidRPr="003E0486">
        <w:rPr>
          <w:b/>
          <w:i/>
          <w:szCs w:val="24"/>
          <w:lang w:eastAsia="en-US"/>
        </w:rPr>
        <w:t>, ansvarlig person</w:t>
      </w:r>
      <w:r w:rsidRPr="003E0486">
        <w:rPr>
          <w:szCs w:val="24"/>
          <w:lang w:eastAsia="en-US"/>
        </w:rPr>
        <w:t xml:space="preserve"> eller eksportør er ansvarlig for varerne</w:t>
      </w:r>
      <w:r w:rsidR="00845A6B">
        <w:rPr>
          <w:b/>
          <w:szCs w:val="24"/>
          <w:lang w:eastAsia="en-US"/>
        </w:rPr>
        <w:t xml:space="preserve"> [Ændring 180]</w:t>
      </w:r>
    </w:p>
    <w:p w14:paraId="36A7447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alle oplysninger, som toldmyndighederne anmoder om, og de oplysninger, der som minimum er nødvendige for den pågældende procedure, er blevet meddelt toldmyndighederne eller gjort tilgængelige for dem</w:t>
      </w:r>
    </w:p>
    <w:p w14:paraId="49FAEE8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betingelserne for henførsel af varerne under den pågældende procedure i henhold til artikel 88, 118, 132 og 135 er opfyldt</w:t>
      </w:r>
    </w:p>
    <w:p w14:paraId="3A9CEA8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varerne er ikke blevet udtaget til kontrol.</w:t>
      </w:r>
    </w:p>
    <w:p w14:paraId="1F101DFC" w14:textId="77777777" w:rsidR="005945B0" w:rsidRDefault="005945B0">
      <w:pPr>
        <w:widowControl/>
        <w:rPr>
          <w:szCs w:val="24"/>
          <w:lang w:eastAsia="en-US"/>
        </w:rPr>
      </w:pPr>
      <w:r>
        <w:rPr>
          <w:szCs w:val="24"/>
          <w:lang w:eastAsia="en-US"/>
        </w:rPr>
        <w:br w:type="page"/>
      </w:r>
    </w:p>
    <w:p w14:paraId="30DE6688" w14:textId="48F2A0D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Toldmyndighederne afviser frigivelsen i alle følgende tilfælde:</w:t>
      </w:r>
    </w:p>
    <w:p w14:paraId="5F10444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betingelserne for at henføre varerne under den pågældende procedure ikke er opfyldt, herunder eventuelle ikketoldrelaterede EU-formaliteter som defineret i artikel 2, nr. 11), i forordning (EU) 2022/2399, der er relevante for varerne</w:t>
      </w:r>
    </w:p>
    <w:p w14:paraId="0E191019" w14:textId="780E30A1" w:rsidR="003E0486" w:rsidRPr="00845A6B"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hvis de har bevis for, at varerne ikke er i overensstemmelse med relevant anden lovgivning, der anvendes af toldmyndighederne</w:t>
      </w:r>
      <w:r w:rsidRPr="003E0486">
        <w:rPr>
          <w:strike/>
          <w:szCs w:val="24"/>
          <w:lang w:eastAsia="en-US"/>
        </w:rPr>
        <w:t>, medmindre denne lovgivning kræver forudgående høring af andre myndigheder</w:t>
      </w:r>
      <w:r w:rsidR="00845A6B">
        <w:rPr>
          <w:b/>
          <w:szCs w:val="24"/>
          <w:lang w:eastAsia="en-US"/>
        </w:rPr>
        <w:t xml:space="preserve"> [Ændring 181]</w:t>
      </w:r>
    </w:p>
    <w:p w14:paraId="728B458D" w14:textId="7A7A7FA8" w:rsidR="003E0486" w:rsidRPr="00845A6B" w:rsidRDefault="000419BF"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ba)</w:t>
      </w:r>
      <w:r w:rsidR="003E0486" w:rsidRPr="003E0486">
        <w:rPr>
          <w:szCs w:val="24"/>
          <w:lang w:eastAsia="en-US"/>
        </w:rPr>
        <w:tab/>
      </w:r>
      <w:r w:rsidR="003E0486" w:rsidRPr="003E0486">
        <w:rPr>
          <w:b/>
          <w:i/>
          <w:szCs w:val="24"/>
          <w:lang w:eastAsia="en-US"/>
        </w:rPr>
        <w:t>hvis anden lovgivning kræver høring af andre myndigheder</w:t>
      </w:r>
      <w:r w:rsidR="00845A6B">
        <w:rPr>
          <w:b/>
          <w:szCs w:val="24"/>
          <w:lang w:eastAsia="en-US"/>
        </w:rPr>
        <w:t xml:space="preserve"> [Ændring 182]</w:t>
      </w:r>
    </w:p>
    <w:p w14:paraId="63F8347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de har bevis for, at de fremsendte oplysninger ikke er korrekte.</w:t>
      </w:r>
    </w:p>
    <w:p w14:paraId="4400EDE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Toldmyndighederne suspenderer frigivelsen i følgende tilfælde:</w:t>
      </w:r>
    </w:p>
    <w:p w14:paraId="72B4883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de har grund til at tro, at varerne ikke er i overensstemmelse med relevant anden lovgivning, der anvendes af toldmyndighederne, eller at de udgør en alvorlig risiko for menneskers, dyrs eller planters sundhed og liv eller for miljøet eller andre samfundsinteresser, herunder finansielle interesser, eller</w:t>
      </w:r>
    </w:p>
    <w:p w14:paraId="12DBA8F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hvis andre myndigheder har anmodet herom i henhold til anden lovgivning, der anvendes af toldmyndighederne.</w:t>
      </w:r>
    </w:p>
    <w:p w14:paraId="6ABD0291" w14:textId="77777777" w:rsidR="005945B0" w:rsidRDefault="005945B0">
      <w:pPr>
        <w:widowControl/>
        <w:rPr>
          <w:szCs w:val="24"/>
          <w:lang w:eastAsia="en-US"/>
        </w:rPr>
      </w:pPr>
      <w:r>
        <w:rPr>
          <w:szCs w:val="24"/>
          <w:lang w:eastAsia="en-US"/>
        </w:rPr>
        <w:br w:type="page"/>
      </w:r>
    </w:p>
    <w:p w14:paraId="0FEEAC22" w14:textId="485B1EE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Når frigivelsen er blevet suspenderet i overensstemmelse med stk. 4, hører toldmyndighederne andre myndigheder, hvis den relevante anden lovgivning, der anvendes af toldmyndighederne, kræver det, og:</w:t>
      </w:r>
    </w:p>
    <w:p w14:paraId="524E4CF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afviser frigivelsen, hvis de andre myndigheder har anmodet herom i henhold til anden lovgivning, der anvendes af toldmyndighederne. eller</w:t>
      </w:r>
    </w:p>
    <w:p w14:paraId="20ECB8C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frigiver varerne, hvis der ingen grund er til at tro, at andre krav og formaliteter i anden lovgivning, der anvendes af toldmyndighederne i forbindelse med en sådan frigivelse, ikke er opfyldt, og:</w:t>
      </w:r>
    </w:p>
    <w:p w14:paraId="347900C9" w14:textId="48804E36"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de andre myndigheder har godkendt frigivelsen, eller</w:t>
      </w:r>
    </w:p>
    <w:p w14:paraId="211FE0BC" w14:textId="7D4542F5" w:rsidR="003E0486" w:rsidRPr="00845A6B" w:rsidRDefault="000419BF" w:rsidP="003E0486">
      <w:pPr>
        <w:spacing w:before="120" w:after="120" w:line="360" w:lineRule="auto"/>
        <w:ind w:left="1982" w:hanging="566"/>
        <w:rPr>
          <w:b/>
          <w:szCs w:val="24"/>
          <w:lang w:eastAsia="en-US"/>
        </w:rPr>
      </w:pPr>
      <w:r>
        <w:rPr>
          <w:strike/>
          <w:szCs w:val="24"/>
          <w:lang w:eastAsia="en-US"/>
        </w:rPr>
        <w:t>(</w:t>
      </w:r>
      <w:r w:rsidR="003E0486" w:rsidRPr="003E0486">
        <w:rPr>
          <w:strike/>
          <w:szCs w:val="24"/>
          <w:lang w:eastAsia="en-US"/>
        </w:rPr>
        <w:t>ii</w:t>
      </w:r>
      <w:r w:rsidR="003E0486" w:rsidRPr="008855A6">
        <w:rPr>
          <w:strike/>
          <w:szCs w:val="24"/>
          <w:lang w:eastAsia="en-US"/>
        </w:rPr>
        <w:t>)</w:t>
      </w:r>
      <w:r w:rsidR="003E0486" w:rsidRPr="003740C4">
        <w:rPr>
          <w:strike/>
          <w:szCs w:val="24"/>
          <w:lang w:eastAsia="en-US"/>
        </w:rPr>
        <w:tab/>
      </w:r>
      <w:r w:rsidR="003E0486" w:rsidRPr="003E0486">
        <w:rPr>
          <w:strike/>
          <w:szCs w:val="24"/>
          <w:lang w:eastAsia="en-US"/>
        </w:rPr>
        <w:t>de andre myndigheder ikke har svaret inden for den frist, der er fastsat i den anden relevante lovgivning, der anvendes af toldmyndighederne, eller</w:t>
      </w:r>
      <w:r w:rsidR="00845A6B">
        <w:rPr>
          <w:b/>
          <w:szCs w:val="24"/>
          <w:lang w:eastAsia="en-US"/>
        </w:rPr>
        <w:t xml:space="preserve"> [Ændring 183]</w:t>
      </w:r>
    </w:p>
    <w:p w14:paraId="73BBFF41" w14:textId="77777777" w:rsidR="005945B0" w:rsidRDefault="005945B0">
      <w:pPr>
        <w:widowControl/>
        <w:rPr>
          <w:szCs w:val="24"/>
          <w:lang w:eastAsia="en-US"/>
        </w:rPr>
      </w:pPr>
      <w:r>
        <w:rPr>
          <w:szCs w:val="24"/>
          <w:lang w:eastAsia="en-US"/>
        </w:rPr>
        <w:br w:type="page"/>
      </w:r>
    </w:p>
    <w:p w14:paraId="5EFD4B3C" w14:textId="6526ACEF" w:rsidR="003E0486" w:rsidRPr="00845A6B" w:rsidRDefault="000419BF" w:rsidP="003E0486">
      <w:pPr>
        <w:spacing w:before="120" w:after="120" w:line="360" w:lineRule="auto"/>
        <w:ind w:left="1982" w:hanging="566"/>
        <w:rPr>
          <w:b/>
          <w:szCs w:val="24"/>
          <w:lang w:eastAsia="en-US"/>
        </w:rPr>
      </w:pPr>
      <w:r>
        <w:rPr>
          <w:szCs w:val="24"/>
          <w:lang w:eastAsia="en-US"/>
        </w:rPr>
        <w:lastRenderedPageBreak/>
        <w:t>(</w:t>
      </w:r>
      <w:r w:rsidR="003E0486" w:rsidRPr="003E0486">
        <w:rPr>
          <w:szCs w:val="24"/>
          <w:lang w:eastAsia="en-US"/>
        </w:rPr>
        <w:t>iii)</w:t>
      </w:r>
      <w:r w:rsidR="003E0486" w:rsidRPr="003E0486">
        <w:rPr>
          <w:szCs w:val="24"/>
          <w:lang w:eastAsia="en-US"/>
        </w:rPr>
        <w:tab/>
        <w:t>de andre myndigheder underretter toldmyndighederne om, at der er behov for mere tid til at vurdere, om varerne er i overensstemmelse med den relevante anden lovgivning, der anvendes af toldmyndighederne, forudsat at de ikke har anmodet om at opretholde suspensionen, og at importøren</w:t>
      </w:r>
      <w:r w:rsidR="003E0486" w:rsidRPr="003E0486">
        <w:rPr>
          <w:b/>
          <w:i/>
          <w:szCs w:val="24"/>
          <w:lang w:eastAsia="en-US"/>
        </w:rPr>
        <w:t>, den ansvarlige person</w:t>
      </w:r>
      <w:r w:rsidR="003E0486" w:rsidRPr="003E0486">
        <w:rPr>
          <w:szCs w:val="24"/>
          <w:lang w:eastAsia="en-US"/>
        </w:rPr>
        <w:t xml:space="preserve"> eller eksportøren sørger for, at toldmyndighederne kan spore disse varer fuldt ud</w:t>
      </w:r>
      <w:r w:rsidR="003E0486" w:rsidRPr="003E0486">
        <w:rPr>
          <w:strike/>
          <w:szCs w:val="24"/>
          <w:lang w:eastAsia="en-US"/>
        </w:rPr>
        <w:t xml:space="preserve"> i 15 dage regnet fra underretningen</w:t>
      </w:r>
      <w:r w:rsidR="003E0486" w:rsidRPr="003E0486">
        <w:rPr>
          <w:szCs w:val="24"/>
          <w:lang w:eastAsia="en-US"/>
        </w:rPr>
        <w:t xml:space="preserve"> fra de andre myndigheder, eller indtil de andre myndigheder har vurderet og meddelt resultatet af deres kontrol til importøren</w:t>
      </w:r>
      <w:r w:rsidR="003E0486" w:rsidRPr="003E0486">
        <w:rPr>
          <w:b/>
          <w:i/>
          <w:szCs w:val="24"/>
          <w:lang w:eastAsia="en-US"/>
        </w:rPr>
        <w:t>, den ansvarlige person</w:t>
      </w:r>
      <w:r w:rsidR="003E0486" w:rsidRPr="003E0486">
        <w:rPr>
          <w:szCs w:val="24"/>
          <w:lang w:eastAsia="en-US"/>
        </w:rPr>
        <w:t xml:space="preserve"> eller eksportøren, alt efter hvad der kommer først. Toldmyndighederne sørger for, at de andre myndigheder også får adgang til sporingen.</w:t>
      </w:r>
      <w:r w:rsidR="00845A6B">
        <w:rPr>
          <w:b/>
          <w:szCs w:val="24"/>
          <w:lang w:eastAsia="en-US"/>
        </w:rPr>
        <w:t xml:space="preserve"> [Ændring 184]</w:t>
      </w:r>
    </w:p>
    <w:p w14:paraId="363C2CD1" w14:textId="7604F4F1" w:rsidR="003E0486" w:rsidRPr="00845A6B"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 xml:space="preserve">Uden at det berører relevant anden lovgivning, der anvendes af toldmyndighederne, anses toldmyndighederne for at have frigivet varerne, hvis de ikke har udtaget dem til kontrol </w:t>
      </w:r>
      <w:r w:rsidRPr="003E0486">
        <w:rPr>
          <w:b/>
          <w:i/>
          <w:szCs w:val="24"/>
          <w:lang w:eastAsia="en-US"/>
        </w:rPr>
        <w:t xml:space="preserve">så hurtigt som muligt og senest </w:t>
      </w:r>
      <w:r w:rsidRPr="003E0486">
        <w:rPr>
          <w:szCs w:val="24"/>
          <w:lang w:eastAsia="en-US"/>
        </w:rPr>
        <w:t xml:space="preserve">inden for </w:t>
      </w:r>
      <w:r w:rsidRPr="003E0486">
        <w:rPr>
          <w:strike/>
          <w:szCs w:val="24"/>
          <w:lang w:eastAsia="en-US"/>
        </w:rPr>
        <w:t>en rimelig frist</w:t>
      </w:r>
      <w:r w:rsidRPr="003E0486">
        <w:rPr>
          <w:b/>
          <w:i/>
          <w:szCs w:val="24"/>
          <w:lang w:eastAsia="en-US"/>
        </w:rPr>
        <w:t>30 kalenderdage</w:t>
      </w:r>
      <w:r w:rsidRPr="003E0486">
        <w:rPr>
          <w:szCs w:val="24"/>
          <w:lang w:eastAsia="en-US"/>
        </w:rPr>
        <w:t xml:space="preserve"> efter at:</w:t>
      </w:r>
      <w:r w:rsidR="00845A6B">
        <w:rPr>
          <w:b/>
          <w:szCs w:val="24"/>
          <w:lang w:eastAsia="en-US"/>
        </w:rPr>
        <w:t xml:space="preserve"> [Ændring 185]</w:t>
      </w:r>
    </w:p>
    <w:p w14:paraId="3D90169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formelle importørers varer er ankommet til Unionens toldområde, eller</w:t>
      </w:r>
    </w:p>
    <w:p w14:paraId="5BC0197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importørers varer er ankommet til deres endelige bestemmelsessted, eller</w:t>
      </w:r>
    </w:p>
    <w:p w14:paraId="739EC0C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eksportøren har sendt oplysningerne forud for afgang.</w:t>
      </w:r>
    </w:p>
    <w:p w14:paraId="3C471017" w14:textId="77777777" w:rsidR="005945B0" w:rsidRDefault="005945B0">
      <w:pPr>
        <w:widowControl/>
        <w:rPr>
          <w:szCs w:val="24"/>
          <w:lang w:eastAsia="en-US"/>
        </w:rPr>
      </w:pPr>
      <w:r>
        <w:rPr>
          <w:szCs w:val="24"/>
          <w:lang w:eastAsia="en-US"/>
        </w:rPr>
        <w:br w:type="page"/>
      </w:r>
    </w:p>
    <w:p w14:paraId="2C5763FF" w14:textId="0E3C59A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Hvis toldmyndighederne har suspenderet frigivelsen af varerne i henhold til stk. 4 eller afvist frigivelse af varerne i henhold til stk. 3 eller stk. 5, litra a), registrerer de deres afgørelse og eventuelle andre oplysninger, der kræves i henhold til EU-retten, i EU's tolddatacenter. Disse oplysninger gøres tilgængelige for de øvrige toldmyndigheder.</w:t>
      </w:r>
    </w:p>
    <w:p w14:paraId="2FA3FA4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Hvis toldmyndighederne har afvist at frigive varerne i henhold til stk. 3 eller 5:</w:t>
      </w:r>
    </w:p>
    <w:p w14:paraId="40C5BBC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kan varerne efterfølgende, hvis de andre myndigheder ikke har gjort indsigelse, henføres under en anden toldprocedure med angivelse af, at varerne tidligere er blevet afvist til en anden toldprocedure</w:t>
      </w:r>
    </w:p>
    <w:p w14:paraId="7CC0B0E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skal toldmyndigheder, hvis de øvrige myndigheder har gjort indsigelse mod at henføre varerne til en eller flere toldprocedurer, registrere disse oplysninger i EU's tolddatacenter og handle i overensstemmelse hermed.</w:t>
      </w:r>
    </w:p>
    <w:p w14:paraId="074F8D4D" w14:textId="701895C2" w:rsidR="003E0486" w:rsidRPr="00845A6B" w:rsidRDefault="003E0486" w:rsidP="003E0486">
      <w:pPr>
        <w:spacing w:before="120" w:after="120" w:line="360" w:lineRule="auto"/>
        <w:ind w:left="850" w:hanging="850"/>
        <w:rPr>
          <w:b/>
          <w:szCs w:val="24"/>
          <w:lang w:eastAsia="en-US"/>
        </w:rPr>
      </w:pPr>
      <w:r w:rsidRPr="003E0486">
        <w:rPr>
          <w:strike/>
          <w:szCs w:val="24"/>
          <w:lang w:eastAsia="en-US"/>
        </w:rPr>
        <w:t>9.</w:t>
      </w:r>
      <w:r w:rsidRPr="003740C4">
        <w:rPr>
          <w:strike/>
          <w:szCs w:val="24"/>
          <w:lang w:eastAsia="en-US"/>
        </w:rPr>
        <w:tab/>
      </w:r>
      <w:r w:rsidRPr="003E0486">
        <w:rPr>
          <w:strike/>
          <w:szCs w:val="24"/>
          <w:lang w:eastAsia="en-US"/>
        </w:rPr>
        <w:t>Kommissionen tillægges beføjelser til at vedtage delegerede retsakter i overensstemmelse med artikel 261 med henblik på at supplere denne forordning ved at fastsætte de rimelige frister, som er omhandlet i denne artikels stk. 6.</w:t>
      </w:r>
      <w:r w:rsidR="00845A6B">
        <w:rPr>
          <w:b/>
          <w:szCs w:val="24"/>
          <w:lang w:eastAsia="en-US"/>
        </w:rPr>
        <w:t xml:space="preserve"> [Ændring 186]</w:t>
      </w:r>
    </w:p>
    <w:p w14:paraId="12E9BE1C" w14:textId="77777777" w:rsidR="005945B0" w:rsidRDefault="005945B0">
      <w:pPr>
        <w:widowControl/>
        <w:rPr>
          <w:szCs w:val="24"/>
          <w:lang w:eastAsia="en-US"/>
        </w:rPr>
      </w:pPr>
      <w:r>
        <w:rPr>
          <w:szCs w:val="24"/>
          <w:lang w:eastAsia="en-US"/>
        </w:rPr>
        <w:br w:type="page"/>
      </w:r>
    </w:p>
    <w:p w14:paraId="11EC6E5C" w14:textId="0D410858"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61</w:t>
      </w:r>
      <w:r w:rsidRPr="003E0486">
        <w:rPr>
          <w:szCs w:val="24"/>
          <w:lang w:eastAsia="en-US"/>
        </w:rPr>
        <w:br/>
        <w:t>Tillid og kontrol-erhvervsdrivendes frigivelse af varerne på toldmyndighedernes vegne</w:t>
      </w:r>
    </w:p>
    <w:p w14:paraId="365279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Uanset artikel 60, stk. 1, kan toldmyndighederne give tillid og kontrol-erhvervsdrivende tilladelse til at frigive varerne på deres vegne ved modtagelse af disse varer på importørens, ejerens eller modtagerens forretningssted eller ved afsendelse fra eksportørens, ejerens eller afsenderens forretningssted, forudsat at de nødvendige data for den relevante procedure og realtidsoplysninger om ankomst eller afsendelse af varerne meddeles toldmyndighederne eller gøres tilgængelige for dem.</w:t>
      </w:r>
    </w:p>
    <w:p w14:paraId="1508C7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Uden at det berører artikel 43 kan toldmyndighederne tillade, at tillid og kontrol-erhvervsdrivende foretager visse kontroller af varer under toldtilsyn. I de tilfælde, hvor varerne er omfattet af anden lovgivning, der anvendes af toldmyndighederne, hører toldmyndighederne de andre myndigheder, inden de meddeler en sådan bevilling, og de kan aftale en kontrolplan med dem.</w:t>
      </w:r>
    </w:p>
    <w:p w14:paraId="0CEC8DF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den i stk. 2 omhandlede tillid og kontrol-erhvervsdrivende har grund til at tro, at varerne ikke overholder relevant anden lovgivning, der anvendes af toldmyndighederne, underretter denne straks toldmyndighederne og om nødvendigt andre myndigheder herom. Toldmyndighederne træffer i givet fald afgørelsen om frigivelsen.</w:t>
      </w:r>
    </w:p>
    <w:p w14:paraId="21B0D2D9" w14:textId="77777777" w:rsidR="005945B0" w:rsidRDefault="005945B0">
      <w:pPr>
        <w:widowControl/>
        <w:rPr>
          <w:szCs w:val="24"/>
          <w:lang w:eastAsia="en-US"/>
        </w:rPr>
      </w:pPr>
      <w:r>
        <w:rPr>
          <w:szCs w:val="24"/>
          <w:lang w:eastAsia="en-US"/>
        </w:rPr>
        <w:br w:type="page"/>
      </w:r>
    </w:p>
    <w:p w14:paraId="6A0E6BBB" w14:textId="2C2EFD1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kan til enhver tid kræve, at den tillid og kontrol-erhvervsdrivende frembyder varerne til kontrol på et toldsted, eller hvor varerne skulle frigives.</w:t>
      </w:r>
    </w:p>
    <w:p w14:paraId="4647D79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Hvis toldmyndighederne har konstateret en ny alvorlig finansiel risiko eller en anden særlig situation i forbindelse med en bevilling til frigivelse på deres vegne, kan de suspendere kapaciteten til at frigive på deres vegne for en bestemt periode og underrette den tillid og kontrol-erhvervsdrivende herom. Toldmyndighederne træffer i sådanne tilfælde afgørelsen om frigivelse af varerne.</w:t>
      </w:r>
    </w:p>
    <w:p w14:paraId="4D25F8C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62</w:t>
      </w:r>
      <w:r w:rsidRPr="003E0486">
        <w:rPr>
          <w:szCs w:val="24"/>
          <w:lang w:eastAsia="en-US"/>
        </w:rPr>
        <w:br/>
        <w:t>Ændring og ugyldiggørelse af oplysninger med henblik på henførsel af varer under en toldprocedure</w:t>
      </w:r>
    </w:p>
    <w:p w14:paraId="44C66E2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Importøren og eksportøren ændrer en eller flere elementer i de data, der er fremlagt med henblik på at henføre varerne under en toldprocedure, hvis de får kendskab til, at de relevante oplysninger har ændret sig i deres regnskaber, eller når en toldmyndighed giver dem instruks herom eller underretter dem om, at der er et problem med dataenes nøjagtighed, fuldstændighed eller kvalitet, medmindre toldmyndighederne har meddelt, at de har til hensigt at undersøge varerne, eller at de har konstateret, at de fremlagte data er ukorrekte, eller varerne allerede er blevet frembudt for toldmyndighederne.</w:t>
      </w:r>
    </w:p>
    <w:p w14:paraId="5D788516" w14:textId="77777777" w:rsidR="005945B0" w:rsidRDefault="005945B0">
      <w:pPr>
        <w:widowControl/>
        <w:rPr>
          <w:szCs w:val="24"/>
          <w:lang w:eastAsia="en-US"/>
        </w:rPr>
      </w:pPr>
      <w:r>
        <w:rPr>
          <w:szCs w:val="24"/>
          <w:lang w:eastAsia="en-US"/>
        </w:rPr>
        <w:br w:type="page"/>
      </w:r>
    </w:p>
    <w:p w14:paraId="0B7C5896" w14:textId="179580B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Importøren og eksportøren erklærer de oplysninger, der er fremlagt med henblik på henførsel af varer under en toldprocedure, for ugyldige så snart de får kendskab til, at varerne ikke vil blive ført ind i eller ud af Unionens toldområde. Toldmyndighederne erklærer de data, der er fremlagt med henblik på henførsel af varer under en toldprocedure, for ugyldige, hvis varerne efter 200 dage fra den dato, hvor oplysningerne blev meddelt eller gjort tilgængelige, ikke er blevet ført ind i eller ud af Unionens toldområde.</w:t>
      </w:r>
    </w:p>
    <w:p w14:paraId="3C5F2F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procedurereglerne for ændring og ugyldiggørelse af oplysningerne i denne artikels stk. 1 og 2. Disse gennemførelsesretsakter vedtages efter undersøgelsesproceduren i artikel 262, stk. 4.</w:t>
      </w:r>
    </w:p>
    <w:p w14:paraId="6FC0EAE2" w14:textId="77777777" w:rsidR="005945B0" w:rsidRDefault="005945B0">
      <w:pPr>
        <w:widowControl/>
        <w:rPr>
          <w:szCs w:val="24"/>
          <w:lang w:eastAsia="en-US"/>
        </w:rPr>
      </w:pPr>
      <w:r>
        <w:rPr>
          <w:szCs w:val="24"/>
          <w:lang w:eastAsia="en-US"/>
        </w:rPr>
        <w:br w:type="page"/>
      </w:r>
    </w:p>
    <w:p w14:paraId="2AAD7C58" w14:textId="7396803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Overgangsbestemmelser</w:t>
      </w:r>
    </w:p>
    <w:p w14:paraId="5C87FCB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63</w:t>
      </w:r>
      <w:r w:rsidRPr="003E0486">
        <w:rPr>
          <w:szCs w:val="24"/>
          <w:lang w:eastAsia="en-US"/>
        </w:rPr>
        <w:br/>
        <w:t>Toldangivelse af varer</w:t>
      </w:r>
    </w:p>
    <w:p w14:paraId="67F6833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Indtil den dato, der er fastsat i artikel 265, stk. 4, skal der for alle varer, som skal henføres under en toldprocedure, indgives en toldangivelse, som passer til den særlige procedure.</w:t>
      </w:r>
    </w:p>
    <w:p w14:paraId="7713EE0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Fra den dato, der er fastsat i artikel 265, stk. 4, kan importører, eksportører og personer, der er ansvarlige for forsendelsesproceduren, med henblik på henførsel af varer under en toldprocedure indgive en toldangivelse eller meddele eller sørge for tilgængelighed af de relevante oplysninger, der kræves til den pågældende procedure, via EU's tolddatacenter. Fra den dato, der er fastsat i artikel 265, stk. 3, skal importører, eksportører og personer, der er ansvarlige for forsendelsesproceduren, med henblik på henførsel af varer under en toldprocedure meddele eller sørge for tilgængelighed af de oplysninger, der kræves til den pågældende procedure, via EU's tolddatacenter.</w:t>
      </w:r>
    </w:p>
    <w:p w14:paraId="529F6CB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specifikke tilfælde kan en toldangivelse indgives ved hjælp af andre midler end elektroniske databehandlingsteknikker.</w:t>
      </w:r>
    </w:p>
    <w:p w14:paraId="2EC8FF0E" w14:textId="77777777" w:rsidR="005945B0" w:rsidRDefault="005945B0">
      <w:pPr>
        <w:widowControl/>
        <w:rPr>
          <w:szCs w:val="24"/>
          <w:lang w:eastAsia="en-US"/>
        </w:rPr>
      </w:pPr>
      <w:r>
        <w:rPr>
          <w:szCs w:val="24"/>
          <w:lang w:eastAsia="en-US"/>
        </w:rPr>
        <w:br w:type="page"/>
      </w:r>
    </w:p>
    <w:p w14:paraId="491A9128" w14:textId="56FFCF8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Toldangivelsen indgives på en af følgende steder afhængigt af omstændighederne:</w:t>
      </w:r>
    </w:p>
    <w:p w14:paraId="1B3F7BD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det toldsted, der er ansvarligt for det sted, hvor varerne første ankommer til Unionens toldområde</w:t>
      </w:r>
    </w:p>
    <w:p w14:paraId="6D7F4F9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det toldsted, der er ansvarligt for lossestedet for varerne, når de ankommer ad sø- eller luftvejen</w:t>
      </w:r>
    </w:p>
    <w:p w14:paraId="481DDF5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bestemmelsestoldstedet for forsendelsesproceduren, hvis varerne er ført ind i Unionens toldområde under forsendelsesproceduren</w:t>
      </w:r>
    </w:p>
    <w:p w14:paraId="3D0E44D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det toldsted, der er ansvarligt for det sted, hvor de varer, der skal henføres under en forsendelsesprocedure, befinder sig</w:t>
      </w:r>
    </w:p>
    <w:p w14:paraId="6774522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det toldsted, der er ansvarligt for den autoriserede økonomiske operatør med bevilling til at udnytte forenklede toldbestemmelser, når denne har tilladelse til at anvende centraliseret toldbehandling</w:t>
      </w:r>
    </w:p>
    <w:p w14:paraId="747FD49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det toldsted, der er ansvarligt for det sted, hvor de varer, der skal føres ud af Unionens toldområde, befinder sig.</w:t>
      </w:r>
    </w:p>
    <w:p w14:paraId="0433C999" w14:textId="77777777" w:rsidR="005945B0" w:rsidRDefault="005945B0">
      <w:pPr>
        <w:widowControl/>
        <w:rPr>
          <w:szCs w:val="24"/>
          <w:lang w:eastAsia="en-US"/>
        </w:rPr>
      </w:pPr>
      <w:r>
        <w:rPr>
          <w:szCs w:val="24"/>
          <w:lang w:eastAsia="en-US"/>
        </w:rPr>
        <w:br w:type="page"/>
      </w:r>
    </w:p>
    <w:p w14:paraId="670C8B4F" w14:textId="6FED787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Kommissionen tillægges beføjelser til at vedtage delegerede retsakter i overensstemmelse med artikel 261 med henblik på at supplere denne forordning ved at fastsætte de specifikke tilfælde, hvor en toldangivelse kan indgives ved hjælp af andre midler end elektroniske databehandlingsteknikker i overensstemmelse med nærværende artikels stk. 2.</w:t>
      </w:r>
    </w:p>
    <w:p w14:paraId="674954B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præciserer ved gennemførelsesretsakter:</w:t>
      </w:r>
    </w:p>
    <w:p w14:paraId="034352AA" w14:textId="11CE0493"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proceduren for indgivelse af toldangivelsen i de i stk. 3 omhandlede tilfælde</w:t>
      </w:r>
    </w:p>
    <w:p w14:paraId="48C6EBF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reglerne for fastsættelse af kompetente toldsteder bortset fra det i stk. 4, omhandlede, herunder indpassagetoldsteder og udpassagetoldsteder.</w:t>
      </w:r>
    </w:p>
    <w:p w14:paraId="12585DE0"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4125116A" w14:textId="77777777" w:rsidR="005945B0" w:rsidRDefault="005945B0">
      <w:pPr>
        <w:widowControl/>
        <w:rPr>
          <w:szCs w:val="24"/>
          <w:lang w:eastAsia="en-US"/>
        </w:rPr>
      </w:pPr>
      <w:r>
        <w:rPr>
          <w:szCs w:val="24"/>
          <w:lang w:eastAsia="en-US"/>
        </w:rPr>
        <w:br w:type="page"/>
      </w:r>
    </w:p>
    <w:p w14:paraId="63160263" w14:textId="51C9AE0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64</w:t>
      </w:r>
      <w:r w:rsidRPr="003E0486">
        <w:rPr>
          <w:szCs w:val="24"/>
          <w:lang w:eastAsia="en-US"/>
        </w:rPr>
        <w:br/>
        <w:t>Standardtoldangivelse</w:t>
      </w:r>
    </w:p>
    <w:p w14:paraId="5E6669A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Standardtoldangivelser skal indeholde alle de oplysninger, der er nødvendige for anvendelsen af de bestemmelser, der gælder for den toldprocedure, som varerne angives til.</w:t>
      </w:r>
    </w:p>
    <w:p w14:paraId="19F015C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proceduren for indgivelse af den i stk. 1 omhandlede standardtoldangivelse. Disse gennemførelsesretsakter vedtages efter undersøgelsesproceduren i artikel 262, stk. 4.</w:t>
      </w:r>
    </w:p>
    <w:p w14:paraId="2A7FE1D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65</w:t>
      </w:r>
      <w:r w:rsidRPr="003E0486">
        <w:rPr>
          <w:szCs w:val="24"/>
          <w:lang w:eastAsia="en-US"/>
        </w:rPr>
        <w:br/>
        <w:t>Forenklet angivelse</w:t>
      </w:r>
    </w:p>
    <w:p w14:paraId="07079C3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Indtil den i artikel 265, stk. 3, fastsatte dato kan toldmyndighederne acceptere, at en person får varer henført under en toldprocedure på grundlag af en forenklet angivelse, hvori nogle af de oplysninger eller den dokumentation, der er omhandlet i artikel 40, er udeladt.</w:t>
      </w:r>
    </w:p>
    <w:p w14:paraId="4A00E32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Indtil den dato, der er fastsat i artikel 265, stk. 4, kan toldmyndighederne tillade regelmæssig anvendelse af en forenklet angivelse.</w:t>
      </w:r>
    </w:p>
    <w:p w14:paraId="68CF6762" w14:textId="77777777" w:rsidR="005945B0" w:rsidRDefault="005945B0">
      <w:pPr>
        <w:widowControl/>
        <w:rPr>
          <w:szCs w:val="24"/>
          <w:lang w:eastAsia="en-US"/>
        </w:rPr>
      </w:pPr>
      <w:r>
        <w:rPr>
          <w:szCs w:val="24"/>
          <w:lang w:eastAsia="en-US"/>
        </w:rPr>
        <w:br w:type="page"/>
      </w:r>
    </w:p>
    <w:p w14:paraId="1F16AAE8" w14:textId="4619DA1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beføjelser til at vedtage delegerede retsakter i overensstemmelse med artikel 261 med henblik på at supplere denne forordning ved at fastsætte betingelserne for tildeling af den i denne artikels stk. 2 omhandlede bevilling.</w:t>
      </w:r>
    </w:p>
    <w:p w14:paraId="43A73D0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proceduren for indgivelse af den forenklede angivelse. Disse gennemførelsesretsakter vedtages efter undersøgelsesproceduren i artikel 262, stk. 4.</w:t>
      </w:r>
    </w:p>
    <w:p w14:paraId="01DE137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66</w:t>
      </w:r>
      <w:r w:rsidRPr="003E0486">
        <w:rPr>
          <w:szCs w:val="24"/>
          <w:lang w:eastAsia="en-US"/>
        </w:rPr>
        <w:br/>
        <w:t>Supplerende angivelse</w:t>
      </w:r>
    </w:p>
    <w:p w14:paraId="3F9D536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tilfælde af en forenklet angivelse i henhold til artikel 65 eller en indskrivning i klarererens regnskaber i henhold til artikel 73 skal klarereren indgive en supplerende angivelse med de oplysninger, der er nødvendige for den pågældende toldprocedure, til det kompetente toldsted inden for en specifik frist.</w:t>
      </w:r>
    </w:p>
    <w:p w14:paraId="1194B551" w14:textId="77777777" w:rsidR="003E0486" w:rsidRPr="003E0486" w:rsidRDefault="003E0486" w:rsidP="003E0486">
      <w:pPr>
        <w:spacing w:before="120" w:after="120" w:line="360" w:lineRule="auto"/>
        <w:ind w:left="850"/>
        <w:rPr>
          <w:szCs w:val="24"/>
          <w:lang w:eastAsia="en-US"/>
        </w:rPr>
      </w:pPr>
      <w:r w:rsidRPr="003E0486">
        <w:rPr>
          <w:szCs w:val="24"/>
          <w:lang w:eastAsia="en-US"/>
        </w:rPr>
        <w:t>I tilfælde af en forenklet angivelse i henhold til artikel 65 skal den nødvendige dokumentation være i klarererens besiddelse og til rådighed for toldmyndighederne inden for en specifik frist.</w:t>
      </w:r>
    </w:p>
    <w:p w14:paraId="10FC9F53" w14:textId="77777777" w:rsidR="003E0486" w:rsidRPr="003E0486" w:rsidRDefault="003E0486" w:rsidP="003E0486">
      <w:pPr>
        <w:spacing w:before="120" w:after="120" w:line="360" w:lineRule="auto"/>
        <w:ind w:left="850"/>
        <w:rPr>
          <w:szCs w:val="24"/>
          <w:lang w:eastAsia="en-US"/>
        </w:rPr>
      </w:pPr>
      <w:r w:rsidRPr="003E0486">
        <w:rPr>
          <w:szCs w:val="24"/>
          <w:lang w:eastAsia="en-US"/>
        </w:rPr>
        <w:t>Den supplerende angivelse kan være af samlet, periodisk eller opsummerende art.</w:t>
      </w:r>
    </w:p>
    <w:p w14:paraId="528768F9" w14:textId="77777777" w:rsidR="005945B0" w:rsidRDefault="005945B0">
      <w:pPr>
        <w:widowControl/>
        <w:rPr>
          <w:szCs w:val="24"/>
          <w:lang w:eastAsia="en-US"/>
        </w:rPr>
      </w:pPr>
      <w:r>
        <w:rPr>
          <w:szCs w:val="24"/>
          <w:lang w:eastAsia="en-US"/>
        </w:rPr>
        <w:br w:type="page"/>
      </w:r>
    </w:p>
    <w:p w14:paraId="4678DDC9" w14:textId="77BE170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Der dispenseres fra forpligtelsen til at indgive en supplerende angivelse i følgende tilfælde:</w:t>
      </w:r>
    </w:p>
    <w:p w14:paraId="25E14F6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varerne henføres under en toldoplagsprocedure</w:t>
      </w:r>
    </w:p>
    <w:p w14:paraId="4FB0AF2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andre specifikke tilfælde.</w:t>
      </w:r>
    </w:p>
    <w:p w14:paraId="483D8CD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dispensere fra kravet om indgivelse af en supplerende angivelse, hvis følgende betingelser er opfyldt:</w:t>
      </w:r>
    </w:p>
    <w:p w14:paraId="7C50199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forenklede angivelse vedrører varer, hvis værdi og mængde ligger under den statistiske tærskel</w:t>
      </w:r>
    </w:p>
    <w:p w14:paraId="27F2DD1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forenklede angivelse indeholder allerede de oplysninger, der er nødvendige for den pågældende toldprocedure</w:t>
      </w:r>
    </w:p>
    <w:p w14:paraId="2B18CBB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den forenklede angivelse sker ikke ved indskrivning i klarererens regnskaber.</w:t>
      </w:r>
    </w:p>
    <w:p w14:paraId="714D12A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Den forenklede angivelse, jf. artikel 65, eller indskrivningen i klarererens regnskaber, jf. artikel 73, og den supplerende angivelse anses for at udgøre et enkelt og samlet dokument, som er gyldigt fra henholdsvis den dato, hvor den forenklede angivelse bliver antaget i overensstemmelse med artikel 69, og den dato, hvor varerne er indskrevet i klarererens regnskaber.</w:t>
      </w:r>
    </w:p>
    <w:p w14:paraId="12BE2C27" w14:textId="77777777" w:rsidR="00A63614" w:rsidRDefault="00A63614">
      <w:pPr>
        <w:widowControl/>
        <w:rPr>
          <w:szCs w:val="24"/>
          <w:lang w:eastAsia="en-US"/>
        </w:rPr>
      </w:pPr>
      <w:r>
        <w:rPr>
          <w:szCs w:val="24"/>
          <w:lang w:eastAsia="en-US"/>
        </w:rPr>
        <w:br w:type="page"/>
      </w:r>
    </w:p>
    <w:p w14:paraId="34D2BB89" w14:textId="5E237EA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Det sted, hvor den supplerende angivelse skal indgives, anses, for så vidt angår artikel 169, for at være det sted, hvor toldangivelsen er blevet indgivet.</w:t>
      </w:r>
    </w:p>
    <w:p w14:paraId="1371494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tillægges beføjelser til at vedtage delegerede retsakter i overensstemmelse med artikel 261 med henblik på at supplere denne forordning ved at fastsætte:</w:t>
      </w:r>
    </w:p>
    <w:p w14:paraId="7C148F0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i stk. 1, først afsnit, omhandlede specifikke frist, inden for hvilken den supplerende angivelse skal indgives</w:t>
      </w:r>
    </w:p>
    <w:p w14:paraId="3BBF7A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i stk. 1, andet afsnit, omhandlede specifikke frist, inden for hvilken dokumentationen skal være i klarererens besiddelse og til rådighed for toldmyndighederne</w:t>
      </w:r>
    </w:p>
    <w:p w14:paraId="3BBAFAD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specifikke tilfælde, hvor der dispenseres fra forpligtelsen til at indgive en supplerende angivelse i overensstemmelse med stk. 2, litra b).</w:t>
      </w:r>
    </w:p>
    <w:p w14:paraId="0F364FC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præciserer ved gennemførelsesretsakter procedurereglerne for indgivelse af den supplerende angivelse. Disse gennemførelsesretsakter vedtages efter undersøgelsesproceduren i artikel 262, stk. 4.</w:t>
      </w:r>
    </w:p>
    <w:p w14:paraId="2447CB7E" w14:textId="77777777" w:rsidR="00A63614" w:rsidRDefault="00A63614">
      <w:pPr>
        <w:widowControl/>
        <w:rPr>
          <w:szCs w:val="24"/>
          <w:lang w:eastAsia="en-US"/>
        </w:rPr>
      </w:pPr>
      <w:r>
        <w:rPr>
          <w:szCs w:val="24"/>
          <w:lang w:eastAsia="en-US"/>
        </w:rPr>
        <w:br w:type="page"/>
      </w:r>
    </w:p>
    <w:p w14:paraId="319EF27D" w14:textId="24B08E1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67</w:t>
      </w:r>
      <w:r w:rsidRPr="003E0486">
        <w:rPr>
          <w:szCs w:val="24"/>
          <w:lang w:eastAsia="en-US"/>
        </w:rPr>
        <w:br/>
        <w:t>Indgivelse af en toldangivelse</w:t>
      </w:r>
    </w:p>
    <w:p w14:paraId="39C9688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Indtil den i artikel 265, stk. 3, fastsatte dato kan en toldangivelse indgives af enhver person, som kan forelægge alle de oplysninger, der er nødvendige for anvendelsen af de bestemmelser, der gælder for den toldprocedure, som varerne angives til, jf. dog artikel 66, stk. 1. Denne person skal også kunne frembyde de pågældende varer eller få dem frembudt for toldmyndighederne.</w:t>
      </w:r>
    </w:p>
    <w:p w14:paraId="7EBC931B" w14:textId="77777777" w:rsidR="003E0486" w:rsidRPr="003E0486" w:rsidRDefault="003E0486" w:rsidP="003E0486">
      <w:pPr>
        <w:spacing w:before="120" w:after="120" w:line="360" w:lineRule="auto"/>
        <w:ind w:left="850"/>
        <w:rPr>
          <w:szCs w:val="24"/>
          <w:lang w:eastAsia="en-US"/>
        </w:rPr>
      </w:pPr>
      <w:r w:rsidRPr="003E0486">
        <w:rPr>
          <w:szCs w:val="24"/>
          <w:lang w:eastAsia="en-US"/>
        </w:rPr>
        <w:t>Hvis antagelsen af en toldangivelse medfører særlige forpligtelser for en bestemt person, skal angivelsen dog indgives af denne person eller af dennes repræsentant.</w:t>
      </w:r>
    </w:p>
    <w:p w14:paraId="2364614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Uanset stk. 1, første afsnit, indgives toldangivelsen om overgang til fri omsætning for varer, der skal importeres i Unionens toldområde under særordningen for fjernsalg omhandlet i afsnit XII, kapitel 6, afdeling 4, i direktiv 2006/112/EF, af eller på vegne af den formelle importør.</w:t>
      </w:r>
    </w:p>
    <w:p w14:paraId="5CF3CA8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Klarereren skal være etableret i Unionens toldområde.</w:t>
      </w:r>
    </w:p>
    <w:p w14:paraId="1C3ABB43" w14:textId="77777777" w:rsidR="00A63614" w:rsidRDefault="00A63614">
      <w:pPr>
        <w:widowControl/>
        <w:rPr>
          <w:szCs w:val="24"/>
          <w:lang w:eastAsia="en-US"/>
        </w:rPr>
      </w:pPr>
      <w:r>
        <w:rPr>
          <w:szCs w:val="24"/>
          <w:lang w:eastAsia="en-US"/>
        </w:rPr>
        <w:br w:type="page"/>
      </w:r>
    </w:p>
    <w:p w14:paraId="0FAEC8E3" w14:textId="7156710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Uanset stk. 3 stilles der ikke krav om, at følgende klarerere skal være etableret i Unionens toldområde:</w:t>
      </w:r>
    </w:p>
    <w:p w14:paraId="3F5D666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personer, der indgiver en toldangivelse om forsendelse eller midlertidig import</w:t>
      </w:r>
    </w:p>
    <w:p w14:paraId="7D2DA71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personer, der lejlighedsvis indgiver en toldangivelse, herunder til særlige anvendelsesformål eller aktiv forædling, forudsat at toldmyndighederne finder det berettiget</w:t>
      </w:r>
    </w:p>
    <w:p w14:paraId="5B7060B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personer, der er etableret i et land, hvis område støder op til Unionens toldområde, og som frembyder de varer, som toldangivelsen vedrører, for et EU-grænsetoldsted, der støder op til det pågældende land, såfremt det land, hvor personerne er etablerede, giver gensidige fordele til personer, der er etableret i Unionens toldområde</w:t>
      </w:r>
    </w:p>
    <w:p w14:paraId="013A54D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formelle importører, som er involveret i fjernsalg af varer under særordningen i afsnit XII, kapitel 6, afdeling 4, i direktiv 2006/112/EF, når disse varer skal importeres til Unionens toldområde, forudsat at de udpeger en indirekte repræsentant.</w:t>
      </w:r>
    </w:p>
    <w:p w14:paraId="35D4D30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Toldangivelser skal være attesterede.</w:t>
      </w:r>
    </w:p>
    <w:p w14:paraId="61ECEE74" w14:textId="77777777" w:rsidR="00A63614" w:rsidRDefault="00A63614">
      <w:pPr>
        <w:widowControl/>
        <w:rPr>
          <w:szCs w:val="24"/>
          <w:lang w:eastAsia="en-US"/>
        </w:rPr>
      </w:pPr>
      <w:r>
        <w:rPr>
          <w:szCs w:val="24"/>
          <w:lang w:eastAsia="en-US"/>
        </w:rPr>
        <w:br w:type="page"/>
      </w:r>
    </w:p>
    <w:p w14:paraId="40B1A6F7" w14:textId="142EC94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68</w:t>
      </w:r>
      <w:r w:rsidRPr="003E0486">
        <w:rPr>
          <w:szCs w:val="24"/>
          <w:lang w:eastAsia="en-US"/>
        </w:rPr>
        <w:br/>
        <w:t>Indgivelse af en toldangivelse, inden varerne frembydes</w:t>
      </w:r>
    </w:p>
    <w:p w14:paraId="7A5F1F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 toldangivelse kan indgives, inden varerne forventes frembudt for toldmyndighederne. Hvis varerne ikke frembydes inden for 30 dage efter den dato, hvor toldangivelsen blev indgivet, anses toldangivelsen for ikke at være indgivet.</w:t>
      </w:r>
    </w:p>
    <w:p w14:paraId="2E51262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procedurereglerne for indgivelse af den i stk. 1 omhandlede toldangivelse. Disse gennemførelsesretsakter vedtages efter undersøgelsesproceduren i artikel 262, stk. 4.</w:t>
      </w:r>
    </w:p>
    <w:p w14:paraId="7A3131C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69</w:t>
      </w:r>
      <w:r w:rsidRPr="003E0486">
        <w:rPr>
          <w:szCs w:val="24"/>
          <w:lang w:eastAsia="en-US"/>
        </w:rPr>
        <w:br/>
        <w:t>Antagelse af en toldangivelse</w:t>
      </w:r>
    </w:p>
    <w:p w14:paraId="4C4FA56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Toldangivelser, der opfylder betingelserne i dette kapitel og bestemmelserne i artikel 40, antages straks af toldmyndighederne, forudsat at de varer, angivelserne vedrører, er blevet frembudt for toldmyndighederne.</w:t>
      </w:r>
    </w:p>
    <w:p w14:paraId="53A3F0BC" w14:textId="77777777" w:rsidR="00A63614" w:rsidRDefault="00A63614">
      <w:pPr>
        <w:widowControl/>
        <w:rPr>
          <w:szCs w:val="24"/>
          <w:lang w:eastAsia="en-US"/>
        </w:rPr>
      </w:pPr>
      <w:r>
        <w:rPr>
          <w:szCs w:val="24"/>
          <w:lang w:eastAsia="en-US"/>
        </w:rPr>
        <w:br w:type="page"/>
      </w:r>
    </w:p>
    <w:p w14:paraId="2689B2BE" w14:textId="5984B86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Datoen for toldmyndighedernes antagelse af toldangivelsen er, medmindre andet er fastsat, den dato, der lægges til grund for anvendelsen af de bestemmelser, der gælder for den toldprocedure, som varerne angives til, og for alle andre import- eller eksportformaliteter.</w:t>
      </w:r>
    </w:p>
    <w:p w14:paraId="0B9AF7B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procedurereglerne for antagelse af en toldangivelse, herunder anvendelsen af disse regler i de i artikel 72 omhandlede tilfælde. Disse gennemførelsesretsakter vedtages efter undersøgelsesproceduren i artikel 262, stk. 4.</w:t>
      </w:r>
    </w:p>
    <w:p w14:paraId="531D24E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70</w:t>
      </w:r>
      <w:r w:rsidRPr="003E0486">
        <w:rPr>
          <w:szCs w:val="24"/>
          <w:lang w:eastAsia="en-US"/>
        </w:rPr>
        <w:br/>
        <w:t>Ændring af en toldangivelse</w:t>
      </w:r>
    </w:p>
    <w:p w14:paraId="201CB4F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Klarereren kan efter ansøgning få tilladelse til at ændre en eller flere oplysninger i toldangivelsen, efter at toldmyndighederne har antaget angivelsen. Ændringen må ikke medføre, at der tilføjes andre varer til toldangivelsen end dem, som den oprindeligt vedrørte.</w:t>
      </w:r>
    </w:p>
    <w:p w14:paraId="5254BEF1" w14:textId="77777777" w:rsidR="00A63614" w:rsidRDefault="00A63614">
      <w:pPr>
        <w:widowControl/>
        <w:rPr>
          <w:szCs w:val="24"/>
          <w:lang w:eastAsia="en-US"/>
        </w:rPr>
      </w:pPr>
      <w:r>
        <w:rPr>
          <w:szCs w:val="24"/>
          <w:lang w:eastAsia="en-US"/>
        </w:rPr>
        <w:br w:type="page"/>
      </w:r>
    </w:p>
    <w:p w14:paraId="085635EE" w14:textId="53572C8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En sådan ændring kan ikke tillades, hvis der ansøges herom efter en af følgende begivenheder:</w:t>
      </w:r>
    </w:p>
    <w:p w14:paraId="6E5F9DA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toldmyndighederne har meddelt klarereren, at de agter at undersøge varerne</w:t>
      </w:r>
    </w:p>
    <w:p w14:paraId="653051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toldmyndighederne har konstateret, at oplysningerne i toldangivelsen ikke er korrekte</w:t>
      </w:r>
    </w:p>
    <w:p w14:paraId="09A27F4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toldmyndighederne har frigivet varerne.</w:t>
      </w:r>
    </w:p>
    <w:p w14:paraId="39F862B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Der kan efter ansøgning fra klarereren inden for tre år fra datoen for antagelsen af toldangivelsen gives tilladelse til, at toldangivelsen ændres efter frigivelsen af varerne, så klarereren kan opfylde sine forpligtelser med hensyn til henførsel af varerne under den pågældende toldprocedure.</w:t>
      </w:r>
    </w:p>
    <w:p w14:paraId="08EFBD4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proceduren for ændring af toldangivelsen efter frigivelsen af varerne i overensstemmelse med stk. 3. Disse gennemførelsesretsakter vedtages efter undersøgelsesproceduren i artikel 262, stk. 4.</w:t>
      </w:r>
    </w:p>
    <w:p w14:paraId="35DD8855" w14:textId="77777777" w:rsidR="00A63614" w:rsidRDefault="00A63614">
      <w:pPr>
        <w:widowControl/>
        <w:rPr>
          <w:szCs w:val="24"/>
          <w:lang w:eastAsia="en-US"/>
        </w:rPr>
      </w:pPr>
      <w:r>
        <w:rPr>
          <w:szCs w:val="24"/>
          <w:lang w:eastAsia="en-US"/>
        </w:rPr>
        <w:br w:type="page"/>
      </w:r>
    </w:p>
    <w:p w14:paraId="703C37FC" w14:textId="182DF35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71</w:t>
      </w:r>
      <w:r w:rsidRPr="003E0486">
        <w:rPr>
          <w:szCs w:val="24"/>
          <w:lang w:eastAsia="en-US"/>
        </w:rPr>
        <w:br/>
        <w:t>Ugyldiggørelse af en toldangivelse</w:t>
      </w:r>
    </w:p>
    <w:p w14:paraId="513CA26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erklærer efter ansøgning fra klarereren en allerede antaget toldangivelse for ugyldig i følgende tilfælde:</w:t>
      </w:r>
    </w:p>
    <w:p w14:paraId="1E300E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 har sikkerhed for, at varerne øjeblikkeligt henføres under en toldprocedure</w:t>
      </w:r>
    </w:p>
    <w:p w14:paraId="34A496D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de har sikkerhed for, at henførslen af varerne under den toldprocedure, som de var angivet til, som følge af særlige omstændigheder ikke længere er berettiget.</w:t>
      </w:r>
    </w:p>
    <w:p w14:paraId="293AF299" w14:textId="77777777" w:rsidR="003E0486" w:rsidRPr="003E0486" w:rsidRDefault="003E0486" w:rsidP="003E0486">
      <w:pPr>
        <w:spacing w:before="120" w:after="120" w:line="360" w:lineRule="auto"/>
        <w:ind w:left="850"/>
        <w:rPr>
          <w:szCs w:val="24"/>
          <w:lang w:eastAsia="en-US"/>
        </w:rPr>
      </w:pPr>
      <w:r w:rsidRPr="003E0486">
        <w:rPr>
          <w:szCs w:val="24"/>
          <w:lang w:eastAsia="en-US"/>
        </w:rPr>
        <w:t>Hvis toldmyndighederne har underrettet klarereren om, at de agter at foretage en undersøgelse af varerne, kan en ansøgning om at få toldangivelsen erklæret ugyldig ikke godtages, før undersøgelsen har fundet sted.</w:t>
      </w:r>
    </w:p>
    <w:p w14:paraId="5579982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Uanset stk. 1 kan toldangivelsen i specifikke tilfælde erklæres ugyldig af toldmyndighederne uden forudgående ansøgning fra klarereren.</w:t>
      </w:r>
    </w:p>
    <w:p w14:paraId="0C835363" w14:textId="77777777" w:rsidR="00A63614" w:rsidRDefault="00A63614">
      <w:pPr>
        <w:widowControl/>
        <w:rPr>
          <w:szCs w:val="24"/>
          <w:lang w:eastAsia="en-US"/>
        </w:rPr>
      </w:pPr>
      <w:r>
        <w:rPr>
          <w:szCs w:val="24"/>
          <w:lang w:eastAsia="en-US"/>
        </w:rPr>
        <w:br w:type="page"/>
      </w:r>
    </w:p>
    <w:p w14:paraId="34CF997D" w14:textId="0EC3E70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Toldangivelsen kan ikke erklæres ugyldig, efter at varerne er blevet frigivet, medmindre andet er fastsat.</w:t>
      </w:r>
    </w:p>
    <w:p w14:paraId="1B40318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de specifikke tilfælde, hvor toldangivelsen erklæres ugyldig af toldmyndighederne, jf. denne artikels stk. 2, og erklæres ugyldig efter frigivelsen af varerne, jf. nærværende artikels stk. 3.</w:t>
      </w:r>
    </w:p>
    <w:p w14:paraId="08B87E6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proceduren for at erklære toldangivelsen ugyldig efter frigivelsen varerne, jf. stk. 3. Disse gennemførelsesretsakter vedtages efter undersøgelsesproceduren i artikel 262, stk. 4.</w:t>
      </w:r>
    </w:p>
    <w:p w14:paraId="28D5188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72</w:t>
      </w:r>
      <w:r w:rsidRPr="003E0486">
        <w:rPr>
          <w:szCs w:val="24"/>
          <w:lang w:eastAsia="en-US"/>
        </w:rPr>
        <w:br/>
        <w:t>Centraliseret toldbehandling</w:t>
      </w:r>
    </w:p>
    <w:p w14:paraId="121A72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Indtil den dato, der er fastsat i artikel 265, stk. 4, kan toldmyndighederne efter ansøgning tillade, at en person til et toldsted, der er ansvarligt for det sted, hvor en sådan person er etableret, indgiver en toldangivelse for varer, der frembydes for toldmyndighederne på et andet toldsted.</w:t>
      </w:r>
    </w:p>
    <w:p w14:paraId="3E75F51F" w14:textId="77777777" w:rsidR="00A63614" w:rsidRDefault="00A63614">
      <w:pPr>
        <w:widowControl/>
        <w:rPr>
          <w:szCs w:val="24"/>
          <w:lang w:eastAsia="en-US"/>
        </w:rPr>
      </w:pPr>
      <w:r>
        <w:rPr>
          <w:szCs w:val="24"/>
          <w:lang w:eastAsia="en-US"/>
        </w:rPr>
        <w:br w:type="page"/>
      </w:r>
    </w:p>
    <w:p w14:paraId="1BA827BE" w14:textId="2522ADE5" w:rsidR="003E0486" w:rsidRPr="003E0486" w:rsidRDefault="003E0486" w:rsidP="003E0486">
      <w:pPr>
        <w:spacing w:before="120" w:after="120" w:line="360" w:lineRule="auto"/>
        <w:ind w:left="850"/>
        <w:rPr>
          <w:szCs w:val="24"/>
          <w:lang w:eastAsia="en-US"/>
        </w:rPr>
      </w:pPr>
      <w:r w:rsidRPr="003E0486">
        <w:rPr>
          <w:szCs w:val="24"/>
          <w:lang w:eastAsia="en-US"/>
        </w:rPr>
        <w:lastRenderedPageBreak/>
        <w:t>Der kan dispenseres fra kravet om den i første afsnit omhandlede bevilling, når toldangivelsen indgives, og varerne frembydes for toldsteder under samme toldmyndigheds ansvar.</w:t>
      </w:r>
    </w:p>
    <w:p w14:paraId="1D096C2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person, der indgiver ansøgning om den i stk. 1 omhandlede bevilling, skal være en autoriseret økonomisk operatør med bevilling til at udnytte forenklede toldbestemmelser som omhandlet i artikel 23, stk. 1, litra a).</w:t>
      </w:r>
    </w:p>
    <w:p w14:paraId="0D87F77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Det toldsted, hvor toldangivelsen indgives, skal:</w:t>
      </w:r>
    </w:p>
    <w:p w14:paraId="342DEA3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føre tilsyn med, at varerne henføres under den pågældende toldprocedure</w:t>
      </w:r>
    </w:p>
    <w:p w14:paraId="607E69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foretage toldkontrollen til verifikation af toldangivelsen</w:t>
      </w:r>
    </w:p>
    <w:p w14:paraId="6C91700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det er berettiget, anmode det toldsted, hvor varerne frembydes, om at foretage visse toldkontroller med henblik på verifikation af toldangivelsen, og</w:t>
      </w:r>
    </w:p>
    <w:p w14:paraId="228418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udføre toldformaliteterne med henblik på opkrævning af det import- eller eksportafgiftsbeløb, der svarer til enhver toldskyld.</w:t>
      </w:r>
    </w:p>
    <w:p w14:paraId="72B34EE9" w14:textId="77777777" w:rsidR="00A63614" w:rsidRDefault="00A63614">
      <w:pPr>
        <w:widowControl/>
        <w:rPr>
          <w:szCs w:val="24"/>
          <w:lang w:eastAsia="en-US"/>
        </w:rPr>
      </w:pPr>
      <w:r>
        <w:rPr>
          <w:szCs w:val="24"/>
          <w:lang w:eastAsia="en-US"/>
        </w:rPr>
        <w:br w:type="page"/>
      </w:r>
    </w:p>
    <w:p w14:paraId="40B3BE87" w14:textId="4E49725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Det toldsted, hvor toldangivelsen indgives, og det toldsted, hvor varerne frembydes, udveksler de oplysninger, der er nødvendige for verifikation af toldangivelsen og for frigivelse af varerne.</w:t>
      </w:r>
    </w:p>
    <w:p w14:paraId="4AA1096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Det toldsted, hvor varerne frembydes, skal med forbehold af dets egen kontrol af varer, der føres ind i eller ud af Unionens toldområde, foretage den i stk. 3, litra c), omhandlede toldkontrol og give det toldsted, hvor toldangivelsen indgives, resultaterne af denne kontrol.</w:t>
      </w:r>
    </w:p>
    <w:p w14:paraId="1EF35FE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Det toldsted, hvor toldangivelsen indgives, frigiver varerne under hensyntagen til:</w:t>
      </w:r>
    </w:p>
    <w:p w14:paraId="79B321C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resultaterne af sin egen kontrol med henblik på verifikation af toldangivelsen,</w:t>
      </w:r>
    </w:p>
    <w:p w14:paraId="682452C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resultaterne af den kontrol, der er foretaget af det toldsted, hvor varerne frembydes med henblik på verifikation af toldangivelsen og kontrol af de varer, der er ført ind i eller ud af Unionens toldområde.</w:t>
      </w:r>
    </w:p>
    <w:p w14:paraId="384566E0" w14:textId="77777777" w:rsidR="00A63614" w:rsidRDefault="00A63614">
      <w:pPr>
        <w:widowControl/>
        <w:rPr>
          <w:szCs w:val="24"/>
          <w:lang w:eastAsia="en-US"/>
        </w:rPr>
      </w:pPr>
      <w:r>
        <w:rPr>
          <w:szCs w:val="24"/>
          <w:lang w:eastAsia="en-US"/>
        </w:rPr>
        <w:br w:type="page"/>
      </w:r>
    </w:p>
    <w:p w14:paraId="54882A4E" w14:textId="63E7376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Kommissionen tillægges beføjelser til at vedtage delegerede retsakter i overensstemmelse med artikel 261 med henblik på at supplere denne forordning ved at fastsætte betingelserne for tildeling af den i denne artikels stk. 1, første afsnit, omhandlede bevilling.</w:t>
      </w:r>
    </w:p>
    <w:p w14:paraId="06CBCA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præciserer ved gennemførelsesretsakter proceduren for den centraliserede toldbehandling som omhandlet i denne artikel, herunder de relevante toldformaliteter og den relevante toldkontrol. Disse gennemførelsesretsakter vedtages efter undersøgelsesproceduren i artikel 262, stk. 4.</w:t>
      </w:r>
    </w:p>
    <w:p w14:paraId="5333CE3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73</w:t>
      </w:r>
      <w:r w:rsidRPr="003E0486">
        <w:rPr>
          <w:szCs w:val="24"/>
          <w:lang w:eastAsia="en-US"/>
        </w:rPr>
        <w:br/>
        <w:t>Indskrivning i klarererens regnskaber</w:t>
      </w:r>
    </w:p>
    <w:p w14:paraId="057B0D1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Indtil den dato, der er fastsat i artikel 265, stk. 4, kan toldmyndighederne efter ansøgning tillade, at en person indgiver en toldangivelse, herunder en forenklet angivelse, i form af en indskrivning i klarererens regnskaber, forudsat at oplysningerne i den pågældende angivelse er til rådighed for toldmyndighederne i klarererens elektroniske system på det tidspunkt, hvor toldangivelsen i form af en indskrivning i klarererens regnskaber indgives.</w:t>
      </w:r>
    </w:p>
    <w:p w14:paraId="5CB10D0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Toldangivelsen anses for at være antaget på det tidspunkt, hvor varerne indskrives i regnskaberne.</w:t>
      </w:r>
    </w:p>
    <w:p w14:paraId="61ECF82E" w14:textId="77777777" w:rsidR="00A63614" w:rsidRDefault="00A63614">
      <w:pPr>
        <w:widowControl/>
        <w:rPr>
          <w:szCs w:val="24"/>
          <w:lang w:eastAsia="en-US"/>
        </w:rPr>
      </w:pPr>
      <w:r>
        <w:rPr>
          <w:szCs w:val="24"/>
          <w:lang w:eastAsia="en-US"/>
        </w:rPr>
        <w:br w:type="page"/>
      </w:r>
    </w:p>
    <w:p w14:paraId="0F4DCD2B" w14:textId="59886DE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Toldmyndighederne kan efter ansøgning dispensere fra forpligtelsen til at frembyde varerne. I dette tilfælde betragtes varerne som frigivet fra tidspunktet for indskrivningen i klarererens regnskaber.</w:t>
      </w:r>
    </w:p>
    <w:p w14:paraId="36C49542" w14:textId="77777777" w:rsidR="003E0486" w:rsidRPr="003E0486" w:rsidRDefault="003E0486" w:rsidP="003E0486">
      <w:pPr>
        <w:spacing w:before="120" w:after="120" w:line="360" w:lineRule="auto"/>
        <w:ind w:left="850"/>
        <w:rPr>
          <w:szCs w:val="24"/>
          <w:lang w:eastAsia="en-US"/>
        </w:rPr>
      </w:pPr>
      <w:r w:rsidRPr="003E0486">
        <w:rPr>
          <w:szCs w:val="24"/>
          <w:lang w:eastAsia="en-US"/>
        </w:rPr>
        <w:t>Dispensationen kan gives, når samtlige følgende betingelser er opfyldt:</w:t>
      </w:r>
    </w:p>
    <w:p w14:paraId="2E9EC60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klarereren er en autoriseret økonomisk operatør med bevilling til at udnytte forenklede toldbestemmelser, jf. artikel 23, stk. 1, litra a).</w:t>
      </w:r>
    </w:p>
    <w:p w14:paraId="1C1F546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varernes art og varestrømmen gør det berettiget og er kendt af toldmyndighederne.</w:t>
      </w:r>
    </w:p>
    <w:p w14:paraId="78F5E22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det tilsynsførende toldsted har adgang til alle oplysninger, det finder nødvendige, for at det kan udøve sin ret til at undersøge varerne, hvis behovet opstår.</w:t>
      </w:r>
    </w:p>
    <w:p w14:paraId="0BF22A9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varerne er på det tidspunkt, hvor de indskrives i regnskaberne, ikke længere er omfattet af anden lovgivning, der anvendes af toldmyndighederne, medmindre andet er fastsat i bevillingen.</w:t>
      </w:r>
    </w:p>
    <w:p w14:paraId="6457D743" w14:textId="77777777" w:rsidR="003E0486" w:rsidRPr="003E0486" w:rsidRDefault="003E0486" w:rsidP="003E0486">
      <w:pPr>
        <w:spacing w:before="120" w:after="120" w:line="360" w:lineRule="auto"/>
        <w:ind w:left="850"/>
        <w:rPr>
          <w:szCs w:val="24"/>
          <w:lang w:eastAsia="en-US"/>
        </w:rPr>
      </w:pPr>
      <w:r w:rsidRPr="003E0486">
        <w:rPr>
          <w:szCs w:val="24"/>
          <w:lang w:eastAsia="en-US"/>
        </w:rPr>
        <w:t>Det tilsynsførende toldsted kan dog i specifikke situationer anmode om, at varerne frembydes.</w:t>
      </w:r>
    </w:p>
    <w:p w14:paraId="3EDC430F" w14:textId="77777777" w:rsidR="00A63614" w:rsidRDefault="00A63614">
      <w:pPr>
        <w:widowControl/>
        <w:rPr>
          <w:szCs w:val="24"/>
          <w:lang w:eastAsia="en-US"/>
        </w:rPr>
      </w:pPr>
      <w:r>
        <w:rPr>
          <w:szCs w:val="24"/>
          <w:lang w:eastAsia="en-US"/>
        </w:rPr>
        <w:br w:type="page"/>
      </w:r>
    </w:p>
    <w:p w14:paraId="18EA1656" w14:textId="5AF9DE9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Betingelserne for frigivelse af varerne fastsættes i bevillingen.</w:t>
      </w:r>
    </w:p>
    <w:p w14:paraId="676791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betingelserne for tildeling af den i denne artikels stk. 1 omhandlede bevilling.</w:t>
      </w:r>
    </w:p>
    <w:p w14:paraId="0B42AE3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præciserer ved gennemførelsesretsakter procedurereglerne for indskrivningen i klarererens regnskaber, herunder de relevante toldformaliteter og den relevante toldkontrol, og dispensationen fra forpligtelsen til at frembyde varerne som omhandlet i stk. 3. Disse gennemførelsesretsakter vedtages efter undersøgelsesproceduren i artikel 262, stk. 4.</w:t>
      </w:r>
    </w:p>
    <w:p w14:paraId="1821F62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74</w:t>
      </w:r>
      <w:r w:rsidRPr="003E0486">
        <w:rPr>
          <w:szCs w:val="24"/>
          <w:lang w:eastAsia="en-US"/>
        </w:rPr>
        <w:br/>
        <w:t>Bortfald af gyldighed</w:t>
      </w:r>
    </w:p>
    <w:p w14:paraId="69ED1A45" w14:textId="77777777" w:rsidR="003E0486" w:rsidRPr="003E0486" w:rsidRDefault="003E0486" w:rsidP="003E0486">
      <w:pPr>
        <w:spacing w:before="120" w:after="120" w:line="360" w:lineRule="auto"/>
        <w:rPr>
          <w:szCs w:val="24"/>
          <w:lang w:eastAsia="en-US"/>
        </w:rPr>
      </w:pPr>
      <w:r w:rsidRPr="003E0486">
        <w:rPr>
          <w:szCs w:val="24"/>
          <w:lang w:eastAsia="en-US"/>
        </w:rPr>
        <w:t>Bevillingerne til forenklede angivelser, centraliseret toldbehandling og indskrivning i klarererens regnskaber udløber på den i artikel 265, stk. 3, fastsatte dato.</w:t>
      </w:r>
    </w:p>
    <w:p w14:paraId="1FC91A0D" w14:textId="77777777" w:rsidR="00A63614" w:rsidRDefault="00A63614">
      <w:pPr>
        <w:widowControl/>
        <w:rPr>
          <w:szCs w:val="24"/>
          <w:lang w:eastAsia="en-US"/>
        </w:rPr>
      </w:pPr>
      <w:r>
        <w:rPr>
          <w:szCs w:val="24"/>
          <w:lang w:eastAsia="en-US"/>
        </w:rPr>
        <w:br w:type="page"/>
      </w:r>
    </w:p>
    <w:p w14:paraId="4815BCAE" w14:textId="23055CE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4 </w:t>
      </w:r>
      <w:r w:rsidRPr="003E0486">
        <w:rPr>
          <w:szCs w:val="24"/>
          <w:lang w:eastAsia="en-US"/>
        </w:rPr>
        <w:br/>
        <w:t>Bortskaffelse af varer</w:t>
      </w:r>
    </w:p>
    <w:p w14:paraId="04F4437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75</w:t>
      </w:r>
      <w:r w:rsidRPr="003E0486">
        <w:rPr>
          <w:szCs w:val="24"/>
          <w:lang w:eastAsia="en-US"/>
        </w:rPr>
        <w:br/>
        <w:t>Bortskaffelse af varer</w:t>
      </w:r>
    </w:p>
    <w:p w14:paraId="29CD076B" w14:textId="77777777" w:rsidR="003E0486" w:rsidRPr="003E0486" w:rsidRDefault="003E0486" w:rsidP="003E0486">
      <w:pPr>
        <w:spacing w:before="120" w:after="120" w:line="360" w:lineRule="auto"/>
        <w:rPr>
          <w:szCs w:val="24"/>
          <w:lang w:eastAsia="en-US"/>
        </w:rPr>
      </w:pPr>
      <w:r w:rsidRPr="003E0486">
        <w:rPr>
          <w:szCs w:val="24"/>
          <w:lang w:eastAsia="en-US"/>
        </w:rPr>
        <w:t>Hvis varer af en eller anden grund ikke fortsat kan være under midlertidig opbevaring, træffer toldmyndighederne straks alle nødvendige foranstaltninger for at bortskaffe varerne i overensstemmelse med artikel 76, 77 og 78.</w:t>
      </w:r>
    </w:p>
    <w:p w14:paraId="39A26FE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76</w:t>
      </w:r>
      <w:r w:rsidRPr="003E0486">
        <w:rPr>
          <w:szCs w:val="24"/>
          <w:lang w:eastAsia="en-US"/>
        </w:rPr>
        <w:br/>
        <w:t>Tilintetgørelse af varer</w:t>
      </w:r>
    </w:p>
    <w:p w14:paraId="27AB0D0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toldmyndighederne har rimelig grund hertil, kan de kræve, at varer, der har været frembudt for dem, tilintetgøres, og de skal underrette importøren, eksportøren og ihændehaveren af varerne herom. Udgifterne i forbindelse med tilintetgørelsen påhviler importøren eller eksportøren.</w:t>
      </w:r>
    </w:p>
    <w:p w14:paraId="68200D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Dersom tilintetgørelsen skal foretages under ansvar af en indehaver af en afgørelses om en intellektuel ejendomsrettighed, jf. artikel 2, nr. 13), i Europa-Parlamentets og Rådets forordning (EU) nr. 608/2013</w:t>
      </w:r>
      <w:r w:rsidRPr="003E0486">
        <w:rPr>
          <w:szCs w:val="24"/>
          <w:vertAlign w:val="superscript"/>
          <w:lang w:val="en-GB" w:eastAsia="en-US"/>
        </w:rPr>
        <w:footnoteReference w:id="42"/>
      </w:r>
      <w:r w:rsidRPr="003E0486">
        <w:rPr>
          <w:szCs w:val="24"/>
          <w:lang w:eastAsia="en-US"/>
        </w:rPr>
        <w:t>, skal den udføres af eller under tilsyn af toldmyndighederne.</w:t>
      </w:r>
    </w:p>
    <w:p w14:paraId="73CB1887" w14:textId="77777777" w:rsidR="00A63614" w:rsidRDefault="00A63614">
      <w:pPr>
        <w:widowControl/>
        <w:rPr>
          <w:szCs w:val="24"/>
          <w:lang w:eastAsia="en-US"/>
        </w:rPr>
      </w:pPr>
      <w:r>
        <w:rPr>
          <w:szCs w:val="24"/>
          <w:lang w:eastAsia="en-US"/>
        </w:rPr>
        <w:br w:type="page"/>
      </w:r>
    </w:p>
    <w:p w14:paraId="30B6A609" w14:textId="00F9374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de anser det for nødvendigt og forholdsmæssigt, kan toldmyndighederne beslaglægge og tilintetgøre eller på anden måde ubrugeliggøre et produkt, der ikke er blevet frembudt for dem og udgør en risiko for slutbrugernes sundhed og sikkerhed. Udgifterne i forbindelse med en sådan foranstaltning påhviler importøren eller eksportøren.</w:t>
      </w:r>
    </w:p>
    <w:p w14:paraId="6A0C7FF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proceduren for tilintetgørelse af varer. Disse gennemførelsesretsakter vedtages efter undersøgelsesproceduren i artikel 262, stk. 4.</w:t>
      </w:r>
    </w:p>
    <w:p w14:paraId="7C96C2C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77</w:t>
      </w:r>
      <w:r w:rsidRPr="003E0486">
        <w:rPr>
          <w:szCs w:val="24"/>
          <w:lang w:eastAsia="en-US"/>
        </w:rPr>
        <w:br/>
        <w:t>Foranstaltninger, som skal træffes af toldmyndighederne</w:t>
      </w:r>
    </w:p>
    <w:p w14:paraId="3EBB638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træffer alle nødvendige foranstaltninger, herunder konfiskering, salg, donation til humanitære formål eller tilintetgørelse, for at bortskaffe varer i følgende tilfælde:</w:t>
      </w:r>
    </w:p>
    <w:p w14:paraId="35E4EE4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en af forpligtelserne i toldlovgivningen med hensyn til at føre ikke-EU-varer ind i Unionens toldområde ikke er opfyldt, eller varerne er blevet unddraget toldtilsyn</w:t>
      </w:r>
    </w:p>
    <w:p w14:paraId="3C81C881" w14:textId="77777777" w:rsidR="00C44B88" w:rsidRDefault="00C44B88">
      <w:pPr>
        <w:widowControl/>
        <w:rPr>
          <w:szCs w:val="24"/>
          <w:lang w:eastAsia="en-US"/>
        </w:rPr>
      </w:pPr>
      <w:r>
        <w:rPr>
          <w:szCs w:val="24"/>
          <w:lang w:eastAsia="en-US"/>
        </w:rPr>
        <w:br w:type="page"/>
      </w:r>
    </w:p>
    <w:p w14:paraId="2A951BC4" w14:textId="60DA948D"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hvis varerne ikke kan frigives af en af følgende årsager:</w:t>
      </w:r>
    </w:p>
    <w:p w14:paraId="3556F41D" w14:textId="17C53773"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fordi undersøgelsen af varerne af årsager, der kan tilskrives operatøren, ikke har kunnet indledes eller fortsættes inden for den af toldmyndighederne fastsatte frist</w:t>
      </w:r>
    </w:p>
    <w:p w14:paraId="63DFC211" w14:textId="6DF81171"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fordi de dokumenter, der er en betingelse for varernes henførsel under eller frigivelse til den angivne toldprocedure, ikke er forelagt</w:t>
      </w:r>
    </w:p>
    <w:p w14:paraId="1A24F599" w14:textId="14017C45"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fordi de import- eller eksportafgifter, der skulle have været betalt, eller for hvilke der skulle have været stillet sikkerhed, enten ikke er blevet betalt, eller der ikke er blevet stillet sikkerhed herfor inden for den fastsatte frist</w:t>
      </w:r>
    </w:p>
    <w:p w14:paraId="16EEA5E2" w14:textId="58ED474F" w:rsidR="003E0486" w:rsidRPr="003E0486" w:rsidRDefault="000419BF"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iv)</w:t>
      </w:r>
      <w:r w:rsidR="003E0486" w:rsidRPr="003E0486">
        <w:rPr>
          <w:szCs w:val="24"/>
          <w:lang w:eastAsia="en-US"/>
        </w:rPr>
        <w:tab/>
        <w:t>fordi varerne ikke opfylder de i artikel 60 fastsatte betingelser for frigivelse</w:t>
      </w:r>
    </w:p>
    <w:p w14:paraId="5C5E848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varerne ikke er blevet fjernet inden for en rimelig tid efter deres frigivelse</w:t>
      </w:r>
    </w:p>
    <w:p w14:paraId="310EF61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hvis det efter varernes frigivelse konstateres, at de ikke opfyldte betingelserne for denne frigivelse, eller</w:t>
      </w:r>
    </w:p>
    <w:p w14:paraId="2603183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hvis varer afstås til staten i henhold til artikel 78.</w:t>
      </w:r>
    </w:p>
    <w:p w14:paraId="455A7EA9" w14:textId="77777777" w:rsidR="00C44B88" w:rsidRDefault="00C44B88">
      <w:pPr>
        <w:widowControl/>
        <w:rPr>
          <w:szCs w:val="24"/>
          <w:lang w:eastAsia="en-US"/>
        </w:rPr>
      </w:pPr>
      <w:r>
        <w:rPr>
          <w:szCs w:val="24"/>
          <w:lang w:eastAsia="en-US"/>
        </w:rPr>
        <w:br w:type="page"/>
      </w:r>
    </w:p>
    <w:p w14:paraId="5FC58DC3" w14:textId="59F5CA3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Ikke-EU-varer, der er afstået til staten, beslaglagt eller konfiskeret, anses for at være henført under toldoplagsproceduren. De indskrives i toldoplagsoperatørens regnskaber eller i toldmyndighedernes, hvis de opbevares af disse.</w:t>
      </w:r>
    </w:p>
    <w:p w14:paraId="38DC551F" w14:textId="77777777" w:rsidR="003E0486" w:rsidRPr="003E0486" w:rsidRDefault="003E0486" w:rsidP="003E0486">
      <w:pPr>
        <w:spacing w:before="120" w:after="120" w:line="360" w:lineRule="auto"/>
        <w:ind w:left="850"/>
        <w:rPr>
          <w:szCs w:val="24"/>
          <w:lang w:eastAsia="en-US"/>
        </w:rPr>
      </w:pPr>
      <w:r w:rsidRPr="003E0486">
        <w:rPr>
          <w:szCs w:val="24"/>
          <w:lang w:eastAsia="en-US"/>
        </w:rPr>
        <w:t>Hvis toldmyndighederne allerede har modtaget oplysninger om de varer, der skal tilintetgøres, afstås til staten, beslaglægges eller konfiskeres, skal regnskaberne indeholde en henvisning til disse data.</w:t>
      </w:r>
    </w:p>
    <w:p w14:paraId="77BA539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Omkostningerne ved de i stk. 1 omhandlede foranstaltninger afholdes:</w:t>
      </w:r>
    </w:p>
    <w:p w14:paraId="42258CB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 det i stk. 1, litra a), omhandlede tilfælde af transportøren, importøren eller den ansvarlige for forsendelsesproceduren eller personen, som unddrog varerne toldtilsyn</w:t>
      </w:r>
    </w:p>
    <w:p w14:paraId="35941F9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de i stk. 1, litra b), c) og d), omhandlede tilfælde af importøren, eksportøren eller den ansvarlige for forsendelsesproceduren</w:t>
      </w:r>
    </w:p>
    <w:p w14:paraId="0E8DFA1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 det i stk. 1, litra e), omhandlede tilfælde af den person, som afstår varerne til staten.</w:t>
      </w:r>
    </w:p>
    <w:p w14:paraId="674ABB40" w14:textId="77777777" w:rsidR="00C44B88" w:rsidRDefault="00C44B88">
      <w:pPr>
        <w:widowControl/>
        <w:rPr>
          <w:szCs w:val="24"/>
          <w:lang w:eastAsia="en-US"/>
        </w:rPr>
      </w:pPr>
      <w:r>
        <w:rPr>
          <w:szCs w:val="24"/>
          <w:lang w:eastAsia="en-US"/>
        </w:rPr>
        <w:br w:type="page"/>
      </w:r>
    </w:p>
    <w:p w14:paraId="77C12531" w14:textId="3BB9F07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tillægges beføjelser til at vedtage delegerede retsakter i overensstemmelse med artikel 261 med henblik på at supplere denne forordning ved at fastsætte betingelserne og proceduren for konfiskering af varer.</w:t>
      </w:r>
    </w:p>
    <w:p w14:paraId="47BCAF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proceduren for toldmyndighedernes salg af varerne som omhandlet i stk. 1. Disse gennemførelsesretsakter vedtages efter undersøgelsesproceduren i artikel 262, stk. 4.</w:t>
      </w:r>
    </w:p>
    <w:p w14:paraId="2CB5085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78</w:t>
      </w:r>
      <w:r w:rsidRPr="003E0486">
        <w:rPr>
          <w:szCs w:val="24"/>
          <w:lang w:eastAsia="en-US"/>
        </w:rPr>
        <w:br/>
        <w:t>Afståelse</w:t>
      </w:r>
    </w:p>
    <w:p w14:paraId="380E8A4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Ikke-EU-varer og varer henført under proceduren for særligt anvendelsesformål kan med toldmyndighedernes forudgående tilladelse afstås til staten af den person, der er ansvarlig for proceduren eller i givet fald af ihændehaveren af varerne.</w:t>
      </w:r>
    </w:p>
    <w:p w14:paraId="20DBFCB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proceduren vedrørende afståelse af varer til staten. Disse gennemførelsesretsakter vedtages efter undersøgelsesproceduren i artikel 262, stk. 4.</w:t>
      </w:r>
    </w:p>
    <w:p w14:paraId="17424446" w14:textId="77777777" w:rsidR="00C44B88" w:rsidRDefault="00C44B88">
      <w:pPr>
        <w:widowControl/>
        <w:rPr>
          <w:szCs w:val="24"/>
          <w:lang w:eastAsia="en-US"/>
        </w:rPr>
      </w:pPr>
      <w:r>
        <w:rPr>
          <w:szCs w:val="24"/>
          <w:lang w:eastAsia="en-US"/>
        </w:rPr>
        <w:br w:type="page"/>
      </w:r>
    </w:p>
    <w:p w14:paraId="3279FAE7" w14:textId="38FE8508"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VI </w:t>
      </w:r>
      <w:r w:rsidRPr="003E0486">
        <w:rPr>
          <w:szCs w:val="24"/>
          <w:lang w:eastAsia="en-US"/>
        </w:rPr>
        <w:br/>
        <w:t>VARER, DER FØRES IND I UNIONENS TOLDOMRÅDE</w:t>
      </w:r>
    </w:p>
    <w:p w14:paraId="0C9B3947"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Forhåndsoplysninger for fragt</w:t>
      </w:r>
    </w:p>
    <w:p w14:paraId="39F1059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79</w:t>
      </w:r>
      <w:r w:rsidRPr="003E0486">
        <w:rPr>
          <w:szCs w:val="24"/>
          <w:lang w:eastAsia="en-US"/>
        </w:rPr>
        <w:br/>
        <w:t>Varers indpassage</w:t>
      </w:r>
    </w:p>
    <w:p w14:paraId="6E70B03F" w14:textId="77777777" w:rsidR="003E0486" w:rsidRPr="003E0486" w:rsidRDefault="003E0486" w:rsidP="003E0486">
      <w:pPr>
        <w:spacing w:before="120" w:after="120" w:line="360" w:lineRule="auto"/>
        <w:rPr>
          <w:szCs w:val="24"/>
          <w:lang w:eastAsia="en-US"/>
        </w:rPr>
      </w:pPr>
      <w:r w:rsidRPr="003E0486">
        <w:rPr>
          <w:szCs w:val="24"/>
          <w:lang w:eastAsia="en-US"/>
        </w:rPr>
        <w:t>Varer må kun føres ind i Unionens toldområde, hvis de i artikel 80 omhandlede forhåndsoplysninger for fragt er blevet meddelt de kompetente toldmyndigheder eller gjort tilgængelige for dem af transportøren eller andre personer.</w:t>
      </w:r>
    </w:p>
    <w:p w14:paraId="74264FC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80</w:t>
      </w:r>
      <w:r w:rsidRPr="003E0486">
        <w:rPr>
          <w:szCs w:val="24"/>
          <w:lang w:eastAsia="en-US"/>
        </w:rPr>
        <w:br/>
        <w:t>Forhåndsoplysninger for fragt</w:t>
      </w:r>
    </w:p>
    <w:p w14:paraId="7CCF7E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Transportører, der fører varer ind i Unionens toldområde, meddeler det forventede toldsted for første indpassage forhåndsoplysninger for fragt vedrørende hver forsendelse eller gør dem tilgængelige for det inden for nærmere angivne frister.</w:t>
      </w:r>
    </w:p>
    <w:p w14:paraId="4F228803" w14:textId="77777777" w:rsidR="00C44B88" w:rsidRDefault="00C44B88">
      <w:pPr>
        <w:widowControl/>
        <w:rPr>
          <w:szCs w:val="24"/>
          <w:lang w:eastAsia="en-US"/>
        </w:rPr>
      </w:pPr>
      <w:r>
        <w:rPr>
          <w:szCs w:val="24"/>
          <w:lang w:eastAsia="en-US"/>
        </w:rPr>
        <w:br w:type="page"/>
      </w:r>
    </w:p>
    <w:p w14:paraId="3F443644" w14:textId="4B897FB2" w:rsidR="003E0486" w:rsidRPr="00AC6BCE" w:rsidRDefault="003E0486" w:rsidP="003E0486">
      <w:pPr>
        <w:spacing w:before="120" w:after="120" w:line="360" w:lineRule="auto"/>
        <w:ind w:left="850" w:hanging="850"/>
        <w:rPr>
          <w:b/>
          <w:szCs w:val="24"/>
          <w:lang w:eastAsia="en-US"/>
        </w:rPr>
      </w:pPr>
      <w:r w:rsidRPr="003E0486">
        <w:rPr>
          <w:szCs w:val="24"/>
          <w:lang w:eastAsia="en-US"/>
        </w:rPr>
        <w:lastRenderedPageBreak/>
        <w:t>2.</w:t>
      </w:r>
      <w:r w:rsidRPr="003E0486">
        <w:rPr>
          <w:szCs w:val="24"/>
          <w:lang w:eastAsia="en-US"/>
        </w:rPr>
        <w:tab/>
        <w:t>Forhåndsoplysningerne for fragt skal mindst omfatte den importør, der er ansvarlig for varerne, forsendelsens unikke referencenummer, afsenderen, modtageren, en beskrivelse af varerne, tariferingen</w:t>
      </w:r>
      <w:r w:rsidRPr="003E0486">
        <w:rPr>
          <w:b/>
          <w:i/>
          <w:szCs w:val="24"/>
          <w:lang w:eastAsia="en-US"/>
        </w:rPr>
        <w:t>, varernes endelige bestemmelsessted</w:t>
      </w:r>
      <w:r w:rsidRPr="003E0486">
        <w:rPr>
          <w:szCs w:val="24"/>
          <w:lang w:eastAsia="en-US"/>
        </w:rPr>
        <w:t>, værdien, oplysningerne om ruten og arten og identifikationen af varernes transportmiddel samt transportomkostningerne. Forhåndsoplysningerne for fragt skal fremsendes, inden varerne ankommer til Unionens toldområde.</w:t>
      </w:r>
      <w:r w:rsidRPr="003E0486">
        <w:rPr>
          <w:b/>
          <w:i/>
          <w:szCs w:val="24"/>
          <w:lang w:eastAsia="en-US"/>
        </w:rPr>
        <w:t xml:space="preserve"> Toldmyndighederne eller EU-Toldmyndigheden kan anmode om flere oplysninger med henblik på indpassage.</w:t>
      </w:r>
      <w:r w:rsidR="00AC6BCE">
        <w:rPr>
          <w:b/>
          <w:szCs w:val="24"/>
          <w:lang w:eastAsia="en-US"/>
        </w:rPr>
        <w:t xml:space="preserve"> [Ændring 187]</w:t>
      </w:r>
    </w:p>
    <w:p w14:paraId="36E29A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Importøren kan fremsende en del af forhåndsoplysningerne for fragt inden for de frister, der er fastsat i overensstemmelse med stk. 1. Hvis importøren allerede har meddelt eller sørget for tilgængelighed af en del af de krævede forhåndsoplysninger for fragt, knytter transportøren sine egne supplerende oplysninger til importørens oplysninger.</w:t>
      </w:r>
    </w:p>
    <w:p w14:paraId="2E40C70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Importøren underrettes, hvis en transportvirksomhed knytter oplysninger om en forsendelse til importørens tidligere oplysninger.</w:t>
      </w:r>
    </w:p>
    <w:p w14:paraId="061F160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I særlige tilfælde, hvor alle de i stk. 1 og 2 omhandlede forhåndsoplysninger for fragt ikke kan indhentes hos transportøren eller importøren, kan andre personer, der er i besiddelse af de pågældende oplysninger og behørige rettigheder til at videregive dem, pålægges at fremsende dem.</w:t>
      </w:r>
    </w:p>
    <w:p w14:paraId="02FCA72D" w14:textId="77777777" w:rsidR="00C44B88" w:rsidRDefault="00C44B88">
      <w:pPr>
        <w:widowControl/>
        <w:rPr>
          <w:szCs w:val="24"/>
          <w:lang w:eastAsia="en-US"/>
        </w:rPr>
      </w:pPr>
      <w:r>
        <w:rPr>
          <w:szCs w:val="24"/>
          <w:lang w:eastAsia="en-US"/>
        </w:rPr>
        <w:br w:type="page"/>
      </w:r>
    </w:p>
    <w:p w14:paraId="719BF762" w14:textId="7AC8C36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Der dispenseres fra den i stk. 1 fastsatte forpligtelse:</w:t>
      </w:r>
    </w:p>
    <w:p w14:paraId="076E4E5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 transportmidler og varer, som transporteres herpå, og som kun passerer gennem søterritorier eller luftrum, der indgår i Unionens toldområde, uden stop i området</w:t>
      </w:r>
    </w:p>
    <w:p w14:paraId="2DBFE3B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 ikke-EU-varer, der føres ind i Unionens toldområde efter midlertidigt at have forladt dette område ad sø- eller luftvejen, såfremt de er blevet transporteret direkte uden stop uden for Unionens toldområde, og</w:t>
      </w:r>
    </w:p>
    <w:p w14:paraId="3590300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 andre tilfælde, hvor det er behørigt begrundet af typen af varer eller trafik eller er påkrævet i henhold til internationale aftaler.</w:t>
      </w:r>
    </w:p>
    <w:p w14:paraId="778F9E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tillægges beføjelser til at vedtage delegerede retsakter i overensstemmelse med artikel 261 med henblik på at supplere denne forordning ved at fastsætte:</w:t>
      </w:r>
    </w:p>
    <w:p w14:paraId="5BBF02D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det forventede toldsted for første indpassage, jf. stk. 1</w:t>
      </w:r>
    </w:p>
    <w:p w14:paraId="49DDA4A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supplerende data, der skal fremsendes som forhåndsoplysninger for fragt, jf. stk. 2</w:t>
      </w:r>
    </w:p>
    <w:p w14:paraId="5701DE9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i stk. 1 og 3 omhandlede frister</w:t>
      </w:r>
    </w:p>
    <w:p w14:paraId="4E280B41" w14:textId="77777777" w:rsidR="00C44B88" w:rsidRDefault="00C44B88">
      <w:pPr>
        <w:widowControl/>
        <w:rPr>
          <w:szCs w:val="24"/>
          <w:lang w:eastAsia="en-US"/>
        </w:rPr>
      </w:pPr>
      <w:r>
        <w:rPr>
          <w:szCs w:val="24"/>
          <w:lang w:eastAsia="en-US"/>
        </w:rPr>
        <w:br w:type="page"/>
      </w:r>
    </w:p>
    <w:p w14:paraId="7DC493AD" w14:textId="31A626B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de særlige tilfælde og de andre personer, der kan blive anmodet om at fremsende forhåndsoplysninger for fragt, jf. stk. 5</w:t>
      </w:r>
    </w:p>
    <w:p w14:paraId="796251B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de tilfælde, hvor forpligtelsen til at meddele eller sørge for tilgængelighed af forhåndsoplysninger for fragt fraviges med den begrundelse, at en sådan fritagelse er behørigt begrundet i typen af varer eller trafik, jf. stk. 6, litra c)</w:t>
      </w:r>
    </w:p>
    <w:p w14:paraId="4BE62C6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de betingelser, hvorunder en person, der meddeler oplysninger eller gør dem tilgængelige, kan begrænse synligheden af sin identitet til en eller flere andre personer, der også indgiver oplysninger, uden at dette berører anvendelsen af alle oplysninger i forbindelse med toldtilsyn.</w:t>
      </w:r>
    </w:p>
    <w:p w14:paraId="5842518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præciserer ved gennemførelsesretsakter proceduren for fremsendelse og modtagelse af forhåndsoplysninger for fragt som omhandlet i stk. 1-5. Disse gennemførelsesretsakter vedtages efter undersøgelsesproceduren i artikel 262, stk. 4.</w:t>
      </w:r>
    </w:p>
    <w:p w14:paraId="033F3171" w14:textId="279235C6" w:rsidR="003E0486" w:rsidRPr="00AC6BCE" w:rsidRDefault="003E0486" w:rsidP="003E0486">
      <w:pPr>
        <w:spacing w:before="120" w:after="120" w:line="360" w:lineRule="auto"/>
        <w:ind w:left="850" w:hanging="850"/>
        <w:rPr>
          <w:b/>
          <w:szCs w:val="24"/>
          <w:lang w:eastAsia="en-US"/>
        </w:rPr>
      </w:pPr>
      <w:r w:rsidRPr="003E0486">
        <w:rPr>
          <w:szCs w:val="24"/>
          <w:lang w:eastAsia="en-US"/>
        </w:rPr>
        <w:t>9.</w:t>
      </w:r>
      <w:r w:rsidRPr="003E0486">
        <w:rPr>
          <w:szCs w:val="24"/>
          <w:lang w:eastAsia="en-US"/>
        </w:rPr>
        <w:tab/>
        <w:t xml:space="preserve">Indtil </w:t>
      </w:r>
      <w:r w:rsidRPr="003E0486">
        <w:rPr>
          <w:strike/>
          <w:szCs w:val="24"/>
          <w:lang w:eastAsia="en-US"/>
        </w:rPr>
        <w:t>datoen</w:t>
      </w:r>
      <w:r w:rsidRPr="003E0486">
        <w:rPr>
          <w:b/>
          <w:i/>
          <w:szCs w:val="24"/>
          <w:lang w:eastAsia="en-US"/>
        </w:rPr>
        <w:t>den dato, der er fastsat i arbejdsprogrammet omhandlet</w:t>
      </w:r>
      <w:r w:rsidRPr="003E0486">
        <w:rPr>
          <w:szCs w:val="24"/>
          <w:lang w:eastAsia="en-US"/>
        </w:rPr>
        <w:t xml:space="preserve"> i artikel </w:t>
      </w:r>
      <w:r w:rsidRPr="003E0486">
        <w:rPr>
          <w:strike/>
          <w:szCs w:val="24"/>
          <w:lang w:eastAsia="en-US"/>
        </w:rPr>
        <w:t>265, stk. 3</w:t>
      </w:r>
      <w:r w:rsidRPr="003E0486">
        <w:rPr>
          <w:b/>
          <w:i/>
          <w:szCs w:val="24"/>
          <w:lang w:eastAsia="en-US"/>
        </w:rPr>
        <w:t>29, stk. 5, litra b)</w:t>
      </w:r>
      <w:r w:rsidRPr="003E0486">
        <w:rPr>
          <w:szCs w:val="24"/>
          <w:lang w:eastAsia="en-US"/>
        </w:rPr>
        <w:t xml:space="preserve">, betragtes </w:t>
      </w:r>
      <w:r w:rsidRPr="003E0486">
        <w:rPr>
          <w:strike/>
          <w:szCs w:val="24"/>
          <w:lang w:eastAsia="en-US"/>
        </w:rPr>
        <w:t>den summariske</w:t>
      </w:r>
      <w:r w:rsidRPr="003E0486">
        <w:rPr>
          <w:b/>
          <w:i/>
          <w:szCs w:val="24"/>
          <w:lang w:eastAsia="en-US"/>
        </w:rPr>
        <w:t>en summarisk</w:t>
      </w:r>
      <w:r w:rsidRPr="003E0486">
        <w:rPr>
          <w:szCs w:val="24"/>
          <w:lang w:eastAsia="en-US"/>
        </w:rPr>
        <w:t xml:space="preserve"> indpassageangivelse</w:t>
      </w:r>
      <w:r w:rsidRPr="003E0486">
        <w:rPr>
          <w:b/>
          <w:i/>
          <w:szCs w:val="24"/>
          <w:lang w:eastAsia="en-US"/>
        </w:rPr>
        <w:t xml:space="preserve"> indgivet i overensstemmelse med de regler og datakrav, der er fastsat i forordning (EU) nr. 952/2013, som gælder for de elektroniske systemer, som medlemsstaterne og Kommissionen har udviklet i henhold til artikel 16, stk. 1, i forordning (EU) nr. 952/2013,</w:t>
      </w:r>
      <w:r w:rsidRPr="003E0486">
        <w:rPr>
          <w:szCs w:val="24"/>
          <w:lang w:eastAsia="en-US"/>
        </w:rPr>
        <w:t xml:space="preserve"> som forhåndsoplysninger for fragt.</w:t>
      </w:r>
      <w:r w:rsidR="00AC6BCE">
        <w:rPr>
          <w:b/>
          <w:szCs w:val="24"/>
          <w:lang w:eastAsia="en-US"/>
        </w:rPr>
        <w:t xml:space="preserve"> [Ændring 188]</w:t>
      </w:r>
    </w:p>
    <w:p w14:paraId="71A576C8" w14:textId="77777777" w:rsidR="00C44B88" w:rsidRDefault="00C44B88">
      <w:pPr>
        <w:widowControl/>
        <w:rPr>
          <w:szCs w:val="24"/>
          <w:lang w:eastAsia="en-US"/>
        </w:rPr>
      </w:pPr>
      <w:r>
        <w:rPr>
          <w:szCs w:val="24"/>
          <w:lang w:eastAsia="en-US"/>
        </w:rPr>
        <w:br w:type="page"/>
      </w:r>
    </w:p>
    <w:p w14:paraId="2A587DC4" w14:textId="7144A61C"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81</w:t>
      </w:r>
      <w:r w:rsidRPr="003E0486">
        <w:rPr>
          <w:szCs w:val="24"/>
          <w:lang w:eastAsia="en-US"/>
        </w:rPr>
        <w:br/>
        <w:t>Risikoanalyse af forhåndsoplysninger for fragt</w:t>
      </w:r>
    </w:p>
    <w:p w14:paraId="1FDD872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EU-Toldmyndighedens aktiviteter som fastsat i afsnit XII, sikrer toldstedet for den første indpassage inden for specifikke frister, at der foretages en risikoanalyse, primært med sikkerhedsmæssigt formål og, hvor det er muligt, med andre formål på grundlag af forhåndsoplysninger for fragt og andre oplysninger, der meddeles eller gøres tilgængelige via EU's tolddatacenter, og toldstedet træffer de nødvendige foranstaltninger på grundlag af resultaterne af denne risikoanalyse.</w:t>
      </w:r>
    </w:p>
    <w:p w14:paraId="1096771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Toldstedet for den første indpassage kan træffe passende afbødende foranstaltninger, herunder:</w:t>
      </w:r>
    </w:p>
    <w:p w14:paraId="7763E0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give transportøren instruks om, at varerne ikke må lastes eller transporteres</w:t>
      </w:r>
    </w:p>
    <w:p w14:paraId="4D9781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anmode om yderligere oplysninger eller tiltag</w:t>
      </w:r>
    </w:p>
    <w:p w14:paraId="484E2F7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identificere situationer, hvor en anden toldmyndigheds indgriben kan være hensigtsmæssig</w:t>
      </w:r>
    </w:p>
    <w:p w14:paraId="7A7F80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anbefale det mest hensigtsmæssige sted og de mest hensigtsmæssige foranstaltninger med henblik på at gennemføre en kontrol.</w:t>
      </w:r>
    </w:p>
    <w:p w14:paraId="44FB2631" w14:textId="77777777" w:rsidR="00C44B88" w:rsidRDefault="00C44B88">
      <w:pPr>
        <w:widowControl/>
        <w:rPr>
          <w:szCs w:val="24"/>
          <w:lang w:eastAsia="en-US"/>
        </w:rPr>
      </w:pPr>
      <w:r>
        <w:rPr>
          <w:szCs w:val="24"/>
          <w:lang w:eastAsia="en-US"/>
        </w:rPr>
        <w:br w:type="page"/>
      </w:r>
    </w:p>
    <w:p w14:paraId="08609027" w14:textId="73CAC52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beføjelser til at vedtage delegerede retsakter i overensstemmelse med artikel 261 med henblik på at supplere denne forordning ved at fastsætte fristerne for, hvornår risikoanalysen skal gennemføres, og de nødvendige foranstaltninger skal træffes, jf. nærværende artikels stk. 1, og ved at fastsætte de afbødende foranstaltninger, jf. nærværende artikels stk. 2.</w:t>
      </w:r>
    </w:p>
    <w:p w14:paraId="7B86CD6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Indtil den dato, der er fastsat i artikel 265, stk. 3, foretages risikoanalysen på grundlag af den summariske indpassageangivelse.</w:t>
      </w:r>
    </w:p>
    <w:p w14:paraId="7D82F32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82</w:t>
      </w:r>
      <w:r w:rsidRPr="003E0486">
        <w:rPr>
          <w:szCs w:val="24"/>
          <w:lang w:eastAsia="en-US"/>
        </w:rPr>
        <w:br/>
        <w:t>Ændring og ugyldiggørelse af forhåndsoplysninger for fragt</w:t>
      </w:r>
    </w:p>
    <w:p w14:paraId="23B83B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Transportøren meddeler de berørte toldmyndigheder om omdirigeringer, der påvirker fragtens rute som meddelt i de forhåndsoplysninger for fragt.</w:t>
      </w:r>
    </w:p>
    <w:p w14:paraId="6DC3E75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Importøren og transportøren ændrer en eller flere oplysninger i forhåndsoplysningerne for fragt, hvis de får kendskab til, at de relevante oplysninger har ændret sig i deres regnskaber, eller når en toldmyndigheder anmoder dem eller giver dem instruks herom som følge af et problem med dataenes nøjagtighed, fuldstændighed eller kvalitet, medmindre toldmyndighederne har meddelt transportøren, at de har til hensigt at undersøge varerne, eller at de har konstateret, at forhåndsoplysningerne for fragt er ukorrekte, eller varerne allerede er blevet frembudt for toldmyndighederne.</w:t>
      </w:r>
    </w:p>
    <w:p w14:paraId="5C42A7CE" w14:textId="77777777" w:rsidR="00C44B88" w:rsidRDefault="00C44B88">
      <w:pPr>
        <w:widowControl/>
        <w:rPr>
          <w:szCs w:val="24"/>
          <w:lang w:eastAsia="en-US"/>
        </w:rPr>
      </w:pPr>
      <w:r>
        <w:rPr>
          <w:szCs w:val="24"/>
          <w:lang w:eastAsia="en-US"/>
        </w:rPr>
        <w:br w:type="page"/>
      </w:r>
    </w:p>
    <w:p w14:paraId="0F900B2B" w14:textId="71F4ED5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Transportøren erklærer så hurtigt som muligt forhåndsoplysningerne for fragt for varer, der ikke bliver ført ind i Unionens toldområde, for ugyldige. Toldmyndighederne erklærer forhåndsoplysningerne for fragt vedrørende disse varer for ugyldige efter 200 dage fra den dato, hvor oplysningerne blev meddelt eller gjort tilgængelige.</w:t>
      </w:r>
    </w:p>
    <w:p w14:paraId="24093A9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proceduren for ændring af forhåndsoplysningerne for fragt som omhandlet i stk. 2 og for erklæringen af ugyldigheden af forhåndsoplysningerne for fragt som omhandlet i stk. 3. Disse gennemførelsesretsakter vedtages efter undersøgelsesproceduren i artikel 262, stk. 4.</w:t>
      </w:r>
    </w:p>
    <w:p w14:paraId="1118FDF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83</w:t>
      </w:r>
      <w:r w:rsidRPr="003E0486">
        <w:rPr>
          <w:szCs w:val="24"/>
          <w:lang w:eastAsia="en-US"/>
        </w:rPr>
        <w:br/>
        <w:t>Underretning om ankomst</w:t>
      </w:r>
    </w:p>
    <w:p w14:paraId="06D370B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Transportøren underretter toldstedet for den faktiske første indpassage om ankomsten af det transportmiddel, der føres ind i Unionens toldområde, og om forsendelserne deri.</w:t>
      </w:r>
    </w:p>
    <w:p w14:paraId="789774E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specifikke tilfælde, hvor alle data om forsendelserne ikke kan indhentes hos transportøren, kan en efterfølgende transportør eller andre personer, der har disse oplysninger og de behørige rettigheder til at videregive dem, blive pålagt at underrette toldstedet for den faktiske første indpassage om forsendelsernes ankomst.</w:t>
      </w:r>
    </w:p>
    <w:p w14:paraId="3723A812" w14:textId="77777777" w:rsidR="00C44B88" w:rsidRDefault="00C44B88">
      <w:pPr>
        <w:widowControl/>
        <w:rPr>
          <w:szCs w:val="24"/>
          <w:lang w:eastAsia="en-US"/>
        </w:rPr>
      </w:pPr>
      <w:r>
        <w:rPr>
          <w:szCs w:val="24"/>
          <w:lang w:eastAsia="en-US"/>
        </w:rPr>
        <w:br w:type="page"/>
      </w:r>
    </w:p>
    <w:p w14:paraId="656D38CE" w14:textId="042C6B7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Oplysningerne om transportmidlets og forsendelsernes ankomst kan meddeles toldmyndighederne eller gøres tilgængelige for dem ved hjælp af andre midler end EU's tolddatacenter. I sådanne tilfælde overføres de oplysninger, der meddeles eller gøres tilgængelige ved hjælp af disse andre midler, til EU's tolddatacenter.</w:t>
      </w:r>
    </w:p>
    <w:p w14:paraId="2A292428" w14:textId="550DFFDD" w:rsidR="003E0486" w:rsidRPr="00AC6BCE"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r>
      <w:r w:rsidRPr="003E0486">
        <w:rPr>
          <w:strike/>
          <w:szCs w:val="24"/>
          <w:lang w:eastAsia="en-US"/>
        </w:rPr>
        <w:t xml:space="preserve">Hvis transportmidlets og forsendelsernes ankomst ikke er omfattet af den i stk. 1 omhandlede underretning, giver </w:t>
      </w:r>
      <w:r w:rsidRPr="003E0486">
        <w:rPr>
          <w:szCs w:val="24"/>
          <w:lang w:eastAsia="en-US"/>
        </w:rPr>
        <w:t xml:space="preserve">Transportøren </w:t>
      </w:r>
      <w:r w:rsidRPr="003E0486">
        <w:rPr>
          <w:strike/>
          <w:szCs w:val="24"/>
          <w:lang w:eastAsia="en-US"/>
        </w:rPr>
        <w:t>underretning</w:t>
      </w:r>
      <w:r w:rsidRPr="003E0486">
        <w:rPr>
          <w:b/>
          <w:i/>
          <w:szCs w:val="24"/>
          <w:lang w:eastAsia="en-US"/>
        </w:rPr>
        <w:t>giver kun meddelelse</w:t>
      </w:r>
      <w:r w:rsidRPr="003E0486">
        <w:rPr>
          <w:szCs w:val="24"/>
          <w:lang w:eastAsia="en-US"/>
        </w:rPr>
        <w:t xml:space="preserve"> om ankomsten af </w:t>
      </w:r>
      <w:r w:rsidRPr="003E0486">
        <w:rPr>
          <w:strike/>
          <w:szCs w:val="24"/>
          <w:lang w:eastAsia="en-US"/>
        </w:rPr>
        <w:t xml:space="preserve">de </w:t>
      </w:r>
      <w:r w:rsidRPr="003E0486">
        <w:rPr>
          <w:szCs w:val="24"/>
          <w:lang w:eastAsia="en-US"/>
        </w:rPr>
        <w:t xml:space="preserve">varer, der </w:t>
      </w:r>
      <w:r w:rsidRPr="003E0486">
        <w:rPr>
          <w:strike/>
          <w:szCs w:val="24"/>
          <w:lang w:eastAsia="en-US"/>
        </w:rPr>
        <w:t>føres ind</w:t>
      </w:r>
      <w:r w:rsidRPr="003E0486">
        <w:rPr>
          <w:b/>
          <w:i/>
          <w:szCs w:val="24"/>
          <w:lang w:eastAsia="en-US"/>
        </w:rPr>
        <w:t>er indført</w:t>
      </w:r>
      <w:r w:rsidRPr="003E0486">
        <w:rPr>
          <w:szCs w:val="24"/>
          <w:lang w:eastAsia="en-US"/>
        </w:rPr>
        <w:t xml:space="preserve"> i Unionens toldområde ad sø- eller luftvejen,</w:t>
      </w:r>
      <w:r w:rsidRPr="003E0486">
        <w:rPr>
          <w:b/>
          <w:i/>
          <w:szCs w:val="24"/>
          <w:lang w:eastAsia="en-US"/>
        </w:rPr>
        <w:t xml:space="preserve"> og som forbliver om bord på det samme transportmiddel til transport, til toldområdet</w:t>
      </w:r>
      <w:r w:rsidRPr="003E0486">
        <w:rPr>
          <w:szCs w:val="24"/>
          <w:lang w:eastAsia="en-US"/>
        </w:rPr>
        <w:t xml:space="preserve"> i den havn eller lufthavn, hvor de losses eller omlades.</w:t>
      </w:r>
      <w:r w:rsidR="00AC6BCE">
        <w:rPr>
          <w:b/>
          <w:szCs w:val="24"/>
          <w:lang w:eastAsia="en-US"/>
        </w:rPr>
        <w:t xml:space="preserve"> [Ændring 189]</w:t>
      </w:r>
    </w:p>
    <w:p w14:paraId="075CEC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Uanset stk. 4 giver transportøren ikke underretning om varer, der føres ind i Unionens toldområde, og som losses og genlastes på samme transportmiddel under dets rejse for at muliggøre losning eller lastning af andre varer i samme havn eller lufthavn.</w:t>
      </w:r>
    </w:p>
    <w:p w14:paraId="12F8E94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Transportøren må ikke i Unionens toldområde losse varer, for hvilke et minimum af forhåndsoplysninger for fragt ikke er meddelt til eller gjort tilgængelige for toldmyndighederne, medmindre toldmyndighederne har anmodet transportøren om at frembyde dem i overensstemmelse med artikel 85.</w:t>
      </w:r>
    </w:p>
    <w:p w14:paraId="3381EB11" w14:textId="77777777" w:rsidR="00C44B88" w:rsidRDefault="00C44B88">
      <w:pPr>
        <w:widowControl/>
        <w:rPr>
          <w:szCs w:val="24"/>
          <w:lang w:eastAsia="en-US"/>
        </w:rPr>
      </w:pPr>
      <w:r>
        <w:rPr>
          <w:szCs w:val="24"/>
          <w:lang w:eastAsia="en-US"/>
        </w:rPr>
        <w:br w:type="page"/>
      </w:r>
    </w:p>
    <w:p w14:paraId="721A2BB2" w14:textId="6DF38D5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Uanset stk. 6 kan toldmyndighederne tillade transportøren at losse varerne i tilfælde af en overhængende fare, der nødvendiggør, at alle eller en del af varerne straks losses.</w:t>
      </w:r>
    </w:p>
    <w:p w14:paraId="710B42D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supplere denne forordning ved at fastsætte de særlige tilfælde, der er omhandlet i stk. 2, og de andre personer, der kan blive pålagt at underrette toldstedet for den faktiske første indpassage om forsendelsernes ankomst.</w:t>
      </w:r>
    </w:p>
    <w:p w14:paraId="581164E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Kommissionen præciserer ved gennemførelsesretsakter proceduren vedrørende underretning om ankomsten som omhandlet i denne artikel. Disse gennemførelsesretsakter vedtages efter undersøgelsesproceduren i artikel 262, stk. 4.</w:t>
      </w:r>
    </w:p>
    <w:p w14:paraId="2E59413F" w14:textId="54648679" w:rsidR="003E0486" w:rsidRPr="00AC6BCE" w:rsidRDefault="003E0486" w:rsidP="003E0486">
      <w:pPr>
        <w:spacing w:before="120" w:after="120" w:line="360" w:lineRule="auto"/>
        <w:ind w:left="850" w:hanging="850"/>
        <w:rPr>
          <w:b/>
          <w:szCs w:val="24"/>
          <w:lang w:eastAsia="en-US"/>
        </w:rPr>
      </w:pPr>
      <w:r w:rsidRPr="003E0486">
        <w:rPr>
          <w:b/>
          <w:i/>
          <w:szCs w:val="24"/>
          <w:lang w:eastAsia="en-US"/>
        </w:rPr>
        <w:t>9a.</w:t>
      </w:r>
      <w:r w:rsidRPr="003E0486">
        <w:rPr>
          <w:szCs w:val="24"/>
          <w:lang w:eastAsia="en-US"/>
        </w:rPr>
        <w:tab/>
      </w:r>
      <w:r w:rsidRPr="003E0486">
        <w:rPr>
          <w:b/>
          <w:i/>
          <w:szCs w:val="24"/>
          <w:lang w:eastAsia="en-US"/>
        </w:rPr>
        <w:t>Indtil de datoer, der er fastsat i arbejdsprogrammet omhandlet i artikel 29, stk. 5, litra b), betragtes en indgivet underretning om ankomst, og en frembydelse for toldmyndighederne omhandlet i artikel 85, stk. 1, i overensstemmelse med de regler og datakrav, der er fastsat i forordning (EU) nr. 952/2013, der finder anvendelse på de elektroniske systemer, som medlemsstaterne i samarbejde med Kommissionen har udviklet i henhold til artikel 16, stk. 1, i forordning (EU) nr. 952/2013, som henholdsvis en underretning om ankomst af transportmidlet og en underretning om forsendelserne deri.</w:t>
      </w:r>
      <w:r w:rsidR="00AC6BCE">
        <w:rPr>
          <w:b/>
          <w:szCs w:val="24"/>
          <w:lang w:eastAsia="en-US"/>
        </w:rPr>
        <w:t xml:space="preserve"> [Ændring 190]</w:t>
      </w:r>
    </w:p>
    <w:p w14:paraId="60269B52" w14:textId="77777777" w:rsidR="00BF6859" w:rsidRDefault="00BF6859">
      <w:pPr>
        <w:widowControl/>
        <w:rPr>
          <w:szCs w:val="24"/>
          <w:lang w:eastAsia="en-US"/>
        </w:rPr>
      </w:pPr>
      <w:r>
        <w:rPr>
          <w:szCs w:val="24"/>
          <w:lang w:eastAsia="en-US"/>
        </w:rPr>
        <w:br w:type="page"/>
      </w:r>
    </w:p>
    <w:p w14:paraId="3128D85E" w14:textId="23D2918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84</w:t>
      </w:r>
      <w:r w:rsidRPr="003E0486">
        <w:rPr>
          <w:szCs w:val="24"/>
          <w:lang w:eastAsia="en-US"/>
        </w:rPr>
        <w:br/>
        <w:t>Transport til det rette sted</w:t>
      </w:r>
    </w:p>
    <w:p w14:paraId="070156C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transportør, som fører varer ind i Unionens toldområde, skal omgående transportere dem ad den af toldmyndighederne anviste vej og i givet fald på den af dem anviste måde til det af toldmyndighederne anviste toldsted eller til et andet af disse myndigheder anvist eller godkendt sted.</w:t>
      </w:r>
    </w:p>
    <w:p w14:paraId="596A04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transportørerne på grund af hændelige omstændigheder eller force majeure ikke kan opfylde forpligtelsen i stk. 1, underretter de omgående toldmyndighederne om situationen og varernes præcise lokalisering.</w:t>
      </w:r>
    </w:p>
    <w:p w14:paraId="5334D8A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bestemmer, hvilke forholdsregler der skal træffes, for at der kan føres toldtilsyn med de varer, der er omhandlet i stk. 1, eller med skibet eller luftfartøjet og varer, som transporteres herpå, på de betingelser, der er fastsat i stk. 2, for at det i givet fald kan sikres, at varerne senere transporteres til et toldsted eller ethvert andet af myndighederne anvist eller godkendt sted eller til en frizone.</w:t>
      </w:r>
    </w:p>
    <w:p w14:paraId="2D68DC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Varer, der føres ind i en frizone, skal føres direkte ind i denne frizone enten ad sø- eller luftvejen eller, hvis over land, uden at passere gennem en anden del af Unionens toldområde, hvor frizonen støder op til en landegrænse mellem en medlemsstat og et tredjeland.</w:t>
      </w:r>
    </w:p>
    <w:p w14:paraId="57700006" w14:textId="77777777" w:rsidR="00BF6859" w:rsidRDefault="00BF6859">
      <w:pPr>
        <w:widowControl/>
        <w:rPr>
          <w:szCs w:val="24"/>
          <w:lang w:eastAsia="en-US"/>
        </w:rPr>
      </w:pPr>
      <w:r>
        <w:rPr>
          <w:szCs w:val="24"/>
          <w:lang w:eastAsia="en-US"/>
        </w:rPr>
        <w:br w:type="page"/>
      </w:r>
    </w:p>
    <w:p w14:paraId="2AEF8062" w14:textId="4421957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Toldmyndigheden kan underkaste varer, der stadig befinder sig uden for Unionens toldområde, toldkontrol som følge af en aftale indgået med det relevante tredjeland. Toldmyndighederne behandler disse varer på samme måde som varer, der føres ind i Unionens toldområde.</w:t>
      </w:r>
    </w:p>
    <w:p w14:paraId="411CE9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Uanset stk. 1 og 2 kan særlige regler finde anvendelse for varer, der transporteres i grænseområder eller i rørledninger og kabler, for trafik af uvæsentlig økonomisk betydning eller for varer, der transporteres af rejsende, forudsat at toldtilsynet og mulighederne for toldkontrol ikke indskrænkes herved.</w:t>
      </w:r>
    </w:p>
    <w:p w14:paraId="0D401C6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Stk. 1 finder ikke anvendelse på transportmidler og varer, som transporteres herpå, og som kun passerer gennem søterritorier eller luftrum, der indgår i Unionens toldområde, uden stop i området.</w:t>
      </w:r>
    </w:p>
    <w:p w14:paraId="6F8F6BD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Artikel 83 og 85 finder ikke anvendelse i tilfælde, hvor EU-varer, som i overensstemmelse med artikel 58, stk. 2, transporteres, uden at deres toldmæssige status ændres, føres ind i Unionens toldområde efter midlertidigt at have forladt dette område ad sø- eller luftvejen, såfremt de er blevet transporteret direkte uden stop uden for Unionens toldområde.</w:t>
      </w:r>
    </w:p>
    <w:p w14:paraId="50B2EF08" w14:textId="77777777" w:rsidR="00BF6859" w:rsidRDefault="00BF6859">
      <w:pPr>
        <w:widowControl/>
        <w:rPr>
          <w:szCs w:val="24"/>
          <w:lang w:eastAsia="en-US"/>
        </w:rPr>
      </w:pPr>
      <w:r>
        <w:rPr>
          <w:szCs w:val="24"/>
          <w:lang w:eastAsia="en-US"/>
        </w:rPr>
        <w:br w:type="page"/>
      </w:r>
    </w:p>
    <w:p w14:paraId="6C292D09" w14:textId="7EBDC17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85</w:t>
      </w:r>
      <w:r w:rsidRPr="003E0486">
        <w:rPr>
          <w:szCs w:val="24"/>
          <w:lang w:eastAsia="en-US"/>
        </w:rPr>
        <w:br/>
        <w:t>Frembydelse for toldmyndighederne</w:t>
      </w:r>
    </w:p>
    <w:p w14:paraId="02B19DF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toldmyndighederne eller anden lovgivning, der anvendes af toldmyndighederne, kræver det, skal transportøren frembyde de varer, der føres ind i Unionens toldområde, for toldmyndighederne ved deres ankomst til det udpegede toldsted eller ethvert andet sted, som toldmyndighederne har anvist eller godkendt, eller i frizonen.</w:t>
      </w:r>
    </w:p>
    <w:p w14:paraId="73050123" w14:textId="3A8FA1B2" w:rsidR="003E0486" w:rsidRPr="00AC6BCE"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r>
      <w:r w:rsidRPr="003E0486">
        <w:rPr>
          <w:b/>
          <w:i/>
          <w:szCs w:val="24"/>
          <w:lang w:eastAsia="en-US"/>
        </w:rPr>
        <w:t xml:space="preserve">Uden at det berører artikel 80, stk. 5, kræver </w:t>
      </w:r>
      <w:r w:rsidRPr="003E0486">
        <w:rPr>
          <w:szCs w:val="24"/>
          <w:lang w:eastAsia="en-US"/>
        </w:rPr>
        <w:t>toldmyndighederne</w:t>
      </w:r>
      <w:r w:rsidRPr="003E0486">
        <w:rPr>
          <w:strike/>
          <w:szCs w:val="24"/>
          <w:lang w:eastAsia="en-US"/>
        </w:rPr>
        <w:t xml:space="preserve"> kræver</w:t>
      </w:r>
      <w:r w:rsidRPr="003E0486">
        <w:rPr>
          <w:szCs w:val="24"/>
          <w:lang w:eastAsia="en-US"/>
        </w:rPr>
        <w:t>, at transportøren frembyder varerne og meddeler de i artikel 80 omhandlede forhåndsoplysninger for fragt, hvis disse oplysninger ikke er fremsendt på et tidligere tidspunkt.</w:t>
      </w:r>
      <w:r w:rsidR="00AC6BCE">
        <w:rPr>
          <w:b/>
          <w:szCs w:val="24"/>
          <w:lang w:eastAsia="en-US"/>
        </w:rPr>
        <w:t xml:space="preserve"> [Ændring 191]</w:t>
      </w:r>
    </w:p>
    <w:p w14:paraId="22098CB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Varer, der frembydes for toldmyndighederne, må ikke uden toldmyndighedernes tilladelse fjernes fra det sted, hvor de blev frembudt.</w:t>
      </w:r>
    </w:p>
    <w:p w14:paraId="6367E95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betingelserne for anvisning og godkendelse af andre steder end det udpegede toldsted, jf. stk. 1.</w:t>
      </w:r>
    </w:p>
    <w:p w14:paraId="4CB1B76C" w14:textId="77777777" w:rsidR="00BF6859" w:rsidRDefault="00BF6859">
      <w:pPr>
        <w:widowControl/>
        <w:rPr>
          <w:szCs w:val="24"/>
          <w:lang w:eastAsia="en-US"/>
        </w:rPr>
      </w:pPr>
      <w:r>
        <w:rPr>
          <w:szCs w:val="24"/>
          <w:lang w:eastAsia="en-US"/>
        </w:rPr>
        <w:br w:type="page"/>
      </w:r>
    </w:p>
    <w:p w14:paraId="2470D7C0" w14:textId="7B88DDC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Kommissionen vedtager ved gennemførelsesretsakter proceduren for frembydelse af varerne for toldmyndighederne som omhandlet i denne artikel. Disse gennemførelsesretsakter vedtages efter undersøgelsesproceduren i artikel 262, stk. 4.</w:t>
      </w:r>
    </w:p>
    <w:p w14:paraId="1811AC5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86</w:t>
      </w:r>
      <w:r w:rsidRPr="003E0486">
        <w:rPr>
          <w:szCs w:val="24"/>
          <w:lang w:eastAsia="en-US"/>
        </w:rPr>
        <w:br/>
        <w:t>Midlertidig opbevaring af varer</w:t>
      </w:r>
    </w:p>
    <w:p w14:paraId="790DDD1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Ikke-EU-varer skal være i midlertidig opbevaring fra det tidspunkt, hvor transportøren giver underretning om deres ankomst til Unionens toldområde, og indtil de henføres under en toldprocedure, eller toldmyndighederne bringer deres situation i overensstemmelse med reglerne, jf. stk. 6.</w:t>
      </w:r>
    </w:p>
    <w:p w14:paraId="23E7F13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Varer, der ankommer til toldområdet under forsendelse, skal være i midlertidig opbevaring, efter at de er blevet frembudt for bestemmelsestoldstedet i Unionens toldområde i overensstemmelse med reglerne for forsendelsesproceduren i afsnit VIII, kapitel 2, indtil de bliver henført under en anden toldprocedure, eller toldmyndighederne bringer deres situation i overensstemmelse med reglerne, jf. stk. 6.</w:t>
      </w:r>
    </w:p>
    <w:p w14:paraId="141D521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Varer under midlertidig opbevaring opbevares kun i toldoplag eller i begrundede tilfælde på andre steder anvist eller godkendt af toldmyndighederne.</w:t>
      </w:r>
    </w:p>
    <w:p w14:paraId="3753AD0F" w14:textId="77777777" w:rsidR="00BF6859" w:rsidRDefault="00BF6859">
      <w:pPr>
        <w:widowControl/>
        <w:rPr>
          <w:szCs w:val="24"/>
          <w:lang w:eastAsia="en-US"/>
        </w:rPr>
      </w:pPr>
      <w:r>
        <w:rPr>
          <w:szCs w:val="24"/>
          <w:lang w:eastAsia="en-US"/>
        </w:rPr>
        <w:br w:type="page"/>
      </w:r>
    </w:p>
    <w:p w14:paraId="43E36CBD" w14:textId="58D67BA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Operatøren af den midlertidige opbevaring eller toldoplagsoperatøren bevarer varerne under midlertidig opbevaring, men må ikke ændre dem eller ændre deres udseende eller tekniske egenskaber.</w:t>
      </w:r>
    </w:p>
    <w:p w14:paraId="06CF5878" w14:textId="142FB88F" w:rsidR="003E0486" w:rsidRPr="00AC6BCE" w:rsidRDefault="003E0486" w:rsidP="003E0486">
      <w:pPr>
        <w:spacing w:before="120" w:after="120" w:line="360" w:lineRule="auto"/>
        <w:ind w:left="850" w:hanging="850"/>
        <w:rPr>
          <w:b/>
          <w:szCs w:val="24"/>
          <w:lang w:eastAsia="en-US"/>
        </w:rPr>
      </w:pPr>
      <w:r w:rsidRPr="003E0486">
        <w:rPr>
          <w:szCs w:val="24"/>
          <w:lang w:eastAsia="en-US"/>
        </w:rPr>
        <w:t>5.</w:t>
      </w:r>
      <w:r w:rsidRPr="003E0486">
        <w:rPr>
          <w:szCs w:val="24"/>
          <w:lang w:eastAsia="en-US"/>
        </w:rPr>
        <w:tab/>
        <w:t xml:space="preserve">Ikke-EU-varer under midlertidig opbevaring henføres under en toldprocedure senest </w:t>
      </w:r>
      <w:r w:rsidRPr="003E0486">
        <w:rPr>
          <w:strike/>
          <w:szCs w:val="24"/>
          <w:lang w:eastAsia="en-US"/>
        </w:rPr>
        <w:t>tre</w:t>
      </w:r>
      <w:r w:rsidRPr="003E0486">
        <w:rPr>
          <w:b/>
          <w:i/>
          <w:szCs w:val="24"/>
          <w:lang w:eastAsia="en-US"/>
        </w:rPr>
        <w:t>90</w:t>
      </w:r>
      <w:r w:rsidRPr="003E0486">
        <w:rPr>
          <w:szCs w:val="24"/>
          <w:lang w:eastAsia="en-US"/>
        </w:rPr>
        <w:t xml:space="preserve"> dage efter underretningen om deres ankomst eller senest seks dage efter underretningen om deres ankomst, hvis der er tale om en godkendt modtager som omhandlet i artikel 116, stk. 4, litra b), medmindre toldmyndighederne kræver, at varerne frembydes. Denne frist kan i særlige tilfælde forlænges.</w:t>
      </w:r>
      <w:r w:rsidR="00AC6BCE">
        <w:rPr>
          <w:b/>
          <w:szCs w:val="24"/>
          <w:lang w:eastAsia="en-US"/>
        </w:rPr>
        <w:t xml:space="preserve"> [Ændring 192]</w:t>
      </w:r>
    </w:p>
    <w:p w14:paraId="5B81A3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Hvis det er behørigt begrundet, at varer ikke fortsat kan være under midlertidig opbevaring, træffer toldmyndighederne straks alle nødvendige foranstaltninger for at bortskaffe varerne i overensstemmelse med dette afsnits kapitel 4.</w:t>
      </w:r>
    </w:p>
    <w:p w14:paraId="177794C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tillægges beføjelser til at vedtage delegerede retsakter i overensstemmelse med artikel 261 med henblik på at supplere denne forordning ved at fastsætte betingelserne for anvisning og godkendelse af de i denne artikels stk. 3 omhandlede steder og de tilfælde, hvor den i denne artikels stk. 5 omhandlede frist kan forlænges.</w:t>
      </w:r>
    </w:p>
    <w:p w14:paraId="77D29142" w14:textId="77777777" w:rsidR="00BF6859" w:rsidRDefault="00BF6859">
      <w:pPr>
        <w:widowControl/>
        <w:rPr>
          <w:b/>
          <w:i/>
          <w:szCs w:val="24"/>
          <w:lang w:eastAsia="en-US"/>
        </w:rPr>
      </w:pPr>
      <w:r>
        <w:rPr>
          <w:b/>
          <w:i/>
          <w:szCs w:val="24"/>
          <w:lang w:eastAsia="en-US"/>
        </w:rPr>
        <w:br w:type="page"/>
      </w:r>
    </w:p>
    <w:p w14:paraId="61933AB5" w14:textId="0739ED94" w:rsidR="003E0486" w:rsidRPr="00AC6BCE" w:rsidRDefault="003E0486" w:rsidP="003E0486">
      <w:pPr>
        <w:spacing w:before="120" w:after="120" w:line="360" w:lineRule="auto"/>
        <w:ind w:left="850" w:hanging="850"/>
        <w:rPr>
          <w:b/>
          <w:szCs w:val="24"/>
          <w:lang w:eastAsia="en-US"/>
        </w:rPr>
      </w:pPr>
      <w:r w:rsidRPr="003E0486">
        <w:rPr>
          <w:b/>
          <w:i/>
          <w:szCs w:val="24"/>
          <w:lang w:eastAsia="en-US"/>
        </w:rPr>
        <w:lastRenderedPageBreak/>
        <w:t>7a.</w:t>
      </w:r>
      <w:r w:rsidRPr="003E0486">
        <w:rPr>
          <w:szCs w:val="24"/>
          <w:lang w:eastAsia="en-US"/>
        </w:rPr>
        <w:tab/>
      </w:r>
      <w:r w:rsidRPr="003E0486">
        <w:rPr>
          <w:b/>
          <w:i/>
          <w:szCs w:val="24"/>
          <w:lang w:eastAsia="en-US"/>
        </w:rPr>
        <w:t>Indtil datoen, der er fastsat i artikel 265, stk. 3, skal angivelsen til midlertidig opbevaring indgives i overensstemmelse med regler og datakrav i henhold til forordning (EU) nr. 952/2013, og de gennemførelsesretsakter og delegerede retsakter, der er fastsat deri.</w:t>
      </w:r>
      <w:r w:rsidR="00AC6BCE">
        <w:rPr>
          <w:b/>
          <w:szCs w:val="24"/>
          <w:lang w:eastAsia="en-US"/>
        </w:rPr>
        <w:t xml:space="preserve"> [Ændring 193]</w:t>
      </w:r>
    </w:p>
    <w:p w14:paraId="6840163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87</w:t>
      </w:r>
      <w:r w:rsidRPr="003E0486">
        <w:rPr>
          <w:szCs w:val="24"/>
          <w:lang w:eastAsia="en-US"/>
        </w:rPr>
        <w:br/>
        <w:t>Overgangsbestemmelse vedrørende bevillinger til drift af lagerfaciliteter til midlertidig opbevaring</w:t>
      </w:r>
    </w:p>
    <w:p w14:paraId="7DA1C586" w14:textId="77777777" w:rsidR="003E0486" w:rsidRPr="003E0486" w:rsidRDefault="003E0486" w:rsidP="003E0486">
      <w:pPr>
        <w:spacing w:before="120" w:after="120" w:line="360" w:lineRule="auto"/>
        <w:rPr>
          <w:szCs w:val="24"/>
          <w:lang w:eastAsia="en-US"/>
        </w:rPr>
      </w:pPr>
      <w:r w:rsidRPr="003E0486">
        <w:rPr>
          <w:szCs w:val="24"/>
          <w:lang w:eastAsia="en-US"/>
        </w:rPr>
        <w:t>Inden den dato, der er fastsat i artikel 265, stk. 3, foretager toldmyndighederne en fornyet vurdering af bevillingerne til drift af lagerfaciliteter til midlertidig opbevaring for at kontrollere, om indehaverne kan få bevilling til toldoplag. Hvis dette ikke er tilfældet, tilbagekaldes bevillingerne til drift af lagerfaciliteter til midlertidig opbevaring.</w:t>
      </w:r>
    </w:p>
    <w:p w14:paraId="101EE927" w14:textId="77777777" w:rsidR="00BF6859" w:rsidRDefault="00BF6859">
      <w:pPr>
        <w:widowControl/>
        <w:rPr>
          <w:szCs w:val="24"/>
          <w:lang w:eastAsia="en-US"/>
        </w:rPr>
      </w:pPr>
      <w:r>
        <w:rPr>
          <w:szCs w:val="24"/>
          <w:lang w:eastAsia="en-US"/>
        </w:rPr>
        <w:br w:type="page"/>
      </w:r>
    </w:p>
    <w:p w14:paraId="42239BB1" w14:textId="641B8DE1"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2 </w:t>
      </w:r>
      <w:r w:rsidRPr="003E0486">
        <w:rPr>
          <w:szCs w:val="24"/>
          <w:lang w:eastAsia="en-US"/>
        </w:rPr>
        <w:br/>
        <w:t>Overgang til fri omsætning</w:t>
      </w:r>
    </w:p>
    <w:p w14:paraId="6B18B26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88</w:t>
      </w:r>
      <w:r w:rsidRPr="003E0486">
        <w:rPr>
          <w:szCs w:val="24"/>
          <w:lang w:eastAsia="en-US"/>
        </w:rPr>
        <w:br/>
        <w:t>Anvendelsesområde og indvirkning</w:t>
      </w:r>
    </w:p>
    <w:p w14:paraId="2D82441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Ikke-EU-varer, der skal bringes i omsætning på Unionens marked eller er bestemt til privat forbrug eller fortæring inden for Unionens toldområde, henføres til overgang til fri omsætning.</w:t>
      </w:r>
    </w:p>
    <w:p w14:paraId="7979D77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Overgang til fri omsætning betragtes ikke som bevis for overensstemmelse med relevant anden lovgivning, der anvendes af toldmyndighederne.</w:t>
      </w:r>
    </w:p>
    <w:p w14:paraId="524C4FF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Betingelserne for henførsel af varer til overgang til fri omsætning er følgende:</w:t>
      </w:r>
    </w:p>
    <w:p w14:paraId="54A49F4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krævede data er blevet meddelt til eller gjort tilgængelige for toldmyndighederne, og disse data skal mindst omfatte den importør, der er ansvarlig for varerne, sælgeren, køberen, fabrikanten, produktleverandøren, hvis denne er forskellig fra fabrikanten, den ansvarlige økonomiske operatør i Unionen, jf. artikel 4 i forordning (EU) 2019/1020 og artikel 16 i Europa-Parlamentets og Rådets forordning (EU) 2023/XXXX</w:t>
      </w:r>
      <w:r w:rsidRPr="003E0486">
        <w:rPr>
          <w:szCs w:val="24"/>
          <w:vertAlign w:val="superscript"/>
          <w:lang w:val="en-GB" w:eastAsia="en-US"/>
        </w:rPr>
        <w:footnoteReference w:id="43"/>
      </w:r>
      <w:r w:rsidRPr="003E0486">
        <w:rPr>
          <w:szCs w:val="24"/>
          <w:lang w:eastAsia="en-US"/>
        </w:rPr>
        <w:t>, værdien, oprindelsen, tariferingen og en beskrivelse af varerne, forsendelsens unikke referencenummer og lokalisering samt listen over relevant anden lovgivning, der anvendes af toldmyndighederne</w:t>
      </w:r>
    </w:p>
    <w:p w14:paraId="0235A279" w14:textId="77777777" w:rsidR="00BF6859" w:rsidRDefault="00BF6859">
      <w:pPr>
        <w:widowControl/>
        <w:rPr>
          <w:szCs w:val="24"/>
          <w:lang w:eastAsia="en-US"/>
        </w:rPr>
      </w:pPr>
      <w:r>
        <w:rPr>
          <w:szCs w:val="24"/>
          <w:lang w:eastAsia="en-US"/>
        </w:rPr>
        <w:br w:type="page"/>
      </w:r>
    </w:p>
    <w:p w14:paraId="4A7E695D" w14:textId="0CE32CAD"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alle skyldige betalinger af importafgifter og andre afgifter, herunder med hensyn til antidumpingtold, udligningstold eller beskyttelsesforanstaltninger, har fundet sted, eller der er stillet sikkerhed, medmindre varerne er omfattet af en ansøgning om trækning på et toldkontingent, eller importøren er en tillid og kontrol-erhvervsdrivende</w:t>
      </w:r>
    </w:p>
    <w:p w14:paraId="6E9CEC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varerne er ankommet til Unionens toldområde, og</w:t>
      </w:r>
    </w:p>
    <w:p w14:paraId="1519863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varerne er i overensstemmelse med relevant anden lovgivning, der anvendes af toldmyndighederne.</w:t>
      </w:r>
    </w:p>
    <w:p w14:paraId="0F3DF83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og ændre denne forordning ved at fastsætte de data, der skal meddeles til eller gøres tilgængelige for toldmyndighederne med henblik på henførsel af varer til overgang til fri omsætning som omhandlet i nærværende artikels stk. 3, litra a).</w:t>
      </w:r>
    </w:p>
    <w:p w14:paraId="57683DD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89</w:t>
      </w:r>
      <w:r w:rsidRPr="003E0486">
        <w:rPr>
          <w:szCs w:val="24"/>
          <w:lang w:eastAsia="en-US"/>
        </w:rPr>
        <w:br/>
        <w:t>Anvendelse af handelspolitiske foranstaltninger på aktiv og passiv forædling</w:t>
      </w:r>
    </w:p>
    <w:p w14:paraId="5518E4C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forædlingsprodukter fremstillet ved aktiv forædling overgår til fri omsætning, og importafgiftsbeløbet beregnes efter artikel 168, stk. 3, anvendes de handelspolitiske foranstaltninger, som finder anvendelse på overgangen til fri omsætning for varerne, som blev henført under aktiv forædling.</w:t>
      </w:r>
    </w:p>
    <w:p w14:paraId="39D07C14" w14:textId="77777777" w:rsidR="00BF6859" w:rsidRDefault="00BF6859">
      <w:pPr>
        <w:widowControl/>
        <w:rPr>
          <w:szCs w:val="24"/>
          <w:lang w:eastAsia="en-US"/>
        </w:rPr>
      </w:pPr>
      <w:r>
        <w:rPr>
          <w:szCs w:val="24"/>
          <w:lang w:eastAsia="en-US"/>
        </w:rPr>
        <w:br w:type="page"/>
      </w:r>
    </w:p>
    <w:p w14:paraId="370D7C50" w14:textId="5EA6A33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Stk. 1 finder ikke anvendelse på affald og skrot.</w:t>
      </w:r>
    </w:p>
    <w:p w14:paraId="1B66D09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Når forædlingsprodukter fremstillet ved aktiv forædling overgår til fri omsætning, og importafgiftsbeløbet beregnes efter artikel 167, stk. 1, anvendes de handelspolitiske foranstaltninger for disse varer kun, når varerne, som blev henført under aktiv forædling, er underlagt sådanne foranstaltninger.</w:t>
      </w:r>
    </w:p>
    <w:p w14:paraId="525E292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Handelspolitiske foranstaltninger finder ikke anvendelse på forædlingsprodukter, der overgår til fri omsætning efter passiv forædling, når:</w:t>
      </w:r>
    </w:p>
    <w:p w14:paraId="015D51E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forædlingsprodukterne bevarer deres EU-oprindelsesstatus, jf. artikel 148</w:t>
      </w:r>
    </w:p>
    <w:p w14:paraId="741CB0A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passive forædling omfatter reparation, herunder fremgangsmåden med standardombytning, jf. artikel 143, eller</w:t>
      </w:r>
    </w:p>
    <w:p w14:paraId="0BB1384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den passive forædling følger efter yderligere forædling, jf. artikel 139.</w:t>
      </w:r>
    </w:p>
    <w:p w14:paraId="1ED5C804" w14:textId="77777777" w:rsidR="00BF6859" w:rsidRDefault="00BF6859">
      <w:pPr>
        <w:widowControl/>
        <w:rPr>
          <w:szCs w:val="24"/>
          <w:lang w:eastAsia="en-US"/>
        </w:rPr>
      </w:pPr>
      <w:r>
        <w:rPr>
          <w:szCs w:val="24"/>
          <w:lang w:eastAsia="en-US"/>
        </w:rPr>
        <w:br w:type="page"/>
      </w:r>
    </w:p>
    <w:p w14:paraId="28C7EF4E" w14:textId="0E34E8D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Fritagelse for importafgifter</w:t>
      </w:r>
    </w:p>
    <w:p w14:paraId="1934471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90</w:t>
      </w:r>
      <w:r w:rsidRPr="003E0486">
        <w:rPr>
          <w:szCs w:val="24"/>
          <w:lang w:eastAsia="en-US"/>
        </w:rPr>
        <w:br/>
        <w:t xml:space="preserve">Anvendelsesområde og indvirkning </w:t>
      </w:r>
    </w:p>
    <w:p w14:paraId="05975F2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Ikke-EU-varer, som, efter oprindelig at være blevet eksporteret fra Unionens toldområde som EU-varer, inden for en frist på tre år returneres til toldområdet og angives til fri omsætning, fritages efter ansøgning fra den berørte person for importafgifter.</w:t>
      </w:r>
    </w:p>
    <w:p w14:paraId="1B2AE876" w14:textId="77777777" w:rsidR="003E0486" w:rsidRPr="003E0486" w:rsidRDefault="003E0486" w:rsidP="003E0486">
      <w:pPr>
        <w:spacing w:before="120" w:after="120" w:line="360" w:lineRule="auto"/>
        <w:ind w:left="850"/>
        <w:rPr>
          <w:szCs w:val="24"/>
          <w:lang w:eastAsia="en-US"/>
        </w:rPr>
      </w:pPr>
      <w:r w:rsidRPr="003E0486">
        <w:rPr>
          <w:szCs w:val="24"/>
          <w:lang w:eastAsia="en-US"/>
        </w:rPr>
        <w:t>Første afsnit finder også anvendelse, når returvarerne kun udgør en del af de varer, der tidligere blev eksporteret fra Unionens toldområde.</w:t>
      </w:r>
    </w:p>
    <w:p w14:paraId="5824C9A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i stk. 1 omhandlede frist på tre år kan overskrides under særlige omstændigheder.</w:t>
      </w:r>
    </w:p>
    <w:p w14:paraId="16594D9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returvarer inden deres eksport fra Unionens toldområde er blevet bragt i fri omsætning afgiftsfrit eller til en nedsat importafgiftssats som følge af et særligt anvendelsesformål, kan den i stk. 1 omhandlede afgiftsfritagelse kun indrømmes, på betingelse af at varerne overgår til fri omsætning til samme anvendelsesformål.</w:t>
      </w:r>
    </w:p>
    <w:p w14:paraId="2E5B7744" w14:textId="77777777" w:rsidR="00BF6859" w:rsidRDefault="00BF6859">
      <w:pPr>
        <w:widowControl/>
        <w:rPr>
          <w:szCs w:val="24"/>
          <w:lang w:eastAsia="en-US"/>
        </w:rPr>
      </w:pPr>
      <w:r>
        <w:rPr>
          <w:szCs w:val="24"/>
          <w:lang w:eastAsia="en-US"/>
        </w:rPr>
        <w:br w:type="page"/>
      </w:r>
    </w:p>
    <w:p w14:paraId="7B022A43" w14:textId="0A670C9C" w:rsidR="003E0486" w:rsidRPr="003E0486" w:rsidRDefault="003E0486" w:rsidP="003E0486">
      <w:pPr>
        <w:spacing w:before="120" w:after="120" w:line="360" w:lineRule="auto"/>
        <w:ind w:left="850"/>
        <w:rPr>
          <w:szCs w:val="24"/>
          <w:lang w:eastAsia="en-US"/>
        </w:rPr>
      </w:pPr>
      <w:r w:rsidRPr="003E0486">
        <w:rPr>
          <w:szCs w:val="24"/>
          <w:lang w:eastAsia="en-US"/>
        </w:rPr>
        <w:lastRenderedPageBreak/>
        <w:t>Hvis det særlige anvendelsesformål, som de pågældende varer skal bringes i fri omsætning til, ikke længere er det samme, foretages der i importafgiftsbeløbet et fradrag af ethvert beløb, som blev opkrævet, da disse varer første gang blev bragt i fri omsætning. Hvis sidstnævnte beløb er større end det, der fremkommer ved returvarernes overgang til fri omsætning, ydes der ingen godtgørelse.</w:t>
      </w:r>
    </w:p>
    <w:p w14:paraId="1D1C441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EU-varer har mistet deres toldmæssige status i medfør af artikel 57, og efterfølgende bringes i fri omsætning, finder denne artikels stk. 1, 2 og 3 anvendelse.</w:t>
      </w:r>
    </w:p>
    <w:p w14:paraId="606C70E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Fritagelsen for importafgifter indrømmes kun, hvis varerne returneres i samme stand som den, de var i ved deres eksport.</w:t>
      </w:r>
    </w:p>
    <w:p w14:paraId="3B35471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Fritagelsen for importafgifter skal støttes af oplysninger, der godtgør, at betingelserne for fritagelsen er opfyldt.</w:t>
      </w:r>
    </w:p>
    <w:p w14:paraId="05F5BF3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tillægges beføjelser til at vedtage delegerede retsakter i overensstemmelse med artikel 261 med henblik på at supplere denne forordning ved at fastsætte specifikke tilfælde, hvor varer anses for at være returneret i samme stand som den, de var i ved deres eksport, jf. denne artikels stk. 5.</w:t>
      </w:r>
    </w:p>
    <w:p w14:paraId="13E6F453" w14:textId="77777777" w:rsidR="00BF6859" w:rsidRDefault="00BF6859">
      <w:pPr>
        <w:widowControl/>
        <w:rPr>
          <w:szCs w:val="24"/>
          <w:lang w:eastAsia="en-US"/>
        </w:rPr>
      </w:pPr>
      <w:r>
        <w:rPr>
          <w:szCs w:val="24"/>
          <w:lang w:eastAsia="en-US"/>
        </w:rPr>
        <w:br w:type="page"/>
      </w:r>
    </w:p>
    <w:p w14:paraId="3FB448E3" w14:textId="05FB473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Kommissionen præciserer ved gennemførelsesretsakter proceduren for tilvejebringelsen af de i stk. 6 omhandlede oplysninger. Disse gennemførelsesretsakter vedtages efter undersøgelsesproceduren i artikel 262, stk. 4.</w:t>
      </w:r>
    </w:p>
    <w:p w14:paraId="025D0C0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91</w:t>
      </w:r>
      <w:r w:rsidRPr="003E0486">
        <w:rPr>
          <w:szCs w:val="24"/>
          <w:lang w:eastAsia="en-US"/>
        </w:rPr>
        <w:br/>
        <w:t>Varer, som har været omfattet af foranstaltninger i henhold til den fælles landbrugspolitik</w:t>
      </w:r>
    </w:p>
    <w:p w14:paraId="46A2262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i artikel 90 fastlagte fritagelse for importafgifter indrømmes ikke for varer, som har været omfattet af foranstaltninger i henhold til den fælles landbrugspolitik, der indebærer, at de skal eksporteres fra Unionens toldområde, medmindre andet er fastlagt i særlige tilfælde.</w:t>
      </w:r>
    </w:p>
    <w:p w14:paraId="559F85C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tillægges beføjelser til at vedtage delegerede retsakter i overensstemmelse med artikel 261 med henblik på at supplere denne forordning ved at fastsætte de specifikke tilfælde, som er omhandlet i denne artikels stk. 1.</w:t>
      </w:r>
    </w:p>
    <w:p w14:paraId="608A13C6" w14:textId="77777777" w:rsidR="00BF6859" w:rsidRDefault="00BF6859">
      <w:pPr>
        <w:widowControl/>
        <w:rPr>
          <w:szCs w:val="24"/>
          <w:lang w:eastAsia="en-US"/>
        </w:rPr>
      </w:pPr>
      <w:r>
        <w:rPr>
          <w:szCs w:val="24"/>
          <w:lang w:eastAsia="en-US"/>
        </w:rPr>
        <w:br w:type="page"/>
      </w:r>
    </w:p>
    <w:p w14:paraId="63DD3189" w14:textId="1E37DF9C"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92</w:t>
      </w:r>
      <w:r w:rsidRPr="003E0486">
        <w:rPr>
          <w:szCs w:val="24"/>
          <w:lang w:eastAsia="en-US"/>
        </w:rPr>
        <w:br/>
        <w:t>Varer, der tidligere var henført under proceduren for aktiv forædling</w:t>
      </w:r>
    </w:p>
    <w:p w14:paraId="37C23EB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Artikel 90 finder anvendelse på forædlingsprodukter, der oprindelig blev reeksporteret fra Unionens toldområde efter at have været henført under en procedure for aktiv forædling.</w:t>
      </w:r>
    </w:p>
    <w:p w14:paraId="31ECEC8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Efter ansøgning fra importøren og forelæggelse af de nødvendige oplysninger fastsættes importafgiftsbeløbet for de i stk. 1 omhandlede varer i overensstemmelse med artikel 168, stk. 3, forudsat at klarereren forelægger de nødvendige oplysninger. Datoen for reeksport betragtes som datoen for varernes overgang til fri omsætning.</w:t>
      </w:r>
    </w:p>
    <w:p w14:paraId="693B3F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Fritagelsen for importafgifter som omhandlet i artikel 90 indrømmes ikke for forædlingsprodukter, som er blevet eksporteret i overensstemmelse artikel 109, stk. 2, litra c), medmindre der er sikkerhed for, at der ikke er nogen varer, der vil blive henført under proceduren for aktiv forædling.</w:t>
      </w:r>
    </w:p>
    <w:p w14:paraId="36512AA1" w14:textId="77777777" w:rsidR="00BF6859" w:rsidRDefault="00BF6859">
      <w:pPr>
        <w:widowControl/>
        <w:rPr>
          <w:szCs w:val="24"/>
          <w:lang w:eastAsia="en-US"/>
        </w:rPr>
      </w:pPr>
      <w:r>
        <w:rPr>
          <w:szCs w:val="24"/>
          <w:lang w:eastAsia="en-US"/>
        </w:rPr>
        <w:br w:type="page"/>
      </w:r>
    </w:p>
    <w:p w14:paraId="210D603E" w14:textId="2C25844C"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93</w:t>
      </w:r>
      <w:r w:rsidRPr="003E0486">
        <w:rPr>
          <w:szCs w:val="24"/>
          <w:lang w:eastAsia="en-US"/>
        </w:rPr>
        <w:br/>
        <w:t>Produkter, som hidrører fra havfiskeri, og andre produkter, der optages fra havet</w:t>
      </w:r>
    </w:p>
    <w:p w14:paraId="1932006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artikel 148, stk. 1, er følgende produkter fritaget for importafgifter ved overgang til fri omsætning:</w:t>
      </w:r>
    </w:p>
    <w:p w14:paraId="2E45DC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produkter fra havfiskeri og andre produkter, der optages fra et tredjelands søterritorium, af skibe, som udelukkende er registreret i en medlemsstat eller anmeldt til dens skibsregister og fører denne stats flag</w:t>
      </w:r>
    </w:p>
    <w:p w14:paraId="4921B6B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produkter, der er fremstillet på grundlag af de under litra a) nævnte produkter om bord på fabriksskibe, der opfylder de under samme litra fastsatte betingelser.</w:t>
      </w:r>
    </w:p>
    <w:p w14:paraId="2D6A5EA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i stk. 1 omhandlede fritagelse for importafgift skal støttes af bevis for, at de i stykket fastlagte betingelser er opfyldt.</w:t>
      </w:r>
    </w:p>
    <w:p w14:paraId="64BEB31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proceduren for fremlæggelse af bevis som omhandlet i stk. 2. Disse gennemførelsesretsakter vedtages efter undersøgelsesproceduren i artikel 262, stk. 4.</w:t>
      </w:r>
    </w:p>
    <w:p w14:paraId="5DDBA31D" w14:textId="77777777" w:rsidR="00BF6859" w:rsidRDefault="00BF6859">
      <w:pPr>
        <w:widowControl/>
        <w:rPr>
          <w:szCs w:val="24"/>
          <w:lang w:eastAsia="en-US"/>
        </w:rPr>
      </w:pPr>
      <w:r>
        <w:rPr>
          <w:szCs w:val="24"/>
          <w:lang w:eastAsia="en-US"/>
        </w:rPr>
        <w:br w:type="page"/>
      </w:r>
    </w:p>
    <w:p w14:paraId="02E87111" w14:textId="62DD463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VII </w:t>
      </w:r>
      <w:r w:rsidRPr="003E0486">
        <w:rPr>
          <w:szCs w:val="24"/>
          <w:lang w:eastAsia="en-US"/>
        </w:rPr>
        <w:br/>
        <w:t>VARER, DER FØRES UD AF UNIONENS TOLDOMRÅDE</w:t>
      </w:r>
    </w:p>
    <w:p w14:paraId="2A463D25"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Vares udpassage og eksportproceduren</w:t>
      </w:r>
    </w:p>
    <w:p w14:paraId="63A46F1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94</w:t>
      </w:r>
      <w:r w:rsidRPr="003E0486">
        <w:rPr>
          <w:szCs w:val="24"/>
          <w:lang w:eastAsia="en-US"/>
        </w:rPr>
        <w:br/>
        <w:t>Varers udpassage</w:t>
      </w:r>
    </w:p>
    <w:p w14:paraId="36477EA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må kun føres ud af Unionens toldområde, hvis de i artikel 95 omhandlede oplysninger forud for afgang er blevet meddelt til eller gjort tilgængelige for de kompetente toldmyndigheder af eksportøren eller andre personer.</w:t>
      </w:r>
    </w:p>
    <w:p w14:paraId="6FD1D12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reglerne for de formaliteter, der skal gennemføres forud for og ved udpassage af varer. Disse gennemførelsesretsakter vedtages efter undersøgelsesproceduren i artikel 262, stk. 4.</w:t>
      </w:r>
    </w:p>
    <w:p w14:paraId="78366401" w14:textId="77777777" w:rsidR="00BF6859" w:rsidRDefault="00BF6859">
      <w:pPr>
        <w:widowControl/>
        <w:rPr>
          <w:szCs w:val="24"/>
          <w:lang w:eastAsia="en-US"/>
        </w:rPr>
      </w:pPr>
      <w:r>
        <w:rPr>
          <w:szCs w:val="24"/>
          <w:lang w:eastAsia="en-US"/>
        </w:rPr>
        <w:br w:type="page"/>
      </w:r>
    </w:p>
    <w:p w14:paraId="5F52EB16" w14:textId="4E0D886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95</w:t>
      </w:r>
      <w:r w:rsidRPr="003E0486">
        <w:rPr>
          <w:szCs w:val="24"/>
          <w:lang w:eastAsia="en-US"/>
        </w:rPr>
        <w:br/>
        <w:t>Oplysninger forud for afgang</w:t>
      </w:r>
    </w:p>
    <w:p w14:paraId="0B11A44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Eksportører, der ønsker at føre varer ud af Unionens toldområde, skal fremlægge et minimum af oplysninger forud for afgang inden for en specifik frist, før varerne føres ud af Unionens toldområde.</w:t>
      </w:r>
    </w:p>
    <w:p w14:paraId="3ED8FA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Der dispenseres fra forpligtelsen i stk. 1 i følgende tilfælde:</w:t>
      </w:r>
    </w:p>
    <w:p w14:paraId="2517D33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 transportmidler og varer, som transporteres herpå, og som kun passerer gennem søterritorier eller luftrum, der indgår i Unionens toldområde, uden stop i området</w:t>
      </w:r>
    </w:p>
    <w:p w14:paraId="1E0DD0E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andre specifikke tilfælde, hvor det er behørigt begrundet af typen af varer eller trafik, eller hvor det er påkrævet i henhold til internationale aftaler</w:t>
      </w:r>
    </w:p>
    <w:p w14:paraId="1314CA9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for varer, der føres ud af Unionens toldområde midlertidigt i overensstemmelse med artikel 58.</w:t>
      </w:r>
    </w:p>
    <w:p w14:paraId="064CFE80" w14:textId="77777777" w:rsidR="00BF6859" w:rsidRDefault="00BF6859">
      <w:pPr>
        <w:widowControl/>
        <w:rPr>
          <w:szCs w:val="24"/>
          <w:lang w:eastAsia="en-US"/>
        </w:rPr>
      </w:pPr>
      <w:r>
        <w:rPr>
          <w:szCs w:val="24"/>
          <w:lang w:eastAsia="en-US"/>
        </w:rPr>
        <w:br w:type="page"/>
      </w:r>
    </w:p>
    <w:p w14:paraId="1FAC1EE7" w14:textId="59A767F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Det minimum af oplysninger forud for afgang, der er omhandlet i stk. 1, skal angive, om varerne er:</w:t>
      </w:r>
    </w:p>
    <w:p w14:paraId="292A51E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EU-varer, der skal henføres under eksportproceduren</w:t>
      </w:r>
    </w:p>
    <w:p w14:paraId="5795819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EU-varer, der skal henføres under proceduren for passiv forædling</w:t>
      </w:r>
    </w:p>
    <w:p w14:paraId="1D99097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EU-varer, der skal føres ud af Unionens toldområde efter at have været henført under proceduren for særligt anvendelsesformål</w:t>
      </w:r>
    </w:p>
    <w:p w14:paraId="130D205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moms- eller afgiftsfritagne EU-varer, der skal leveres som forsyninger til et luftfartøj eller skib uanset luftfartøjets eller skibets bestemmelsessted, og for hvilke der kræves bevis for levering</w:t>
      </w:r>
    </w:p>
    <w:p w14:paraId="799EFB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EU-varer, der skal henføres under proceduren for intern forsendelse, eller</w:t>
      </w:r>
    </w:p>
    <w:p w14:paraId="632DEE6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ikke-EU-varer, der skal eksporteres, efter at de har været under midlertidig opbevaring eller har været henført under en toldprocedure.</w:t>
      </w:r>
    </w:p>
    <w:p w14:paraId="741F37C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Transportøren må kun laste de varer i Unionens toldområde, for hvilke et minimum af oplysninger forud for afgang er blevet meddelt til eller gjort tilgængelige for udpassagetoldstedet.</w:t>
      </w:r>
    </w:p>
    <w:p w14:paraId="7C0FA009" w14:textId="77777777" w:rsidR="00BF6859" w:rsidRDefault="00BF6859">
      <w:pPr>
        <w:widowControl/>
        <w:rPr>
          <w:szCs w:val="24"/>
          <w:lang w:eastAsia="en-US"/>
        </w:rPr>
      </w:pPr>
      <w:r>
        <w:rPr>
          <w:szCs w:val="24"/>
          <w:lang w:eastAsia="en-US"/>
        </w:rPr>
        <w:br w:type="page"/>
      </w:r>
    </w:p>
    <w:p w14:paraId="6CAC0278" w14:textId="52CC20B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Transportøren fører varer ud af Unionens toldområde i samme stand som på det tidspunkt, hvor oplysningerne forud for afgang blev meddelt eller gjort tilgængelige.</w:t>
      </w:r>
    </w:p>
    <w:p w14:paraId="1DE797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Hvis eksportøren ikke har tilvejebragt oplysningerne forud for afgang, eller oplysningerne forud for afgang ikke svarer til de relevante varer, skal transportøren fremlægge dem på udpassagetoldstedet inden for en specifik frist, inden varerne føres ud af Unionens toldområde.</w:t>
      </w:r>
    </w:p>
    <w:p w14:paraId="58ACD91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De nødvendige angivelser i oplysningerne forud for afgang skal straks meddeles til eller gøres tilgængelige for udpassagetoldstedet.</w:t>
      </w:r>
    </w:p>
    <w:p w14:paraId="7A11AA1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supplere eller ændre denne forordning ved at fastsætte:</w:t>
      </w:r>
    </w:p>
    <w:p w14:paraId="12B7009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det minimum af oplysninger forud for afgang, der skal tilvejebringes under hensyntagen til den procedure, som varerne skal henføres under, og om varerne er EU- eller ikke-EU-varer</w:t>
      </w:r>
    </w:p>
    <w:p w14:paraId="119D3D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i stk. 1 og 6 omhandlede specifikke frist, inden for hvilken oplysningerne forud for afgang skal meddeles eller gøres tilgængelige, inden varerne føres ud af Unionens toldområde, under hensyntagen til typen af trafik og transportmidlet</w:t>
      </w:r>
    </w:p>
    <w:p w14:paraId="5E88EFD0" w14:textId="77777777" w:rsidR="00BF6859" w:rsidRDefault="00BF6859">
      <w:pPr>
        <w:widowControl/>
        <w:rPr>
          <w:szCs w:val="24"/>
          <w:lang w:eastAsia="en-US"/>
        </w:rPr>
      </w:pPr>
      <w:r>
        <w:rPr>
          <w:szCs w:val="24"/>
          <w:lang w:eastAsia="en-US"/>
        </w:rPr>
        <w:br w:type="page"/>
      </w:r>
    </w:p>
    <w:p w14:paraId="584B33E7" w14:textId="7E7B62C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de specifikke tilfælde, hvor der dispenseres fra forpligtelsen til at meddele eller sørge for tilgængelighed af oplysninger forud for afgang, jf. stk. 2, litra b)</w:t>
      </w:r>
    </w:p>
    <w:p w14:paraId="5812F79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oplysninger vedrørende varernes udpassage, der skal gives underretning om, jf. stk. 8</w:t>
      </w:r>
    </w:p>
    <w:p w14:paraId="6AB0369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Kommissionen præciserer ved gennemførelsesretsakter proceduren for meddelelse og modtagelse af oplysningerne forud for afgang og bekræftelsen af udpassagen som omhandlet i denne artikel. Disse gennemførelsesretsakter vedtages efter undersøgelsesproceduren i artikel 262, stk. 4.</w:t>
      </w:r>
    </w:p>
    <w:p w14:paraId="052A17B2" w14:textId="13EAE410"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Indtil slutdatoen i artikel 265,</w:t>
      </w:r>
      <w:r w:rsidR="00240C46">
        <w:rPr>
          <w:szCs w:val="24"/>
          <w:lang w:eastAsia="en-US"/>
        </w:rPr>
        <w:t xml:space="preserve"> </w:t>
      </w:r>
      <w:r w:rsidRPr="003E0486">
        <w:rPr>
          <w:szCs w:val="24"/>
          <w:lang w:eastAsia="en-US"/>
        </w:rPr>
        <w:t>stk. 3, anses den summariske udpassageangivelse, eksportangivelsen, reeksportangivelsen og reeksportmeddelelsen for at være oplysningerne forud for afgang.</w:t>
      </w:r>
    </w:p>
    <w:p w14:paraId="28E81566" w14:textId="77777777" w:rsidR="00BF6859" w:rsidRDefault="00BF6859">
      <w:pPr>
        <w:widowControl/>
        <w:rPr>
          <w:szCs w:val="24"/>
          <w:lang w:eastAsia="en-US"/>
        </w:rPr>
      </w:pPr>
      <w:r>
        <w:rPr>
          <w:szCs w:val="24"/>
          <w:lang w:eastAsia="en-US"/>
        </w:rPr>
        <w:br w:type="page"/>
      </w:r>
    </w:p>
    <w:p w14:paraId="3ADBB1ED" w14:textId="4664ED1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96</w:t>
      </w:r>
      <w:r w:rsidRPr="003E0486">
        <w:rPr>
          <w:szCs w:val="24"/>
          <w:lang w:eastAsia="en-US"/>
        </w:rPr>
        <w:br/>
        <w:t>Ændring og ugyldiggørelse af oplysningerne forud for afgang</w:t>
      </w:r>
    </w:p>
    <w:p w14:paraId="194595A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Eksportøren eller transportøren kan ændre en eller flere dele af oplysningerne forud for afgang, efter at de er blevet meddelt eller gjort tilgængelige.</w:t>
      </w:r>
    </w:p>
    <w:p w14:paraId="1D8B2F97" w14:textId="77777777" w:rsidR="003E0486" w:rsidRPr="003E0486" w:rsidRDefault="003E0486" w:rsidP="003E0486">
      <w:pPr>
        <w:spacing w:before="120" w:after="120" w:line="360" w:lineRule="auto"/>
        <w:ind w:left="850"/>
        <w:rPr>
          <w:szCs w:val="24"/>
          <w:lang w:eastAsia="en-US"/>
        </w:rPr>
      </w:pPr>
      <w:r w:rsidRPr="003E0486">
        <w:rPr>
          <w:szCs w:val="24"/>
          <w:lang w:eastAsia="en-US"/>
        </w:rPr>
        <w:t>Det er ikke muligt at foretage ændringer, når der er sket et af følgende:</w:t>
      </w:r>
    </w:p>
    <w:p w14:paraId="7FAD7A5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toldmyndighederne har meddelt, at de agter at undersøge varerne</w:t>
      </w:r>
    </w:p>
    <w:p w14:paraId="3D3C18B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toldmyndighederne har konstateret, at en eller flere dele af oplysningerne er urigtige eller ufuldstændige</w:t>
      </w:r>
    </w:p>
    <w:p w14:paraId="458C7FD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toldmyndighederne har allerede frigivet varerne til udpassage.</w:t>
      </w:r>
    </w:p>
    <w:p w14:paraId="3A113BC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Eksportøren eller transportøren erklærer så hurtigt som muligt oplysningerne forud for afgang vedrørende varer, der ikke bliver ført ud af Unionens toldområde, for ugyldige. Toldmyndighederne erklærer oplysningerne forud for afgang om disse varer for ugyldige, når der er gået 150 dage fra den dato, hvor oplysningerne blev meddelt eller gjort tilgængelige.</w:t>
      </w:r>
    </w:p>
    <w:p w14:paraId="3E616593" w14:textId="77777777" w:rsidR="00BF6859" w:rsidRDefault="00BF6859">
      <w:pPr>
        <w:widowControl/>
        <w:rPr>
          <w:szCs w:val="24"/>
          <w:lang w:eastAsia="en-US"/>
        </w:rPr>
      </w:pPr>
      <w:r>
        <w:rPr>
          <w:szCs w:val="24"/>
          <w:lang w:eastAsia="en-US"/>
        </w:rPr>
        <w:br w:type="page"/>
      </w:r>
    </w:p>
    <w:p w14:paraId="422E8DD1" w14:textId="6A89AA9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præciserer ved gennemførelsesretsakter proceduren for ændring af oplysningerne forud for afgang som omhandlet i stk. 1, første afsnit, og for erklæringen af ugyldigheden af oplysningerne forud for afgang som omhandlet i stk. 2. Disse gennemførelsesretsakter vedtages efter undersøgelsesproceduren i artikel 262, stk. 4.</w:t>
      </w:r>
    </w:p>
    <w:p w14:paraId="0F036CE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97</w:t>
      </w:r>
      <w:r w:rsidRPr="003E0486">
        <w:rPr>
          <w:szCs w:val="24"/>
          <w:lang w:eastAsia="en-US"/>
        </w:rPr>
        <w:br/>
        <w:t>Risikoanalyse af oplysningerne forud for afgang</w:t>
      </w:r>
    </w:p>
    <w:p w14:paraId="1176D6C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EU-Toldmyndighedens aktiviteter som fastsat i afsnit IV, sikrer eksporttoldstedet inden for en specifik frist, at der foretages en risikoanalyse, primært med sikkerhedsmæssigt formål og, hvor det er muligt, med andre formål på grundlag af oplysningerne forud for afgang og andre oplysninger, der meddeles eller gøres tilgængelige via EU's tolddatacenter, og toldstedet træffer de nødvendige foranstaltninger på grundlag af resultaterne af denne risikoanalyse.</w:t>
      </w:r>
    </w:p>
    <w:p w14:paraId="171A74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Det toldsted, der er ansvarligt for det sted, hvor eksportøren er etableret, kan træffe passende afbødende foranstaltninger, herunder:</w:t>
      </w:r>
    </w:p>
    <w:p w14:paraId="6D01798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give eksportøren eller transportøren instruks om, at varerne ikke må lastes eller transporteres</w:t>
      </w:r>
    </w:p>
    <w:p w14:paraId="62E61289" w14:textId="77777777" w:rsidR="00BF6859" w:rsidRDefault="00BF6859">
      <w:pPr>
        <w:widowControl/>
        <w:rPr>
          <w:szCs w:val="24"/>
          <w:lang w:eastAsia="en-US"/>
        </w:rPr>
      </w:pPr>
      <w:r>
        <w:rPr>
          <w:szCs w:val="24"/>
          <w:lang w:eastAsia="en-US"/>
        </w:rPr>
        <w:br w:type="page"/>
      </w:r>
    </w:p>
    <w:p w14:paraId="6CA021EE" w14:textId="39829DA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anmode om yderligere oplysninger eller tiltag</w:t>
      </w:r>
    </w:p>
    <w:p w14:paraId="5642AB4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identificere situationer, hvor en anden myndigheds indgriben kan være hensigtsmæssig</w:t>
      </w:r>
    </w:p>
    <w:p w14:paraId="56B0F04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anbefale det mest hensigtsmæssige sted og de mest hensigtsmæssige foranstaltninger med henblik på at gennemføre en kontrol</w:t>
      </w:r>
    </w:p>
    <w:p w14:paraId="5CFF6D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at fastlægge, hvilken rute der skal følges, og hvilken frist der skal overholdes, når varerne skal føres ud af Unionens toldområde.</w:t>
      </w:r>
    </w:p>
    <w:p w14:paraId="4E2AC58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Udpassagetoldstedet foretager også en risikoanalyse, når transportøren fremlægger oplysningerne om varerne i henhold til artikel 95, stk. 6.</w:t>
      </w:r>
    </w:p>
    <w:p w14:paraId="59E948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fristerne for, hvornår risikoanalysen skal gennemføres, og de nødvendige foranstaltninger, der skal træffes på grundlag af risikoanalysen, jf. nærværende artikels stk. 1, og ved at fastsætte de afbødende foranstaltninger, jf. nærværende artikels stk. 2.</w:t>
      </w:r>
    </w:p>
    <w:p w14:paraId="5E6425A1" w14:textId="77777777" w:rsidR="00BF6859" w:rsidRDefault="00BF6859">
      <w:pPr>
        <w:widowControl/>
        <w:rPr>
          <w:szCs w:val="24"/>
          <w:lang w:eastAsia="en-US"/>
        </w:rPr>
      </w:pPr>
      <w:r>
        <w:rPr>
          <w:szCs w:val="24"/>
          <w:lang w:eastAsia="en-US"/>
        </w:rPr>
        <w:br w:type="page"/>
      </w:r>
    </w:p>
    <w:p w14:paraId="658B6843" w14:textId="2F6204F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98</w:t>
      </w:r>
      <w:r w:rsidRPr="003E0486">
        <w:rPr>
          <w:szCs w:val="24"/>
          <w:lang w:eastAsia="en-US"/>
        </w:rPr>
        <w:br/>
        <w:t>Frembydelse og bekræftelse af udpassage</w:t>
      </w:r>
    </w:p>
    <w:p w14:paraId="302BD22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oplysningerne forud for afgang ikke er tilvejebragt inden for den specifikke frist, eller hvis toldmyndighederne eller anden lovgivning, der anvendes af toldmyndighederne, kræver det, skal transportøren frembyde de varer, der skal føres ud af Unionens toldområde, for udpassagetoldstedet inden afgangen.</w:t>
      </w:r>
    </w:p>
    <w:p w14:paraId="1C2A90D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Transportøren bekræfter over for toldmyndighederne varernes udpassage af Unionens toldområde.</w:t>
      </w:r>
    </w:p>
    <w:p w14:paraId="2802698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99</w:t>
      </w:r>
      <w:r w:rsidRPr="003E0486">
        <w:rPr>
          <w:szCs w:val="24"/>
          <w:lang w:eastAsia="en-US"/>
        </w:rPr>
        <w:br/>
        <w:t>Eksportprocedure</w:t>
      </w:r>
    </w:p>
    <w:p w14:paraId="7F985F4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EU-varer og ikke-EU-varer, som skal føres ud af Unionens toldområde, skal henføres under eksportproceduren.</w:t>
      </w:r>
    </w:p>
    <w:p w14:paraId="138CEA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Betingelserne for henførsel af varer under eksportproceduren er følgende:</w:t>
      </w:r>
    </w:p>
    <w:p w14:paraId="2006A54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minimumsoplysningerne er blevet meddelt til eller gjort tilgængelige for toldmyndighederne, og at disse oplysninger mindst omfatter den eksportør, der er ansvarlig for varerne, sælgeren, køberen, værdien, oprindelsen, tariferingen, varebeskrivelsen og varernes lokalisering</w:t>
      </w:r>
    </w:p>
    <w:p w14:paraId="1F7E9A2F" w14:textId="77777777" w:rsidR="00BF6859" w:rsidRDefault="00BF6859">
      <w:pPr>
        <w:widowControl/>
        <w:rPr>
          <w:szCs w:val="24"/>
          <w:lang w:eastAsia="en-US"/>
        </w:rPr>
      </w:pPr>
      <w:r>
        <w:rPr>
          <w:szCs w:val="24"/>
          <w:lang w:eastAsia="en-US"/>
        </w:rPr>
        <w:br w:type="page"/>
      </w:r>
    </w:p>
    <w:p w14:paraId="3A0086CA" w14:textId="4304856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enhver eksportafgift eller andre skyldige afgifter er blevet betalt, eller at der er stillet sikkerhed, og</w:t>
      </w:r>
    </w:p>
    <w:p w14:paraId="413FCA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varerne er i overensstemmelse med relevant anden lovgivning, der anvendes af toldmyndighederne.</w:t>
      </w:r>
    </w:p>
    <w:p w14:paraId="475A994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Varer, der skal føres ud af Unionens toldområde, omfattes efter omstændighederne af følgende:</w:t>
      </w:r>
    </w:p>
    <w:p w14:paraId="79B65AE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godtgørelse af eller fritagelse for importafgifter</w:t>
      </w:r>
    </w:p>
    <w:p w14:paraId="63CA5FA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betaling af eksportrestitutioner</w:t>
      </w:r>
    </w:p>
    <w:p w14:paraId="65C38C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formaliteter, der kræves i henhold til gældende bestemmelser om andre afgifter.</w:t>
      </w:r>
    </w:p>
    <w:p w14:paraId="19EAB7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og ændre denne forordning ved at fastsætte de data, der skal meddeles til eller gøres tilgængelige for toldmyndighederne med henblik på henførsel af varer til eksport som omhandlet i stk. 2, litra a).</w:t>
      </w:r>
    </w:p>
    <w:p w14:paraId="5C87B1F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proceduren for refusion af moms til fysiske personer, der ikke er etableret i Unionen, jf. stk. 3, litra b). Disse gennemførelsesretsakter vedtages efter undersøgelsesproceduren i artikel 262, stk. 4.</w:t>
      </w:r>
    </w:p>
    <w:p w14:paraId="7B15FACD" w14:textId="77777777" w:rsidR="00BF6859" w:rsidRDefault="00BF6859">
      <w:pPr>
        <w:widowControl/>
        <w:rPr>
          <w:szCs w:val="24"/>
          <w:lang w:eastAsia="en-US"/>
        </w:rPr>
      </w:pPr>
      <w:r>
        <w:rPr>
          <w:szCs w:val="24"/>
          <w:lang w:eastAsia="en-US"/>
        </w:rPr>
        <w:br w:type="page"/>
      </w:r>
    </w:p>
    <w:p w14:paraId="5CC2F6CB" w14:textId="56EDC7C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100</w:t>
      </w:r>
      <w:r w:rsidRPr="003E0486">
        <w:rPr>
          <w:szCs w:val="24"/>
          <w:lang w:eastAsia="en-US"/>
        </w:rPr>
        <w:br/>
        <w:t>Fritagelse for eksportafgifter for midlertidigt eksporterede EU-varer</w:t>
      </w:r>
    </w:p>
    <w:p w14:paraId="3E82AE13" w14:textId="77777777" w:rsidR="003E0486" w:rsidRPr="003E0486" w:rsidRDefault="003E0486" w:rsidP="003E0486">
      <w:pPr>
        <w:spacing w:before="120" w:after="120" w:line="360" w:lineRule="auto"/>
        <w:rPr>
          <w:szCs w:val="24"/>
          <w:lang w:eastAsia="en-US"/>
        </w:rPr>
      </w:pPr>
      <w:r w:rsidRPr="003E0486">
        <w:rPr>
          <w:szCs w:val="24"/>
          <w:lang w:eastAsia="en-US"/>
        </w:rPr>
        <w:t>Uden at det berører artikel 140 er EU-varer, som midlertidigt eksporteres fra Unionens toldområde, omfattet af fritagelse for eksportafgifter, forudsat at de reimporteres.</w:t>
      </w:r>
    </w:p>
    <w:p w14:paraId="365CF10F"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Afsnit VIII </w:t>
      </w:r>
      <w:r w:rsidRPr="003E0486">
        <w:rPr>
          <w:szCs w:val="24"/>
          <w:lang w:eastAsia="en-US"/>
        </w:rPr>
        <w:br/>
        <w:t>SÆRLIGE PROCEDURER</w:t>
      </w:r>
    </w:p>
    <w:p w14:paraId="2698A458"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Almindelige bestemmelser</w:t>
      </w:r>
    </w:p>
    <w:p w14:paraId="48E579E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101</w:t>
      </w:r>
      <w:r w:rsidRPr="003E0486">
        <w:rPr>
          <w:szCs w:val="24"/>
          <w:lang w:eastAsia="en-US"/>
        </w:rPr>
        <w:br/>
        <w:t>Anvendelsesområde</w:t>
      </w:r>
    </w:p>
    <w:p w14:paraId="2682FDD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kan henføres under en af følgende kategorier af særlige procedurer:</w:t>
      </w:r>
    </w:p>
    <w:p w14:paraId="0A5025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forsendelse, der omfatter ekstern og intern forsendelse</w:t>
      </w:r>
    </w:p>
    <w:p w14:paraId="3FC5F78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oplagring, der omfatter toldoplag og frizoner</w:t>
      </w:r>
    </w:p>
    <w:p w14:paraId="28B573F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særlig anvendelse, der omfatter midlertidig import og anvendelse til særligt formål</w:t>
      </w:r>
    </w:p>
    <w:p w14:paraId="542DE17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forædling, der omfatter aktiv og passiv forædling.</w:t>
      </w:r>
    </w:p>
    <w:p w14:paraId="595FF549" w14:textId="77777777" w:rsidR="00BF6859" w:rsidRDefault="00BF6859">
      <w:pPr>
        <w:widowControl/>
        <w:rPr>
          <w:szCs w:val="24"/>
          <w:lang w:eastAsia="en-US"/>
        </w:rPr>
      </w:pPr>
      <w:r>
        <w:rPr>
          <w:szCs w:val="24"/>
          <w:lang w:eastAsia="en-US"/>
        </w:rPr>
        <w:br w:type="page"/>
      </w:r>
    </w:p>
    <w:p w14:paraId="7F2F1779" w14:textId="15437EB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Kommissionen tillægges beføjelser til at vedtage delegerede retsakter i overensstemmelse med artikel 261 med henblik på at supplere og ændre denne forordning ved at fastsætte de data, der skal meddeles til eller gøres tilgængelige for toldmyndighederne med henblik på henførsel af varer under særlige procedurer.</w:t>
      </w:r>
    </w:p>
    <w:p w14:paraId="4CA4723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102</w:t>
      </w:r>
      <w:r w:rsidRPr="003E0486">
        <w:rPr>
          <w:szCs w:val="24"/>
          <w:lang w:eastAsia="en-US"/>
        </w:rPr>
        <w:br/>
        <w:t>Bevilling</w:t>
      </w:r>
    </w:p>
    <w:p w14:paraId="5BBEB2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Importører eller eksportører, der agter at henføre varer under en særlig toldprocedure, skal have en bevilling fra toldmyndighederne til følgende:</w:t>
      </w:r>
    </w:p>
    <w:p w14:paraId="3DD392E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benytte proceduren for aktiv eller passiv forædling, proceduren vedrørende midlertidig import eller proceduren for særligt anvendelsesformål</w:t>
      </w:r>
    </w:p>
    <w:p w14:paraId="78B761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drive lagerfaciliteter med henblik på oplæggelse af varer på toldoplag, medmindre det er toldmyndigheden selv, der driver lagerfaciliteten.</w:t>
      </w:r>
    </w:p>
    <w:p w14:paraId="2E2B7880" w14:textId="77777777" w:rsidR="003E0486" w:rsidRPr="003E0486" w:rsidRDefault="003E0486" w:rsidP="003E0486">
      <w:pPr>
        <w:spacing w:before="120" w:after="120" w:line="360" w:lineRule="auto"/>
        <w:ind w:left="850"/>
        <w:rPr>
          <w:szCs w:val="24"/>
          <w:lang w:eastAsia="en-US"/>
        </w:rPr>
      </w:pPr>
      <w:r w:rsidRPr="003E0486">
        <w:rPr>
          <w:szCs w:val="24"/>
          <w:lang w:eastAsia="en-US"/>
        </w:rPr>
        <w:t>I bevillingen fastsættes betingelserne for anvendelsen af disse procedurer eller for driften af disse lagerfaciliteter.</w:t>
      </w:r>
    </w:p>
    <w:p w14:paraId="4C01626D" w14:textId="77777777" w:rsidR="00BF6859" w:rsidRDefault="00BF6859">
      <w:pPr>
        <w:widowControl/>
        <w:rPr>
          <w:szCs w:val="24"/>
          <w:lang w:eastAsia="en-US"/>
        </w:rPr>
      </w:pPr>
      <w:r>
        <w:rPr>
          <w:szCs w:val="24"/>
          <w:lang w:eastAsia="en-US"/>
        </w:rPr>
        <w:br w:type="page"/>
      </w:r>
    </w:p>
    <w:p w14:paraId="54BA9F24" w14:textId="5151D91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Medmindre andet er bestemt, indrømmer toldmyndighederne kun den i stk. 1 omhandlede bevilling, hvis følgende betingelser er opfyldt:</w:t>
      </w:r>
    </w:p>
    <w:p w14:paraId="1677FD5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bevillingshaveren er etableret i Unionens toldområde, medmindre andet er fastsat i forbindelse med midlertidig import eller i særlige tilfælde proceduren for særligt anvendelsesformål eller proceduren for aktiv forædling</w:t>
      </w:r>
    </w:p>
    <w:p w14:paraId="143F0DE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bevillingshaveren yder den nødvendige sikkerhed for, at transaktionerne forløber korrekt; en tillid og kontrol-erhvervsdrivende anses for at opfylde denne betingelse, for så vidt der i den i artikel 25 omhandlede bevilling er taget hensyn til den aktivitet, der er forbundet med den pågældende særlige procedure</w:t>
      </w:r>
    </w:p>
    <w:p w14:paraId="520652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bevillingshaveren ikke er en tillid og kontrol-erhvervsdrivende, og toldmyndighederne har fundet det nødvendigt, at der stilles sikkerhed for den potentielle toldskyld eller andre afgifter i forbindelse med de varer, der er henført under den særlige procedure</w:t>
      </w:r>
    </w:p>
    <w:p w14:paraId="5786C0D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toldmyndighederne er i stand til at foretage toldtilsyn, uden at der skal træffes administrative forholdsregler, som ikke står i rimeligt forhold til de økonomiske behov i forbindelse hermed</w:t>
      </w:r>
    </w:p>
    <w:p w14:paraId="1C076981" w14:textId="77777777" w:rsidR="00BF6859" w:rsidRDefault="00BF6859">
      <w:pPr>
        <w:widowControl/>
        <w:rPr>
          <w:szCs w:val="24"/>
          <w:lang w:eastAsia="en-US"/>
        </w:rPr>
      </w:pPr>
      <w:r>
        <w:rPr>
          <w:szCs w:val="24"/>
          <w:lang w:eastAsia="en-US"/>
        </w:rPr>
        <w:br w:type="page"/>
      </w:r>
    </w:p>
    <w:p w14:paraId="67A01B0B" w14:textId="6C29D619"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hvis bevillingen vedrører midlertidig import, og bevillingshaveren anvender eller lader varerne anvende</w:t>
      </w:r>
    </w:p>
    <w:p w14:paraId="043A5E4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hvis bevillingen vedrører forædlingsproceduren, og bevillingshaveren udfører eller får udført forædlingsprocesser på varerne</w:t>
      </w:r>
    </w:p>
    <w:p w14:paraId="4E3F5EC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EU-producenternes væsentlige interesser berøres ikke negativt af bevillingen til forædlingsproceduren ("undersøgelse af de økonomiske forudsætninger").</w:t>
      </w:r>
    </w:p>
    <w:p w14:paraId="7023A65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Medmindre andet er begrundet i forædlingens økonomiske karakter i forbindelse med vurderingen af, om indrømmelsen af en bevilling til en procedure for aktiv forædling berører EU-producenternes væsentlige interesser negativt, anmoder de toldmyndigheder, der udsteder bevillingen, om EU-Toldmyndighedens udtalelse, hvis:</w:t>
      </w:r>
    </w:p>
    <w:p w14:paraId="22B27F8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importafgiften ved forædlingsprodukternes overgang til fri omsætning fastsættes på grundlag af tariferingen, toldværdien, mængden, arten og oprindelsen af de varer, der er henført under proceduren for aktiv forædling i overensstemmelse med artikel 168, stk. 3, og 4, og</w:t>
      </w:r>
    </w:p>
    <w:p w14:paraId="0D117CEE" w14:textId="77777777" w:rsidR="00BF6859" w:rsidRDefault="00BF6859">
      <w:pPr>
        <w:widowControl/>
        <w:rPr>
          <w:szCs w:val="24"/>
          <w:lang w:eastAsia="en-US"/>
        </w:rPr>
      </w:pPr>
      <w:r>
        <w:rPr>
          <w:szCs w:val="24"/>
          <w:lang w:eastAsia="en-US"/>
        </w:rPr>
        <w:br w:type="page"/>
      </w:r>
    </w:p>
    <w:p w14:paraId="34D41393" w14:textId="63674D6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der foreligger bevis for, at EU-producenternes væsentlige interesser sandsynligvis vil blive negativt berørt. Et sådant bevis anses for at foreligge, når de varer, der skal henføres under proceduren for aktiv forædling, vil være omfattet af en landbrugspolitisk foranstaltning, en midlertidig eller endelig antidumpingtold, en udligningstold, en beskyttelsestold eller en tillægstold, der følger af en suspension af indrømmelser, hvis varerne overgår til fri omsætning.</w:t>
      </w:r>
    </w:p>
    <w:p w14:paraId="46FFAF9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Med henblik på at vurdere, om indrømmelsen af en bevilling til en procedure for passiv forædling berører EU-producenternes væsentlige interesser negativt, anmoder toldmyndighederne, inden de vedtager deres afgørelse om bevilling, om EU-Toldmyndighedens udtalelse, hvis der foreligger bevis for, at væsentlige interesser hos EU-producenter af varer, der betragtes som følsomme, sandsynligvis vil blive negativt berørt, og varerne ikke er beregnet til at blive repareret.</w:t>
      </w:r>
    </w:p>
    <w:p w14:paraId="5A000E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Når der anmodes herom i overensstemmelse med stk. 3 og 4, kan EU-Toldmyndigheden nå frem til en af følgende udtalelser:</w:t>
      </w:r>
    </w:p>
    <w:p w14:paraId="4F42758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indrømmelsen af bevillingen berører ikke EU-producenternes væsentlige interesser negativt</w:t>
      </w:r>
    </w:p>
    <w:p w14:paraId="58E82D15" w14:textId="77777777" w:rsidR="00BF6859" w:rsidRDefault="00BF6859">
      <w:pPr>
        <w:widowControl/>
        <w:rPr>
          <w:szCs w:val="24"/>
          <w:lang w:eastAsia="en-US"/>
        </w:rPr>
      </w:pPr>
      <w:r>
        <w:rPr>
          <w:szCs w:val="24"/>
          <w:lang w:eastAsia="en-US"/>
        </w:rPr>
        <w:br w:type="page"/>
      </w:r>
    </w:p>
    <w:p w14:paraId="43A3821A" w14:textId="72F26A6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indrømmelsen af bevillingen berører EU-producenternes væsentlige interesser negativt</w:t>
      </w:r>
    </w:p>
    <w:p w14:paraId="72C2F2E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indrømmelse af bevilling med hensyn til en behørigt dokumenteret og overvåget mængde varer, der er fastlagt i udtalelsen, berører ikke EU-producenternes væsentlige interesser negativt.</w:t>
      </w:r>
    </w:p>
    <w:p w14:paraId="3BEDE22F" w14:textId="77777777" w:rsidR="003E0486" w:rsidRPr="003E0486" w:rsidRDefault="003E0486" w:rsidP="003E0486">
      <w:pPr>
        <w:spacing w:before="120" w:after="120" w:line="360" w:lineRule="auto"/>
        <w:ind w:left="850"/>
        <w:rPr>
          <w:szCs w:val="24"/>
          <w:lang w:eastAsia="en-US"/>
        </w:rPr>
      </w:pPr>
      <w:r w:rsidRPr="003E0486">
        <w:rPr>
          <w:szCs w:val="24"/>
          <w:lang w:eastAsia="en-US"/>
        </w:rPr>
        <w:t>EU-Toldmyndighedens udtalelse skal tages i betragtning af de toldmyndigheder, der udsteder bevillingerne, samt af alle andre toldmyndigheder, der behandler lignende bevillinger. De toldmyndigheder, der udsteder bevillingen, kan se bort fra EU-Toldmyndighedens udtalelse, forudsat at de begrunder deres afgørelse i denne henseende.</w:t>
      </w:r>
    </w:p>
    <w:p w14:paraId="300B038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De toldmyndigheder, der udsteder bevillingen, fremsender bevillingen til eller gør den tilgængelig i EU's tolddatacenter. Hvis tilladelserne til særlige procedurer indeholder forretningsmæssigt følsomme oplysninger, begrænses adgangen til oplysningerne.</w:t>
      </w:r>
    </w:p>
    <w:p w14:paraId="1C46AE82" w14:textId="77777777" w:rsidR="00BF6859" w:rsidRDefault="00BF6859">
      <w:pPr>
        <w:widowControl/>
        <w:rPr>
          <w:szCs w:val="24"/>
          <w:lang w:eastAsia="en-US"/>
        </w:rPr>
      </w:pPr>
      <w:r>
        <w:rPr>
          <w:szCs w:val="24"/>
          <w:lang w:eastAsia="en-US"/>
        </w:rPr>
        <w:br w:type="page"/>
      </w:r>
    </w:p>
    <w:p w14:paraId="319460AA" w14:textId="5E1665A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Kommissionen tillægges beføjelser til at vedtage delegerede retsakter i overensstemmelse med artikel 261 med henblik på at supplere denne forordning ved at fastsætte:</w:t>
      </w:r>
    </w:p>
    <w:p w14:paraId="244D19D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undtagelserne fra betingelserne i stk. 2</w:t>
      </w:r>
    </w:p>
    <w:p w14:paraId="3CE472B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i stk. 3 omhandlede tilfælde, hvor forædlingens økonomiske karakter begrunder, at toldmyndighederne uden at indhente EU-Toldmyndighedens udtalelse foretager en vurdering af, om indrømmelsen af en bevilling til en procedure for aktiv forædling berører EU-producenternes væsentlige interesser negativt</w:t>
      </w:r>
    </w:p>
    <w:p w14:paraId="2312BA9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listen over varer, der betragtes som følsomme, jf. stk. 4.</w:t>
      </w:r>
    </w:p>
    <w:p w14:paraId="208DFFD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præciserer ved gennemførelsesretsakter:</w:t>
      </w:r>
    </w:p>
    <w:p w14:paraId="029C96A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procedurereglerne for indrømmelse af bevillingen til de procedurer, der er omhandlet i stk. 1</w:t>
      </w:r>
    </w:p>
    <w:p w14:paraId="4C4D2DD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procedurereglerne for EU-Toldmyndighedens afgivelse af udtalelse, og</w:t>
      </w:r>
    </w:p>
    <w:p w14:paraId="47E42D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mængden og reglerne for overvågning den i stk. 5 omhandlede tærskel.</w:t>
      </w:r>
    </w:p>
    <w:p w14:paraId="7119D9A1" w14:textId="77777777" w:rsidR="00BF6859" w:rsidRDefault="00BF6859">
      <w:pPr>
        <w:widowControl/>
        <w:rPr>
          <w:szCs w:val="24"/>
          <w:lang w:eastAsia="en-US"/>
        </w:rPr>
      </w:pPr>
      <w:r>
        <w:rPr>
          <w:szCs w:val="24"/>
          <w:lang w:eastAsia="en-US"/>
        </w:rPr>
        <w:br w:type="page"/>
      </w:r>
    </w:p>
    <w:p w14:paraId="17A1596A" w14:textId="5EA167D9" w:rsidR="003E0486" w:rsidRPr="003E0486" w:rsidRDefault="003E0486" w:rsidP="003E0486">
      <w:pPr>
        <w:spacing w:before="120" w:after="120" w:line="360" w:lineRule="auto"/>
        <w:ind w:left="850"/>
        <w:rPr>
          <w:szCs w:val="24"/>
          <w:lang w:eastAsia="en-US"/>
        </w:rPr>
      </w:pPr>
      <w:r w:rsidRPr="003E0486">
        <w:rPr>
          <w:szCs w:val="24"/>
          <w:lang w:eastAsia="en-US"/>
        </w:rPr>
        <w:lastRenderedPageBreak/>
        <w:t>Disse gennemførelsesretsakter vedtages efter undersøgelsesproceduren i artikel 262, stk. 4.</w:t>
      </w:r>
    </w:p>
    <w:p w14:paraId="23EFFD7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Indtil den dato, der er fastsat i artikel 265, stk. 1, foretages undersøgelsen af de økonomiske forudsætninger, der er omhandlet i stk. 2, litra f), på EU-plan, og denne administreres af Kommissionen. Indtil denne dato, skal der, hvor der henvises til EU-Toldmyndighedens udtalelse i henhold til dette kapitel, henvises til undersøgelsen på EU-plan, jf. denne artikels stk. 5.</w:t>
      </w:r>
    </w:p>
    <w:p w14:paraId="48DC974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103</w:t>
      </w:r>
      <w:r w:rsidRPr="003E0486">
        <w:rPr>
          <w:szCs w:val="24"/>
          <w:lang w:eastAsia="en-US"/>
        </w:rPr>
        <w:br/>
        <w:t>Bevillinger med tilbagevirkende kraft</w:t>
      </w:r>
    </w:p>
    <w:p w14:paraId="51A443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skal indrømme en bevilling med tilbagevirkende kraft, når samtlige følgende betingelser er opfyldt:</w:t>
      </w:r>
    </w:p>
    <w:p w14:paraId="25C7149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der findes et bevisligt økonomisk behov</w:t>
      </w:r>
    </w:p>
    <w:p w14:paraId="616E569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ansøgningen er ikke forbundet med forsøg på at begå urigtigheder</w:t>
      </w:r>
    </w:p>
    <w:p w14:paraId="60FC1E3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ansøgeren har på grundlag af regnskaber eller optegnelser påvist:</w:t>
      </w:r>
    </w:p>
    <w:p w14:paraId="431F2102" w14:textId="027BC2AF" w:rsidR="003E0486" w:rsidRPr="003E0486" w:rsidRDefault="00F07DF9"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at alle krav i proceduren er opfyldt</w:t>
      </w:r>
    </w:p>
    <w:p w14:paraId="1C421016" w14:textId="5AE1676F" w:rsidR="003E0486" w:rsidRPr="003E0486" w:rsidRDefault="00F07DF9"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at varerne, hvor det er relevant, kan identificeres for den pågældende periode</w:t>
      </w:r>
    </w:p>
    <w:p w14:paraId="2D6FE4F9" w14:textId="00D9CD3C" w:rsidR="003E0486" w:rsidRPr="003E0486" w:rsidRDefault="00F07DF9"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at regnskaberne eller optegnelserne gør det muligt at føre kontrol med proceduren</w:t>
      </w:r>
    </w:p>
    <w:p w14:paraId="40E1FBB5" w14:textId="77777777" w:rsidR="00BF6859" w:rsidRDefault="00BF6859">
      <w:pPr>
        <w:widowControl/>
        <w:rPr>
          <w:szCs w:val="24"/>
          <w:lang w:eastAsia="en-US"/>
        </w:rPr>
      </w:pPr>
      <w:r>
        <w:rPr>
          <w:szCs w:val="24"/>
          <w:lang w:eastAsia="en-US"/>
        </w:rPr>
        <w:br w:type="page"/>
      </w:r>
    </w:p>
    <w:p w14:paraId="38AFFB26" w14:textId="07BEE19D"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alle de formaliteter, der er nødvendige for at bringe forholdene for de pågældende varer i overensstemmelse med reglerne, kan gennemføres, herunder om nødvendigt ugyldiggørelse af de relevante tidligere optegnelser</w:t>
      </w:r>
    </w:p>
    <w:p w14:paraId="5242C0B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ansøgeren har ikke fået tildelt nogen bevilling med tilbagevirkende kraft inden for tre år fra den dato, hvor ansøgningen blev antaget</w:t>
      </w:r>
    </w:p>
    <w:p w14:paraId="65E7F323" w14:textId="2F87C0A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EU-Toldmyndighedens udtalelse er ikke nødvendig for at vurdere, om indrømmelsen af bevillingen vil berøre EU-producenternes væsentlige interesser negativt, medmindre ansøgningen vedrører fornyelse af en bevilling til samme slags transaktion og varer</w:t>
      </w:r>
    </w:p>
    <w:p w14:paraId="0E676A9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ansøgningen vedrører ikke drift af lagerfaciliteter til oplæggelse af varer på toldoplag</w:t>
      </w:r>
    </w:p>
    <w:p w14:paraId="3070294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hvis en ansøgning vedrører fornyelse af en bevilling til samme slags transaktion og varer, når ansøgningen indgives inden for tre år efter udløbet af den oprindelige bevillings gyldighed.</w:t>
      </w:r>
    </w:p>
    <w:p w14:paraId="741FC39B" w14:textId="77777777" w:rsidR="00BF6859" w:rsidRDefault="00BF6859">
      <w:pPr>
        <w:widowControl/>
        <w:rPr>
          <w:szCs w:val="24"/>
          <w:lang w:eastAsia="en-US"/>
        </w:rPr>
      </w:pPr>
      <w:r>
        <w:rPr>
          <w:szCs w:val="24"/>
          <w:lang w:eastAsia="en-US"/>
        </w:rPr>
        <w:br w:type="page"/>
      </w:r>
    </w:p>
    <w:p w14:paraId="59EB374B" w14:textId="3882270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kan også tildele en bevilling med tilbagevirkende kraft, når de varer, der blev henført under en toldprocedure, ikke længere er disponible på det tidspunkt, hvor ansøgningen om en sådan bevilling blev antaget.</w:t>
      </w:r>
    </w:p>
    <w:p w14:paraId="2FB5172E"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104</w:t>
      </w:r>
      <w:r w:rsidRPr="003E0486">
        <w:rPr>
          <w:szCs w:val="24"/>
          <w:lang w:eastAsia="en-US"/>
        </w:rPr>
        <w:br/>
        <w:t>Regnskaber</w:t>
      </w:r>
    </w:p>
    <w:p w14:paraId="51471ED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Indehaveren af bevillinger, importøren eller eksportøren, og alle personer, der udøver en aktivitet, der omfatter oplagring, bearbejdning eller forædling af varer eller salg eller køb af varer i frizoner, fører passende regnskaber i en af toldmyndighederne godkendt form og fremsender dem til eller gør dem tilgængelige i EU's tolddatacenter.</w:t>
      </w:r>
    </w:p>
    <w:p w14:paraId="30781EB7" w14:textId="77777777" w:rsidR="003E0486" w:rsidRPr="003E0486" w:rsidRDefault="003E0486" w:rsidP="003E0486">
      <w:pPr>
        <w:spacing w:before="120" w:after="120" w:line="360" w:lineRule="auto"/>
        <w:ind w:left="850"/>
        <w:rPr>
          <w:szCs w:val="24"/>
          <w:lang w:eastAsia="en-US"/>
        </w:rPr>
      </w:pPr>
      <w:r w:rsidRPr="003E0486">
        <w:rPr>
          <w:szCs w:val="24"/>
          <w:lang w:eastAsia="en-US"/>
        </w:rPr>
        <w:t>Regnskaberne skal indeholde de oplysninger og elementer, der gør det muligt for toldmyndighederne at føre tilsyn med den pågældende procedure, især med hensyn til identifikation af varer, der er henført under proceduren, deres toldmæssige status og deres bevægelser.</w:t>
      </w:r>
    </w:p>
    <w:p w14:paraId="0B3F13D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 tillid og kontrol-erhvervsdrivende anses for at opfylde forpligtelsen i stk. 1.</w:t>
      </w:r>
    </w:p>
    <w:p w14:paraId="7074324F" w14:textId="77777777" w:rsidR="00BF6859" w:rsidRDefault="00BF6859">
      <w:pPr>
        <w:widowControl/>
        <w:rPr>
          <w:szCs w:val="24"/>
          <w:lang w:eastAsia="en-US"/>
        </w:rPr>
      </w:pPr>
      <w:r>
        <w:rPr>
          <w:szCs w:val="24"/>
          <w:lang w:eastAsia="en-US"/>
        </w:rPr>
        <w:br w:type="page"/>
      </w:r>
    </w:p>
    <w:p w14:paraId="0DE821C1" w14:textId="019FF48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105</w:t>
      </w:r>
      <w:r w:rsidRPr="003E0486">
        <w:rPr>
          <w:szCs w:val="24"/>
          <w:lang w:eastAsia="en-US"/>
        </w:rPr>
        <w:br/>
        <w:t>Afslutning af en særlig procedure</w:t>
      </w:r>
    </w:p>
    <w:p w14:paraId="1D63A10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andre tilfælde end forsendelsesproceduren, og uden at det berører toldtilsynet i forbindelse med særlige anvendelsesformål som omhandlet i artikel 135, afsluttes en særlig procedure, når de under proceduren henførte varer eller forædlingsprodukterne er henført under en efterfølgende toldprocedure, er ført ud af Unionens toldområde eller er blevet tilintetgjort og ikke omdannet til affald eller er afstået til staten i overensstemmelse med artikel 78.</w:t>
      </w:r>
    </w:p>
    <w:p w14:paraId="1224B6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Forsendelsesproceduren afsluttes af toldmyndighederne, når de på grundlag af en sammenligning mellem de oplysninger, der er meddelt til eller gjort tilgængelige for afgangstoldstedet, og de oplysninger, der er meddelt til eller gjort tilgængelige for bestemmelsestoldstedet, kan konstatere, at proceduren er ophørt på korrekt vis.</w:t>
      </w:r>
    </w:p>
    <w:p w14:paraId="258961F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træffer enhver foranstaltning, der er nødvendig for at bringe forholdene for de varer, for hvilke en procedure ikke er blevet afsluttet på de fastsatte vilkår, i overensstemmelse med reglerne.</w:t>
      </w:r>
    </w:p>
    <w:p w14:paraId="0297B83B" w14:textId="77777777" w:rsidR="00BF6859" w:rsidRDefault="00BF6859">
      <w:pPr>
        <w:widowControl/>
        <w:rPr>
          <w:szCs w:val="24"/>
          <w:lang w:eastAsia="en-US"/>
        </w:rPr>
      </w:pPr>
      <w:r>
        <w:rPr>
          <w:szCs w:val="24"/>
          <w:lang w:eastAsia="en-US"/>
        </w:rPr>
        <w:br w:type="page"/>
      </w:r>
    </w:p>
    <w:p w14:paraId="2280BE84" w14:textId="34BAF00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Proceduren afsluttes inden for en vis frist, medmindre andet er fastsat.</w:t>
      </w:r>
    </w:p>
    <w:p w14:paraId="401989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den i stk. 4 omhandlede frist.</w:t>
      </w:r>
    </w:p>
    <w:p w14:paraId="2EC63C4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præciserer ved gennemførelsesretsakter procedurereglerne for den i denne artikel omhandlede afslutning af en særlig procedure. Disse gennemførelsesretsakter vedtages efter undersøgelsesproceduren i artikel 262, stk. 4.</w:t>
      </w:r>
    </w:p>
    <w:p w14:paraId="06034C1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106</w:t>
      </w:r>
      <w:r w:rsidRPr="003E0486">
        <w:rPr>
          <w:szCs w:val="24"/>
          <w:lang w:eastAsia="en-US"/>
        </w:rPr>
        <w:br/>
        <w:t>Overdragelse af rettigheder og forpligtelser</w:t>
      </w:r>
    </w:p>
    <w:p w14:paraId="478B794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undtagen for forsendelse give indehaveren af en bevilling til en særlig procedure tilladelse til helt eller delvis at overdrage sine rettigheder og forpligtelser med hensyn til varer, der er henført under denne særlige procedure, til en importør eller eksportør, der også opfylder betingelserne for den pågældende procedure.</w:t>
      </w:r>
    </w:p>
    <w:p w14:paraId="7936EDA7" w14:textId="77777777" w:rsidR="00BF6859" w:rsidRDefault="00BF6859">
      <w:pPr>
        <w:widowControl/>
        <w:rPr>
          <w:szCs w:val="24"/>
          <w:lang w:eastAsia="en-US"/>
        </w:rPr>
      </w:pPr>
      <w:r>
        <w:rPr>
          <w:szCs w:val="24"/>
          <w:lang w:eastAsia="en-US"/>
        </w:rPr>
        <w:br w:type="page"/>
      </w:r>
    </w:p>
    <w:p w14:paraId="4CB79D76" w14:textId="118367E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Bevillingshaveren, der overfører sine rettigheder og forpligtelser, underretter toldmyndighederne om overdragelsen og om afslutningen af proceduren, medmindre toldmyndighederne også har givet bevilling til den importør eller eksportør, som rettighederne og forpligtelserne overdrages til.</w:t>
      </w:r>
    </w:p>
    <w:p w14:paraId="3B20927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Når overdragelsen af rettigheder og forpligtelser involverer mere end én medlemsstat, hører de toldmyndigheder, der giver tilladelse til overdragelsen, de øvrige berørte medlemsstater.</w:t>
      </w:r>
    </w:p>
    <w:p w14:paraId="6B9F5D2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hjælp af gennemførelsesretsakter procedurereglerne for overdragelse af bevillingshaverens rettigheder og forpligtelser med hensyn til varer, der er henført under en særlig procedure med undtagelse af forsendelse. Disse gennemførelsesretsakter vedtages efter undersøgelsesproceduren i artikel 262, stk. 4.</w:t>
      </w:r>
    </w:p>
    <w:p w14:paraId="5BC4B7E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107</w:t>
      </w:r>
      <w:r w:rsidRPr="003E0486">
        <w:rPr>
          <w:szCs w:val="24"/>
          <w:lang w:eastAsia="en-US"/>
        </w:rPr>
        <w:br/>
        <w:t>Varebevægelser</w:t>
      </w:r>
    </w:p>
    <w:p w14:paraId="24CF9E3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Importører og eksportører kan i specifikke tilfælde transportere varer, der er henført under en særlig procedure, dog ikke forsendelses- eller frizoneproceduren, mellem forskellige steder i Unionens toldområde.</w:t>
      </w:r>
    </w:p>
    <w:p w14:paraId="257AA81C" w14:textId="77777777" w:rsidR="00BF6859" w:rsidRDefault="00BF6859">
      <w:pPr>
        <w:widowControl/>
        <w:rPr>
          <w:szCs w:val="24"/>
          <w:lang w:eastAsia="en-US"/>
        </w:rPr>
      </w:pPr>
      <w:r>
        <w:rPr>
          <w:szCs w:val="24"/>
          <w:lang w:eastAsia="en-US"/>
        </w:rPr>
        <w:br w:type="page"/>
      </w:r>
    </w:p>
    <w:p w14:paraId="4BF66007" w14:textId="4B48087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Kommissionen tillægges beføjelser til at vedtage delegerede retsakter i overensstemmelse med artikel 261 med henblik på at supplere denne forordning ved at fastsætte de tilfælde, hvor importører og eksportører kan transportere varer, og betingelserne herfor, jf. nærværende artikels stk. 1.</w:t>
      </w:r>
    </w:p>
    <w:p w14:paraId="45CECC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procedurereglerne for transport af varer henført under en særlig procedure, undtagen for forsendelsesproceduren eller anbringelse i en frizone, jf. stk. 1. Disse gennemførelsesretsakter vedtages efter undersøgelsesproceduren i artikel 262, stk. 4.</w:t>
      </w:r>
    </w:p>
    <w:p w14:paraId="298924A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108</w:t>
      </w:r>
      <w:r w:rsidRPr="003E0486">
        <w:rPr>
          <w:szCs w:val="24"/>
          <w:lang w:eastAsia="en-US"/>
        </w:rPr>
        <w:br/>
        <w:t>Sædvanlige behandlinger</w:t>
      </w:r>
    </w:p>
    <w:p w14:paraId="0D5094D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der opbevares på toldoplag eller er henført under en forædlingsprocedure eller anbragt i en frizone, kan underkastes de sædvanlige behandlinger, som tjener til at sikre deres bevarelse eller til at forbedre deres udseende eller handelskvalitet eller til at forberede deres distribution eller videresalg.</w:t>
      </w:r>
    </w:p>
    <w:p w14:paraId="676B5C2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tillægges beføjelser til at vedtage delegerede retsakter i overensstemmelse med artikel 261 med henblik på at supplere denne forordning ved at fastsætte de sædvanlige behandlinger for varer som omhandlet i denne artikels stk. 1.</w:t>
      </w:r>
    </w:p>
    <w:p w14:paraId="498DBD95" w14:textId="77777777" w:rsidR="00BF6859" w:rsidRDefault="00BF6859">
      <w:pPr>
        <w:widowControl/>
        <w:rPr>
          <w:szCs w:val="24"/>
          <w:lang w:eastAsia="en-US"/>
        </w:rPr>
      </w:pPr>
      <w:r>
        <w:rPr>
          <w:szCs w:val="24"/>
          <w:lang w:eastAsia="en-US"/>
        </w:rPr>
        <w:br w:type="page"/>
      </w:r>
    </w:p>
    <w:p w14:paraId="1CBAAEF7" w14:textId="6D9007F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109</w:t>
      </w:r>
      <w:r w:rsidRPr="003E0486">
        <w:rPr>
          <w:szCs w:val="24"/>
          <w:lang w:eastAsia="en-US"/>
        </w:rPr>
        <w:br/>
        <w:t>Ækvivalente varer</w:t>
      </w:r>
    </w:p>
    <w:p w14:paraId="40D7040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Ækvivalente varer er EU-varer, som oplagres, anvendes eller forædles i stedet for varer, der er henført under en særlig procedure.</w:t>
      </w:r>
    </w:p>
    <w:p w14:paraId="13C3947C" w14:textId="77777777" w:rsidR="003E0486" w:rsidRPr="003E0486" w:rsidRDefault="003E0486" w:rsidP="003E0486">
      <w:pPr>
        <w:spacing w:before="120" w:after="120" w:line="360" w:lineRule="auto"/>
        <w:ind w:left="850"/>
        <w:rPr>
          <w:szCs w:val="24"/>
          <w:lang w:eastAsia="en-US"/>
        </w:rPr>
      </w:pPr>
      <w:r w:rsidRPr="003E0486">
        <w:rPr>
          <w:szCs w:val="24"/>
          <w:lang w:eastAsia="en-US"/>
        </w:rPr>
        <w:t>Under proceduren for passiv forædling er ækvivalente varer ikke-EU-varer, som forædles i stedet for EU-varer, der er henført under proceduren for passiv forædling.</w:t>
      </w:r>
    </w:p>
    <w:p w14:paraId="51241523" w14:textId="77777777" w:rsidR="003E0486" w:rsidRPr="003E0486" w:rsidRDefault="003E0486" w:rsidP="003E0486">
      <w:pPr>
        <w:spacing w:before="120" w:after="120" w:line="360" w:lineRule="auto"/>
        <w:ind w:left="850"/>
        <w:rPr>
          <w:szCs w:val="24"/>
          <w:lang w:eastAsia="en-US"/>
        </w:rPr>
      </w:pPr>
      <w:r w:rsidRPr="003E0486">
        <w:rPr>
          <w:szCs w:val="24"/>
          <w:lang w:eastAsia="en-US"/>
        </w:rPr>
        <w:t>Medmindre andet er fastsat, skal ækvivalente varer have samme ottecifrede kode i den kombinerede nomenklatur, samme handelskvalitet og samme tekniske egenskaber som de varer, de træder i stedet for.</w:t>
      </w:r>
    </w:p>
    <w:p w14:paraId="704BD37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tillader efter ansøgning følgende, forudsat at der er sikkerhed for, at proceduren forløber korrekt, især med hensyn til toldtilsyn:</w:t>
      </w:r>
    </w:p>
    <w:p w14:paraId="27FCE18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anvendelse af ækvivalente varer under toldoplag eller i frizoner eller under en procedure for særligt anvendelsesformål eller en forædlingsprocedure</w:t>
      </w:r>
    </w:p>
    <w:p w14:paraId="191D66E3" w14:textId="77777777" w:rsidR="00BF6859" w:rsidRDefault="00BF6859">
      <w:pPr>
        <w:widowControl/>
        <w:rPr>
          <w:szCs w:val="24"/>
          <w:lang w:eastAsia="en-US"/>
        </w:rPr>
      </w:pPr>
      <w:r>
        <w:rPr>
          <w:szCs w:val="24"/>
          <w:lang w:eastAsia="en-US"/>
        </w:rPr>
        <w:br w:type="page"/>
      </w:r>
    </w:p>
    <w:p w14:paraId="2B643189" w14:textId="5DAEE1E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anvendelse af ækvivalente varer under proceduren for midlertidig import, i særlige tilfælde</w:t>
      </w:r>
    </w:p>
    <w:p w14:paraId="3DCD318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ved proceduren for aktiv forædling, eksport af forædlingsprodukter, som er fremstillet af ækvivalente varer forud for importen af de varer, de træder i stedet for</w:t>
      </w:r>
    </w:p>
    <w:p w14:paraId="03F2034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ved proceduren for passiv forædling, import af forædlingsprodukter, som er fremstillet af ækvivalente varer forud for eksporten af de varer, de træder i stedet for.</w:t>
      </w:r>
    </w:p>
    <w:p w14:paraId="76757317" w14:textId="77777777" w:rsidR="003E0486" w:rsidRPr="003E0486" w:rsidRDefault="003E0486" w:rsidP="003E0486">
      <w:pPr>
        <w:spacing w:before="120" w:after="120" w:line="360" w:lineRule="auto"/>
        <w:ind w:left="850"/>
        <w:rPr>
          <w:szCs w:val="24"/>
          <w:lang w:eastAsia="en-US"/>
        </w:rPr>
      </w:pPr>
      <w:r w:rsidRPr="003E0486">
        <w:rPr>
          <w:szCs w:val="24"/>
          <w:lang w:eastAsia="en-US"/>
        </w:rPr>
        <w:t>En tillid og kontrol-erhvervsdrivende anses for at opfylde betingelsen om, at det sikres, at proceduren forløber korrekt, for så vidt der i den i artikel 25 omhandlede bevilling er taget hensyn til den aktivitet, der er forbundet med anvendelsen af ækvivalente varer under den pågældende procedure.</w:t>
      </w:r>
    </w:p>
    <w:p w14:paraId="12CD3C8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Anvendelsen af ækvivalente varer er ikke tilladt i følgende tilfælde:</w:t>
      </w:r>
    </w:p>
    <w:p w14:paraId="6698EF8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der kun foretages sædvanlige behandlinger som fastlagt i artikel 108 under proceduren for aktiv forædling</w:t>
      </w:r>
    </w:p>
    <w:p w14:paraId="7276EC0C" w14:textId="77777777" w:rsidR="00BF6859" w:rsidRDefault="00BF6859">
      <w:pPr>
        <w:widowControl/>
        <w:rPr>
          <w:szCs w:val="24"/>
          <w:lang w:eastAsia="en-US"/>
        </w:rPr>
      </w:pPr>
      <w:r>
        <w:rPr>
          <w:szCs w:val="24"/>
          <w:lang w:eastAsia="en-US"/>
        </w:rPr>
        <w:br w:type="page"/>
      </w:r>
    </w:p>
    <w:p w14:paraId="1429BCA7" w14:textId="1800D1A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hvis der er forbud mod godtgørelse af eller fritagelse for importafgifter for varer uden oprindelsesstatus, der anvendes til fremstilling af forædlingsprodukter under proceduren for aktiv forædling, for hvilke der udstedes eller udfærdiges et oprindelsesbevis som led i en præferenceaftale mellem Unionen og visse tredjelande eller grupper af sådanne lande</w:t>
      </w:r>
    </w:p>
    <w:p w14:paraId="2037056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det kan føre til en uberettiget importafgiftsfordel eller hvis det er fastsat i EU-lovgivningen.</w:t>
      </w:r>
    </w:p>
    <w:p w14:paraId="79D6CC6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 det tilfælde, der henvises til i stk. 2, litra c), og såfremt forædlingsprodukterne ville blive pålagt eksportafgifter, hvis de ikke er blevet eksporteret i forbindelse med proceduren for aktiv forædling, skal bevillingshaveren stille sikkerhed for, at eksportafgifterne betales i tilfælde af, at ikke-EU-varerne ikke importeres inden for den i artikel 138, stk. 3, fastsatte frist.</w:t>
      </w:r>
    </w:p>
    <w:p w14:paraId="406C8E0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w:t>
      </w:r>
    </w:p>
    <w:p w14:paraId="1F91205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undtagelser, der er nævnt i stk. 1, tredje afsnit</w:t>
      </w:r>
    </w:p>
    <w:p w14:paraId="1D93AC1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betingelser, hvorunder ækvivalente varer anvendes i overensstemmelse med stk. 2</w:t>
      </w:r>
    </w:p>
    <w:p w14:paraId="5CF94103" w14:textId="77777777" w:rsidR="00BF6859" w:rsidRDefault="00BF6859">
      <w:pPr>
        <w:widowControl/>
        <w:rPr>
          <w:szCs w:val="24"/>
          <w:lang w:eastAsia="en-US"/>
        </w:rPr>
      </w:pPr>
      <w:r>
        <w:rPr>
          <w:szCs w:val="24"/>
          <w:lang w:eastAsia="en-US"/>
        </w:rPr>
        <w:br w:type="page"/>
      </w:r>
    </w:p>
    <w:p w14:paraId="453D9E16" w14:textId="574A6B0A"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de særlige tilfælde, hvor ækvivalente varer anvendes under proceduren for midlertidig import, jf. stk. 2, litra b)</w:t>
      </w:r>
    </w:p>
    <w:p w14:paraId="67E6808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tilfælde, hvor anvendelsen af ækvivalente varer ikke er tilladt i henhold til stk. 3, litra c).</w:t>
      </w:r>
    </w:p>
    <w:p w14:paraId="10DD2F9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præciserer ved gennemførelsesretsakter procedurereglerne for anvendelsen af ækvivalente varer, der er tilladt i henhold til stk. 2. Disse gennemførelsesretsakter vedtages efter undersøgelsesproceduren i artikel 262, stk. 4.</w:t>
      </w:r>
    </w:p>
    <w:p w14:paraId="107722A0"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Forsendelse</w:t>
      </w:r>
    </w:p>
    <w:p w14:paraId="45781024"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Generelle regler</w:t>
      </w:r>
    </w:p>
    <w:p w14:paraId="2A1021E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110</w:t>
      </w:r>
      <w:r w:rsidRPr="003E0486">
        <w:rPr>
          <w:szCs w:val="24"/>
          <w:lang w:eastAsia="en-US"/>
        </w:rPr>
        <w:br/>
        <w:t>Anvendelsesområde</w:t>
      </w:r>
    </w:p>
    <w:p w14:paraId="47F05E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skal henføres under en forsendelsesprocedure ved deres indpassage i toldområdet, medmindre de allerede er henført under en forsendelsesprocedure som omhandlet i artikel 111 og 112 eller henføres under en anden toldprocedure inden for den frist, der er fastsat i artikel 86, stk. 4.</w:t>
      </w:r>
    </w:p>
    <w:p w14:paraId="6ED56069" w14:textId="77777777" w:rsidR="00BF6859" w:rsidRDefault="00BF6859">
      <w:pPr>
        <w:widowControl/>
        <w:rPr>
          <w:szCs w:val="24"/>
          <w:lang w:eastAsia="en-US"/>
        </w:rPr>
      </w:pPr>
      <w:r>
        <w:rPr>
          <w:szCs w:val="24"/>
          <w:lang w:eastAsia="en-US"/>
        </w:rPr>
        <w:br w:type="page"/>
      </w:r>
    </w:p>
    <w:p w14:paraId="6B5F68B9" w14:textId="613FFCE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Ihændehaveren af varerne anses for at være importør eller eksportør af varerne og er ansvarlig for betalingen af told og andre skatter og afgifter, medmindre toldmyndighederne har data om en anden importør eller eksportør.</w:t>
      </w:r>
    </w:p>
    <w:p w14:paraId="4641617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Varer, der er henført under proceduren for EU-forsendelse, forbliver under denne procedure, indtil de henføres under en anden toldprocedure.</w:t>
      </w:r>
    </w:p>
    <w:p w14:paraId="5545E1F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111</w:t>
      </w:r>
      <w:r w:rsidRPr="003E0486">
        <w:rPr>
          <w:szCs w:val="24"/>
          <w:lang w:eastAsia="en-US"/>
        </w:rPr>
        <w:br/>
        <w:t>Ekstern forsendelse</w:t>
      </w:r>
    </w:p>
    <w:p w14:paraId="74FB57C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proceduren for ekstern forsendelse kan ikke-EU-varer forsendes fra et sted til et andet inden for Unionens toldområde uden at skulle gøres til genstand for:</w:t>
      </w:r>
    </w:p>
    <w:p w14:paraId="6962BE2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importafgifter eller andre afgifter, herunder antidumpingtold, udligningstold eller beskyttelsesforanstaltninger</w:t>
      </w:r>
    </w:p>
    <w:p w14:paraId="0C26218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handelspolitiske foranstaltninger, såfremt de ikke indeholder et forbud mod indpassage eller udpassage af varer til eller fra Unionens toldområde.</w:t>
      </w:r>
    </w:p>
    <w:p w14:paraId="64C400B2" w14:textId="77777777" w:rsidR="00BF6859" w:rsidRDefault="00BF6859">
      <w:pPr>
        <w:widowControl/>
        <w:rPr>
          <w:szCs w:val="24"/>
          <w:lang w:eastAsia="en-US"/>
        </w:rPr>
      </w:pPr>
      <w:r>
        <w:rPr>
          <w:szCs w:val="24"/>
          <w:lang w:eastAsia="en-US"/>
        </w:rPr>
        <w:br w:type="page"/>
      </w:r>
    </w:p>
    <w:p w14:paraId="2DE0404F" w14:textId="0AE0951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 specifikke tilfælde skal EU-varer henføres under proceduren for ekstern forsendelse.</w:t>
      </w:r>
    </w:p>
    <w:p w14:paraId="0F0FE68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Den i stk. 1 nævnte forsendelse finder sted på en af følgende måder:</w:t>
      </w:r>
    </w:p>
    <w:p w14:paraId="700A812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under proceduren for ekstern EU-forsendelse</w:t>
      </w:r>
    </w:p>
    <w:p w14:paraId="5E08DDE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overensstemmelse med TIR-konventionen, forudsat at forsendelsen:</w:t>
      </w:r>
    </w:p>
    <w:p w14:paraId="1534C334" w14:textId="05F68157" w:rsidR="003E0486" w:rsidRPr="003E0486" w:rsidRDefault="00F07DF9"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er påbegyndt eller skal ophøre uden for Unionens toldområde</w:t>
      </w:r>
    </w:p>
    <w:p w14:paraId="243159CA" w14:textId="73281320" w:rsidR="003E0486" w:rsidRPr="003E0486" w:rsidRDefault="00F07DF9"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foretages mellem to steder i Unionens toldområde gennem et tredjeland</w:t>
      </w:r>
    </w:p>
    <w:p w14:paraId="144E613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 overensstemmelse med ATA-konventionen eller Istanbulkonventionen, hvis der er tale om en transitforsendelse</w:t>
      </w:r>
    </w:p>
    <w:p w14:paraId="1DF3613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i henhold til formular 302, der er indført som led i overenskomsten mellem parterne i den nordatlantiske traktat vedrørende status for deres styrker, undertegnet i London den 19. juni 1951, og EU-formular 302</w:t>
      </w:r>
    </w:p>
    <w:p w14:paraId="1CE5D26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med post i overensstemmelse med Verdenspostunionens bestemmelser, når varer forsendes af eller for indehavere af rettigheder og forpligtelser i henhold til disse bestemmelser.</w:t>
      </w:r>
    </w:p>
    <w:p w14:paraId="2CB34174" w14:textId="77777777" w:rsidR="00BF6859" w:rsidRDefault="00BF6859">
      <w:pPr>
        <w:widowControl/>
        <w:rPr>
          <w:szCs w:val="24"/>
          <w:lang w:eastAsia="en-US"/>
        </w:rPr>
      </w:pPr>
      <w:r>
        <w:rPr>
          <w:szCs w:val="24"/>
          <w:lang w:eastAsia="en-US"/>
        </w:rPr>
        <w:br w:type="page"/>
      </w:r>
    </w:p>
    <w:p w14:paraId="37C57536" w14:textId="4E5BA41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tillægges beføjelser til at vedtage delegerede retsakter i overensstemmelse med artikel 261 med henblik på at supplere denne forordning ved at fastsætte de specifikke tilfælde, hvor EU-varer skal henføres under proceduren for ekstern forsendelse.</w:t>
      </w:r>
    </w:p>
    <w:p w14:paraId="2D2E70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procedurereglerne for anvendelse af stk. 3, litra b)-e), i Unionens toldområde under hensyntagen til Unionens behov. Disse gennemførelsesretsakter vedtages efter undersøgelsesproceduren i artikel 262, stk. 4.</w:t>
      </w:r>
    </w:p>
    <w:p w14:paraId="699F078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112</w:t>
      </w:r>
      <w:r w:rsidRPr="003E0486">
        <w:rPr>
          <w:szCs w:val="24"/>
          <w:lang w:eastAsia="en-US"/>
        </w:rPr>
        <w:br/>
        <w:t>Intern forsendelse</w:t>
      </w:r>
    </w:p>
    <w:p w14:paraId="14F10A9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proceduren for intern forsendelse og på de betingelser, der er fastlagt i stk. 2, kan EU-varer forsendes fra et sted til et andet inden for Unionens toldområde og passere gennem et tredjeland uden ændring af deres toldmæssige status.</w:t>
      </w:r>
    </w:p>
    <w:p w14:paraId="7E2FBA9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i stk. 1 nævnte forsendelse finder sted på en af følgende måder:</w:t>
      </w:r>
    </w:p>
    <w:p w14:paraId="0816F3A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under proceduren for intern EU-forsendelse, hvis denne mulighed gives i en international aftale</w:t>
      </w:r>
    </w:p>
    <w:p w14:paraId="5E1E6436" w14:textId="77777777" w:rsidR="00BF6859" w:rsidRDefault="00BF6859">
      <w:pPr>
        <w:widowControl/>
        <w:rPr>
          <w:szCs w:val="24"/>
          <w:lang w:eastAsia="en-US"/>
        </w:rPr>
      </w:pPr>
      <w:r>
        <w:rPr>
          <w:szCs w:val="24"/>
          <w:lang w:eastAsia="en-US"/>
        </w:rPr>
        <w:br w:type="page"/>
      </w:r>
    </w:p>
    <w:p w14:paraId="738D0BD3" w14:textId="73E2C7F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i overensstemmelse med TIR-konventionen</w:t>
      </w:r>
    </w:p>
    <w:p w14:paraId="050BA18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 overensstemmelse med ATA-konventionen eller Istanbulkonventionen, hvis der er tale om en transitforsendelse</w:t>
      </w:r>
    </w:p>
    <w:p w14:paraId="2A4085E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i henhold til formular 302, der er indført som led i overenskomsten mellem parterne i den nordatlantiske traktat vedrørende status for deres styrker, undertegnet i London den 19. juni 1951, og EU-formular 302</w:t>
      </w:r>
    </w:p>
    <w:p w14:paraId="085D717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med post i overensstemmelse med Verdenspostunionens bestemmelser, når varer forsendes af eller for indehavere af rettigheder og forpligtelser i henhold til disse bestemmelser.</w:t>
      </w:r>
    </w:p>
    <w:p w14:paraId="03D6C2D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procedurereglerne for anvendelse af stk. 2, litra b)-e), i Unionens toldområde under hensyntagen til Unionens behov. Disse gennemførelsesretsakter vedtages efter undersøgelsesproceduren i artikel 262, stk. 4.</w:t>
      </w:r>
    </w:p>
    <w:p w14:paraId="01585259" w14:textId="77777777" w:rsidR="00BF6859" w:rsidRDefault="00BF6859">
      <w:pPr>
        <w:widowControl/>
        <w:rPr>
          <w:szCs w:val="24"/>
          <w:lang w:eastAsia="en-US"/>
        </w:rPr>
      </w:pPr>
      <w:r>
        <w:rPr>
          <w:szCs w:val="24"/>
          <w:lang w:eastAsia="en-US"/>
        </w:rPr>
        <w:br w:type="page"/>
      </w:r>
    </w:p>
    <w:p w14:paraId="60FC8492" w14:textId="4EF753D8"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113</w:t>
      </w:r>
      <w:r w:rsidRPr="003E0486">
        <w:rPr>
          <w:szCs w:val="24"/>
          <w:lang w:eastAsia="en-US"/>
        </w:rPr>
        <w:br/>
        <w:t>Et enkelt område med henblik på forsendelse</w:t>
      </w:r>
    </w:p>
    <w:p w14:paraId="5276BB2A" w14:textId="77777777" w:rsidR="003E0486" w:rsidRPr="003E0486" w:rsidRDefault="003E0486" w:rsidP="003E0486">
      <w:pPr>
        <w:spacing w:before="120" w:after="120" w:line="360" w:lineRule="auto"/>
        <w:rPr>
          <w:szCs w:val="24"/>
          <w:lang w:eastAsia="en-US"/>
        </w:rPr>
      </w:pPr>
      <w:r w:rsidRPr="003E0486">
        <w:rPr>
          <w:szCs w:val="24"/>
          <w:lang w:eastAsia="en-US"/>
        </w:rPr>
        <w:t>Hvis varer forsendes fra et sted i Unionens toldområde til et andet i overensstemmelse med TIR-konventionen, ATA-konventionen eller Istanbulkonventionen, i henhold til formular 302, EU-formular 302 eller med post, anses Unionens toldområde for at udgøre et enkelt område med henblik på sådan transport.</w:t>
      </w:r>
    </w:p>
    <w:p w14:paraId="2FF72A3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114</w:t>
      </w:r>
      <w:r w:rsidRPr="003E0486">
        <w:rPr>
          <w:szCs w:val="24"/>
          <w:lang w:eastAsia="en-US"/>
        </w:rPr>
        <w:br/>
        <w:t>Udelukkelse af personer fra TIR-transport</w:t>
      </w:r>
    </w:p>
    <w:p w14:paraId="381ACE9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toldmyndighederne i en medlemsstat træffer afgørelse om at udelukke en person fra TIR-transport i medfør af artikel 38 i TIR-konventionen, finder denne afgørelse anvendelse i hele Unionens toldområde, og TIR-carneter, der er indgivet af den person, godtages ikke af noget toldsted.</w:t>
      </w:r>
    </w:p>
    <w:p w14:paraId="7774CF3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 medlemsstat giver meddelelse om sin afgørelse, jf. stk. 1, samt dens anvendelsesdato til de andre medlemsstater og Kommissionen. og EU-Toldmyndigheden.</w:t>
      </w:r>
    </w:p>
    <w:p w14:paraId="43F025D1" w14:textId="77777777" w:rsidR="00BF6859" w:rsidRDefault="00BF6859">
      <w:pPr>
        <w:widowControl/>
        <w:rPr>
          <w:szCs w:val="24"/>
          <w:lang w:eastAsia="en-US"/>
        </w:rPr>
      </w:pPr>
      <w:r>
        <w:rPr>
          <w:szCs w:val="24"/>
          <w:lang w:eastAsia="en-US"/>
        </w:rPr>
        <w:br w:type="page"/>
      </w:r>
    </w:p>
    <w:p w14:paraId="573F93E7" w14:textId="345BE1B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115</w:t>
      </w:r>
      <w:r w:rsidRPr="003E0486">
        <w:rPr>
          <w:szCs w:val="24"/>
          <w:lang w:eastAsia="en-US"/>
        </w:rPr>
        <w:br/>
        <w:t>Godkendt afsender og godkendt modtager i forbindelse med TIR-transport</w:t>
      </w:r>
    </w:p>
    <w:p w14:paraId="3D19F40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efter ansøgning tillade, at en person, der betegnes som en "godkendt modtager", modtager varer transporteret i overensstemmelse med TIR-konventionen på et godkendt sted, således at proceduren ophører i overensstemmelse med artikel 1, litra d), i TIR-konventionen.</w:t>
      </w:r>
    </w:p>
    <w:p w14:paraId="27B3E56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efter ansøgning tillade, at en person, der betegnes som en "godkendt afsender", sender varer, der skal transporteres i overensstemmelse med TIR-konventionen på et godkendt sted, således at proceduren påbegyndes i overensstemmelse med artikel 1, litra c), i TIR-konventionen.</w:t>
      </w:r>
    </w:p>
    <w:p w14:paraId="3B752625" w14:textId="77777777" w:rsidR="003E0486" w:rsidRPr="003E0486" w:rsidRDefault="003E0486" w:rsidP="003E0486">
      <w:pPr>
        <w:spacing w:before="120" w:after="120" w:line="360" w:lineRule="auto"/>
        <w:ind w:left="850"/>
        <w:rPr>
          <w:szCs w:val="24"/>
          <w:lang w:eastAsia="en-US"/>
        </w:rPr>
      </w:pPr>
      <w:r w:rsidRPr="003E0486">
        <w:rPr>
          <w:szCs w:val="24"/>
          <w:lang w:eastAsia="en-US"/>
        </w:rPr>
        <w:t>Med henblik på første afsnit har den godkendte afsender tilladelse til at anvende segl af en særlig type i overensstemmelse med artikel 116, stk. 4, litra c).</w:t>
      </w:r>
    </w:p>
    <w:p w14:paraId="18451E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tillægges beføjelser til at vedtage delegerede retsakter i overensstemmelse med artikel 261 med henblik på at supplere denne forordning ved at fastsætte betingelserne for at indrømme bevillinger som omhandlet i stk. 1. og 2.</w:t>
      </w:r>
    </w:p>
    <w:p w14:paraId="483A988B" w14:textId="77777777" w:rsidR="00BF6859" w:rsidRDefault="00BF6859">
      <w:pPr>
        <w:widowControl/>
        <w:rPr>
          <w:szCs w:val="24"/>
          <w:lang w:eastAsia="en-US"/>
        </w:rPr>
      </w:pPr>
      <w:r>
        <w:rPr>
          <w:szCs w:val="24"/>
          <w:lang w:eastAsia="en-US"/>
        </w:rPr>
        <w:br w:type="page"/>
      </w:r>
    </w:p>
    <w:p w14:paraId="2EC225E0" w14:textId="6EE7A89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2 </w:t>
      </w:r>
      <w:r w:rsidRPr="003E0486">
        <w:rPr>
          <w:szCs w:val="24"/>
          <w:lang w:eastAsia="en-US"/>
        </w:rPr>
        <w:br/>
        <w:t>EU-forsendelse</w:t>
      </w:r>
    </w:p>
    <w:p w14:paraId="6933E00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116</w:t>
      </w:r>
      <w:r w:rsidRPr="003E0486">
        <w:rPr>
          <w:szCs w:val="24"/>
          <w:lang w:eastAsia="en-US"/>
        </w:rPr>
        <w:br/>
        <w:t>Forpligtelser, der påhviler den person, der er ansvarlig for proceduren for EU-forsendelse og en transportør eller modtager af varer, der forsendes under proceduren for EU-forsendelse</w:t>
      </w:r>
    </w:p>
    <w:p w14:paraId="0626950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person, der er ansvarlig for proceduren for EU-forsendelse er ansvarlig for samtlige følgende forhold:</w:t>
      </w:r>
    </w:p>
    <w:p w14:paraId="1131277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de data, der sætter toldmyndighederne i stand til at føre tilsyn med varerne, tilvejebringes, herunder som minimum identifikation af de varer, der er henført under proceduren, transportmidlet, importøren eller eksportøren, den toldmæssige status og bevægelserne</w:t>
      </w:r>
    </w:p>
    <w:p w14:paraId="25C47B0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varerne frembydes på bestemmelsestoldstedet i intakt stand sammen med de nødvendige oplysninger inden for den fastsatte frist og under iagttagelse af de af toldmyndighederne trufne foranstaltninger til varernes identificering</w:t>
      </w:r>
    </w:p>
    <w:p w14:paraId="7DB0206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de for proceduren gældende toldbestemmelser overholdes</w:t>
      </w:r>
    </w:p>
    <w:p w14:paraId="68D88C2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medmindre andet er fastsat i toldlovgivningen, at der stilles sikkerhed for betaling af det import- eller eksportafgiftsbeløb, der svarer til enhver toldskyld eller andre afgifter, som kan pålægges varerne.</w:t>
      </w:r>
    </w:p>
    <w:p w14:paraId="5754B80D" w14:textId="77777777" w:rsidR="00BF6859" w:rsidRDefault="00BF6859">
      <w:pPr>
        <w:widowControl/>
        <w:rPr>
          <w:szCs w:val="24"/>
          <w:lang w:eastAsia="en-US"/>
        </w:rPr>
      </w:pPr>
      <w:r>
        <w:rPr>
          <w:szCs w:val="24"/>
          <w:lang w:eastAsia="en-US"/>
        </w:rPr>
        <w:br w:type="page"/>
      </w:r>
    </w:p>
    <w:p w14:paraId="56858191" w14:textId="0AFAECA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De forpligtelser, der påhviler den person, der er ansvarlig for proceduren, er opfyldt, og forsendelsesproceduren ophører, når de under proceduren henførte varer og de nødvendige oplysninger foreligger på bestemmelsestoldstedet i henhold til toldlovgivningen.</w:t>
      </w:r>
    </w:p>
    <w:p w14:paraId="5AC889D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En transportør eller varemodtager, der accepterer varerne med kendskab til, at det er varer, der forsendes under proceduren for EU-forsendelse, er ligeledes ansvarlig for frembydelse af dem i intakt stand for bestemmelsestoldstedet inden for den fastsatte frist og under iagttagelse af de af toldmyndighederne trufne foranstaltninger til varernes identificering.</w:t>
      </w:r>
    </w:p>
    <w:p w14:paraId="5A5DDC9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Toldmyndighederne kan efter ansøgning tillade følgende forenklinger, for så vidt angår henførslen af varer under proceduren for EU-forsendelse eller afslutningen af den pågældende procedure:</w:t>
      </w:r>
    </w:p>
    <w:p w14:paraId="5DE48FF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status som godkendt afsender, der tillader bevillingshaveren at henføre varer under proceduren for EU-forsendelse uden frembydelse for toldmyndighederne</w:t>
      </w:r>
    </w:p>
    <w:p w14:paraId="06F33C51" w14:textId="77777777" w:rsidR="00BF6859" w:rsidRDefault="00BF6859">
      <w:pPr>
        <w:widowControl/>
        <w:rPr>
          <w:szCs w:val="24"/>
          <w:lang w:eastAsia="en-US"/>
        </w:rPr>
      </w:pPr>
      <w:r>
        <w:rPr>
          <w:szCs w:val="24"/>
          <w:lang w:eastAsia="en-US"/>
        </w:rPr>
        <w:br w:type="page"/>
      </w:r>
    </w:p>
    <w:p w14:paraId="24746514" w14:textId="6825A336"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status som godkendt modtager, der tillader bevillingshaveren at modtage varer, der er blevet transporteret under proceduren for EU-forsendelse, på et godkendt sted, således at proceduren afsluttes i overensstemmelse med stk. 2</w:t>
      </w:r>
    </w:p>
    <w:p w14:paraId="2056826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anvendelse af en særlig type segl, hvor forsegling er nødvendig for at sikre identifikation af de varer, der er henført under proceduren for EU-forsendelse</w:t>
      </w:r>
    </w:p>
    <w:p w14:paraId="31D4ECC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anvendelse af et elektronisk transportdokument til at henføre varer under proceduren for EU-forsendelse, forudsat at det indeholder de nødvendige oplysninger, og at dette dokument er tilgængeligt for toldmyndighederne på afgangs- og bestemmelsesstedet, så der kan føres toldtilsyn med varerne, og proceduren kan afsluttes.</w:t>
      </w:r>
    </w:p>
    <w:p w14:paraId="508D50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Toldmyndighederne foretager mindst hvert tredje år en dybdegående overvågning af de godkendte afsendere og modtagere med henblik på at vurdere deres overholdelse af bevillingskravene.</w:t>
      </w:r>
    </w:p>
    <w:p w14:paraId="584FC13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tillægges beføjelser til at vedtage delegerede retsakter i overensstemmelse med artikel 261 med henblik på at supplere denne forordning ved yderligere at præcisere datakravene i stk. 1, litra a) og b), og betingelserne for indrømmelse af de i stk. 4 omhandlede bevillinger.</w:t>
      </w:r>
    </w:p>
    <w:p w14:paraId="6ECC4EC3" w14:textId="77777777" w:rsidR="00BF6859" w:rsidRDefault="00BF6859">
      <w:pPr>
        <w:widowControl/>
        <w:rPr>
          <w:szCs w:val="24"/>
          <w:lang w:eastAsia="en-US"/>
        </w:rPr>
      </w:pPr>
      <w:r>
        <w:rPr>
          <w:szCs w:val="24"/>
          <w:lang w:eastAsia="en-US"/>
        </w:rPr>
        <w:br w:type="page"/>
      </w:r>
    </w:p>
    <w:p w14:paraId="06B544BD" w14:textId="3C5D9FE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Kommissionen præciserer ved gennemførelsesretsakter procedurereglerne for:</w:t>
      </w:r>
    </w:p>
    <w:p w14:paraId="731AB8A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henførslen af varer under en procedure for EU-forsendelse og afslutningen af denne procedure</w:t>
      </w:r>
    </w:p>
    <w:p w14:paraId="632A24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gennemførelsen af de i stk. 4 omhandlede forenklinger.</w:t>
      </w:r>
    </w:p>
    <w:p w14:paraId="62D943B0"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4406B1F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117</w:t>
      </w:r>
      <w:r w:rsidRPr="003E0486">
        <w:rPr>
          <w:szCs w:val="24"/>
          <w:lang w:eastAsia="en-US"/>
        </w:rPr>
        <w:br/>
        <w:t>Varer, der passerer gennem et tredjelands område under proceduren for ekstern EU-forsendelse</w:t>
      </w:r>
    </w:p>
    <w:p w14:paraId="4FE65AA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Proceduren for ekstern EU-forsendelse anvendes på varer, der passerer gennem et tredjeland, hvis en af følgende betingelser er opfyldt:</w:t>
      </w:r>
    </w:p>
    <w:p w14:paraId="533161AF" w14:textId="318A7A6E"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r>
      <w:r w:rsidR="00831001">
        <w:rPr>
          <w:szCs w:val="24"/>
          <w:lang w:eastAsia="en-US"/>
        </w:rPr>
        <w:t>e</w:t>
      </w:r>
      <w:r w:rsidRPr="003E0486">
        <w:rPr>
          <w:szCs w:val="24"/>
          <w:lang w:eastAsia="en-US"/>
        </w:rPr>
        <w:t>n sådan mulighed er fastsat i en international aftale</w:t>
      </w:r>
    </w:p>
    <w:p w14:paraId="287D5150" w14:textId="288799CA"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r>
      <w:r w:rsidR="00831001">
        <w:rPr>
          <w:szCs w:val="24"/>
          <w:lang w:eastAsia="en-US"/>
        </w:rPr>
        <w:t>f</w:t>
      </w:r>
      <w:r w:rsidRPr="003E0486">
        <w:rPr>
          <w:szCs w:val="24"/>
          <w:lang w:eastAsia="en-US"/>
        </w:rPr>
        <w:t>orsendelsen gennem et sådant tredjeland sker på grundlag af et og samme transportdokument, som er udfærdiget i Unionens toldområde.</w:t>
      </w:r>
    </w:p>
    <w:p w14:paraId="3FBE5A14" w14:textId="77777777" w:rsidR="00BF6859" w:rsidRDefault="00BF6859">
      <w:pPr>
        <w:widowControl/>
        <w:rPr>
          <w:szCs w:val="24"/>
          <w:lang w:eastAsia="en-US"/>
        </w:rPr>
      </w:pPr>
      <w:r>
        <w:rPr>
          <w:szCs w:val="24"/>
          <w:lang w:eastAsia="en-US"/>
        </w:rPr>
        <w:br w:type="page"/>
      </w:r>
    </w:p>
    <w:p w14:paraId="6AA542A0" w14:textId="2EF6739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 det tilfælde, der er omhandlet i stk. 1, litra b), suspenderes virkningen af proceduren for ekstern EU-forsendelse, så længe varerne befinder sig uden for Unionens toldområde.</w:t>
      </w:r>
    </w:p>
    <w:p w14:paraId="60F9E8C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hjælp af gennemførelsesretsakter procedurereglerne for toldtilsyn med varer, der passerer gennem et tredjelands område under proceduren for ekstern EU-forsendelse. Disse gennemførelsesretsakter vedtages efter undersøgelsesproceduren i artikel 262, stk. 4.</w:t>
      </w:r>
    </w:p>
    <w:p w14:paraId="6E64601A"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3 </w:t>
      </w:r>
      <w:r w:rsidRPr="003E0486">
        <w:rPr>
          <w:szCs w:val="24"/>
          <w:lang w:eastAsia="en-US"/>
        </w:rPr>
        <w:br/>
        <w:t>Oplagring</w:t>
      </w:r>
    </w:p>
    <w:p w14:paraId="1BC7B3AB"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Fælles bestemmelser</w:t>
      </w:r>
    </w:p>
    <w:p w14:paraId="5744621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118</w:t>
      </w:r>
      <w:r w:rsidRPr="003E0486">
        <w:rPr>
          <w:szCs w:val="24"/>
          <w:lang w:eastAsia="en-US"/>
        </w:rPr>
        <w:br/>
        <w:t>Anvendelsesområde</w:t>
      </w:r>
    </w:p>
    <w:p w14:paraId="7573E45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en oplagringsprocedure kan ikke-EU-varer oplagres i Unionens toldområde uden at skulle gøres til genstand for:</w:t>
      </w:r>
    </w:p>
    <w:p w14:paraId="7A0B011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importafgifter</w:t>
      </w:r>
    </w:p>
    <w:p w14:paraId="01FB5E7F" w14:textId="77777777" w:rsidR="00BF6859" w:rsidRDefault="00BF6859">
      <w:pPr>
        <w:widowControl/>
        <w:rPr>
          <w:szCs w:val="24"/>
          <w:lang w:eastAsia="en-US"/>
        </w:rPr>
      </w:pPr>
      <w:r>
        <w:rPr>
          <w:szCs w:val="24"/>
          <w:lang w:eastAsia="en-US"/>
        </w:rPr>
        <w:br w:type="page"/>
      </w:r>
    </w:p>
    <w:p w14:paraId="1334DCF1" w14:textId="0492776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andre afgifter som fastsat i andre relevante gældende bestemmelser</w:t>
      </w:r>
    </w:p>
    <w:p w14:paraId="6E0CD57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handelspolitiske foranstaltninger, såfremt de ikke indeholder et forbud mod indpassage eller udpassage af varer til eller fra Unionens toldområde.</w:t>
      </w:r>
    </w:p>
    <w:p w14:paraId="7D659D0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Betingelserne for henførsel af varer under oplagring er følgende:</w:t>
      </w:r>
    </w:p>
    <w:p w14:paraId="3E46FAB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minimumsdataene er blevet meddelt til eller gjort tilgængelige for toldmyndighederne, og at disse data mindst omfatter den importør, der er ansvarlig for varerne, fabrikanten, varernes værdi, oprindelse og tarifering og varebeskrivelsen samt en liste over anden relevant lovgivning, der anvendes af toldmyndighederne på disse varer, medmindre andet er fastsat, og</w:t>
      </w:r>
    </w:p>
    <w:p w14:paraId="440D86EA" w14:textId="71D6AB49" w:rsidR="003E0486" w:rsidRPr="005D34E3"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r>
      <w:r w:rsidRPr="003E0486">
        <w:rPr>
          <w:b/>
          <w:i/>
          <w:szCs w:val="24"/>
          <w:lang w:eastAsia="en-US"/>
        </w:rPr>
        <w:t xml:space="preserve">det er konstateret, </w:t>
      </w:r>
      <w:r w:rsidRPr="003E0486">
        <w:rPr>
          <w:szCs w:val="24"/>
          <w:lang w:eastAsia="en-US"/>
        </w:rPr>
        <w:t>at varerne er i overensstemmelse med anden lovgivning, der anvendes af toldmyndighederne.</w:t>
      </w:r>
      <w:r w:rsidR="005D34E3">
        <w:rPr>
          <w:b/>
          <w:szCs w:val="24"/>
          <w:lang w:eastAsia="en-US"/>
        </w:rPr>
        <w:t xml:space="preserve"> [Ændring 194]</w:t>
      </w:r>
    </w:p>
    <w:p w14:paraId="55FD949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EU-varer kan henføres under toldoplag- eller frizoneproceduren i overensstemmelse med anden lovgivning, der anvendes af toldmyndighederne, eller for at blive omfattet af en afgørelse, der indrømmer godtgørelse af eller fritagelse for importafgifter. EU-varer kan føres ind i eller oplagres, flyttes, benyttes, forædles eller forbruges i et toldoplag eller en frizone. I så fald betragtes varerne ikke som omfattet af oplagringsproceduren.</w:t>
      </w:r>
    </w:p>
    <w:p w14:paraId="7191A5CD" w14:textId="77777777" w:rsidR="00BF6859" w:rsidRDefault="00BF6859">
      <w:pPr>
        <w:widowControl/>
        <w:rPr>
          <w:szCs w:val="24"/>
          <w:lang w:eastAsia="en-US"/>
        </w:rPr>
      </w:pPr>
      <w:r>
        <w:rPr>
          <w:szCs w:val="24"/>
          <w:lang w:eastAsia="en-US"/>
        </w:rPr>
        <w:br w:type="page"/>
      </w:r>
    </w:p>
    <w:p w14:paraId="7C39B5DF" w14:textId="2364EAD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Importøren skal placere ikke-EU-varer, der føres ind i et toldoplag eller en frizone, under den relevante oplagringsprocedure.</w:t>
      </w:r>
    </w:p>
    <w:p w14:paraId="4D0330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proceduren for henførsel af EU-varer under toldoplagsproceduren eller frizoneproceduren som omhandlet i stk. 2. Disse gennemførelsesretsakter vedtages efter undersøgelsesproceduren i artikel 262, stk. 4.</w:t>
      </w:r>
    </w:p>
    <w:p w14:paraId="0E67E44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119</w:t>
      </w:r>
      <w:r w:rsidRPr="003E0486">
        <w:rPr>
          <w:szCs w:val="24"/>
          <w:lang w:eastAsia="en-US"/>
        </w:rPr>
        <w:br/>
        <w:t>Oplagringsoplysninger</w:t>
      </w:r>
    </w:p>
    <w:p w14:paraId="42AD72D3" w14:textId="7523AD53" w:rsidR="003E0486" w:rsidRPr="005D34E3"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Operatøren af et toldoplag eller en frizone skal over for toldmyndighederne</w:t>
      </w:r>
      <w:r w:rsidRPr="003E0486">
        <w:rPr>
          <w:b/>
          <w:i/>
          <w:szCs w:val="24"/>
          <w:lang w:eastAsia="en-US"/>
        </w:rPr>
        <w:t xml:space="preserve"> være forpligtet til at</w:t>
      </w:r>
      <w:r w:rsidRPr="003E0486">
        <w:rPr>
          <w:szCs w:val="24"/>
          <w:lang w:eastAsia="en-US"/>
        </w:rPr>
        <w:t xml:space="preserve"> meddele eller sørge for tilgængelighed af de minimumsdata, der er nødvendige for anvendelsen af bestemmelserne om oplagring af de varer, der befinder sig dér, navnlig de data, der er omhandlet i artikel 118, stk. 2, litra a), den toldmæssige status for de varer, der er henført under oplagringsproceduren, og de efterfølgende bevægelser af disse varer.</w:t>
      </w:r>
      <w:r w:rsidRPr="003E0486">
        <w:rPr>
          <w:b/>
          <w:i/>
          <w:szCs w:val="24"/>
          <w:lang w:eastAsia="en-US"/>
        </w:rPr>
        <w:t xml:space="preserve"> Når funktionerne i EU's tolddatacenter, </w:t>
      </w:r>
      <w:r w:rsidR="003D27AF">
        <w:rPr>
          <w:b/>
          <w:i/>
          <w:szCs w:val="24"/>
          <w:lang w:eastAsia="en-US"/>
        </w:rPr>
        <w:t xml:space="preserve">der er fastsat i </w:t>
      </w:r>
      <w:r w:rsidRPr="003E0486">
        <w:rPr>
          <w:b/>
          <w:i/>
          <w:szCs w:val="24"/>
          <w:lang w:eastAsia="en-US"/>
        </w:rPr>
        <w:t>artikel 29, er fuldt operationelle, skal operatøren stille disse data til rådighed via EU's tolddatacenter.</w:t>
      </w:r>
      <w:r w:rsidR="005D34E3">
        <w:rPr>
          <w:b/>
          <w:szCs w:val="24"/>
          <w:lang w:eastAsia="en-US"/>
        </w:rPr>
        <w:t xml:space="preserve"> [Ændring 195]</w:t>
      </w:r>
    </w:p>
    <w:p w14:paraId="40EC4CFB" w14:textId="77777777" w:rsidR="00BF6859" w:rsidRDefault="00BF6859">
      <w:pPr>
        <w:widowControl/>
        <w:rPr>
          <w:szCs w:val="24"/>
          <w:lang w:eastAsia="en-US"/>
        </w:rPr>
      </w:pPr>
      <w:r>
        <w:rPr>
          <w:szCs w:val="24"/>
          <w:lang w:eastAsia="en-US"/>
        </w:rPr>
        <w:br w:type="page"/>
      </w:r>
    </w:p>
    <w:p w14:paraId="131AEC3C" w14:textId="7B9291B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Hvis importøren eller transportøren allerede har meddelt eller sørget for tilgængelighed af alle eller en del af de oplysninger, der er omhandlet i stk. 1, knytter toldoplaget eller frizoneoperatøren sine egne supplerende oplysninger til importørens eller transportørens oplysninger.</w:t>
      </w:r>
    </w:p>
    <w:p w14:paraId="0AE57CA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Operatøren må ikke acceptere varer, for hvilke minimumsoplysningerne ikke er blevet meddelt eller gjort tilgængelige for toldmyndighederne.</w:t>
      </w:r>
    </w:p>
    <w:p w14:paraId="20EB2D9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de minimumsoplysninger, som er omhandlet i denne artikels stk. 1.</w:t>
      </w:r>
    </w:p>
    <w:p w14:paraId="7940D26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120</w:t>
      </w:r>
      <w:r w:rsidRPr="003E0486">
        <w:rPr>
          <w:szCs w:val="24"/>
          <w:lang w:eastAsia="en-US"/>
        </w:rPr>
        <w:br/>
        <w:t>Ændring og ugyldiggørelse af oplagringsoplysninger</w:t>
      </w:r>
    </w:p>
    <w:p w14:paraId="46D5478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Operatøren af et toldoplag eller en frizone kan ændre en eller flere dele i oplysningerne om varerne i sin facilitet, efter at de er meddelt eller gjort tilgængelige, medmindre toldmyndighederne har meddelt operatøren, at de agter at undersøge varerne, eller de har konstateret, at oplysningerne om varerne er ukorrekte.</w:t>
      </w:r>
    </w:p>
    <w:p w14:paraId="1915BCDC" w14:textId="77777777" w:rsidR="00BF6859" w:rsidRDefault="00BF6859">
      <w:pPr>
        <w:widowControl/>
        <w:rPr>
          <w:szCs w:val="24"/>
          <w:lang w:eastAsia="en-US"/>
        </w:rPr>
      </w:pPr>
      <w:r>
        <w:rPr>
          <w:szCs w:val="24"/>
          <w:lang w:eastAsia="en-US"/>
        </w:rPr>
        <w:br w:type="page"/>
      </w:r>
    </w:p>
    <w:p w14:paraId="7F262590" w14:textId="445201A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Importøren, transportøren eller operatøren af oplaget eller frizonen erklærer så hurtigt som muligt oplysningerne om varer, der ikke bliver ført ind i Unionens toldområde, for ugyldige. Toldmyndighederne erklærer oplysningerne om disse varer for ugyldige efter 30 dage fra den dato, hvor oplysningerne blev meddelt eller gjort tilgængelige.</w:t>
      </w:r>
    </w:p>
    <w:p w14:paraId="757BFA7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121</w:t>
      </w:r>
      <w:r w:rsidRPr="003E0486">
        <w:rPr>
          <w:szCs w:val="24"/>
          <w:lang w:eastAsia="en-US"/>
        </w:rPr>
        <w:br/>
        <w:t>En oplagringsprocedures varighed</w:t>
      </w:r>
    </w:p>
    <w:p w14:paraId="3045DDA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kan forblive under en oplagringsprocedure uden tidsbegrænsning.</w:t>
      </w:r>
    </w:p>
    <w:p w14:paraId="035487A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Under særlige omstændigheder kan toldmyndighederne fastsætte en frist for, hvornår en oplagringsprocedure skal være afsluttet, navnlig hvis varernes art og egenskaber, såfremt der er tale om langvarig oplagring, kan udgøre en trussel for menneskers, dyrs eller planters sundhed og liv eller for miljøet.</w:t>
      </w:r>
    </w:p>
    <w:p w14:paraId="436D9BAD" w14:textId="77777777" w:rsidR="00BF6859" w:rsidRDefault="00BF6859">
      <w:pPr>
        <w:widowControl/>
        <w:rPr>
          <w:szCs w:val="24"/>
          <w:lang w:eastAsia="en-US"/>
        </w:rPr>
      </w:pPr>
      <w:r>
        <w:rPr>
          <w:szCs w:val="24"/>
          <w:lang w:eastAsia="en-US"/>
        </w:rPr>
        <w:br w:type="page"/>
      </w:r>
    </w:p>
    <w:p w14:paraId="5CE5493E" w14:textId="71FAF3F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2 </w:t>
      </w:r>
      <w:r w:rsidRPr="003E0486">
        <w:rPr>
          <w:szCs w:val="24"/>
          <w:lang w:eastAsia="en-US"/>
        </w:rPr>
        <w:br/>
        <w:t>Toldoplag</w:t>
      </w:r>
    </w:p>
    <w:p w14:paraId="6337AA1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122</w:t>
      </w:r>
      <w:r w:rsidRPr="003E0486">
        <w:rPr>
          <w:szCs w:val="24"/>
          <w:lang w:eastAsia="en-US"/>
        </w:rPr>
        <w:br/>
        <w:t>Oplagring på toldoplag</w:t>
      </w:r>
    </w:p>
    <w:p w14:paraId="6985FC2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toldoplagsproceduren kan ikke-EU-varer opbevares i lagre eller andre lokaler, der er godkendt til denne procedure af toldmyndighederne og under toldtilsyn ("toldoplag").</w:t>
      </w:r>
    </w:p>
    <w:p w14:paraId="5427CB1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Toldoplag kan benyttes af alle importører til oplæggelse af varer ("offentligt toldoplag"), eller de kan benyttes til oplagring af varer importeret af en indehaver af en bevilling til toldoplag ("privat toldoplag").</w:t>
      </w:r>
    </w:p>
    <w:p w14:paraId="15A750E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123</w:t>
      </w:r>
      <w:r w:rsidRPr="003E0486">
        <w:rPr>
          <w:szCs w:val="24"/>
          <w:lang w:eastAsia="en-US"/>
        </w:rPr>
        <w:br/>
        <w:t>Bevilling til drift af toldoplag</w:t>
      </w:r>
    </w:p>
    <w:p w14:paraId="4ED6969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Driften af et toldoplag kræver en bevilling fra toldmyndighederne, medmindre operatøren af toldoplaget selv er toldmyndigheden. Bevillingen skal indeholde betingelserne for driften af toldoplaget.</w:t>
      </w:r>
    </w:p>
    <w:p w14:paraId="3AB75744" w14:textId="77777777" w:rsidR="00BF6859" w:rsidRDefault="00BF6859">
      <w:pPr>
        <w:widowControl/>
        <w:rPr>
          <w:szCs w:val="24"/>
          <w:lang w:eastAsia="en-US"/>
        </w:rPr>
      </w:pPr>
      <w:r>
        <w:rPr>
          <w:szCs w:val="24"/>
          <w:lang w:eastAsia="en-US"/>
        </w:rPr>
        <w:br w:type="page"/>
      </w:r>
    </w:p>
    <w:p w14:paraId="195AEF73" w14:textId="5EFA12F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Den i stk. 1 omhandlede bevilling gives kun til personer, der opfylder følgende betingelser:</w:t>
      </w:r>
    </w:p>
    <w:p w14:paraId="50A0E026" w14:textId="74BD4C46"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er etableret i Unionens toldområde</w:t>
      </w:r>
    </w:p>
    <w:p w14:paraId="46C3F5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yder den nødvendige sikkerhed for, at transaktionerne forløber korrekt</w:t>
      </w:r>
    </w:p>
    <w:p w14:paraId="66B5194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en tillid og kontrol-erhvervsdrivende anses for at opfylde denne betingelse, for så vidt der i den i artikel 25 omhandlede bevilling er taget hensyn til driften af et toldoplag</w:t>
      </w:r>
    </w:p>
    <w:p w14:paraId="4C97CFC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stiller sikkerhed for den potentielle toldskyld.</w:t>
      </w:r>
    </w:p>
    <w:p w14:paraId="770AB8F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Bevillingen i stk. 1 gives kun, når toldmyndighederne er i stand til at foretage toldtilsyn uden at der skal træffes administrative forholdsregler, som ikke står i rimeligt forhold til de økonomiske behov i forbindelse hermed.</w:t>
      </w:r>
    </w:p>
    <w:p w14:paraId="7167CE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betingelserne for tildeling af den i denne artikels stk. 1 omhandlede bevilling.</w:t>
      </w:r>
    </w:p>
    <w:p w14:paraId="3B55E0BD" w14:textId="77777777" w:rsidR="00BF6859" w:rsidRDefault="00BF6859">
      <w:pPr>
        <w:widowControl/>
        <w:rPr>
          <w:szCs w:val="24"/>
          <w:lang w:eastAsia="en-US"/>
        </w:rPr>
      </w:pPr>
      <w:r>
        <w:rPr>
          <w:szCs w:val="24"/>
          <w:lang w:eastAsia="en-US"/>
        </w:rPr>
        <w:br w:type="page"/>
      </w:r>
    </w:p>
    <w:p w14:paraId="36774E4C" w14:textId="269BA00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124</w:t>
      </w:r>
      <w:r w:rsidRPr="003E0486">
        <w:rPr>
          <w:szCs w:val="24"/>
          <w:lang w:eastAsia="en-US"/>
        </w:rPr>
        <w:br/>
        <w:t>Varebevægelser i toldoplag</w:t>
      </w:r>
    </w:p>
    <w:p w14:paraId="1A03900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give en operatør af et toldoplag tilladelse at flytte varer på følgende betingelser:</w:t>
      </w:r>
    </w:p>
    <w:p w14:paraId="15B83A6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toldoplagsbevillingen giver mulighed for at flytte varerne</w:t>
      </w:r>
    </w:p>
    <w:p w14:paraId="57A5323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operatøren af toldoplaget er en autoriseret økonomisk operatør eller en tillid og kontrol-erhvervsdrivende</w:t>
      </w:r>
    </w:p>
    <w:p w14:paraId="77838B8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oplysninger om flytningerne registreres i den erhvervsdrivendes regnskaber og meddeles til eller gøres tilgængelige for toldmyndighederne på afgangs- og ankomststedet.</w:t>
      </w:r>
    </w:p>
    <w:p w14:paraId="0C8C419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proceduren for at flytte varer i toldoplag som omhandlet i stk. 1. Disse gennemførelsesretsakter vedtages efter undersøgelsesproceduren i artikel 262, stk. 4.</w:t>
      </w:r>
    </w:p>
    <w:p w14:paraId="320DE050" w14:textId="77777777" w:rsidR="00BF6859" w:rsidRDefault="00BF6859">
      <w:pPr>
        <w:widowControl/>
        <w:rPr>
          <w:szCs w:val="24"/>
          <w:lang w:eastAsia="en-US"/>
        </w:rPr>
      </w:pPr>
      <w:r>
        <w:rPr>
          <w:szCs w:val="24"/>
          <w:lang w:eastAsia="en-US"/>
        </w:rPr>
        <w:br w:type="page"/>
      </w:r>
    </w:p>
    <w:p w14:paraId="7BBDE4D8" w14:textId="689B8A19"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125</w:t>
      </w:r>
      <w:r w:rsidRPr="003E0486">
        <w:rPr>
          <w:szCs w:val="24"/>
          <w:lang w:eastAsia="en-US"/>
        </w:rPr>
        <w:br/>
        <w:t>Forædling i et toldoplag</w:t>
      </w:r>
    </w:p>
    <w:p w14:paraId="3F01373E" w14:textId="77777777" w:rsidR="003E0486" w:rsidRPr="003E0486" w:rsidRDefault="003E0486" w:rsidP="003E0486">
      <w:pPr>
        <w:spacing w:before="120" w:after="120" w:line="360" w:lineRule="auto"/>
        <w:rPr>
          <w:szCs w:val="24"/>
          <w:lang w:eastAsia="en-US"/>
        </w:rPr>
      </w:pPr>
      <w:r w:rsidRPr="003E0486">
        <w:rPr>
          <w:szCs w:val="24"/>
          <w:lang w:eastAsia="en-US"/>
        </w:rPr>
        <w:t>Når der er et økonomisk behov herfor, og toldtilsynet ikke berøres negativt heraf, kan toldmyndighederne tillade, at varer i toldoplag efterfølgende henføres under proceduren for aktiv forædling eller proceduren for særligt anvendelsesformål med henblik på forædling i et toldoplag på de for disse procedurer fastsatte betingelser.</w:t>
      </w:r>
    </w:p>
    <w:p w14:paraId="2CB11A4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126</w:t>
      </w:r>
      <w:r w:rsidRPr="003E0486">
        <w:rPr>
          <w:szCs w:val="24"/>
          <w:lang w:eastAsia="en-US"/>
        </w:rPr>
        <w:br/>
        <w:t>Toldtilsyn</w:t>
      </w:r>
    </w:p>
    <w:p w14:paraId="21498D41" w14:textId="77777777" w:rsidR="003E0486" w:rsidRPr="003E0486" w:rsidRDefault="003E0486" w:rsidP="003E0486">
      <w:pPr>
        <w:spacing w:before="120" w:after="120" w:line="360" w:lineRule="auto"/>
        <w:rPr>
          <w:szCs w:val="24"/>
          <w:lang w:eastAsia="en-US"/>
        </w:rPr>
      </w:pPr>
      <w:r w:rsidRPr="003E0486">
        <w:rPr>
          <w:szCs w:val="24"/>
          <w:lang w:eastAsia="en-US"/>
        </w:rPr>
        <w:t>Bevillingshaveren er ansvarlig for at sikre, at varer under toldoplagsproceduren ikke unddrages toldtilsyn.</w:t>
      </w:r>
    </w:p>
    <w:p w14:paraId="1DBCB555"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3 </w:t>
      </w:r>
      <w:r w:rsidRPr="003E0486">
        <w:rPr>
          <w:szCs w:val="24"/>
          <w:lang w:eastAsia="en-US"/>
        </w:rPr>
        <w:br/>
        <w:t>Frizoner</w:t>
      </w:r>
    </w:p>
    <w:p w14:paraId="6B8532A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127</w:t>
      </w:r>
      <w:r w:rsidRPr="003E0486">
        <w:rPr>
          <w:szCs w:val="24"/>
          <w:lang w:eastAsia="en-US"/>
        </w:rPr>
        <w:br/>
        <w:t>Udpegning af frizoner</w:t>
      </w:r>
    </w:p>
    <w:p w14:paraId="6FF41F8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Medlemsstaterne kan udpege dele af Unionens toldområde som frizoner.</w:t>
      </w:r>
    </w:p>
    <w:p w14:paraId="036A848B" w14:textId="77777777" w:rsidR="003E0486" w:rsidRPr="003E0486" w:rsidRDefault="003E0486" w:rsidP="003E0486">
      <w:pPr>
        <w:spacing w:before="120" w:after="120" w:line="360" w:lineRule="auto"/>
        <w:ind w:left="850"/>
        <w:rPr>
          <w:szCs w:val="24"/>
          <w:lang w:eastAsia="en-US"/>
        </w:rPr>
      </w:pPr>
      <w:r w:rsidRPr="003E0486">
        <w:rPr>
          <w:szCs w:val="24"/>
          <w:lang w:eastAsia="en-US"/>
        </w:rPr>
        <w:t>For hver frizone fastlægger medlemsstaten, hvilket område frizonen dækker, og hvor tilførsels- og fraførselsstederne er.</w:t>
      </w:r>
    </w:p>
    <w:p w14:paraId="4AF0F39C" w14:textId="77777777" w:rsidR="00BF6859" w:rsidRDefault="00BF6859">
      <w:pPr>
        <w:widowControl/>
        <w:rPr>
          <w:szCs w:val="24"/>
          <w:lang w:eastAsia="en-US"/>
        </w:rPr>
      </w:pPr>
      <w:r>
        <w:rPr>
          <w:szCs w:val="24"/>
          <w:lang w:eastAsia="en-US"/>
        </w:rPr>
        <w:br w:type="page"/>
      </w:r>
    </w:p>
    <w:p w14:paraId="286B7DC6" w14:textId="596320D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Medlemsstaterne meddeler Kommissionen oplysninger om deres frizoner, som er i drift.</w:t>
      </w:r>
    </w:p>
    <w:p w14:paraId="3EC4CE0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Frizonerne er indhegnede.</w:t>
      </w:r>
    </w:p>
    <w:p w14:paraId="1F20A5C2" w14:textId="77777777" w:rsidR="003E0486" w:rsidRPr="003E0486" w:rsidRDefault="003E0486" w:rsidP="003E0486">
      <w:pPr>
        <w:spacing w:before="120" w:after="120" w:line="360" w:lineRule="auto"/>
        <w:ind w:left="850"/>
        <w:rPr>
          <w:szCs w:val="24"/>
          <w:lang w:eastAsia="en-US"/>
        </w:rPr>
      </w:pPr>
      <w:r w:rsidRPr="003E0486">
        <w:rPr>
          <w:szCs w:val="24"/>
          <w:lang w:eastAsia="en-US"/>
        </w:rPr>
        <w:t>Frizonernes grænser og tilførsels- og fraførselssteder er underlagt toldtilsyn.</w:t>
      </w:r>
    </w:p>
    <w:p w14:paraId="4283B45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Personer, varer og transportmidler, der ankommer til eller forlader en frizone, kan underkastes toldkontrol.</w:t>
      </w:r>
    </w:p>
    <w:p w14:paraId="51A9E4D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128</w:t>
      </w:r>
      <w:r w:rsidRPr="003E0486">
        <w:rPr>
          <w:szCs w:val="24"/>
          <w:lang w:eastAsia="en-US"/>
        </w:rPr>
        <w:br/>
        <w:t>Bygninger og aktiviteter i frizoner</w:t>
      </w:r>
    </w:p>
    <w:p w14:paraId="7DBCDC4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Opførelse af bygninger i en frizone kræver en forhåndstilladelse fra toldmyndighederne.</w:t>
      </w:r>
    </w:p>
    <w:p w14:paraId="515B774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Under overholdelse af toldlovgivningen tillades aktiviteter af industriel eller forretningsmæssig art samt tjenesteydelser i en frizone. Udøvelsen af sådanne aktiviteter anmeldes forinden til toldmyndighederne.</w:t>
      </w:r>
    </w:p>
    <w:p w14:paraId="3CFB661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forbyde eller begrænse de i stk. 2 omhandlede aktiviteter under hensyntagen til arten af de pågældende varer, behovet for toldtilsyn eller sikkerhedskrav.</w:t>
      </w:r>
    </w:p>
    <w:p w14:paraId="62C2AA7F" w14:textId="77777777" w:rsidR="00BF6859" w:rsidRDefault="00BF6859">
      <w:pPr>
        <w:widowControl/>
        <w:rPr>
          <w:szCs w:val="24"/>
          <w:lang w:eastAsia="en-US"/>
        </w:rPr>
      </w:pPr>
      <w:r>
        <w:rPr>
          <w:szCs w:val="24"/>
          <w:lang w:eastAsia="en-US"/>
        </w:rPr>
        <w:br w:type="page"/>
      </w:r>
    </w:p>
    <w:p w14:paraId="13873F0B" w14:textId="18BE976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kan nægte personer, der ikke yder den nødvendige sikkerhed for overholdelse af toldlovgivningen, adgang til at udøve en aktivitet i en frizone.</w:t>
      </w:r>
    </w:p>
    <w:p w14:paraId="468A4A8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129</w:t>
      </w:r>
      <w:r w:rsidRPr="003E0486">
        <w:rPr>
          <w:szCs w:val="24"/>
          <w:lang w:eastAsia="en-US"/>
        </w:rPr>
        <w:br/>
        <w:t>Ikke-EU-varer i frizoner</w:t>
      </w:r>
    </w:p>
    <w:p w14:paraId="425B275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Mens ikke-EU-varer befinder sig i en frizone, kan de overgå til fri omsætning eller henføres til proceduren for aktiv forædling, midlertidig import eller særligt anvendelsesformål på de vilkår, der er fastsat for disse procedurer.</w:t>
      </w:r>
    </w:p>
    <w:p w14:paraId="3E002053" w14:textId="77777777" w:rsidR="003E0486" w:rsidRPr="003E0486" w:rsidRDefault="003E0486" w:rsidP="003E0486">
      <w:pPr>
        <w:spacing w:before="120" w:after="120" w:line="360" w:lineRule="auto"/>
        <w:ind w:left="850"/>
        <w:rPr>
          <w:szCs w:val="24"/>
          <w:lang w:eastAsia="en-US"/>
        </w:rPr>
      </w:pPr>
      <w:r w:rsidRPr="003E0486">
        <w:rPr>
          <w:szCs w:val="24"/>
          <w:lang w:eastAsia="en-US"/>
        </w:rPr>
        <w:t>I så fald betragtes varerne ikke som omfattet af frizoneproceduren.</w:t>
      </w:r>
    </w:p>
    <w:p w14:paraId="25E4D81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Uden at det berører bestemmelserne for levering og proviantopbevaring, er stk. 1, i det omfang den pågældende procedure tillader det, ikke til hinder for anvendelse eller forbrug af varer, som ved overgang til fri omsætning eller ved midlertidig import ikke ville være pålagt importafgifter eller undergivet foranstaltninger i henhold til den fælles landbrugspolitik, handelspolitiske foranstaltninger eller foranstaltninger, der forbyder anvendelsen af disse varer i Unionen.</w:t>
      </w:r>
    </w:p>
    <w:p w14:paraId="574285DA" w14:textId="77777777" w:rsidR="003E0486" w:rsidRPr="003E0486" w:rsidRDefault="003E0486" w:rsidP="003E0486">
      <w:pPr>
        <w:spacing w:before="120" w:after="120" w:line="360" w:lineRule="auto"/>
        <w:ind w:left="850"/>
        <w:rPr>
          <w:szCs w:val="24"/>
          <w:lang w:eastAsia="en-US"/>
        </w:rPr>
      </w:pPr>
      <w:r w:rsidRPr="003E0486">
        <w:rPr>
          <w:szCs w:val="24"/>
          <w:lang w:eastAsia="en-US"/>
        </w:rPr>
        <w:t>En sådan anvendelse eller et sådant forbrug kræver, at de relevante oplysninger meddeles til eller gøres tilgængelige for toldmyndighederne.</w:t>
      </w:r>
    </w:p>
    <w:p w14:paraId="4D18965E" w14:textId="77777777" w:rsidR="00BF6859" w:rsidRDefault="00BF6859">
      <w:pPr>
        <w:widowControl/>
        <w:rPr>
          <w:szCs w:val="24"/>
          <w:lang w:eastAsia="en-US"/>
        </w:rPr>
      </w:pPr>
      <w:r>
        <w:rPr>
          <w:szCs w:val="24"/>
          <w:lang w:eastAsia="en-US"/>
        </w:rPr>
        <w:br w:type="page"/>
      </w:r>
    </w:p>
    <w:p w14:paraId="2E15EF70" w14:textId="6113BBC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130</w:t>
      </w:r>
      <w:r w:rsidRPr="003E0486">
        <w:rPr>
          <w:szCs w:val="24"/>
          <w:lang w:eastAsia="en-US"/>
        </w:rPr>
        <w:br/>
        <w:t>Varer, der føres ud af en frizone</w:t>
      </w:r>
    </w:p>
    <w:p w14:paraId="1A8F5D1A" w14:textId="77777777" w:rsidR="003E0486" w:rsidRPr="003E0486" w:rsidRDefault="003E0486" w:rsidP="003E0486">
      <w:pPr>
        <w:spacing w:before="120" w:after="120" w:line="360" w:lineRule="auto"/>
        <w:rPr>
          <w:szCs w:val="24"/>
          <w:lang w:eastAsia="en-US"/>
        </w:rPr>
      </w:pPr>
      <w:r w:rsidRPr="003E0486">
        <w:rPr>
          <w:szCs w:val="24"/>
          <w:lang w:eastAsia="en-US"/>
        </w:rPr>
        <w:t>Varer må kun føres ud af en frizone, hvis de er henført under en anden toldprocedure.</w:t>
      </w:r>
    </w:p>
    <w:p w14:paraId="08F377E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131</w:t>
      </w:r>
      <w:r w:rsidRPr="003E0486">
        <w:rPr>
          <w:szCs w:val="24"/>
          <w:lang w:eastAsia="en-US"/>
        </w:rPr>
        <w:br/>
        <w:t>Toldmæssig status</w:t>
      </w:r>
    </w:p>
    <w:p w14:paraId="7F4AA68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Efter ansøgning fra den berørte person fastlægger toldmyndighederne den toldmæssige status som EU-varer for følgende varer:</w:t>
      </w:r>
    </w:p>
    <w:p w14:paraId="6DE2DD2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EU-varer, som føres ind i en frizone</w:t>
      </w:r>
    </w:p>
    <w:p w14:paraId="334A50C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EU-varer, som har været genstand for forædlingsprocesser i en frizone</w:t>
      </w:r>
    </w:p>
    <w:p w14:paraId="4509734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varer, der er overgået til fri omsætning i en frizone.</w:t>
      </w:r>
    </w:p>
    <w:p w14:paraId="169933B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varer føres ud af en frizone og ind i en anden del af Unionens toldområde eller henføres under en toldprocedure, betragtes de som ikke-EU-varer, medmindre deres toldmæssige status som EU-varer er bevist.</w:t>
      </w:r>
    </w:p>
    <w:p w14:paraId="0E624F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Når der skal anvendes eksportafgifter og eksportlicenser eller eksportkontrolforanstaltninger i henhold til den fælles landbrugspolitik eller handelspolitiske foranstaltninger, betragtes varerne dog som EU-varer, medmindre det bliver fastslået, at de ikke har toldmæssig status som EU-varer.</w:t>
      </w:r>
    </w:p>
    <w:p w14:paraId="0B845FF7" w14:textId="77777777" w:rsidR="00BF6859" w:rsidRDefault="00BF6859">
      <w:pPr>
        <w:widowControl/>
        <w:rPr>
          <w:szCs w:val="24"/>
          <w:lang w:eastAsia="en-US"/>
        </w:rPr>
      </w:pPr>
      <w:r>
        <w:rPr>
          <w:szCs w:val="24"/>
          <w:lang w:eastAsia="en-US"/>
        </w:rPr>
        <w:br w:type="page"/>
      </w:r>
    </w:p>
    <w:p w14:paraId="6C9DF32C" w14:textId="434D676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4 </w:t>
      </w:r>
      <w:r w:rsidRPr="003E0486">
        <w:rPr>
          <w:szCs w:val="24"/>
          <w:lang w:eastAsia="en-US"/>
        </w:rPr>
        <w:br/>
        <w:t>Særlig anvendelse</w:t>
      </w:r>
    </w:p>
    <w:p w14:paraId="0286D9CC"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Midlertidig import</w:t>
      </w:r>
    </w:p>
    <w:p w14:paraId="0A5E0F8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132</w:t>
      </w:r>
      <w:r w:rsidRPr="003E0486">
        <w:rPr>
          <w:szCs w:val="24"/>
          <w:lang w:eastAsia="en-US"/>
        </w:rPr>
        <w:br/>
        <w:t>Anvendelsesområde</w:t>
      </w:r>
    </w:p>
    <w:p w14:paraId="5585514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proceduren for midlertidig import kan ikke-EU-varer, der er bestemt til eksport, være genstand for særlig anvendelse i Unionens toldområde med fuldstændig eller delvis fritagelse for importafgifter og uden at skulle gøres til genstand for:</w:t>
      </w:r>
    </w:p>
    <w:p w14:paraId="768D09D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andre afgifter som fastsat i andre relevante gældende bestemmelser</w:t>
      </w:r>
    </w:p>
    <w:p w14:paraId="1BBEAEC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handelspolitiske foranstaltninger, såfremt de ikke indeholder et forbud mod indpassage eller udpassage af varer til eller fra Unionens toldområde.</w:t>
      </w:r>
    </w:p>
    <w:p w14:paraId="7D44F5D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Proceduren for midlertidig import anvendes kun, hvis følgende betingelser er opfyldt:</w:t>
      </w:r>
    </w:p>
    <w:p w14:paraId="5999281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varerne ikke er bestemt til at skulle ændres på nogen måde, bortset fra deres normale værdiforringelse som følge af brug</w:t>
      </w:r>
    </w:p>
    <w:p w14:paraId="05E977B4" w14:textId="77777777" w:rsidR="00BF6859" w:rsidRDefault="00BF6859">
      <w:pPr>
        <w:widowControl/>
        <w:rPr>
          <w:szCs w:val="24"/>
          <w:lang w:eastAsia="en-US"/>
        </w:rPr>
      </w:pPr>
      <w:r>
        <w:rPr>
          <w:szCs w:val="24"/>
          <w:lang w:eastAsia="en-US"/>
        </w:rPr>
        <w:br w:type="page"/>
      </w:r>
    </w:p>
    <w:p w14:paraId="63A4615C" w14:textId="70624B23"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det er muligt at sikre, at de varer, der er henført under proceduren, kan identificeres, bortset fra når det skønnes, at varernes art eller den påtænkte anvendelse ikke vil kunne give anledning til misbrug af proceduren, selv om der ikke træffes identifikationsforanstaltninger, eller, for så vidt angår det i artikel 109 omhandlede tilfælde, at det kan verificeres, at de betingelser, der er fastlagt for ækvivalente varer, er opfyldt</w:t>
      </w:r>
    </w:p>
    <w:p w14:paraId="3437E03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det kræves, at der er givet bevilling i henhold til artikel 102, og minimumsdataene er blevet meddelt til eller gjort tilgængelige for toldmyndighederne forud for frigivelsen af varerne, og at disse data mindst omfatter den importør, der er ansvarlig for varerne, værdien, oprindelsen, tariferingen og en beskrivelse af og den påtænkte anvendelse af varerne</w:t>
      </w:r>
    </w:p>
    <w:p w14:paraId="5EA05C2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de betingelser for fuldstændig eller delvis afgiftsfritagelse, der er fastlagt i toldlovgivningen, er opfyldt</w:t>
      </w:r>
    </w:p>
    <w:p w14:paraId="48FBAE9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at varerne er ankommet til Unionens toldområde</w:t>
      </w:r>
    </w:p>
    <w:p w14:paraId="7A65A4B4" w14:textId="490A65FD" w:rsidR="003E0486" w:rsidRPr="00C82C23" w:rsidRDefault="003E0486" w:rsidP="003E0486">
      <w:pPr>
        <w:spacing w:before="120" w:after="120" w:line="360" w:lineRule="auto"/>
        <w:ind w:left="1416" w:hanging="566"/>
        <w:rPr>
          <w:b/>
          <w:szCs w:val="24"/>
          <w:lang w:eastAsia="en-US"/>
        </w:rPr>
      </w:pPr>
      <w:r w:rsidRPr="003E0486">
        <w:rPr>
          <w:szCs w:val="24"/>
          <w:lang w:eastAsia="en-US"/>
        </w:rPr>
        <w:t>(f)</w:t>
      </w:r>
      <w:r w:rsidRPr="003E0486">
        <w:rPr>
          <w:szCs w:val="24"/>
          <w:lang w:eastAsia="en-US"/>
        </w:rPr>
        <w:tab/>
      </w:r>
      <w:r w:rsidRPr="003E0486">
        <w:rPr>
          <w:b/>
          <w:i/>
          <w:szCs w:val="24"/>
          <w:lang w:eastAsia="en-US"/>
        </w:rPr>
        <w:t xml:space="preserve">det er konstateret, </w:t>
      </w:r>
      <w:r w:rsidRPr="003E0486">
        <w:rPr>
          <w:szCs w:val="24"/>
          <w:lang w:eastAsia="en-US"/>
        </w:rPr>
        <w:t>at varerne er i overensstemmelse med relevant anden lovgivning, der anvendes af toldmyndighederne.</w:t>
      </w:r>
      <w:r w:rsidR="00C82C23">
        <w:rPr>
          <w:b/>
          <w:szCs w:val="24"/>
          <w:lang w:eastAsia="en-US"/>
        </w:rPr>
        <w:t xml:space="preserve"> [Ændring 196]</w:t>
      </w:r>
    </w:p>
    <w:p w14:paraId="249F9476" w14:textId="77777777" w:rsidR="00BF6859" w:rsidRDefault="00BF6859">
      <w:pPr>
        <w:widowControl/>
        <w:rPr>
          <w:szCs w:val="24"/>
          <w:lang w:eastAsia="en-US"/>
        </w:rPr>
      </w:pPr>
      <w:r>
        <w:rPr>
          <w:szCs w:val="24"/>
          <w:lang w:eastAsia="en-US"/>
        </w:rPr>
        <w:br w:type="page"/>
      </w:r>
    </w:p>
    <w:p w14:paraId="286C8308" w14:textId="68A1DCC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beføjelser til at vedtage delegerede retsakter i overensstemmelse med artikel 261 med henblik på at supplere denne forordning ved at fastsætte:</w:t>
      </w:r>
    </w:p>
    <w:p w14:paraId="65EB844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særlige anvendelse, der er omhandlet i denne artikels stk. 1</w:t>
      </w:r>
    </w:p>
    <w:p w14:paraId="173E5E6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betingelserne for fuldstændig fritagelse for importafgifter, der er omhandlet i denne artikels stk. 2, litra d).</w:t>
      </w:r>
    </w:p>
    <w:p w14:paraId="4EB766C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133</w:t>
      </w:r>
      <w:r w:rsidRPr="003E0486">
        <w:rPr>
          <w:szCs w:val="24"/>
          <w:lang w:eastAsia="en-US"/>
        </w:rPr>
        <w:br/>
        <w:t>Tidsrum inden for hvilket varer kan forblive under proceduren for midlertidig import</w:t>
      </w:r>
    </w:p>
    <w:p w14:paraId="6CEE112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fastsætter et tidsrum inden for hvilket varer, der er henført under proceduren for midlertidig import, senest skal henføres under en efterfølgende toldprocedure. Tidsrummet skal være så langt, at formålet med den bevilgede anvendelse kan opfyldes.</w:t>
      </w:r>
    </w:p>
    <w:p w14:paraId="04157FA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Det maksimale tidsrum, i hvilket varer kan forblive under proceduren for midlertidig import til det samme formål og under samme bevillingshavers ansvar, er 24 måneder, også selv om proceduren blev afsluttet ved, at varerne blev henført under en anden særlig procedure og efterfølgende igen blev henført under proceduren for midlertidig import.</w:t>
      </w:r>
    </w:p>
    <w:p w14:paraId="7A57D4EC" w14:textId="77777777" w:rsidR="00BF6859" w:rsidRDefault="00BF6859">
      <w:pPr>
        <w:widowControl/>
        <w:rPr>
          <w:szCs w:val="24"/>
          <w:lang w:eastAsia="en-US"/>
        </w:rPr>
      </w:pPr>
      <w:r>
        <w:rPr>
          <w:szCs w:val="24"/>
          <w:lang w:eastAsia="en-US"/>
        </w:rPr>
        <w:br w:type="page"/>
      </w:r>
    </w:p>
    <w:p w14:paraId="47CF0C33" w14:textId="190F485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den bevilgede anvendelse under særlige omstændigheder ikke kan fuldføres inden for det i stk. 1 og 2 omhandlede tidsrum, kan toldmyndighederne efter begrundet ansøgning fra importøren indrømme en rimelig forlængelse af denne frist.</w:t>
      </w:r>
    </w:p>
    <w:p w14:paraId="6D13D4E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Det samlede tidsrum, i hvilken varer kan forblive under proceduren for midlertidig import, må ikke overstige ti år bortset fra tilfælde af en hændelig omstændighed.</w:t>
      </w:r>
    </w:p>
    <w:p w14:paraId="2CDB434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134</w:t>
      </w:r>
      <w:r w:rsidRPr="003E0486">
        <w:rPr>
          <w:szCs w:val="24"/>
          <w:lang w:eastAsia="en-US"/>
        </w:rPr>
        <w:br/>
        <w:t>Importafgiftsbeløb i tilfælde af midlertidig import med delvis fritagelse for importafgifter</w:t>
      </w:r>
    </w:p>
    <w:p w14:paraId="72B034B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Importafgiftsbeløbet for varer henført under proceduren for midlertidig import med delvis fritagelse for importafgifter fastsættes til 3 % af det importafgiftsbeløb, der skulle have været betalt for de pågældende varer, hvis de var overgået til fri omsætning på det tidspunkt, hvor de blev henført under proceduren for midlertidig import.</w:t>
      </w:r>
    </w:p>
    <w:p w14:paraId="6CE3F081" w14:textId="77777777" w:rsidR="003E0486" w:rsidRPr="003E0486" w:rsidRDefault="003E0486" w:rsidP="003E0486">
      <w:pPr>
        <w:spacing w:before="120" w:after="120" w:line="360" w:lineRule="auto"/>
        <w:ind w:left="850"/>
        <w:rPr>
          <w:szCs w:val="24"/>
          <w:lang w:eastAsia="en-US"/>
        </w:rPr>
      </w:pPr>
      <w:r w:rsidRPr="003E0486">
        <w:rPr>
          <w:szCs w:val="24"/>
          <w:lang w:eastAsia="en-US"/>
        </w:rPr>
        <w:t>Dette beløb skal betales pr. måned eller pr. del af en måned, i hvilken varerne har været henført under proceduren for midlertidig import med delvis fritagelse for importafgift.</w:t>
      </w:r>
    </w:p>
    <w:p w14:paraId="3D4BF773" w14:textId="77777777" w:rsidR="00BF6859" w:rsidRDefault="00BF6859">
      <w:pPr>
        <w:widowControl/>
        <w:rPr>
          <w:szCs w:val="24"/>
          <w:lang w:eastAsia="en-US"/>
        </w:rPr>
      </w:pPr>
      <w:r>
        <w:rPr>
          <w:szCs w:val="24"/>
          <w:lang w:eastAsia="en-US"/>
        </w:rPr>
        <w:br w:type="page"/>
      </w:r>
    </w:p>
    <w:p w14:paraId="7F8E6764" w14:textId="16906A5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Importafgiftsbeløbet må ikke være højere end det, der skulle have været betalt, hvis de pågældende varer var overgået til fri omsætning på det tidspunkt, hvor de blev henført under proceduren for midlertidig import.</w:t>
      </w:r>
    </w:p>
    <w:p w14:paraId="1521622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2 </w:t>
      </w:r>
      <w:r w:rsidRPr="003E0486">
        <w:rPr>
          <w:szCs w:val="24"/>
          <w:lang w:eastAsia="en-US"/>
        </w:rPr>
        <w:br/>
        <w:t>Særligt anvendelsesformål</w:t>
      </w:r>
    </w:p>
    <w:p w14:paraId="3CBEA77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135</w:t>
      </w:r>
      <w:r w:rsidRPr="003E0486">
        <w:rPr>
          <w:szCs w:val="24"/>
          <w:lang w:eastAsia="en-US"/>
        </w:rPr>
        <w:br/>
        <w:t>Proceduren for særligt anvendelsesformål</w:t>
      </w:r>
    </w:p>
    <w:p w14:paraId="792B566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proceduren for særligt anvendelsesformål kan varer overgå til fri omsætning med toldfritagelse eller til en nedsat toldsats, som er fastsat i EU-lovgivningen, på betingelse af at importøren henfører varerne til et særligt anvendelsesformål.</w:t>
      </w:r>
    </w:p>
    <w:p w14:paraId="0E9E5C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Betingelserne for henførsel af varer under proceduren for særligt anvendelsesformål er følgende:</w:t>
      </w:r>
    </w:p>
    <w:p w14:paraId="6C514A7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det kræves, at der er givet bevilling i overensstemmelse med artikel 102</w:t>
      </w:r>
    </w:p>
    <w:p w14:paraId="6BFC25E3" w14:textId="77777777" w:rsidR="00BF6859" w:rsidRDefault="00BF6859">
      <w:pPr>
        <w:widowControl/>
        <w:rPr>
          <w:szCs w:val="24"/>
          <w:lang w:eastAsia="en-US"/>
        </w:rPr>
      </w:pPr>
      <w:r>
        <w:rPr>
          <w:szCs w:val="24"/>
          <w:lang w:eastAsia="en-US"/>
        </w:rPr>
        <w:br w:type="page"/>
      </w:r>
    </w:p>
    <w:p w14:paraId="05A193E4" w14:textId="2660D5F0"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minimumsdata er blevet meddelt til eller gjort tilgængelige for toldmyndighederne, og disse data skal mindst omfatte den importør, der er ansvarlig for varerne, sælgeren, køberen, fabrikanten, produktleverandøren, hvis denne er forskellig fra fabrikanten, den ansvarlige økonomiske operatør i Unionen, jf. artikel 4 i forordning (EU) 2019/1020 og artikel 16 i forordning (EU) 2023/XXXX</w:t>
      </w:r>
      <w:r w:rsidRPr="003E0486">
        <w:rPr>
          <w:szCs w:val="24"/>
          <w:vertAlign w:val="superscript"/>
          <w:lang w:val="en-GB" w:eastAsia="en-US"/>
        </w:rPr>
        <w:footnoteReference w:id="44"/>
      </w:r>
      <w:r w:rsidRPr="003E0486">
        <w:rPr>
          <w:szCs w:val="24"/>
          <w:lang w:eastAsia="en-US"/>
        </w:rPr>
        <w:t>, værdien, oprindelsen, tariferingen og en beskrivelse af varerne, forsendelsens unikke referencenummer og lokalisering samt listen over anden relevant lovgivning, der anvendes af toldmyndighederne på disse varer</w:t>
      </w:r>
    </w:p>
    <w:p w14:paraId="22B3463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alle skyldige importafgifter og andre afgifter, herunder antidumpingtold, udligningstold eller beskyttelsesforanstaltninger, er blevet betalt, eller der er stillet sikkerhed, medmindre varerne er omfattet af en ansøgning om trækning på et toldkontingent</w:t>
      </w:r>
    </w:p>
    <w:p w14:paraId="529911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varerne er ankommet til Unionens toldområde</w:t>
      </w:r>
    </w:p>
    <w:p w14:paraId="553F83C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at varerne er i overensstemmelse med anden relevant lovgivning, der anvendes af toldmyndighederne.</w:t>
      </w:r>
    </w:p>
    <w:p w14:paraId="7D70FD14" w14:textId="77777777" w:rsidR="00BF6859" w:rsidRDefault="00BF6859">
      <w:pPr>
        <w:widowControl/>
        <w:rPr>
          <w:szCs w:val="24"/>
          <w:lang w:eastAsia="en-US"/>
        </w:rPr>
      </w:pPr>
      <w:r>
        <w:rPr>
          <w:szCs w:val="24"/>
          <w:lang w:eastAsia="en-US"/>
        </w:rPr>
        <w:br w:type="page"/>
      </w:r>
    </w:p>
    <w:p w14:paraId="00B04890" w14:textId="43465D2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Når varerne befinder sig på et fremstillingstrin, som alene ville gøre det muligt på en økonomisk måde at anvende dem til det angivne særlige anvendelsesformål, kan toldmyndighederne i bevillingen fastsætte de betingelser, hvorunder varerne anses for at være blevet anvendt til de formål, der er fastsat i EU-lovgivningen om afgiftsfritagelsen eller den nedsatte toldafgift.</w:t>
      </w:r>
    </w:p>
    <w:p w14:paraId="05DC5DC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Når varer egner sig til anvendelse flere gange, og toldmyndighederne finder det hensigtsmæssigt for at undgå misbrug, fortsætter toldtilsynet i en periode, der ikke overstiger to år efter datoen for deres første anvendelse til de formål, der er fastsat i EU-lovgivningen om afgiftsfritagelsen eller den nedsatte toldafgift.</w:t>
      </w:r>
    </w:p>
    <w:p w14:paraId="720789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Toldtilsynet under proceduren for særligt anvendelsesformål ophører i følgende tilfælde:</w:t>
      </w:r>
    </w:p>
    <w:p w14:paraId="26233A3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varerne er blevet anvendt til de formål, der er fastsat i EU-lovgivningen om afgiftsfritagelsen eller den nedsatte afgiftssats</w:t>
      </w:r>
    </w:p>
    <w:p w14:paraId="307D182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varerne er blevet ført ud af Unionens toldområde, tilintetgjort eller afstået til staten</w:t>
      </w:r>
    </w:p>
    <w:p w14:paraId="4A13CD7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varerne er blevet anvendt til andre formål end dem, der er fastsat i EU-lovgivningen om afgiftsfritagelsen eller den nedsatte afgiftssats, og de gældende importafgifter er blevet betalt.</w:t>
      </w:r>
    </w:p>
    <w:p w14:paraId="7BF1ADC8" w14:textId="77777777" w:rsidR="00BF6859" w:rsidRDefault="00BF6859">
      <w:pPr>
        <w:widowControl/>
        <w:rPr>
          <w:szCs w:val="24"/>
          <w:lang w:eastAsia="en-US"/>
        </w:rPr>
      </w:pPr>
      <w:r>
        <w:rPr>
          <w:szCs w:val="24"/>
          <w:lang w:eastAsia="en-US"/>
        </w:rPr>
        <w:br w:type="page"/>
      </w:r>
    </w:p>
    <w:p w14:paraId="74BECE8F" w14:textId="72A9ECE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Hvis der kræves en udbyttesats, finder artikel 136 anvendelse på proceduren for særligt anvendelsesformål.</w:t>
      </w:r>
    </w:p>
    <w:p w14:paraId="57072C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Affald og skrot, der fremkommer ved be- eller forarbejdning af varer i overensstemmelse med det angivne særlige anvendelsesformål, samt svind, der kan tilskrives naturlige årsager, anses som varer, der er anvendt til det angivne særlige formål.</w:t>
      </w:r>
    </w:p>
    <w:p w14:paraId="4950660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Affald og skrot, der fremkommer ved destruktion af varer, som er henført under proceduren for særligt anvendelsesformål, anses for at være henført under toldoplagsproceduren.</w:t>
      </w:r>
    </w:p>
    <w:p w14:paraId="2C683680"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5 </w:t>
      </w:r>
      <w:r w:rsidRPr="003E0486">
        <w:rPr>
          <w:szCs w:val="24"/>
          <w:lang w:eastAsia="en-US"/>
        </w:rPr>
        <w:br/>
        <w:t>Forædling</w:t>
      </w:r>
    </w:p>
    <w:p w14:paraId="34FF994D"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Almindelige bestemmelser</w:t>
      </w:r>
    </w:p>
    <w:p w14:paraId="4CA8FFC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136</w:t>
      </w:r>
      <w:r w:rsidRPr="003E0486">
        <w:rPr>
          <w:szCs w:val="24"/>
          <w:lang w:eastAsia="en-US"/>
        </w:rPr>
        <w:br/>
        <w:t>Udbyttesats</w:t>
      </w:r>
    </w:p>
    <w:p w14:paraId="0A696936" w14:textId="77777777" w:rsidR="003E0486" w:rsidRPr="003E0486" w:rsidRDefault="003E0486" w:rsidP="003E0486">
      <w:pPr>
        <w:spacing w:before="120" w:after="120" w:line="360" w:lineRule="auto"/>
        <w:rPr>
          <w:szCs w:val="24"/>
          <w:lang w:eastAsia="en-US"/>
        </w:rPr>
      </w:pPr>
      <w:r w:rsidRPr="003E0486">
        <w:rPr>
          <w:szCs w:val="24"/>
          <w:lang w:eastAsia="en-US"/>
        </w:rPr>
        <w:t>Bortset fra når der er angivet en udbyttesats i særlige EU-forskrifter, fastsætter toldmyndighederne enten udbyttesatsen eller den gennemsnitlige udbyttesats for forædlingsprocessen, eller, hvor det er relevant, metoden til fastsættelse af nævnte sats.</w:t>
      </w:r>
    </w:p>
    <w:p w14:paraId="08F5F006" w14:textId="77777777" w:rsidR="003E0486" w:rsidRPr="003E0486" w:rsidRDefault="003E0486" w:rsidP="003E0486">
      <w:pPr>
        <w:spacing w:before="120" w:after="120" w:line="360" w:lineRule="auto"/>
        <w:rPr>
          <w:szCs w:val="24"/>
          <w:lang w:eastAsia="en-US"/>
        </w:rPr>
      </w:pPr>
      <w:r w:rsidRPr="003E0486">
        <w:rPr>
          <w:szCs w:val="24"/>
          <w:lang w:eastAsia="en-US"/>
        </w:rPr>
        <w:t>Udbyttesatsen eller den gennemsnitlige udbyttesats fastsættes på grundlag af de faktiske omstændigheder, hvorunder forædlingsprocesserne foretages eller skal foretages. Satsen kan, hvor det er relevant, justeres i overensstemmelse med artikel 10.</w:t>
      </w:r>
    </w:p>
    <w:p w14:paraId="2B2AB5A3" w14:textId="77777777" w:rsidR="00BF6859" w:rsidRDefault="00BF6859">
      <w:pPr>
        <w:widowControl/>
        <w:rPr>
          <w:szCs w:val="24"/>
          <w:lang w:eastAsia="en-US"/>
        </w:rPr>
      </w:pPr>
      <w:r>
        <w:rPr>
          <w:szCs w:val="24"/>
          <w:lang w:eastAsia="en-US"/>
        </w:rPr>
        <w:br w:type="page"/>
      </w:r>
    </w:p>
    <w:p w14:paraId="5E05BA85" w14:textId="01A4D27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2 </w:t>
      </w:r>
      <w:r w:rsidRPr="003E0486">
        <w:rPr>
          <w:szCs w:val="24"/>
          <w:lang w:eastAsia="en-US"/>
        </w:rPr>
        <w:br/>
        <w:t>Aktiv forædling</w:t>
      </w:r>
    </w:p>
    <w:p w14:paraId="1CD15DD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137</w:t>
      </w:r>
      <w:r w:rsidRPr="003E0486">
        <w:rPr>
          <w:szCs w:val="24"/>
          <w:lang w:eastAsia="en-US"/>
        </w:rPr>
        <w:br/>
        <w:t>Anvendelsesområde</w:t>
      </w:r>
    </w:p>
    <w:p w14:paraId="27095BD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artikel 109 kan der under proceduren for aktiv forædling anvendes ikke-EU-varer i Unionens toldområde i en eller flere forædlingsprocesser, uden at de gøres til genstand for følgende:</w:t>
      </w:r>
    </w:p>
    <w:p w14:paraId="2D1622E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importafgifter eller andre afgifter, herunder antidumpingtold, udligningstold eller beskyttelsesforanstaltninger</w:t>
      </w:r>
    </w:p>
    <w:p w14:paraId="4546985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handelspolitiske foranstaltninger, såfremt de ikke indeholder et forbud mod indpassage eller udpassage af varer til eller fra Unionens toldområde.</w:t>
      </w:r>
    </w:p>
    <w:p w14:paraId="404E3A6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Betingelserne for henførsel af varer under proceduren for aktiv forædling er følgende:</w:t>
      </w:r>
    </w:p>
    <w:p w14:paraId="14249A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det kræves, at der er givet bevilling i henhold til artikel 102, til en af de anvendelser, der er omhandlet i nærværende artikels stk. 3</w:t>
      </w:r>
    </w:p>
    <w:p w14:paraId="73562BE9" w14:textId="77777777" w:rsidR="00BF6859" w:rsidRDefault="00BF6859">
      <w:pPr>
        <w:widowControl/>
        <w:rPr>
          <w:szCs w:val="24"/>
          <w:lang w:eastAsia="en-US"/>
        </w:rPr>
      </w:pPr>
      <w:r>
        <w:rPr>
          <w:szCs w:val="24"/>
          <w:lang w:eastAsia="en-US"/>
        </w:rPr>
        <w:br w:type="page"/>
      </w:r>
    </w:p>
    <w:p w14:paraId="5B461DB8" w14:textId="2086ED9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minimumsdataene er blevet meddelt til eller gjort tilgængelige for toldmyndighederne, og at disse data mindst omfatter den importør, der er ansvarlig for varerne, sælgeren, køberen, fabrikanten, varernes værdi, oprindelse og tarifering, varebeskrivelsen og varernes lokalisering samt en liste over relevant anden lovgivning, der anvendes af toldmyndighederne</w:t>
      </w:r>
    </w:p>
    <w:p w14:paraId="2BEF03EC" w14:textId="44203C3D"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varerne er ankommet til Unionens toldområde</w:t>
      </w:r>
      <w:r w:rsidR="00D2369C">
        <w:rPr>
          <w:szCs w:val="24"/>
          <w:lang w:eastAsia="en-US"/>
        </w:rPr>
        <w:t>.</w:t>
      </w:r>
    </w:p>
    <w:p w14:paraId="0B7633A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Importører kan anvende proceduren for aktiv forædling til følgende:</w:t>
      </w:r>
    </w:p>
    <w:p w14:paraId="50A93D8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at reparere varer, når de er henført under proceduren for aktiv forædling</w:t>
      </w:r>
    </w:p>
    <w:p w14:paraId="07A9468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at tilintetgøre varer, når de er henført under proceduren for aktiv forædling</w:t>
      </w:r>
    </w:p>
    <w:p w14:paraId="040423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fremstille forædlingsprodukter, hvori de varer, der er henført under proceduren for aktiv forædling, kan identificeres, uden at dette berører anvendelsen af produktionstilbehør</w:t>
      </w:r>
    </w:p>
    <w:p w14:paraId="2DD9943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foretage behandlinger af varer, der er henført under aktiv forædling, for at sikre, at de er i overensstemmelse med tekniske krav med henblik på deres overgang til fri omsætning</w:t>
      </w:r>
    </w:p>
    <w:p w14:paraId="55A33A8D" w14:textId="77777777" w:rsidR="00BF6859" w:rsidRDefault="00BF6859">
      <w:pPr>
        <w:widowControl/>
        <w:rPr>
          <w:szCs w:val="24"/>
          <w:lang w:eastAsia="en-US"/>
        </w:rPr>
      </w:pPr>
      <w:r>
        <w:rPr>
          <w:szCs w:val="24"/>
          <w:lang w:eastAsia="en-US"/>
        </w:rPr>
        <w:br w:type="page"/>
      </w:r>
    </w:p>
    <w:p w14:paraId="0F18D3B0" w14:textId="4BDF6E9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at underkaste de varer, der er henført under aktiv forædling, sædvanlige behandlinger i overensstemmelse med artikel 108</w:t>
      </w:r>
    </w:p>
    <w:p w14:paraId="467DAD2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at fremstille forædlingsprodukter med ækvivalente varer til de varer, der er henført under proceduren for aktiv forædling, jf. artikel 109.</w:t>
      </w:r>
    </w:p>
    <w:p w14:paraId="5E687D1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138</w:t>
      </w:r>
      <w:r w:rsidRPr="003E0486">
        <w:rPr>
          <w:szCs w:val="24"/>
          <w:lang w:eastAsia="en-US"/>
        </w:rPr>
        <w:br/>
        <w:t>Tidsrum til afslutning</w:t>
      </w:r>
    </w:p>
    <w:p w14:paraId="6992F5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fastsætter det tidsrum, inden for hvilket proceduren for aktiv forædling skal afsluttes i overensstemmelse med artikel 105.</w:t>
      </w:r>
    </w:p>
    <w:p w14:paraId="45DF3BC8" w14:textId="77777777" w:rsidR="003E0486" w:rsidRPr="003E0486" w:rsidRDefault="003E0486" w:rsidP="003E0486">
      <w:pPr>
        <w:spacing w:before="120" w:after="120" w:line="360" w:lineRule="auto"/>
        <w:ind w:left="850"/>
        <w:rPr>
          <w:szCs w:val="24"/>
          <w:lang w:eastAsia="en-US"/>
        </w:rPr>
      </w:pPr>
      <w:r w:rsidRPr="003E0486">
        <w:rPr>
          <w:szCs w:val="24"/>
          <w:lang w:eastAsia="en-US"/>
        </w:rPr>
        <w:t>Tidsrummet løber fra den dato, på hvilken ikke-EU-varerne henføres under proceduren, og der skal tages hensyn til den tid, der er nødvendig til at gennemføre forædlingsprocesserne og til at afslutte proceduren.</w:t>
      </w:r>
    </w:p>
    <w:p w14:paraId="20053CE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efter begrundet ansøgning fra bevillingshaveren indrømme en rimelig forlængelse af det i henhold til stk. 1 fastsatte tidsrum.</w:t>
      </w:r>
    </w:p>
    <w:p w14:paraId="03FF1EB4" w14:textId="77777777" w:rsidR="003E0486" w:rsidRPr="003E0486" w:rsidRDefault="003E0486" w:rsidP="003E0486">
      <w:pPr>
        <w:spacing w:before="120" w:after="120" w:line="360" w:lineRule="auto"/>
        <w:ind w:left="850"/>
        <w:rPr>
          <w:szCs w:val="24"/>
          <w:lang w:eastAsia="en-US"/>
        </w:rPr>
      </w:pPr>
      <w:r w:rsidRPr="003E0486">
        <w:rPr>
          <w:szCs w:val="24"/>
          <w:lang w:eastAsia="en-US"/>
        </w:rPr>
        <w:t>Af bevillingen kan det fremgå, at tidsrum, som begynder i løbet af en måned, et kvartal eller et halvår, udløber henholdsvis ved udgangen af en efterfølgende måned, et efterfølgende kvartal eller et efterfølgende halvår.</w:t>
      </w:r>
    </w:p>
    <w:p w14:paraId="075EC815" w14:textId="77777777" w:rsidR="00BF6859" w:rsidRDefault="00BF6859">
      <w:pPr>
        <w:widowControl/>
        <w:rPr>
          <w:szCs w:val="24"/>
          <w:lang w:eastAsia="en-US"/>
        </w:rPr>
      </w:pPr>
      <w:r>
        <w:rPr>
          <w:szCs w:val="24"/>
          <w:lang w:eastAsia="en-US"/>
        </w:rPr>
        <w:br w:type="page"/>
      </w:r>
    </w:p>
    <w:p w14:paraId="6D498141" w14:textId="720A11E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I tilfælde af forudgående eksport i henhold til artikel 109, stk. 2, litra c), skal bevillingen præcisere den frist, inden for hvilken ikke-EU-varer skal angives til proceduren for aktiv forædling, idet der tages hensyn til den tid, der er nødvendig til indkøb og transport til Unionens toldområde.</w:t>
      </w:r>
    </w:p>
    <w:p w14:paraId="37F09EB6" w14:textId="77777777" w:rsidR="003E0486" w:rsidRPr="003E0486" w:rsidRDefault="003E0486" w:rsidP="003E0486">
      <w:pPr>
        <w:spacing w:before="120" w:after="120" w:line="360" w:lineRule="auto"/>
        <w:ind w:left="850"/>
        <w:rPr>
          <w:szCs w:val="24"/>
          <w:lang w:eastAsia="en-US"/>
        </w:rPr>
      </w:pPr>
      <w:r w:rsidRPr="003E0486">
        <w:rPr>
          <w:szCs w:val="24"/>
          <w:lang w:eastAsia="en-US"/>
        </w:rPr>
        <w:t>Den i første afsnit omhandlede frist angives i måneder og må ikke overstige seks måneder. Den løber fra datoen for antagelsen af eksportangivelsen for de forædlingsprodukter, der er fremstillet af de dertil svarende ækvivalente varer.</w:t>
      </w:r>
    </w:p>
    <w:p w14:paraId="25058EF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På anmodning af bevillingshaveren kan perioden på seks måneder i stk. 3 forlænges selv efter dens udløb, forudsat at den samlede periode ikke overstiger 12 måneder.</w:t>
      </w:r>
    </w:p>
    <w:p w14:paraId="6149CA2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139</w:t>
      </w:r>
      <w:r w:rsidRPr="003E0486">
        <w:rPr>
          <w:szCs w:val="24"/>
          <w:lang w:eastAsia="en-US"/>
        </w:rPr>
        <w:br/>
        <w:t>Midlertidig eksport til yderligere forædling</w:t>
      </w:r>
    </w:p>
    <w:p w14:paraId="66DD3E1D" w14:textId="77777777" w:rsidR="003E0486" w:rsidRPr="003E0486" w:rsidRDefault="003E0486" w:rsidP="003E0486">
      <w:pPr>
        <w:spacing w:before="120" w:after="120" w:line="360" w:lineRule="auto"/>
        <w:rPr>
          <w:szCs w:val="24"/>
          <w:lang w:eastAsia="en-US"/>
        </w:rPr>
      </w:pPr>
      <w:r w:rsidRPr="003E0486">
        <w:rPr>
          <w:szCs w:val="24"/>
          <w:lang w:eastAsia="en-US"/>
        </w:rPr>
        <w:t>Toldmyndighederne kan efter ansøgning tillade, at alle eller en del af de varer, der er henført under proceduren for aktiv forædling, eller alle forædlingsprodukter eller en del heraf eksporteres midlertidigt med henblik på yderligere forædling uden for Unionens toldområde på de betingelser, der er fastsat for proceduren for passiv forædling.</w:t>
      </w:r>
    </w:p>
    <w:p w14:paraId="452739F7" w14:textId="77777777" w:rsidR="00BF6859" w:rsidRDefault="00BF6859">
      <w:pPr>
        <w:widowControl/>
        <w:rPr>
          <w:szCs w:val="24"/>
          <w:lang w:eastAsia="en-US"/>
        </w:rPr>
      </w:pPr>
      <w:r>
        <w:rPr>
          <w:szCs w:val="24"/>
          <w:lang w:eastAsia="en-US"/>
        </w:rPr>
        <w:br w:type="page"/>
      </w:r>
    </w:p>
    <w:p w14:paraId="50A4D9B7" w14:textId="5A2E816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3 </w:t>
      </w:r>
      <w:r w:rsidRPr="003E0486">
        <w:rPr>
          <w:szCs w:val="24"/>
          <w:lang w:eastAsia="en-US"/>
        </w:rPr>
        <w:br/>
        <w:t>Passiv forædling</w:t>
      </w:r>
    </w:p>
    <w:p w14:paraId="5F4132F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140</w:t>
      </w:r>
      <w:r w:rsidRPr="003E0486">
        <w:rPr>
          <w:szCs w:val="24"/>
          <w:lang w:eastAsia="en-US"/>
        </w:rPr>
        <w:br/>
        <w:t>Anvendelsesområde</w:t>
      </w:r>
    </w:p>
    <w:p w14:paraId="634E419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proceduren for passiv forædling kan EU-varer eksporteres midlertidigt fra Unionens toldområde for at undergå forædlingsprocesser. De forædlingsprodukter, der fremstilles af disse varer, kan overgå til fri omsætning med fuldstændig eller delvis fritagelse for importafgifter efter ansøgning fra bevillingshaveren eller fra en anden person, der er etableret i Unionens toldområde, forudsat at nævnte anden person har opnået bevillingshaverens samtykke, og betingelserne i bevillingen er opfyldt.</w:t>
      </w:r>
    </w:p>
    <w:p w14:paraId="4C373FB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Betingelserne for henførsel af varer under passiv forædling er følgende:</w:t>
      </w:r>
    </w:p>
    <w:p w14:paraId="7E93D44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det kræves, at der er givet bevilling i overensstemmelse med artikel 102 og denne artikel</w:t>
      </w:r>
    </w:p>
    <w:p w14:paraId="286519F1" w14:textId="77777777" w:rsidR="00BF6859" w:rsidRDefault="00BF6859">
      <w:pPr>
        <w:widowControl/>
        <w:rPr>
          <w:szCs w:val="24"/>
          <w:lang w:eastAsia="en-US"/>
        </w:rPr>
      </w:pPr>
      <w:r>
        <w:rPr>
          <w:szCs w:val="24"/>
          <w:lang w:eastAsia="en-US"/>
        </w:rPr>
        <w:br w:type="page"/>
      </w:r>
    </w:p>
    <w:p w14:paraId="08437340" w14:textId="0CE781A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at minimumsdata er blevet meddelt til eller gjort tilgængelige for toldmyndighederne, og at disse oplysninger mindst omfatter den eksportør, der er ansvarlig for varerne, sælgeren, køberen, varernes værdi, oprindelse og tarifering og en varebeskrivelse</w:t>
      </w:r>
    </w:p>
    <w:p w14:paraId="1EA90E6E" w14:textId="1D2414D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at enhver eksportafgift eller andre skyldige afgifter er blevet betalt, eller at der er stillet sikkerhed</w:t>
      </w:r>
    </w:p>
    <w:p w14:paraId="569B63E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at varerne er i overensstemmelse med anden relevant lovgivning, der anvendes af toldmyndighederne.</w:t>
      </w:r>
    </w:p>
    <w:p w14:paraId="225596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giver ikke bevilling til en procedure for passiv forædling for følgende EU-varer:</w:t>
      </w:r>
    </w:p>
    <w:p w14:paraId="48841B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varer, for hvilke der ved eksport indrømmes godtgørelse af eller fritagelse for importafgifter</w:t>
      </w:r>
    </w:p>
    <w:p w14:paraId="0F18995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varer, der forud for deres eksport var overgået til fri omsætning med afgiftsfritagelse eller til en nedsat afgiftssats på grund af deres anvendelse til særlige formål, så længe formålene med deres særlige anvendelse ikke er opfyldt, medmindre der skal foretages reparation af disse varer</w:t>
      </w:r>
    </w:p>
    <w:p w14:paraId="3DBE765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varer, for hvilke der ved eksport ydes eksportrestitutioner</w:t>
      </w:r>
    </w:p>
    <w:p w14:paraId="4ECDDC9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varer, for hvilke der indrømmes en anden finansiel fordel end de i litra c) nævnte restitutioner som led i den fælles landbrugspolitik på grund af eksporten af disse varer.</w:t>
      </w:r>
    </w:p>
    <w:p w14:paraId="3E2C5AA0" w14:textId="77777777" w:rsidR="00BF6859" w:rsidRDefault="00BF6859">
      <w:pPr>
        <w:widowControl/>
        <w:rPr>
          <w:szCs w:val="24"/>
          <w:lang w:eastAsia="en-US"/>
        </w:rPr>
      </w:pPr>
      <w:r>
        <w:rPr>
          <w:szCs w:val="24"/>
          <w:lang w:eastAsia="en-US"/>
        </w:rPr>
        <w:br w:type="page"/>
      </w:r>
    </w:p>
    <w:p w14:paraId="4A954F0C" w14:textId="49A0F03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fastsætter det tidsrum, inden for hvilket midlertidigt eksporterede varer skal være reimporteret til Unionens toldområde som forædlingsprodukter og overgå til fri omsætning for at kunne opnå fuldstændig eller delvis fritagelse for importafgifter. De kan efter begrundet ansøgning fra bevillingshaveren indrømme en rimelig forlængelse af dette tidsrum.</w:t>
      </w:r>
    </w:p>
    <w:p w14:paraId="5D065B4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141</w:t>
      </w:r>
      <w:r w:rsidRPr="003E0486">
        <w:rPr>
          <w:szCs w:val="24"/>
          <w:lang w:eastAsia="en-US"/>
        </w:rPr>
        <w:br/>
        <w:t>Varer, der repareres eller ombyttes vederlagsfrit</w:t>
      </w:r>
    </w:p>
    <w:p w14:paraId="57E9479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det på tilfredsstillende måde kan godtgøres over for toldmyndighederne, at varer er blevet repareret eller ombyttet vederlagsfrit på grund af en garantiforpligtelse i henhold til kontrakt, i henhold til lovgivningen eller som følge af en fabrikations- eller materialefejl, eller fordi varerne ikke levede op til de af køber angivne specifikationer til sælgeren af varerne, kan varerne opnå fuldstændig fritagelse for importafgifter.</w:t>
      </w:r>
    </w:p>
    <w:p w14:paraId="2B6BD1D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Bestemmelserne i stk. 1 gælder ikke, når der har været taget hensyn til fabrikations- eller materialefejlen på det tidspunkt, hvor de pågældende varer første gang overgik til fri omsætning.</w:t>
      </w:r>
    </w:p>
    <w:p w14:paraId="2656CD51" w14:textId="77777777" w:rsidR="00BF6859" w:rsidRDefault="00BF6859">
      <w:pPr>
        <w:widowControl/>
        <w:rPr>
          <w:szCs w:val="24"/>
          <w:lang w:eastAsia="en-US"/>
        </w:rPr>
      </w:pPr>
      <w:r>
        <w:rPr>
          <w:szCs w:val="24"/>
          <w:lang w:eastAsia="en-US"/>
        </w:rPr>
        <w:br w:type="page"/>
      </w:r>
    </w:p>
    <w:p w14:paraId="625E9746" w14:textId="469D948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142</w:t>
      </w:r>
      <w:r w:rsidRPr="003E0486">
        <w:rPr>
          <w:szCs w:val="24"/>
          <w:lang w:eastAsia="en-US"/>
        </w:rPr>
        <w:br/>
        <w:t>Varer, der repareres eller ændres inden for rammerne af internationale aftaler</w:t>
      </w:r>
    </w:p>
    <w:p w14:paraId="61DE34A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indrømmes fuldstændig fritagelse for importafgifter for forædlingsprodukter, som er fremstillet af varer, der er henført under proceduren for passiv forædling, hvis det på tilfredsstillende måde kan godtgøres over for toldmyndighederne, at:</w:t>
      </w:r>
    </w:p>
    <w:p w14:paraId="24974E9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varerne er blevet repareret eller ændret i et tredjeland, som Unionen har indgået en international aftale med, hvori der er fastlagt en sådan fritagelse, og</w:t>
      </w:r>
    </w:p>
    <w:p w14:paraId="5BAF328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betingelserne for fritagelsen for importafgifter i den i litra a) omhandlede aftale er opfyldt.</w:t>
      </w:r>
    </w:p>
    <w:p w14:paraId="6B33256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Bestemmelserne i stk. 1 finder ikke anvendelse på forædlingsprodukter fremstillet af ækvivalente varer som omhandlet i artikel 109 og på ombytningsvarer som omhandlet i artikel 143 og 144.</w:t>
      </w:r>
    </w:p>
    <w:p w14:paraId="243007D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143</w:t>
      </w:r>
      <w:r w:rsidRPr="003E0486">
        <w:rPr>
          <w:szCs w:val="24"/>
          <w:lang w:eastAsia="en-US"/>
        </w:rPr>
        <w:br/>
        <w:t>Fremgangsmåden ved standardombytning</w:t>
      </w:r>
    </w:p>
    <w:p w14:paraId="61A987F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Under fremgangsmåden med standardombytning kan et importeret produkt ("ombytningsvare") i medfør af stk. 2-5 træde i stedet for et forædlingsprodukt.</w:t>
      </w:r>
    </w:p>
    <w:p w14:paraId="465398C3" w14:textId="77777777" w:rsidR="00BF6859" w:rsidRDefault="00BF6859">
      <w:pPr>
        <w:widowControl/>
        <w:rPr>
          <w:szCs w:val="24"/>
          <w:lang w:eastAsia="en-US"/>
        </w:rPr>
      </w:pPr>
      <w:r>
        <w:rPr>
          <w:szCs w:val="24"/>
          <w:lang w:eastAsia="en-US"/>
        </w:rPr>
        <w:br w:type="page"/>
      </w:r>
    </w:p>
    <w:p w14:paraId="3FD1E5CC" w14:textId="6B0F559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tillader efter ansøgning anvendelse af fremgangsmåden med standardombytning, hvis forædlingsprocessen består i en reparation af defekte EU-varer, bortset fra varer, der er omfattet af foranstaltninger under den fælles landbrugspolitik eller af de særordninger, der anvendes på visse varer, som fremstilles ved forarbejdning af landbrugsprodukter.</w:t>
      </w:r>
    </w:p>
    <w:p w14:paraId="72699F7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Ombytningsvarer skal have samme ottecifrede kode i den kombinerede nomenklatur, samme handelskvalitet og samme tekniske egenskaber som de defekte varer, hvis disse varer havde undergået reparation.</w:t>
      </w:r>
    </w:p>
    <w:p w14:paraId="5918A3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de defekte varer har været brugt før eksporten, skal ombytningsvarerne også have været brugt.</w:t>
      </w:r>
    </w:p>
    <w:p w14:paraId="21473EF4" w14:textId="77777777" w:rsidR="003E0486" w:rsidRPr="003E0486" w:rsidRDefault="003E0486" w:rsidP="003E0486">
      <w:pPr>
        <w:spacing w:before="120" w:after="120" w:line="360" w:lineRule="auto"/>
        <w:ind w:left="850"/>
        <w:rPr>
          <w:szCs w:val="24"/>
          <w:lang w:eastAsia="en-US"/>
        </w:rPr>
      </w:pPr>
      <w:r w:rsidRPr="003E0486">
        <w:rPr>
          <w:szCs w:val="24"/>
          <w:lang w:eastAsia="en-US"/>
        </w:rPr>
        <w:t>Toldmyndighederne fraviger dog det i første afsnit omhandlede krav, hvis ombytningsvaren er leveret vederlagsfrit på grund af en garantiforpligtelse i henhold til kontrakt, i henhold til lovgivningen eller som følge af en materiale- eller fabrikationsfejl.</w:t>
      </w:r>
    </w:p>
    <w:p w14:paraId="4546CB3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 bestemmelser, der gælder for forædlingsprodukterne, finder ligeledes anvendelse på ombytningsvarerne.</w:t>
      </w:r>
    </w:p>
    <w:p w14:paraId="0DF8D244" w14:textId="77777777" w:rsidR="00BF6859" w:rsidRDefault="00BF6859">
      <w:pPr>
        <w:widowControl/>
        <w:rPr>
          <w:szCs w:val="24"/>
          <w:lang w:eastAsia="en-US"/>
        </w:rPr>
      </w:pPr>
      <w:r>
        <w:rPr>
          <w:szCs w:val="24"/>
          <w:lang w:eastAsia="en-US"/>
        </w:rPr>
        <w:br w:type="page"/>
      </w:r>
    </w:p>
    <w:p w14:paraId="47EFD0A1" w14:textId="1018441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144</w:t>
      </w:r>
      <w:r w:rsidRPr="003E0486">
        <w:rPr>
          <w:szCs w:val="24"/>
          <w:lang w:eastAsia="en-US"/>
        </w:rPr>
        <w:br/>
        <w:t>Forudgående import af ombytningsvarer</w:t>
      </w:r>
    </w:p>
    <w:p w14:paraId="562398C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tillader på betingelser, som de fastsætter, og efter ansøgning fra den pågældende person, at ombytningsvarer importeres, før de defekte varer eksporteres.</w:t>
      </w:r>
    </w:p>
    <w:p w14:paraId="2EA9513B" w14:textId="77777777" w:rsidR="003E0486" w:rsidRPr="003E0486" w:rsidRDefault="003E0486" w:rsidP="003E0486">
      <w:pPr>
        <w:spacing w:before="120" w:after="120" w:line="360" w:lineRule="auto"/>
        <w:ind w:left="850"/>
        <w:rPr>
          <w:szCs w:val="24"/>
          <w:lang w:eastAsia="en-US"/>
        </w:rPr>
      </w:pPr>
      <w:r w:rsidRPr="003E0486">
        <w:rPr>
          <w:szCs w:val="24"/>
          <w:lang w:eastAsia="en-US"/>
        </w:rPr>
        <w:t>I tilfælde af en sådan forudgående import af en ombytningsvare, skal der stilles en sikkerhed, der dækker det importafgiftsbeløb, som vil skulle betales, hvis de defekte varer ikke eksporteres i overensstemmelse med stk. 2.</w:t>
      </w:r>
    </w:p>
    <w:p w14:paraId="309E01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 defekte varer skal være eksporteret senest to måneder efter den dato, hvor toldmyndighederne antog angivelsen om ombytningsvarernes overgang til fri omsætning.</w:t>
      </w:r>
    </w:p>
    <w:p w14:paraId="38B5066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 defekte varer under særlige omstændigheder ikke kan eksporteres inden den i stk. 2 nævnte frist, kan toldmyndighederne efter begrundet ansøgning fra bevillingshaveren indrømme en rimelig forlængelse af denne frist.</w:t>
      </w:r>
    </w:p>
    <w:p w14:paraId="342D0F28" w14:textId="77777777" w:rsidR="00BF6859" w:rsidRDefault="00BF6859">
      <w:pPr>
        <w:widowControl/>
        <w:rPr>
          <w:szCs w:val="24"/>
          <w:lang w:eastAsia="en-US"/>
        </w:rPr>
      </w:pPr>
      <w:r>
        <w:rPr>
          <w:szCs w:val="24"/>
          <w:lang w:eastAsia="en-US"/>
        </w:rPr>
        <w:br w:type="page"/>
      </w:r>
    </w:p>
    <w:p w14:paraId="13C2677F" w14:textId="1DA73F1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IX </w:t>
      </w:r>
      <w:r w:rsidRPr="003E0486">
        <w:rPr>
          <w:szCs w:val="24"/>
          <w:lang w:eastAsia="en-US"/>
        </w:rPr>
        <w:br/>
        <w:t>VARERS TARIFERING, OPRINDELSE OG VÆRDI</w:t>
      </w:r>
    </w:p>
    <w:p w14:paraId="240925B7"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Den fælles toldtarif og tarifering af varer</w:t>
      </w:r>
    </w:p>
    <w:p w14:paraId="0DF8A84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145</w:t>
      </w:r>
      <w:r w:rsidRPr="003E0486">
        <w:rPr>
          <w:szCs w:val="24"/>
          <w:lang w:eastAsia="en-US"/>
        </w:rPr>
        <w:br/>
        <w:t>Den fælles toldtarif og toldovervågning</w:t>
      </w:r>
    </w:p>
    <w:p w14:paraId="175BD07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 og eksportafgifter, der skal betales, baseres på den fælles toldtarif.</w:t>
      </w:r>
    </w:p>
    <w:p w14:paraId="3858E23C" w14:textId="77777777" w:rsidR="003E0486" w:rsidRPr="003E0486" w:rsidRDefault="003E0486" w:rsidP="003E0486">
      <w:pPr>
        <w:spacing w:before="120" w:after="120" w:line="360" w:lineRule="auto"/>
        <w:ind w:left="850"/>
        <w:rPr>
          <w:szCs w:val="24"/>
          <w:lang w:eastAsia="en-US"/>
        </w:rPr>
      </w:pPr>
      <w:r w:rsidRPr="003E0486">
        <w:rPr>
          <w:szCs w:val="24"/>
          <w:lang w:eastAsia="en-US"/>
        </w:rPr>
        <w:t>Andre foranstaltninger, der er fastsat ved særlige EU-bestemmelser vedrørende varehandelen, finder anvendelse i overensstemmelse med varernes tarifering i tariffen, hvor det er relevant.</w:t>
      </w:r>
    </w:p>
    <w:p w14:paraId="44EBE77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fælles toldtarif består af samtlige følgende:</w:t>
      </w:r>
    </w:p>
    <w:p w14:paraId="291ADD7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kombinerede nomenklatur indført ved forordning (EØF) nr. 2658/87</w:t>
      </w:r>
    </w:p>
    <w:p w14:paraId="06AF5BB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enhver anden nomenklatur, som helt eller delvis er baseret på den kombinerede nomenklatur, eller som har yderligere underopdelinger, og som er opstillet i henhold til særlige EU-bestemmelser med henblik på anvendelse af tarifmæssige foranstaltninger i forbindelse med varehandelen</w:t>
      </w:r>
    </w:p>
    <w:p w14:paraId="27CDE053" w14:textId="77777777" w:rsidR="00BF6859" w:rsidRDefault="00BF6859">
      <w:pPr>
        <w:widowControl/>
        <w:rPr>
          <w:szCs w:val="24"/>
          <w:lang w:eastAsia="en-US"/>
        </w:rPr>
      </w:pPr>
      <w:r>
        <w:rPr>
          <w:szCs w:val="24"/>
          <w:lang w:eastAsia="en-US"/>
        </w:rPr>
        <w:br w:type="page"/>
      </w:r>
    </w:p>
    <w:p w14:paraId="105EB036" w14:textId="3FAB404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de bundne eller normale autonome toldsatser, der anvendes på varer, som er omfattet af den kombinerede nomenklatur</w:t>
      </w:r>
    </w:p>
    <w:p w14:paraId="1B9ABF9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 præferencetoldforanstaltninger, der er fastsat i aftaler, som Unionen har indgået med visse tredjelande eller grupper af tredjelande</w:t>
      </w:r>
    </w:p>
    <w:p w14:paraId="1AB4D1A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de præferencetoldforanstaltninger, der er fastsat i aftaler, som Unionen har indgået med visse tredjelande eller grupper af tredjelande</w:t>
      </w:r>
    </w:p>
    <w:p w14:paraId="25DAFC2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de autonome foranstaltninger, hvorved der fastsættes nedsættelse af eller fritagelse for told for visse varer</w:t>
      </w:r>
    </w:p>
    <w:p w14:paraId="5D086F3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de toldlempelser, som gælder for visse varer på grund af deres art eller deres særlige anvendelsesformål, inden for rammerne af foranstaltninger, der er nævnt under litra c)-f) eller h)</w:t>
      </w:r>
    </w:p>
    <w:p w14:paraId="27A02F6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andre foranstaltninger, der er fastsat ved landbrugs-, handels- eller andre EU-forskrifter. og som er baseret på varernes tarifering, navnlig en midlertidig eller endelig antidumpingtold, udligningstold eller beskyttelsesforanstaltning.</w:t>
      </w:r>
    </w:p>
    <w:p w14:paraId="12968E73" w14:textId="77777777" w:rsidR="00BF6859" w:rsidRDefault="00BF6859">
      <w:pPr>
        <w:widowControl/>
        <w:rPr>
          <w:szCs w:val="24"/>
          <w:lang w:eastAsia="en-US"/>
        </w:rPr>
      </w:pPr>
      <w:r>
        <w:rPr>
          <w:szCs w:val="24"/>
          <w:lang w:eastAsia="en-US"/>
        </w:rPr>
        <w:br w:type="page"/>
      </w:r>
    </w:p>
    <w:p w14:paraId="4748789C" w14:textId="2023A5A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Når de pågældende varer opfylder de betingelser, der indgår i foranstaltningerne i stk. 2, litra d)-g), kan disse foranstaltningerne finde anvendelse i stedet for de i samme stykkes litra c) omhandlede foranstaltninger. Sådanne foranstaltninger kan anvendes efterfølgende, forudsat at de frister og betingelser, der er fastsat i den pågældende foranstaltning eller i denne forordning, er opfyldt, og</w:t>
      </w:r>
    </w:p>
    <w:p w14:paraId="4247D6D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der for så vidt angår foranstaltningerne i litra d) og e) gives mulighed for sådan anvendelse med tilbagevirkende kraft</w:t>
      </w:r>
    </w:p>
    <w:p w14:paraId="590A75C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der for så vidt angår foranstaltningerne i litra d) af tredjelandet eller gruppen af tredjelande også gives mulighed for en sådan anvendelse med tilbagevirkende kraft.</w:t>
      </w:r>
    </w:p>
    <w:p w14:paraId="01548A6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Er anvendelsen af de i stk. 2, litra d)-g), omhandlede foranstaltninger eller fritagelsen fra de i litra h) i samme stykke omhandlede foranstaltninger begrænset til kun at omfatte en vis import- eller eksportmængde, ophører en sådan anvendelse eller fritagelse for så vidt angår toldkontingenter eller andre kontingenter, når den specificerede import- eller eksportmængde er nået.</w:t>
      </w:r>
    </w:p>
    <w:p w14:paraId="234DDBEC" w14:textId="77777777" w:rsidR="003E0486" w:rsidRPr="003E0486" w:rsidRDefault="003E0486" w:rsidP="003E0486">
      <w:pPr>
        <w:spacing w:before="120" w:after="120" w:line="360" w:lineRule="auto"/>
        <w:ind w:left="850"/>
        <w:rPr>
          <w:szCs w:val="24"/>
          <w:lang w:eastAsia="en-US"/>
        </w:rPr>
      </w:pPr>
      <w:r w:rsidRPr="003E0486">
        <w:rPr>
          <w:szCs w:val="24"/>
          <w:lang w:eastAsia="en-US"/>
        </w:rPr>
        <w:t>For så vidt angår toldlofter ophører en sådan anvendelse, når Unionen udsteder en retsakt herom.</w:t>
      </w:r>
    </w:p>
    <w:p w14:paraId="18BDD1CE" w14:textId="77777777" w:rsidR="00BF6859" w:rsidRDefault="00BF6859">
      <w:pPr>
        <w:widowControl/>
        <w:rPr>
          <w:szCs w:val="24"/>
          <w:lang w:eastAsia="en-US"/>
        </w:rPr>
      </w:pPr>
      <w:r>
        <w:rPr>
          <w:szCs w:val="24"/>
          <w:lang w:eastAsia="en-US"/>
        </w:rPr>
        <w:br w:type="page"/>
      </w:r>
    </w:p>
    <w:p w14:paraId="7CFAAC0C" w14:textId="34E38DA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Toldmyndighederne afviser anvendelsen af den forenklede toldbehandling ved fjernsalg, hvis de på grundlag af relevante og objektive data fastslår, at fjernsalg af varer importeret fra tredjelande var bestemt til andre personer end dem, der er omhandlet i momsdirektivets artikel 14, stk. 2, litra a).</w:t>
      </w:r>
    </w:p>
    <w:p w14:paraId="37A7405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Kommissionen kan foretage toldovervågning af varers overgang til fri omsætning, eksport og henførsel under visse særlige procedurer med henblik på de formål, der er omhandlet i artikel 31, stk. 4.</w:t>
      </w:r>
    </w:p>
    <w:p w14:paraId="265CCC2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vedtager ved gennemførelsesretsakter foranstaltningerne vedrørende den ensartede forvaltning af de toldkontingenter og andre kontingenter og toldlofter og andre lofter), der er omhandlet i stk. 4, og vedrørende forvaltningen af den toldovervågning, der er omhandlet i stk. 6. Disse gennemførelsesretsakter vedtages efter undersøgelsesproceduren i artikel 262, stk. 4.</w:t>
      </w:r>
    </w:p>
    <w:p w14:paraId="70AFB494" w14:textId="77777777" w:rsidR="00BF6859" w:rsidRDefault="00BF6859">
      <w:pPr>
        <w:widowControl/>
        <w:rPr>
          <w:szCs w:val="24"/>
          <w:lang w:eastAsia="en-US"/>
        </w:rPr>
      </w:pPr>
      <w:r>
        <w:rPr>
          <w:szCs w:val="24"/>
          <w:lang w:eastAsia="en-US"/>
        </w:rPr>
        <w:br w:type="page"/>
      </w:r>
    </w:p>
    <w:p w14:paraId="5111FAD8" w14:textId="45267DA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146</w:t>
      </w:r>
      <w:r w:rsidRPr="003E0486">
        <w:rPr>
          <w:szCs w:val="24"/>
          <w:lang w:eastAsia="en-US"/>
        </w:rPr>
        <w:br/>
        <w:t>Tarifering af varer</w:t>
      </w:r>
    </w:p>
    <w:p w14:paraId="39D10D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forbindelse med anvendelse af den fælles toldtarif består tarifering af en vare i at fastslå, hvilken underposition eller yderligere underopdeling i den kombinerede nomenklatur den pågældende vare skal henføres under.</w:t>
      </w:r>
    </w:p>
    <w:p w14:paraId="23F2857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forbindelse med anvendelse af ikketoldmæssige foranstaltninger består tarifering af en vare i at fastslå, hvilken underposition eller yderligere underopdeling i den kombinerede nomenklatur eller i enhver anden nomenklatur, der er fastsat ved EU-bestemmelser, og som helt eller delvis er baseret på den kombinerede nomenklatur, eller som har yderligere underopdelinger heraf, den pågældende vare skal henføres under.</w:t>
      </w:r>
    </w:p>
    <w:p w14:paraId="29F6AF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En underposition eller yderligere underopdeling, der er fastsat i overensstemmelse med stk. 1 og 2, benyttes med henblik på anvendelse af de foranstaltninger, der er knyttet til den pågældende underposition.</w:t>
      </w:r>
    </w:p>
    <w:p w14:paraId="29C553C7" w14:textId="77777777" w:rsidR="00BF6859" w:rsidRDefault="00BF6859">
      <w:pPr>
        <w:widowControl/>
        <w:rPr>
          <w:szCs w:val="24"/>
          <w:lang w:eastAsia="en-US"/>
        </w:rPr>
      </w:pPr>
      <w:r>
        <w:rPr>
          <w:szCs w:val="24"/>
          <w:lang w:eastAsia="en-US"/>
        </w:rPr>
        <w:br w:type="page"/>
      </w:r>
    </w:p>
    <w:p w14:paraId="77C10ED8" w14:textId="1FAF791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kan ved gennemførelsesretsakter fastlægge varers tarifering i overensstemmelse med stk. 1 og 2.  Disse gennemførelsesretsakter vedtages efter undersøgelsesproceduren i artikel 262, stk. 4.</w:t>
      </w:r>
    </w:p>
    <w:p w14:paraId="44637A37" w14:textId="77777777" w:rsidR="003E0486" w:rsidRPr="003E0486" w:rsidRDefault="003E0486" w:rsidP="003E0486">
      <w:pPr>
        <w:spacing w:before="120" w:after="120" w:line="360" w:lineRule="auto"/>
        <w:ind w:left="850"/>
        <w:rPr>
          <w:szCs w:val="24"/>
          <w:lang w:eastAsia="en-US"/>
        </w:rPr>
      </w:pPr>
      <w:r w:rsidRPr="003E0486">
        <w:rPr>
          <w:szCs w:val="24"/>
          <w:lang w:eastAsia="en-US"/>
        </w:rPr>
        <w:t>I behørigt begrundede særligt hastende tilfælde, der er forbundet med behovet for hurtigt at sikre en korrekt og ensartet anvendelse af den kombinerede nomenklatur, vedtager Kommissionen efter proceduren i artikel 262, stk. 5, gennemførelsesretsakter, der finder anvendelse straks.</w:t>
      </w:r>
    </w:p>
    <w:p w14:paraId="375472A9"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Varers oprindelse</w:t>
      </w:r>
    </w:p>
    <w:p w14:paraId="3DBF9FB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147</w:t>
      </w:r>
      <w:r w:rsidRPr="003E0486">
        <w:rPr>
          <w:szCs w:val="24"/>
          <w:lang w:eastAsia="en-US"/>
        </w:rPr>
        <w:br/>
        <w:t>Ikkepræferenceoprindelse</w:t>
      </w:r>
    </w:p>
    <w:p w14:paraId="7B5E7BDA" w14:textId="77777777" w:rsidR="003E0486" w:rsidRPr="003E0486" w:rsidRDefault="003E0486" w:rsidP="003E0486">
      <w:pPr>
        <w:spacing w:before="120" w:after="120" w:line="360" w:lineRule="auto"/>
        <w:rPr>
          <w:szCs w:val="24"/>
          <w:lang w:eastAsia="en-US"/>
        </w:rPr>
      </w:pPr>
      <w:r w:rsidRPr="003E0486">
        <w:rPr>
          <w:szCs w:val="24"/>
          <w:lang w:eastAsia="en-US"/>
        </w:rPr>
        <w:t>Reglerne for fastsættelse af varers ikkepræferenceoprindelse i artikel 148 og 149 anvendes i forbindelse med følgende regler:</w:t>
      </w:r>
    </w:p>
    <w:p w14:paraId="72C254A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den fælles toldtarif undtagen de foranstaltninger, der er omhandlet i artikel 145, stk. 2, litra d) og e)</w:t>
      </w:r>
    </w:p>
    <w:p w14:paraId="355B3C04" w14:textId="77777777" w:rsidR="00BF6859" w:rsidRDefault="00BF6859">
      <w:pPr>
        <w:widowControl/>
        <w:rPr>
          <w:szCs w:val="24"/>
          <w:lang w:eastAsia="en-US"/>
        </w:rPr>
      </w:pPr>
      <w:r>
        <w:rPr>
          <w:szCs w:val="24"/>
          <w:lang w:eastAsia="en-US"/>
        </w:rPr>
        <w:br w:type="page"/>
      </w:r>
    </w:p>
    <w:p w14:paraId="243576D6" w14:textId="122BCCC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(b)</w:t>
      </w:r>
      <w:r w:rsidRPr="003E0486">
        <w:rPr>
          <w:szCs w:val="24"/>
          <w:lang w:eastAsia="en-US"/>
        </w:rPr>
        <w:tab/>
        <w:t>andre foranstaltninger end toldmæssige, der er fastsat i særlige EU-bestemmelser, som gælder for varehandelen, og</w:t>
      </w:r>
    </w:p>
    <w:p w14:paraId="321CBB3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andre EU-foranstaltninger vedrørende varers oprindelse.</w:t>
      </w:r>
    </w:p>
    <w:p w14:paraId="134643A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148</w:t>
      </w:r>
      <w:r w:rsidRPr="003E0486">
        <w:rPr>
          <w:szCs w:val="24"/>
          <w:lang w:eastAsia="en-US"/>
        </w:rPr>
        <w:br/>
        <w:t>Erhvervelse af oprindelsesstatus</w:t>
      </w:r>
    </w:p>
    <w:p w14:paraId="099D68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Varer, der er fuldt ud fremstillet i et enkelt land eller område, anses for at have oprindelse i dette land eller område.</w:t>
      </w:r>
    </w:p>
    <w:p w14:paraId="76CC6C9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Varer, ved hvis fremstilling der er involveret mere end ét land eller område, anses for at have oprindelse i det land eller område, hvor den sidste væsentlige og økonomisk berettigede bearbejdning eller forarbejdning har fundet sted, når denne er foretaget i en dertil udstyret virksomhed og har ført til fremstilling af et nyt produkt eller udgør et vigtigt trin i fremstillingen.</w:t>
      </w:r>
    </w:p>
    <w:p w14:paraId="72AA4A07" w14:textId="77777777" w:rsidR="00BF6859" w:rsidRDefault="00BF6859">
      <w:pPr>
        <w:widowControl/>
        <w:rPr>
          <w:szCs w:val="24"/>
          <w:lang w:eastAsia="en-US"/>
        </w:rPr>
      </w:pPr>
      <w:r>
        <w:rPr>
          <w:szCs w:val="24"/>
          <w:lang w:eastAsia="en-US"/>
        </w:rPr>
        <w:br w:type="page"/>
      </w:r>
    </w:p>
    <w:p w14:paraId="1B6E4D7F" w14:textId="081A43D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beføjelser til at vedtage delegerede retsakter i overensstemmelse med artikel 261 med henblik på at supplere denne forordning ved at fastsætte reglerne for, hvornår varer, for hvilke der kræves fastsættelse af ikke-præferenceoprindelse med henblik på anvendelse af de i artikel 147 omhandlede EU-foranstaltninger, anses for at være fuldt ud fremstillet i et enkelt land eller område eller for at have undergået den sidste, væsentlige, og økonomisk berettigede bearbejdning eller forarbejdning, når denne er foretaget i en dertil udstyret virksomhed og har ført til fremstilling af et nyt produkt eller udgør et vigtigt trin i fremstillingen, i et land eller område, i overensstemmelse med denne artikels stk. 1 og 2.</w:t>
      </w:r>
    </w:p>
    <w:p w14:paraId="719FD1F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149</w:t>
      </w:r>
      <w:r w:rsidRPr="003E0486">
        <w:rPr>
          <w:szCs w:val="24"/>
          <w:lang w:eastAsia="en-US"/>
        </w:rPr>
        <w:br/>
        <w:t>Bevis for ikkepræferenceoprindelse</w:t>
      </w:r>
    </w:p>
    <w:p w14:paraId="1B478A0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importøren har angivet varernes oprindelse i henhold til toldlovgivningen, kan toldmyndighederne kræve et bevis for varernes oprindelse.</w:t>
      </w:r>
    </w:p>
    <w:p w14:paraId="22866A6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et bevis for varernes oprindelse fremlægges i henhold til toldlovgivningen eller andre særlige EU-forskrifter, kan toldmyndighederne, når der foreligger begrundet tvivl, kræve yderligere bevis forelagt for at sikre, at oprindelsen er i overensstemmelse med de regler, der er fastsat i EU-forskrifterne herom.</w:t>
      </w:r>
    </w:p>
    <w:p w14:paraId="78232C95" w14:textId="77777777" w:rsidR="00BF6859" w:rsidRDefault="00BF6859">
      <w:pPr>
        <w:widowControl/>
        <w:rPr>
          <w:szCs w:val="24"/>
          <w:lang w:eastAsia="en-US"/>
        </w:rPr>
      </w:pPr>
      <w:r>
        <w:rPr>
          <w:szCs w:val="24"/>
          <w:lang w:eastAsia="en-US"/>
        </w:rPr>
        <w:br w:type="page"/>
      </w:r>
    </w:p>
    <w:p w14:paraId="19ADF9E5" w14:textId="09E6D91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det er nødvendigt af hensyn til handelen, kan der udstedes et dokument i Unionen, der beviser oprindelsen, i overensstemmelse med de gældende oprindelsesregler i bestemmelseslandet eller -området eller enhver anden metode til bestemmelse af det land, hvor varerne blev fremstillet fuldt ud eller undergik den sidste væsentlige bearbejdning.</w:t>
      </w:r>
    </w:p>
    <w:p w14:paraId="42588A4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importøren har valgt at anvende den forenklede toldbehandling ved fjernsalg som omhandlet i artikel 156, stk. 2, kræver toldmyndighederne ikke, at importøren beviser varernes oprindelse.</w:t>
      </w:r>
    </w:p>
    <w:p w14:paraId="59BE8A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vedtager ved gennemførelsesretsakter procedurereglerne for fremlæggelse og kontrol af et oprindelsesbevis. Disse gennemførelsesretsakter vedtages efter undersøgelsesproceduren i artikel 262, stk. 4.</w:t>
      </w:r>
    </w:p>
    <w:p w14:paraId="7DC426D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150</w:t>
      </w:r>
      <w:r w:rsidRPr="003E0486">
        <w:rPr>
          <w:szCs w:val="24"/>
          <w:lang w:eastAsia="en-US"/>
        </w:rPr>
        <w:br/>
        <w:t>Varers præferenceoprindelse</w:t>
      </w:r>
    </w:p>
    <w:p w14:paraId="6913C0F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For at være omfattet af de foranstaltninger, der er omhandlet i artikel 145, stk. 2, litra d) og e), eller af ikketoldmæssige præferenceforanstaltninger, skal varer opfylde de regler om præferenceoprindelse, der er omhandlet i nærværende artikels stk. 2-5.</w:t>
      </w:r>
    </w:p>
    <w:p w14:paraId="510866A9" w14:textId="77777777" w:rsidR="00BF6859" w:rsidRDefault="00BF6859">
      <w:pPr>
        <w:widowControl/>
        <w:rPr>
          <w:szCs w:val="24"/>
          <w:lang w:eastAsia="en-US"/>
        </w:rPr>
      </w:pPr>
      <w:r>
        <w:rPr>
          <w:szCs w:val="24"/>
          <w:lang w:eastAsia="en-US"/>
        </w:rPr>
        <w:br w:type="page"/>
      </w:r>
    </w:p>
    <w:p w14:paraId="35DE345F" w14:textId="7872392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Hvis varer er omfattet af præferenceforanstaltninger i aftaler, som Unionen har indgået med visse tredjelande eller grupper af sådanne lande, skal præferenceoprindelsesreglerne fremgå af disse aftaler.</w:t>
      </w:r>
    </w:p>
    <w:p w14:paraId="288BF14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varer er omfattet af præferenceforanstaltninger, der er vedtaget ensidigt af Unionen over for visse andre tredjelande eller grupper af sådanne lande end dem, der er omhandlet i stk. 5, vedtager Kommissionen delegerede retsakter i overensstemmelse med artikel 261 med henblik på at supplere denne forordning ved at fastsætte regler om præferenceoprindelse. Disse regler skal være baseret enten på kriteriet om fuldt ud fremstillede varer eller kriteriet om varernes tilstrækkelige bearbejdning eller forarbejdning.</w:t>
      </w:r>
    </w:p>
    <w:p w14:paraId="1BB4500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varer er omfattet af de præferenceforanstaltninger, der gælder for handel mellem Unionens toldområde og Ceuta og Melilla, og som fremgår af protokol 2 til tiltrædelsesakten af 1985, vedtages reglerne om præferenceoprindelse i overensstemmelse med denne protokols artikel 9.</w:t>
      </w:r>
    </w:p>
    <w:p w14:paraId="6F6E82C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Hvis varer er omfattet af præferenceforanstaltninger i præferenceordninger til fordel for oversøiske lande og territorier, der er knyttet til Unionen, vedtages præferenceoprindelsesreglerne i overensstemmelse med artikel 203 i TEUF.</w:t>
      </w:r>
    </w:p>
    <w:p w14:paraId="12AD1A43" w14:textId="77777777" w:rsidR="00BF6859" w:rsidRDefault="00BF6859">
      <w:pPr>
        <w:widowControl/>
        <w:rPr>
          <w:szCs w:val="24"/>
          <w:lang w:eastAsia="en-US"/>
        </w:rPr>
      </w:pPr>
      <w:r>
        <w:rPr>
          <w:szCs w:val="24"/>
          <w:lang w:eastAsia="en-US"/>
        </w:rPr>
        <w:br w:type="page"/>
      </w:r>
    </w:p>
    <w:p w14:paraId="7D9B86D2" w14:textId="4A57503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Kommissionen kan på eget initiativ eller efter anmodning fra et præferenceberettiget land eller område for visse varer indrømme det pågældende land eller område en midlertidig undtagelse fra de i stk. 3 omhandlede regler om præferenceoprindelse.</w:t>
      </w:r>
    </w:p>
    <w:p w14:paraId="52901C9A" w14:textId="77777777" w:rsidR="003E0486" w:rsidRPr="003E0486" w:rsidRDefault="003E0486" w:rsidP="003E0486">
      <w:pPr>
        <w:spacing w:before="120" w:after="120" w:line="360" w:lineRule="auto"/>
        <w:ind w:left="850"/>
        <w:rPr>
          <w:szCs w:val="24"/>
          <w:lang w:eastAsia="en-US"/>
        </w:rPr>
      </w:pPr>
      <w:r w:rsidRPr="003E0486">
        <w:rPr>
          <w:szCs w:val="24"/>
          <w:lang w:eastAsia="en-US"/>
        </w:rPr>
        <w:t>Den midlertidige undtagelse skal være begrundet i et af følgende forhold:</w:t>
      </w:r>
    </w:p>
    <w:p w14:paraId="7DA6129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som følge af interne eller eksterne faktorer er det præferenceberettigede land eller område ikke i stand til at overholde reglerne om præferenceoprindelse</w:t>
      </w:r>
    </w:p>
    <w:p w14:paraId="6724121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det præferenceberettigede land eller område har brug for tid til at forberede sig på at overholde disse regler.</w:t>
      </w:r>
    </w:p>
    <w:p w14:paraId="6DD77B5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Det præferenceberettigede land eller område forelægger anmodninger om undtagelse for Kommissionen. I anmodningen anføres grundene til, at der er behov for en undtagelse, jf. andet afsnit, og vedlægges relevant dokumentation.</w:t>
      </w:r>
    </w:p>
    <w:p w14:paraId="7EA370C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Den midlertidige undtagelse gælder kun, indtil virkningerne af de interne eller eksterne faktorer, der begrunder den, er ophørt, eller indtil det præferenceberettigede land eller område er i stand til at overholde reglerne.</w:t>
      </w:r>
    </w:p>
    <w:p w14:paraId="2E13FC8C" w14:textId="77777777" w:rsidR="00BF6859" w:rsidRDefault="00BF6859">
      <w:pPr>
        <w:widowControl/>
        <w:rPr>
          <w:szCs w:val="24"/>
          <w:lang w:eastAsia="en-US"/>
        </w:rPr>
      </w:pPr>
      <w:r>
        <w:rPr>
          <w:szCs w:val="24"/>
          <w:lang w:eastAsia="en-US"/>
        </w:rPr>
        <w:br w:type="page"/>
      </w:r>
    </w:p>
    <w:p w14:paraId="5F2B4B4D" w14:textId="15D52C5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9.</w:t>
      </w:r>
      <w:r w:rsidRPr="003E0486">
        <w:rPr>
          <w:szCs w:val="24"/>
          <w:lang w:eastAsia="en-US"/>
        </w:rPr>
        <w:tab/>
        <w:t>Hvis der indrømmes en undtagelse, skal det præferenceberettigede land eller område overholde eventuelle krav om underretning af Kommissionen om anvendelsen af undtagelsen og forvaltningen af de mængder, for hvilke undtagelsen er indrømmet.</w:t>
      </w:r>
    </w:p>
    <w:p w14:paraId="1AF4B94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Hvis importøren har valgt at anvende den forenklede toldbehandling ved fjernsalg, kan importøren ikke drage fordel af de foranstaltninger, der er omhandlet i artikel 145, stk. 2, litra d) og e), eller af ikketoldmæssige præferenceforanstaltninger.</w:t>
      </w:r>
    </w:p>
    <w:p w14:paraId="3975307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11.</w:t>
      </w:r>
      <w:r w:rsidRPr="003E0486">
        <w:rPr>
          <w:szCs w:val="24"/>
          <w:lang w:eastAsia="en-US"/>
        </w:rPr>
        <w:tab/>
        <w:t>Kommissionen vedtager ved gennemførelsesretsakter:</w:t>
      </w:r>
    </w:p>
    <w:p w14:paraId="5FD009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procedurereglerne vedrørende varers præferenceoprindelse med henblik på de foranstaltninger, der er omhandlet i stk. 1</w:t>
      </w:r>
    </w:p>
    <w:p w14:paraId="4B04E67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foranstaltning, hvorved et præferenceberettiget land eller område indrømmes den midlertidige undtagelse, der er omhandlet i stk. 6.</w:t>
      </w:r>
    </w:p>
    <w:p w14:paraId="160B4D36" w14:textId="77777777" w:rsidR="003E0486" w:rsidRPr="003E0486" w:rsidRDefault="003E0486" w:rsidP="003E0486">
      <w:pPr>
        <w:spacing w:before="120" w:after="120" w:line="360" w:lineRule="auto"/>
        <w:ind w:left="850"/>
        <w:rPr>
          <w:szCs w:val="24"/>
          <w:lang w:eastAsia="en-US"/>
        </w:rPr>
      </w:pPr>
      <w:r w:rsidRPr="003E0486">
        <w:rPr>
          <w:szCs w:val="24"/>
          <w:lang w:eastAsia="en-US"/>
        </w:rPr>
        <w:t>Disse gennemførelsesretsakter vedtages efter undersøgelsesproceduren i artikel 262, stk. 4.</w:t>
      </w:r>
    </w:p>
    <w:p w14:paraId="6E3F095A" w14:textId="77777777" w:rsidR="00BF6859" w:rsidRDefault="00BF6859">
      <w:pPr>
        <w:widowControl/>
        <w:rPr>
          <w:szCs w:val="24"/>
          <w:lang w:eastAsia="en-US"/>
        </w:rPr>
      </w:pPr>
      <w:r>
        <w:rPr>
          <w:szCs w:val="24"/>
          <w:lang w:eastAsia="en-US"/>
        </w:rPr>
        <w:br w:type="page"/>
      </w:r>
    </w:p>
    <w:p w14:paraId="4A9DD780" w14:textId="4FCC5E0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151</w:t>
      </w:r>
      <w:r w:rsidRPr="003E0486">
        <w:rPr>
          <w:szCs w:val="24"/>
          <w:lang w:eastAsia="en-US"/>
        </w:rPr>
        <w:br/>
        <w:t>Fastsættelse af nærmere angivne varers oprindelse</w:t>
      </w:r>
    </w:p>
    <w:p w14:paraId="24611CE6" w14:textId="77777777" w:rsidR="003E0486" w:rsidRPr="003E0486" w:rsidRDefault="003E0486" w:rsidP="003E0486">
      <w:pPr>
        <w:spacing w:before="120" w:after="120" w:line="360" w:lineRule="auto"/>
        <w:rPr>
          <w:szCs w:val="24"/>
          <w:lang w:eastAsia="en-US"/>
        </w:rPr>
      </w:pPr>
      <w:r w:rsidRPr="003E0486">
        <w:rPr>
          <w:szCs w:val="24"/>
          <w:lang w:eastAsia="en-US"/>
        </w:rPr>
        <w:t>Kommissionen kan ved gennemførelsesretsakter vedtage foranstaltninger med henblik på at fastsætte nærmere angivne varers oprindelse i overensstemmelse med oprindelsesreglerne for disse varer. Disse gennemførelsesretsakter vedtages efter undersøgelsesproceduren i artikel 262, stk. 4.</w:t>
      </w:r>
    </w:p>
    <w:p w14:paraId="3C9E5D66" w14:textId="77777777" w:rsidR="003E0486" w:rsidRPr="003E0486" w:rsidRDefault="003E0486" w:rsidP="003E0486">
      <w:pPr>
        <w:spacing w:before="120" w:after="120" w:line="360" w:lineRule="auto"/>
        <w:rPr>
          <w:szCs w:val="24"/>
          <w:lang w:eastAsia="en-US"/>
        </w:rPr>
      </w:pPr>
      <w:r w:rsidRPr="003E0486">
        <w:rPr>
          <w:szCs w:val="24"/>
          <w:lang w:eastAsia="en-US"/>
        </w:rPr>
        <w:t>I særligt hastende tilfælde, som berører de pågældende foranstaltninger, hvor det er behørigt begrundet i behovet for hurtigt at sikre en korrekt og ensartet anvendelse af oprindelsesreglerne, vedtager Kommissionen efter proceduren i artikel 262, stk. 5 gennemførelsesretsakter, der finder anvendelse straks.</w:t>
      </w:r>
    </w:p>
    <w:p w14:paraId="2271F496"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3 </w:t>
      </w:r>
      <w:r w:rsidRPr="003E0486">
        <w:rPr>
          <w:szCs w:val="24"/>
          <w:lang w:eastAsia="en-US"/>
        </w:rPr>
        <w:br/>
        <w:t>Varers toldværdi</w:t>
      </w:r>
    </w:p>
    <w:p w14:paraId="08C0F2D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152</w:t>
      </w:r>
      <w:r w:rsidRPr="003E0486">
        <w:rPr>
          <w:szCs w:val="24"/>
          <w:lang w:eastAsia="en-US"/>
        </w:rPr>
        <w:br/>
        <w:t>Anvendelsesområde</w:t>
      </w:r>
    </w:p>
    <w:p w14:paraId="6D31CFFD" w14:textId="77777777" w:rsidR="003E0486" w:rsidRPr="003E0486" w:rsidRDefault="003E0486" w:rsidP="003E0486">
      <w:pPr>
        <w:spacing w:before="120" w:after="120" w:line="360" w:lineRule="auto"/>
        <w:rPr>
          <w:szCs w:val="24"/>
          <w:lang w:eastAsia="en-US"/>
        </w:rPr>
      </w:pPr>
      <w:r w:rsidRPr="003E0486">
        <w:rPr>
          <w:szCs w:val="24"/>
          <w:lang w:eastAsia="en-US"/>
        </w:rPr>
        <w:t>I forbindelse med anvendelse af den fælles toldtarif og de ikketoldmæssige foranstaltninger, der er fastsat i særlige EU-bestemmelser som led i varehandelen, ansættes toldværdien i henhold til artikel 153 og 157.</w:t>
      </w:r>
    </w:p>
    <w:p w14:paraId="3184AFDF" w14:textId="77777777" w:rsidR="00BF6859" w:rsidRDefault="00BF6859">
      <w:pPr>
        <w:widowControl/>
        <w:rPr>
          <w:szCs w:val="24"/>
          <w:lang w:eastAsia="en-US"/>
        </w:rPr>
      </w:pPr>
      <w:r>
        <w:rPr>
          <w:szCs w:val="24"/>
          <w:lang w:eastAsia="en-US"/>
        </w:rPr>
        <w:br w:type="page"/>
      </w:r>
    </w:p>
    <w:p w14:paraId="2B051698" w14:textId="0356BC5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153</w:t>
      </w:r>
      <w:r w:rsidRPr="003E0486">
        <w:rPr>
          <w:szCs w:val="24"/>
          <w:lang w:eastAsia="en-US"/>
        </w:rPr>
        <w:br/>
        <w:t>Metode til toldværdiansættelse baseret på transaktionsværdien</w:t>
      </w:r>
    </w:p>
    <w:p w14:paraId="7D409E7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Det primære grundlag for varers toldværdi er transaktionsværdien, dvs. den pris, som faktisk er betalt eller skal betales for varerne ved salg til eksport til Unionens toldområde, justeret i overensstemmelse med artikel 154 og 155.</w:t>
      </w:r>
    </w:p>
    <w:p w14:paraId="330BD5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pris, der faktisk er betalt eller skal betales, er den fulde betaling, som køberen yder eller skal yde sælgeren eller tredjemand til fordel for sælgeren for de importerede varer, og som omfatter alle de betalinger, som er erlagt eller skal erlægges som betingelse for salget af de importerede varer.</w:t>
      </w:r>
    </w:p>
    <w:p w14:paraId="67FD33A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Transaktionsværdien gælder, forudsat at samtlige følgende betingelser er opfyldt:</w:t>
      </w:r>
    </w:p>
    <w:p w14:paraId="77B44D0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Der er ikke fastsat restriktioner med hensyn til køberens rådighed over eller anvendelse af varerne ud over en eller flere af følgende:</w:t>
      </w:r>
    </w:p>
    <w:p w14:paraId="5AFB4BC6" w14:textId="7A91CEF5"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restriktioner pålagt eller krævet ifølge lovgivningen eller af de offentlige myndigheder i Unionen</w:t>
      </w:r>
    </w:p>
    <w:p w14:paraId="7596C31E" w14:textId="46BD790D"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begrænsninger af det geografiske område, hvor varerne kan videresælges</w:t>
      </w:r>
    </w:p>
    <w:p w14:paraId="4123EFFB" w14:textId="77777777" w:rsidR="00BF6859" w:rsidRDefault="00BF6859">
      <w:pPr>
        <w:widowControl/>
        <w:rPr>
          <w:szCs w:val="24"/>
          <w:lang w:eastAsia="en-US"/>
        </w:rPr>
      </w:pPr>
      <w:r>
        <w:rPr>
          <w:szCs w:val="24"/>
          <w:lang w:eastAsia="en-US"/>
        </w:rPr>
        <w:br w:type="page"/>
      </w:r>
    </w:p>
    <w:p w14:paraId="33C84E16" w14:textId="6DD9BEDD" w:rsidR="003E0486" w:rsidRPr="003E0486" w:rsidRDefault="004634E2" w:rsidP="003E0486">
      <w:pPr>
        <w:spacing w:before="120" w:after="120" w:line="360" w:lineRule="auto"/>
        <w:ind w:left="1982" w:hanging="566"/>
        <w:rPr>
          <w:szCs w:val="24"/>
          <w:lang w:eastAsia="en-US"/>
        </w:rPr>
      </w:pPr>
      <w:r>
        <w:rPr>
          <w:szCs w:val="24"/>
          <w:lang w:eastAsia="en-US"/>
        </w:rPr>
        <w:lastRenderedPageBreak/>
        <w:t>(</w:t>
      </w:r>
      <w:r w:rsidR="003E0486" w:rsidRPr="003E0486">
        <w:rPr>
          <w:szCs w:val="24"/>
          <w:lang w:eastAsia="en-US"/>
        </w:rPr>
        <w:t>iii)</w:t>
      </w:r>
      <w:r w:rsidR="003E0486" w:rsidRPr="003E0486">
        <w:rPr>
          <w:szCs w:val="24"/>
          <w:lang w:eastAsia="en-US"/>
        </w:rPr>
        <w:tab/>
        <w:t>restriktioner, som ikke i væsentlig grad påvirker varernes toldværdi.</w:t>
      </w:r>
    </w:p>
    <w:p w14:paraId="266862F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Salget eller prisen er ikke betinget af vilkår eller ydelser, hvis værdi ikke kan bestemmes med hensyn til de varer, som skal værdiansættes.</w:t>
      </w:r>
    </w:p>
    <w:p w14:paraId="0DA916F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Ingen del af provenuet ved senere videresalg, overdragelse eller anvendelse af varerne fra købers side tilfalder direkte eller indirekte sælgeren, medmindre der kan foretages en passende justering.</w:t>
      </w:r>
    </w:p>
    <w:p w14:paraId="2AE3B46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Køberen og sælgeren er ikke indbyrdes afhængige, eller afhængighedsforholdet har ikke påvirket prisen.</w:t>
      </w:r>
    </w:p>
    <w:p w14:paraId="7C8D0B7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procedurereglerne for fastsættelsen af toldværdien i overensstemmelse med stk. 1 og 2, herunder reglerne for justeringen af den pris, der faktisk er betalt eller skal betales, og for anvendelsen af betingelserne i stk. 3. Disse gennemførelsesretsakter vedtages efter undersøgelsesproceduren i artikel 262, stk. 4.</w:t>
      </w:r>
    </w:p>
    <w:p w14:paraId="7477DF39" w14:textId="77777777" w:rsidR="00BF6859" w:rsidRDefault="00BF6859">
      <w:pPr>
        <w:widowControl/>
        <w:rPr>
          <w:szCs w:val="24"/>
          <w:lang w:eastAsia="en-US"/>
        </w:rPr>
      </w:pPr>
      <w:r>
        <w:rPr>
          <w:szCs w:val="24"/>
          <w:lang w:eastAsia="en-US"/>
        </w:rPr>
        <w:br w:type="page"/>
      </w:r>
    </w:p>
    <w:p w14:paraId="49FCCC16" w14:textId="1ABA345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154</w:t>
      </w:r>
      <w:r w:rsidRPr="003E0486">
        <w:rPr>
          <w:szCs w:val="24"/>
          <w:lang w:eastAsia="en-US"/>
        </w:rPr>
        <w:br/>
        <w:t>Elementer, der indgår i transaktionsværdien</w:t>
      </w:r>
    </w:p>
    <w:p w14:paraId="022E40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Ved fastsættelse af toldværdi i henhold til artikel 153 suppleres den pris, der faktisk er betalt eller skal betales for de importerede varer, med:</w:t>
      </w:r>
    </w:p>
    <w:p w14:paraId="4366DCA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følgende elementer i den udstrækning, de afholdes af køberen, men ikke er indbefattet i den pris, der faktisk er betalt eller skal betales for varerne:</w:t>
      </w:r>
    </w:p>
    <w:p w14:paraId="5C2B384D" w14:textId="6185785B"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provisioner og mæglerhonorarer, dog ikke indkøbsprovisioner</w:t>
      </w:r>
    </w:p>
    <w:p w14:paraId="011BBFB6" w14:textId="6C026447"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prisen for beholdere, som ved toldbehandling betragtes som udgørende en del af selve varen, og</w:t>
      </w:r>
    </w:p>
    <w:p w14:paraId="20966583" w14:textId="69E5027B"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emballageomkostninger, omfattende såvel arbejdsløn som materialer</w:t>
      </w:r>
    </w:p>
    <w:p w14:paraId="44C1158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den forholdsmæssigt udregnede værdi af de herunder nævnte varer og tjenesteydelser, når de leveres direkte eller indirekte af køberen uden beregning eller til nedsat pris til brug ved fremstilling og salg til eksport af de importerede varer, for så vidt denne værdi ikke er indbefattet i den pris, der faktisk er betalt eller skal betales:</w:t>
      </w:r>
    </w:p>
    <w:p w14:paraId="7770D31D" w14:textId="77777777" w:rsidR="00BF6859" w:rsidRDefault="00BF6859">
      <w:pPr>
        <w:widowControl/>
        <w:rPr>
          <w:szCs w:val="24"/>
          <w:lang w:eastAsia="en-US"/>
        </w:rPr>
      </w:pPr>
      <w:r>
        <w:rPr>
          <w:szCs w:val="24"/>
          <w:lang w:eastAsia="en-US"/>
        </w:rPr>
        <w:br w:type="page"/>
      </w:r>
    </w:p>
    <w:p w14:paraId="3E62BCB5" w14:textId="363192F3" w:rsidR="003E0486" w:rsidRPr="003E0486" w:rsidRDefault="004634E2" w:rsidP="003E0486">
      <w:pPr>
        <w:spacing w:before="120" w:after="120" w:line="360" w:lineRule="auto"/>
        <w:ind w:left="1982" w:hanging="566"/>
        <w:rPr>
          <w:szCs w:val="24"/>
          <w:lang w:eastAsia="en-US"/>
        </w:rPr>
      </w:pPr>
      <w:r>
        <w:rPr>
          <w:szCs w:val="24"/>
          <w:lang w:eastAsia="en-US"/>
        </w:rPr>
        <w:lastRenderedPageBreak/>
        <w:t>(</w:t>
      </w:r>
      <w:r w:rsidR="003E0486" w:rsidRPr="003E0486">
        <w:rPr>
          <w:szCs w:val="24"/>
          <w:lang w:eastAsia="en-US"/>
        </w:rPr>
        <w:t>i)</w:t>
      </w:r>
      <w:r w:rsidR="003E0486" w:rsidRPr="003E0486">
        <w:rPr>
          <w:szCs w:val="24"/>
          <w:lang w:eastAsia="en-US"/>
        </w:rPr>
        <w:tab/>
        <w:t>materialer, komponenter, dele og lignende elementer, som indgår i de importerede varer</w:t>
      </w:r>
    </w:p>
    <w:p w14:paraId="6CEE4ECF" w14:textId="6738756F"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værktøj, matricer, forme og lignende genstande, der anvendes ved fremstilling af de importerede varer</w:t>
      </w:r>
    </w:p>
    <w:p w14:paraId="0D5239FD" w14:textId="0576D665"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materialer, der forbruges ved fremstillingen af de importerede varer, og</w:t>
      </w:r>
    </w:p>
    <w:p w14:paraId="268749D9" w14:textId="0424A37F"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iv)</w:t>
      </w:r>
      <w:r w:rsidR="003E0486" w:rsidRPr="003E0486">
        <w:rPr>
          <w:szCs w:val="24"/>
          <w:lang w:eastAsia="en-US"/>
        </w:rPr>
        <w:tab/>
        <w:t>ingeniørarbejde, udviklingsarbejde, kunst- og designarbejde samt tegninger og skitser, som udføres andetsteds end i Unionen, og som er nødvendige for fremstillingen af de importerede varer</w:t>
      </w:r>
    </w:p>
    <w:p w14:paraId="2F28C0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royalties og licensafgifter vedrørende varer, der skal værdiansættes, som køberen er forpligtet til at betale direkte eller indirekte som betingelse for salg af de varer, der skal værdiansættes, for så vidt sådanne royalties eller licensafgifter ikke er indbefattet i den pris, der faktisk er betalt eller skal betales</w:t>
      </w:r>
    </w:p>
    <w:p w14:paraId="49692C1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værdien af enhver del af provenuet ved senere videresalg, overdragelse eller anvendelse af de importerede varer, som direkte eller indirekte tilfalder sælgeren, og</w:t>
      </w:r>
    </w:p>
    <w:p w14:paraId="04D15CC0" w14:textId="77777777" w:rsidR="00BF6859" w:rsidRDefault="00BF6859">
      <w:pPr>
        <w:widowControl/>
        <w:rPr>
          <w:szCs w:val="24"/>
          <w:lang w:eastAsia="en-US"/>
        </w:rPr>
      </w:pPr>
      <w:r>
        <w:rPr>
          <w:szCs w:val="24"/>
          <w:lang w:eastAsia="en-US"/>
        </w:rPr>
        <w:br w:type="page"/>
      </w:r>
    </w:p>
    <w:p w14:paraId="62CC786B" w14:textId="3E6005F5"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følgende omkostninger indtil det sted, hvor varerne indføres i Unionens toldområde:</w:t>
      </w:r>
    </w:p>
    <w:p w14:paraId="59347E75" w14:textId="2F835CC7"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transport- og forsikringsomkostninger for de importerede varer og</w:t>
      </w:r>
    </w:p>
    <w:p w14:paraId="4DE42352" w14:textId="0D986D31"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omkostninger ved lastning og håndtering i forbindelse med transporten af de importerede varer.</w:t>
      </w:r>
    </w:p>
    <w:p w14:paraId="442BF24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Ethvert element, som i henhold til stk. 1 lægges til den pris, der faktisk er betalt eller skal betales, baseres udelukkende på objektive og målelige oplysninger.</w:t>
      </w:r>
    </w:p>
    <w:p w14:paraId="64FB7B4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Ved fastsættelse af toldværdien må intet lægges til den pris, der faktisk er betalt eller skal betales, medmindre det er hjemlet i denne artikel.</w:t>
      </w:r>
    </w:p>
    <w:p w14:paraId="1EB5C7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præciserer ved gennemførelsesretsakter procedurereglerne for fastsættelsen af toldværdien i overensstemmelse med denne artikel, herunder reglerne for justeringen af den pris, der faktisk er betalt eller skal betales. Disse gennemførelsesretsakter vedtages efter undersøgelsesproceduren i artikel 262, stk. 4.</w:t>
      </w:r>
    </w:p>
    <w:p w14:paraId="20EAB6E8" w14:textId="77777777" w:rsidR="00BF6859" w:rsidRDefault="00BF6859">
      <w:pPr>
        <w:widowControl/>
        <w:rPr>
          <w:szCs w:val="24"/>
          <w:lang w:eastAsia="en-US"/>
        </w:rPr>
      </w:pPr>
      <w:r>
        <w:rPr>
          <w:szCs w:val="24"/>
          <w:lang w:eastAsia="en-US"/>
        </w:rPr>
        <w:br w:type="page"/>
      </w:r>
    </w:p>
    <w:p w14:paraId="3EBC48D2" w14:textId="6EDFF5E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155</w:t>
      </w:r>
      <w:r w:rsidRPr="003E0486">
        <w:rPr>
          <w:szCs w:val="24"/>
          <w:lang w:eastAsia="en-US"/>
        </w:rPr>
        <w:br/>
        <w:t>Elementer, der ikke indgår i toldværdien</w:t>
      </w:r>
    </w:p>
    <w:p w14:paraId="58426B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Ved fastsættelse af toldværdi i henhold til artikel 153 må følgende ikke indgå:</w:t>
      </w:r>
    </w:p>
    <w:p w14:paraId="072C2E7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transportomkostninger for de importerede varer efter indførslen i Unionens toldområde</w:t>
      </w:r>
    </w:p>
    <w:p w14:paraId="450062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omkostninger vedrørende bygnings-, installations- eller monteringsarbejder, vedligeholdelse eller teknisk bistand, som er udført efter indførslen i Unionens toldområde af de importerede varer, såsom industrianlæg, -maskiner eller -materiel</w:t>
      </w:r>
    </w:p>
    <w:p w14:paraId="3ADA3F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renter i henhold til en af køberen indgået finansieringsordning, som vedrører købet af de importerede varer, uanset om finansieringen tilvejebringes af sælgeren eller en anden person, forudsat at finansieringsordningen er indgået skriftligt, og at køberen på forlangende kan påvise, at følgende betingelser er opfyldt:</w:t>
      </w:r>
    </w:p>
    <w:p w14:paraId="61BBC3CA" w14:textId="165FADF1"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r>
      <w:r w:rsidR="00D2369C">
        <w:rPr>
          <w:szCs w:val="24"/>
          <w:lang w:eastAsia="en-US"/>
        </w:rPr>
        <w:t>v</w:t>
      </w:r>
      <w:r w:rsidR="003E0486" w:rsidRPr="003E0486">
        <w:rPr>
          <w:szCs w:val="24"/>
          <w:lang w:eastAsia="en-US"/>
        </w:rPr>
        <w:t>arerne sælges faktisk til den pris, der angives som den pris, der faktisk er betalt eller skal betales</w:t>
      </w:r>
    </w:p>
    <w:p w14:paraId="71ECC2D1" w14:textId="77777777" w:rsidR="00BF6859" w:rsidRDefault="00BF6859">
      <w:pPr>
        <w:widowControl/>
        <w:rPr>
          <w:szCs w:val="24"/>
          <w:lang w:eastAsia="en-US"/>
        </w:rPr>
      </w:pPr>
      <w:r>
        <w:rPr>
          <w:szCs w:val="24"/>
          <w:lang w:eastAsia="en-US"/>
        </w:rPr>
        <w:br w:type="page"/>
      </w:r>
    </w:p>
    <w:p w14:paraId="7B531384" w14:textId="0173E28C" w:rsidR="003E0486" w:rsidRPr="003E0486" w:rsidRDefault="004634E2" w:rsidP="003E0486">
      <w:pPr>
        <w:spacing w:before="120" w:after="120" w:line="360" w:lineRule="auto"/>
        <w:ind w:left="1982" w:hanging="566"/>
        <w:rPr>
          <w:szCs w:val="24"/>
          <w:lang w:eastAsia="en-US"/>
        </w:rPr>
      </w:pPr>
      <w:r>
        <w:rPr>
          <w:szCs w:val="24"/>
          <w:lang w:eastAsia="en-US"/>
        </w:rPr>
        <w:lastRenderedPageBreak/>
        <w:t>(</w:t>
      </w:r>
      <w:r w:rsidR="003E0486" w:rsidRPr="003E0486">
        <w:rPr>
          <w:szCs w:val="24"/>
          <w:lang w:eastAsia="en-US"/>
        </w:rPr>
        <w:t>ii)</w:t>
      </w:r>
      <w:r w:rsidR="003E0486" w:rsidRPr="003E0486">
        <w:rPr>
          <w:szCs w:val="24"/>
          <w:lang w:eastAsia="en-US"/>
        </w:rPr>
        <w:tab/>
      </w:r>
      <w:r w:rsidR="00D2369C">
        <w:rPr>
          <w:szCs w:val="24"/>
          <w:lang w:eastAsia="en-US"/>
        </w:rPr>
        <w:t>d</w:t>
      </w:r>
      <w:r w:rsidR="003E0486" w:rsidRPr="003E0486">
        <w:rPr>
          <w:szCs w:val="24"/>
          <w:lang w:eastAsia="en-US"/>
        </w:rPr>
        <w:t>en angivne rentesats overstiger ikke det normale niveau for sådanne transaktioner i det land og på det tidspunkt, hvor finansieringen tilvejebringes</w:t>
      </w:r>
    </w:p>
    <w:p w14:paraId="3D20A7D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omkostninger i forbindelse med retten til at reproducere de importerede varer i Unionen indkøbsprovisioner</w:t>
      </w:r>
    </w:p>
    <w:p w14:paraId="28D2AFF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importafgifter og andre afgifter, som skal betales i Unionen i forbindelse med import eller salg af varerne</w:t>
      </w:r>
    </w:p>
    <w:p w14:paraId="35B4F1D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uanset artikel 154, stk. 1, litra c), betalinger, der foretages af køberen til gengæld for retten til at forhandle eller videresælge de importerede varer, hvis disse betalinger ikke er en betingelse for salget til eksport til Unionen af varerne.</w:t>
      </w:r>
    </w:p>
    <w:p w14:paraId="79AF9D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præciserer ved gennemførelsesretsakter procedurereglerne for fastsættelsen af toldværdien i overensstemmelse med denne artikel, herunder reglerne for justeringen af den pris, der faktisk er betalt eller skal betales. Disse gennemførelsesretsakter vedtages efter undersøgelsesproceduren i artikel 262, stk. 4.</w:t>
      </w:r>
    </w:p>
    <w:p w14:paraId="0AC65C1E" w14:textId="77777777" w:rsidR="00BF6859" w:rsidRDefault="00BF6859">
      <w:pPr>
        <w:widowControl/>
        <w:rPr>
          <w:szCs w:val="24"/>
          <w:lang w:eastAsia="en-US"/>
        </w:rPr>
      </w:pPr>
      <w:r>
        <w:rPr>
          <w:szCs w:val="24"/>
          <w:lang w:eastAsia="en-US"/>
        </w:rPr>
        <w:br w:type="page"/>
      </w:r>
    </w:p>
    <w:p w14:paraId="61364465" w14:textId="22FACE3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156</w:t>
      </w:r>
      <w:r w:rsidRPr="003E0486">
        <w:rPr>
          <w:szCs w:val="24"/>
          <w:lang w:eastAsia="en-US"/>
        </w:rPr>
        <w:br/>
        <w:t>Forenklinger</w:t>
      </w:r>
    </w:p>
    <w:p w14:paraId="79EAB7B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efter ansøgning tillade, at følgende beløb fastsættes på grundlag af specifikke kriterier, når de ikke kan opgøres på den dato, hvor toldangivelsen antages:</w:t>
      </w:r>
    </w:p>
    <w:p w14:paraId="3C9716A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beløb, der skal indgå i toldværdien i henhold til artikel 153, stk. 2, og</w:t>
      </w:r>
    </w:p>
    <w:p w14:paraId="0B4D45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beløb, der er omhandlet i artikel 154 og 155.</w:t>
      </w:r>
    </w:p>
    <w:p w14:paraId="2E68C17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importøren har valgt at anvende den forenklede toldbehandling ved fjernsalg, finder artikel 155, stk. 1, litra a), ikke anvendelse, og både transportomkostningerne for de importerede varer indtil det sted, hvor varerne indføres i Unionens toldområde, og transportomkostningerne efter deres ankomst til dette område medregnes i toldværdien.</w:t>
      </w:r>
    </w:p>
    <w:p w14:paraId="03D2BCF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tillægges beføjelser til at vedtage delegerede retsakter i overensstemmelse med artikel 261 med henblik på at supplere denne forordning ved at fastsætte betingelserne for tildeling af den i stk. 1 omhandlede bevilling.</w:t>
      </w:r>
    </w:p>
    <w:p w14:paraId="0A5F2FD1" w14:textId="77777777" w:rsidR="00BF6859" w:rsidRDefault="00BF6859">
      <w:pPr>
        <w:widowControl/>
        <w:rPr>
          <w:szCs w:val="24"/>
          <w:lang w:eastAsia="en-US"/>
        </w:rPr>
      </w:pPr>
      <w:r>
        <w:rPr>
          <w:szCs w:val="24"/>
          <w:lang w:eastAsia="en-US"/>
        </w:rPr>
        <w:br w:type="page"/>
      </w:r>
    </w:p>
    <w:p w14:paraId="46A6FA56" w14:textId="76C8A49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157</w:t>
      </w:r>
      <w:r w:rsidRPr="003E0486">
        <w:rPr>
          <w:szCs w:val="24"/>
          <w:lang w:eastAsia="en-US"/>
        </w:rPr>
        <w:br/>
        <w:t>Sekundære metoder til toldværdiansættelse</w:t>
      </w:r>
    </w:p>
    <w:p w14:paraId="0EDE831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varers toldværdi ikke kan fastsættes i henhold til artikel 153, fastsættes denne efter stk. 2 i rækkefølge fra litra a) til d), indtil det litra, efter hvilket varernes toldværdi kan fastsættes.</w:t>
      </w:r>
    </w:p>
    <w:p w14:paraId="0957FEFF" w14:textId="77777777" w:rsidR="003E0486" w:rsidRPr="003E0486" w:rsidRDefault="003E0486" w:rsidP="003E0486">
      <w:pPr>
        <w:spacing w:before="120" w:after="120" w:line="360" w:lineRule="auto"/>
        <w:ind w:left="850"/>
        <w:rPr>
          <w:szCs w:val="24"/>
          <w:lang w:eastAsia="en-US"/>
        </w:rPr>
      </w:pPr>
      <w:r w:rsidRPr="003E0486">
        <w:rPr>
          <w:szCs w:val="24"/>
          <w:lang w:eastAsia="en-US"/>
        </w:rPr>
        <w:t>Stk. 2, litra c) og d), kan finde anvendelse i omvendt rækkefølge, hvis importøren eller eksportøren eller eventuelt klarereren anmoder herom.</w:t>
      </w:r>
    </w:p>
    <w:p w14:paraId="0FDE36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medfør af stk. 1 er toldværdien:</w:t>
      </w:r>
    </w:p>
    <w:p w14:paraId="5AEB4E9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transaktionsværdien af tilsvarende varer, som sælges til eksport til Unionens toldområde og eksporteres på samme eller næsten samme tidspunkt som de varer, der skal værdiansættes</w:t>
      </w:r>
    </w:p>
    <w:p w14:paraId="1031F6C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transaktionsværdien af lignende varer, som sælges til eksport til Unionens toldområde og eksporteres på samme eller næsten samme tidspunkt som de varer, der skal værdiansættes</w:t>
      </w:r>
    </w:p>
    <w:p w14:paraId="67D6066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en værdi baseret på enhedsprisen ved salg i Unionens toldområde af den største samlede mængde af de importerede varer eller tilsvarende eller lignende importerede varer til personer, der ikke er afhængige af sælgerne, eller</w:t>
      </w:r>
    </w:p>
    <w:p w14:paraId="7EB4342C" w14:textId="77777777" w:rsidR="00BF6859" w:rsidRDefault="00BF6859">
      <w:pPr>
        <w:widowControl/>
        <w:rPr>
          <w:szCs w:val="24"/>
          <w:lang w:eastAsia="en-US"/>
        </w:rPr>
      </w:pPr>
      <w:r>
        <w:rPr>
          <w:szCs w:val="24"/>
          <w:lang w:eastAsia="en-US"/>
        </w:rPr>
        <w:br w:type="page"/>
      </w:r>
    </w:p>
    <w:p w14:paraId="18C0F896" w14:textId="00BA1B41"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(d)</w:t>
      </w:r>
      <w:r w:rsidRPr="003E0486">
        <w:rPr>
          <w:szCs w:val="24"/>
          <w:lang w:eastAsia="en-US"/>
        </w:rPr>
        <w:tab/>
        <w:t>den beregnede værdi, der udgør summen af:</w:t>
      </w:r>
    </w:p>
    <w:p w14:paraId="3E0D516F" w14:textId="4B81BA93"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prisen for eller værdien af materialer og fremstilling eller andre arbejdsprocesser ved fremstillingen af de importerede varer</w:t>
      </w:r>
    </w:p>
    <w:p w14:paraId="1FF9D8FB" w14:textId="222152E6"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et beløb for avancer og generalomkostninger svarende til, hvad der almindeligvis indgår i salg af varer af samme art eller beskaffenhed som de varer, der skal værdiansættes, og som fremstilles af producenter i eksportlandet til eksport til Unionen</w:t>
      </w:r>
    </w:p>
    <w:p w14:paraId="4F05DDDD" w14:textId="66FD5789" w:rsidR="003E0486" w:rsidRPr="003E0486" w:rsidRDefault="004634E2"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prisen for eller værdien af de i artikel 154, stk. 1, litra e), omhandlede elementer.</w:t>
      </w:r>
    </w:p>
    <w:p w14:paraId="2F1D487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toldværdien ikke kan fastsættes i henhold til stk. 1, fastsættes den på grundlag af tilgængelige data i Unionens toldområde og ifølge rimelige fremgangsmåder, der er forenelige med principperne og de almindelige bestemmelser i samtlige følgende:</w:t>
      </w:r>
    </w:p>
    <w:p w14:paraId="1171EDA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aftalen om anvendelse af artikel VII i den almindelige overenskomst om told og udenrigshandel</w:t>
      </w:r>
    </w:p>
    <w:p w14:paraId="5AB5D84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artikel VII i den almindelige overenskomst om told og udenrigshandel</w:t>
      </w:r>
    </w:p>
    <w:p w14:paraId="0D37351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dette kapitel.</w:t>
      </w:r>
    </w:p>
    <w:p w14:paraId="2B1920EF" w14:textId="77777777" w:rsidR="00BF6859" w:rsidRDefault="00BF6859">
      <w:pPr>
        <w:widowControl/>
        <w:rPr>
          <w:szCs w:val="24"/>
          <w:lang w:eastAsia="en-US"/>
        </w:rPr>
      </w:pPr>
      <w:r>
        <w:rPr>
          <w:szCs w:val="24"/>
          <w:lang w:eastAsia="en-US"/>
        </w:rPr>
        <w:br w:type="page"/>
      </w:r>
    </w:p>
    <w:p w14:paraId="19FCCBFD" w14:textId="6242789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præciserer ved gennemførelsesretsakter procedurereglerne for fastsættelse af toldværdien som omhandlet i denne artikel. Disse gennemførelsesretsakter vedtages efter undersøgelsesproceduren i artikel 262, stk. 4.</w:t>
      </w:r>
    </w:p>
    <w:p w14:paraId="122A5C7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158</w:t>
      </w:r>
      <w:r w:rsidRPr="003E0486">
        <w:rPr>
          <w:szCs w:val="24"/>
          <w:lang w:eastAsia="en-US"/>
        </w:rPr>
        <w:br/>
        <w:t>Fastsættelse af varernes værdi i specifikke situationer</w:t>
      </w:r>
    </w:p>
    <w:p w14:paraId="7E29F381" w14:textId="77777777" w:rsidR="003E0486" w:rsidRPr="003E0486" w:rsidRDefault="003E0486" w:rsidP="003E0486">
      <w:pPr>
        <w:spacing w:before="120" w:after="120" w:line="360" w:lineRule="auto"/>
        <w:rPr>
          <w:szCs w:val="24"/>
          <w:lang w:eastAsia="en-US"/>
        </w:rPr>
      </w:pPr>
      <w:r w:rsidRPr="003E0486">
        <w:rPr>
          <w:szCs w:val="24"/>
          <w:lang w:eastAsia="en-US"/>
        </w:rPr>
        <w:t>Kommissionen kan ved hjælp af gennemførelsesretsakter vedtage foranstaltninger, der fastlægger en passende metode til toldværdiansættelse eller kriterier herfor, der skal anvendes til at fastsætte toldværdien af varer i specifikke situationer. Disse gennemførelsesretsakter vedtages efter undersøgelsesproceduren i artikel 262, stk. 4.</w:t>
      </w:r>
    </w:p>
    <w:p w14:paraId="2A6F977F" w14:textId="77777777" w:rsidR="003E0486" w:rsidRPr="003E0486" w:rsidRDefault="003E0486" w:rsidP="003E0486">
      <w:pPr>
        <w:spacing w:before="120" w:after="120" w:line="360" w:lineRule="auto"/>
        <w:rPr>
          <w:szCs w:val="24"/>
          <w:lang w:eastAsia="en-US"/>
        </w:rPr>
      </w:pPr>
      <w:r w:rsidRPr="003E0486">
        <w:rPr>
          <w:szCs w:val="24"/>
          <w:lang w:eastAsia="en-US"/>
        </w:rPr>
        <w:t>I særligt hastende tilfælde, som berører de pågældende foranstaltninger, hvor det er behørigt begrundet i behovet for hurtigt at sikre en korrekt og ensartet anvendelse af reglerne for fastsættelse af varers toldværdi, vedtager Kommissionen efter proceduren i artikel 262, stk. 5, gennemførelsesretsakter, der finder anvendelse straks.</w:t>
      </w:r>
    </w:p>
    <w:p w14:paraId="74623BDB" w14:textId="77777777" w:rsidR="00BF6859" w:rsidRDefault="00BF6859">
      <w:pPr>
        <w:widowControl/>
        <w:rPr>
          <w:szCs w:val="24"/>
          <w:lang w:eastAsia="en-US"/>
        </w:rPr>
      </w:pPr>
      <w:r>
        <w:rPr>
          <w:szCs w:val="24"/>
          <w:lang w:eastAsia="en-US"/>
        </w:rPr>
        <w:br w:type="page"/>
      </w:r>
    </w:p>
    <w:p w14:paraId="1613B1E4" w14:textId="7E112FC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X </w:t>
      </w:r>
      <w:r w:rsidRPr="003E0486">
        <w:rPr>
          <w:szCs w:val="24"/>
          <w:lang w:eastAsia="en-US"/>
        </w:rPr>
        <w:br/>
        <w:t>TOLDSKYLD OG SIKKERHEDSSTILLELSE</w:t>
      </w:r>
    </w:p>
    <w:p w14:paraId="0C9C27A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Toldskyldens opståen</w:t>
      </w:r>
    </w:p>
    <w:p w14:paraId="5DA94758"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Toldskyld ved import</w:t>
      </w:r>
    </w:p>
    <w:p w14:paraId="4222DE7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159</w:t>
      </w:r>
      <w:r w:rsidRPr="003E0486">
        <w:rPr>
          <w:szCs w:val="24"/>
          <w:lang w:eastAsia="en-US"/>
        </w:rPr>
        <w:br/>
        <w:t>Overgang til fri omsætning og midlertidig import</w:t>
      </w:r>
    </w:p>
    <w:p w14:paraId="4EBDAA3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Importøren pådrager sig en toldskyld på tidspunktet for varernes overgang til fri omsætning, henførsel under proceduren for særligt anvendelsesformål eller henførsel under proceduren for midlertidig import med delvis fritagelse for importafgifter.</w:t>
      </w:r>
    </w:p>
    <w:p w14:paraId="5D36D24C" w14:textId="0D48B7CF" w:rsidR="003E0486" w:rsidRPr="00C82C23"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Importøren er debitor. I tilfælde af indirekte repræsentation er importøren og den person, på hvis vegne importøren handler, både debitorer og solidarisk hæftende for toldskylden.</w:t>
      </w:r>
      <w:r w:rsidRPr="003E0486">
        <w:rPr>
          <w:b/>
          <w:i/>
          <w:szCs w:val="24"/>
          <w:lang w:eastAsia="en-US"/>
        </w:rPr>
        <w:t xml:space="preserve"> Denne person er ansvarlig for betaling af eventuelle andre gældende gebyrer.</w:t>
      </w:r>
      <w:r w:rsidR="00C82C23">
        <w:rPr>
          <w:b/>
          <w:szCs w:val="24"/>
          <w:lang w:eastAsia="en-US"/>
        </w:rPr>
        <w:t xml:space="preserve"> [Ændring 197]</w:t>
      </w:r>
    </w:p>
    <w:p w14:paraId="1B2E85CD" w14:textId="77777777" w:rsidR="003E0486" w:rsidRPr="003E0486" w:rsidRDefault="003E0486" w:rsidP="003E0486">
      <w:pPr>
        <w:spacing w:before="120" w:after="120" w:line="360" w:lineRule="auto"/>
        <w:ind w:left="850"/>
        <w:rPr>
          <w:szCs w:val="24"/>
          <w:lang w:eastAsia="en-US"/>
        </w:rPr>
      </w:pPr>
      <w:r w:rsidRPr="003E0486">
        <w:rPr>
          <w:szCs w:val="24"/>
          <w:lang w:eastAsia="en-US"/>
        </w:rPr>
        <w:t>Er de oplysninger, der er blevet meddelt eller gjort tilgængelige med henblik på de i stk. 1 nævnte procedurer, årsag til, at alle eller dele af importafgifterne ikke opkræves, bliver den person, der har meddelt oplysningerne, og som vidste eller som med rimelighed burde have vidst, at de pågældende oplysninger var forkerte, også debitor.</w:t>
      </w:r>
    </w:p>
    <w:p w14:paraId="30F4E813" w14:textId="77777777" w:rsidR="00BF6859" w:rsidRDefault="00BF6859">
      <w:pPr>
        <w:widowControl/>
        <w:rPr>
          <w:szCs w:val="24"/>
          <w:lang w:eastAsia="en-US"/>
        </w:rPr>
      </w:pPr>
      <w:r>
        <w:rPr>
          <w:szCs w:val="24"/>
          <w:lang w:eastAsia="en-US"/>
        </w:rPr>
        <w:br w:type="page"/>
      </w:r>
    </w:p>
    <w:p w14:paraId="62CFDB4B" w14:textId="4EBD6AB4" w:rsidR="003E0486" w:rsidRPr="00C82C23" w:rsidRDefault="003E0486" w:rsidP="003E0486">
      <w:pPr>
        <w:spacing w:before="120" w:after="120" w:line="360" w:lineRule="auto"/>
        <w:ind w:left="850" w:hanging="850"/>
        <w:rPr>
          <w:b/>
          <w:szCs w:val="24"/>
          <w:lang w:eastAsia="en-US"/>
        </w:rPr>
      </w:pPr>
      <w:r w:rsidRPr="003E0486">
        <w:rPr>
          <w:szCs w:val="24"/>
          <w:lang w:eastAsia="en-US"/>
        </w:rPr>
        <w:lastRenderedPageBreak/>
        <w:t>3.</w:t>
      </w:r>
      <w:r w:rsidRPr="003E0486">
        <w:rPr>
          <w:szCs w:val="24"/>
          <w:lang w:eastAsia="en-US"/>
        </w:rPr>
        <w:tab/>
        <w:t xml:space="preserve">Når afsnit XII, kapitel 6, afdeling 4, i direktiv 2006/112/EF finder anvendelse på fjernsalg af varer, der skal importeres fra tredjelande eller tredjelandsområder til en </w:t>
      </w:r>
      <w:r w:rsidRPr="003E0486">
        <w:rPr>
          <w:strike/>
          <w:szCs w:val="24"/>
          <w:lang w:eastAsia="en-US"/>
        </w:rPr>
        <w:t>kunde</w:t>
      </w:r>
      <w:r w:rsidRPr="003E0486">
        <w:rPr>
          <w:b/>
          <w:i/>
          <w:szCs w:val="24"/>
          <w:lang w:eastAsia="en-US"/>
        </w:rPr>
        <w:t>slutkunde</w:t>
      </w:r>
      <w:r w:rsidRPr="003E0486">
        <w:rPr>
          <w:szCs w:val="24"/>
          <w:lang w:eastAsia="en-US"/>
        </w:rPr>
        <w:t xml:space="preserve"> i Unionens toldområde, pådrager den formelle importør sig en toldskyld, når betalingen for fjernsalget accepteres, og denne bliver debitor.</w:t>
      </w:r>
      <w:r w:rsidRPr="003E0486">
        <w:rPr>
          <w:b/>
          <w:i/>
          <w:szCs w:val="24"/>
          <w:lang w:eastAsia="en-US"/>
        </w:rPr>
        <w:t xml:space="preserve"> Den formelle importør er også ansvarlig for betaling af eventuelle andre gældende gebyrer.</w:t>
      </w:r>
      <w:r w:rsidR="00C82C23">
        <w:rPr>
          <w:b/>
          <w:szCs w:val="24"/>
          <w:lang w:eastAsia="en-US"/>
        </w:rPr>
        <w:t xml:space="preserve"> [Ændring 198]</w:t>
      </w:r>
    </w:p>
    <w:p w14:paraId="5B1CB39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160</w:t>
      </w:r>
      <w:r w:rsidRPr="003E0486">
        <w:rPr>
          <w:szCs w:val="24"/>
          <w:lang w:eastAsia="en-US"/>
        </w:rPr>
        <w:br/>
        <w:t>Særlige bestemmelser vedrørende varer uden oprindelsesstatus</w:t>
      </w:r>
    </w:p>
    <w:p w14:paraId="7721D46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Eksportøren pådrager sig en toldskyld på tidspunktet for frigivelsen af produkterne til eksport, hvis:</w:t>
      </w:r>
    </w:p>
    <w:p w14:paraId="67DDA67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det i en præferenceordning mellem Unionen og visse tredjelande eller grupper af sådanne lande er fastsat, at præferencetoldbehandlingen af produkter med oprindelse i Unionen kræver, at der betales importafgifter af varer uden oprindelsesstatus, der anvendes til deres fremstilling, og</w:t>
      </w:r>
    </w:p>
    <w:p w14:paraId="3D480E9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der er udstedt eller udfærdiget et oprindelsesbevis for disse produkter.</w:t>
      </w:r>
    </w:p>
    <w:p w14:paraId="19ECB2F1" w14:textId="77777777" w:rsidR="00BF6859" w:rsidRDefault="00BF6859">
      <w:pPr>
        <w:widowControl/>
        <w:rPr>
          <w:szCs w:val="24"/>
          <w:lang w:eastAsia="en-US"/>
        </w:rPr>
      </w:pPr>
      <w:r>
        <w:rPr>
          <w:szCs w:val="24"/>
          <w:lang w:eastAsia="en-US"/>
        </w:rPr>
        <w:br w:type="page"/>
      </w:r>
    </w:p>
    <w:p w14:paraId="10650EF4" w14:textId="3E77EDD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Eksportøren beregner det importafgiftsbeløb, som svarer til toldskylden, som om de varer uden oprindelsesstatus, der blev anvendt til fremstilling af de produkter, der eksporteres, var overgået til fri omsætning på samme dato.</w:t>
      </w:r>
    </w:p>
    <w:p w14:paraId="0FFB546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tilfælde af indirekte repræsentation bliver eksportøren og den person, på hvis vegne eksportøren handler, både debitorer og solidarisk hæftende for toldskylden.</w:t>
      </w:r>
    </w:p>
    <w:p w14:paraId="37E28C6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161</w:t>
      </w:r>
      <w:r w:rsidRPr="003E0486">
        <w:rPr>
          <w:szCs w:val="24"/>
          <w:lang w:eastAsia="en-US"/>
        </w:rPr>
        <w:br/>
        <w:t>Toldskyld, der opstår som følge af en manglende efterlevelse</w:t>
      </w:r>
    </w:p>
    <w:p w14:paraId="093104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For så vidt angår varer, der er importafgiftspligtige, opstår der toldskyld ved import ved manglende overholdelse af:</w:t>
      </w:r>
    </w:p>
    <w:p w14:paraId="388F9E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af forpligtelserne i toldlovgivningen ved indførsel af ikke-EU-varer i Unionens toldområde, ved deres fjernelse fra toldtilsyn eller ved transport, forædling, oplagring, midlertidig opbevaring, midlertidig import eller bortskaffelse af sådanne varer inden for dette område</w:t>
      </w:r>
    </w:p>
    <w:p w14:paraId="25BDAE70" w14:textId="77777777" w:rsidR="00BF6859" w:rsidRDefault="00BF6859">
      <w:pPr>
        <w:widowControl/>
        <w:rPr>
          <w:szCs w:val="24"/>
          <w:lang w:eastAsia="en-US"/>
        </w:rPr>
      </w:pPr>
      <w:r>
        <w:rPr>
          <w:szCs w:val="24"/>
          <w:lang w:eastAsia="en-US"/>
        </w:rPr>
        <w:br w:type="page"/>
      </w:r>
    </w:p>
    <w:p w14:paraId="78CB0325" w14:textId="28998CD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en af forpligtelserne i toldlovgivningen om varers særlige anvendelsesformål inden for Unionens toldområde</w:t>
      </w:r>
    </w:p>
    <w:p w14:paraId="1F448DE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en betingelse for at henføre ikke-EU-varer under en toldprocedure eller for at indrømme afgiftsfritagelse eller en nedsat importafgift på grund af varernes særlige anvendelsesformål.</w:t>
      </w:r>
    </w:p>
    <w:p w14:paraId="2404299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Toldskylden opstår på et af følgende tidspunkter:</w:t>
      </w:r>
    </w:p>
    <w:p w14:paraId="4EBC3D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på det tidspunkt, hvor den forpligtelse, hvis manglende opfyldelse giver anledning til toldskylden, ikke er overholdt eller ophører med at være overholdt</w:t>
      </w:r>
    </w:p>
    <w:p w14:paraId="268E5C7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på det tidspunkt, hvor varer henføres under en toldprocedure, når det efterfølgende viser sig, at en af betingelserne for at henføre varerne under den pågældende procedure eller for at indrømme afgiftsfritagelse eller en nedsat importafgift på grund af varernes særlige anvendelsesformål reelt ikke var opfyldt.</w:t>
      </w:r>
    </w:p>
    <w:p w14:paraId="3E7D119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de tilfælde, der er omhandlet i stk. 1, litra a) og b), er debitor en af følgende:</w:t>
      </w:r>
    </w:p>
    <w:p w14:paraId="5F18FD6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enhver person, som det påhvilede at opfylde de pågældende forpligtelser</w:t>
      </w:r>
    </w:p>
    <w:p w14:paraId="5501AAFF" w14:textId="77777777" w:rsidR="00BF6859" w:rsidRDefault="00BF6859">
      <w:pPr>
        <w:widowControl/>
        <w:rPr>
          <w:szCs w:val="24"/>
          <w:lang w:eastAsia="en-US"/>
        </w:rPr>
      </w:pPr>
      <w:r>
        <w:rPr>
          <w:szCs w:val="24"/>
          <w:lang w:eastAsia="en-US"/>
        </w:rPr>
        <w:br w:type="page"/>
      </w:r>
    </w:p>
    <w:p w14:paraId="5CBE9563" w14:textId="78D9C25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enhver person, som vidste eller med rimelighed burde have vidst, at en af forpligtelserne i toldforskrifterne ikke var opfyldt, og som handlede på vegne af den person, der var forpligtet til at opfylde forpligtelsen, eller som medvirkede i den handling, der førte til manglende opfyldelse af forpligtelsen</w:t>
      </w:r>
    </w:p>
    <w:p w14:paraId="1675D48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enhver person, der erhvervede eller opbevarede de pågældende varer, og som på det tidspunkt, hvor den pågældende erhvervede eller modtog varerne, vidste eller med rimelighed burde have vidst, at en af forpligtelserne i henhold til toldlovgivningen ikke var opfyldt.</w:t>
      </w:r>
    </w:p>
    <w:p w14:paraId="4167FA0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 de tilfælde, der er angivet i stk. 1, litra c), er debitor den person, som det påhviler at overholde de betingelser, der gælder for henførsel af varerne under en toldprocedure eller for indrømmelse af afgiftsfritagelse eller nedsat importafgift på grund af varernes særlige anvendelsesformål.</w:t>
      </w:r>
    </w:p>
    <w:p w14:paraId="4CF04326" w14:textId="77777777" w:rsidR="003E0486" w:rsidRPr="003E0486" w:rsidRDefault="003E0486" w:rsidP="003E0486">
      <w:pPr>
        <w:spacing w:before="120" w:after="120" w:line="360" w:lineRule="auto"/>
        <w:ind w:left="850"/>
        <w:rPr>
          <w:szCs w:val="24"/>
          <w:lang w:eastAsia="en-US"/>
        </w:rPr>
      </w:pPr>
      <w:r w:rsidRPr="003E0486">
        <w:rPr>
          <w:szCs w:val="24"/>
          <w:lang w:eastAsia="en-US"/>
        </w:rPr>
        <w:t>Hvis de oplysninger, som skal indgives i henhold til toldlovgivningen vedrørende betingelserne for at henføre varerne under denne toldprocedure, meddeles toldmyndighederne, og disse oplysninger fører til, at alle eller dele af importafgifterne ikke opkræves, er den person, der har meddelt oplysningerne, og som vidste eller med rimelighed burde have vidst, at de pågældende oplysninger var forkerte, også debitor.</w:t>
      </w:r>
    </w:p>
    <w:p w14:paraId="5EA5F1F5" w14:textId="77777777" w:rsidR="00BF6859" w:rsidRDefault="00BF6859">
      <w:pPr>
        <w:widowControl/>
        <w:rPr>
          <w:szCs w:val="24"/>
          <w:lang w:eastAsia="en-US"/>
        </w:rPr>
      </w:pPr>
      <w:r>
        <w:rPr>
          <w:szCs w:val="24"/>
          <w:lang w:eastAsia="en-US"/>
        </w:rPr>
        <w:br w:type="page"/>
      </w:r>
    </w:p>
    <w:p w14:paraId="384CE9C3" w14:textId="3C09CA6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162</w:t>
      </w:r>
      <w:r w:rsidRPr="003E0486">
        <w:rPr>
          <w:szCs w:val="24"/>
          <w:lang w:eastAsia="en-US"/>
        </w:rPr>
        <w:br/>
        <w:t>Fradrag af et allerede betalt importafgiftsbeløb</w:t>
      </w:r>
    </w:p>
    <w:p w14:paraId="79B0B9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der opstår toldskyld i henhold til artikel 161, stk. 1, for varer, der er overgået til fri omsætning til nedsat importafgift på grund af deres særlige anvendelsesformål, trækkes det importafgiftsbeløb, der blev betalt ved overgang til fri omsætning, fra det importafgiftsbeløb, der svarer til toldskyldsbeløbet.</w:t>
      </w:r>
    </w:p>
    <w:p w14:paraId="0BC29D0B" w14:textId="77777777" w:rsidR="003E0486" w:rsidRPr="003E0486" w:rsidRDefault="003E0486" w:rsidP="003E0486">
      <w:pPr>
        <w:spacing w:before="120" w:after="120" w:line="360" w:lineRule="auto"/>
        <w:ind w:left="850"/>
        <w:rPr>
          <w:szCs w:val="24"/>
          <w:lang w:eastAsia="en-US"/>
        </w:rPr>
      </w:pPr>
      <w:r w:rsidRPr="003E0486">
        <w:rPr>
          <w:szCs w:val="24"/>
          <w:lang w:eastAsia="en-US"/>
        </w:rPr>
        <w:t>Første afsnit finder anvendelse, hvis der opstår toldskyld for affald og skrot efter tilintetgørelse af sådanne varer.</w:t>
      </w:r>
    </w:p>
    <w:p w14:paraId="440F541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der opstår toldskyld i henhold til artikel 159, stk. 1, eller artikel 161, stk. 1, for varer, der er henført under proceduren for midlertidig import med delvis fritagelse for importafgifter, trækkes det importafgiftsbeløb, der blev betalt i medfør af delvis fritagelse, fra det importafgiftsbeløb, der svarer til toldskyldsbeløbet.</w:t>
      </w:r>
    </w:p>
    <w:p w14:paraId="7D29D215" w14:textId="77777777" w:rsidR="00BF6859" w:rsidRDefault="00BF6859">
      <w:pPr>
        <w:widowControl/>
        <w:rPr>
          <w:szCs w:val="24"/>
          <w:lang w:eastAsia="en-US"/>
        </w:rPr>
      </w:pPr>
      <w:r>
        <w:rPr>
          <w:szCs w:val="24"/>
          <w:lang w:eastAsia="en-US"/>
        </w:rPr>
        <w:br w:type="page"/>
      </w:r>
    </w:p>
    <w:p w14:paraId="1B19A676" w14:textId="1F403479"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2 </w:t>
      </w:r>
      <w:r w:rsidRPr="003E0486">
        <w:rPr>
          <w:szCs w:val="24"/>
          <w:lang w:eastAsia="en-US"/>
        </w:rPr>
        <w:br/>
        <w:t>Toldskyld ved eksport</w:t>
      </w:r>
    </w:p>
    <w:p w14:paraId="4213C7D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163</w:t>
      </w:r>
      <w:r w:rsidRPr="003E0486">
        <w:rPr>
          <w:szCs w:val="24"/>
          <w:lang w:eastAsia="en-US"/>
        </w:rPr>
        <w:br/>
        <w:t>Eksport og passiv forædling</w:t>
      </w:r>
    </w:p>
    <w:p w14:paraId="0BE7890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Eksportøren pådrager sig en toldskyld på tidspunktet for frigivelsen af eksportafgiftspligtige varer under eksportproceduren eller proceduren for passiv forædling.</w:t>
      </w:r>
    </w:p>
    <w:p w14:paraId="4C80DBA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Eksportøren er debitor. I tilfælde af indirekte repræsentation bliver eksportøren og den person, på hvis vegne eksportøren handler, både debitorer og solidarisk hæftende for toldskylden.</w:t>
      </w:r>
    </w:p>
    <w:p w14:paraId="0676CCF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Er oplysningerne, der er blevet meddelt med henblik på henførsel af varerne under eksportproceduren årsag til, at alle eller dele af eksportafgifterne ikke opkræves, er den person, der har meddelt oplysningerne, og som vidste eller som med rimelighed burde have vidst, at de pågældende oplysninger var forkerte, også debitor.</w:t>
      </w:r>
    </w:p>
    <w:p w14:paraId="26CD2E22" w14:textId="77777777" w:rsidR="00BF6859" w:rsidRDefault="00BF6859">
      <w:pPr>
        <w:widowControl/>
        <w:rPr>
          <w:szCs w:val="24"/>
          <w:lang w:eastAsia="en-US"/>
        </w:rPr>
      </w:pPr>
      <w:r>
        <w:rPr>
          <w:szCs w:val="24"/>
          <w:lang w:eastAsia="en-US"/>
        </w:rPr>
        <w:br w:type="page"/>
      </w:r>
    </w:p>
    <w:p w14:paraId="16A2D869" w14:textId="486D5E7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164</w:t>
      </w:r>
      <w:r w:rsidRPr="003E0486">
        <w:rPr>
          <w:szCs w:val="24"/>
          <w:lang w:eastAsia="en-US"/>
        </w:rPr>
        <w:br/>
        <w:t>Toldskyld, der opstår som følge af en manglende efterlevelse</w:t>
      </w:r>
    </w:p>
    <w:p w14:paraId="0054E71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For så vidt angår varer, der er eksportafgiftspligtige, opstår der toldskyld ved eksport ved manglende overholdelse af:</w:t>
      </w:r>
    </w:p>
    <w:p w14:paraId="5432715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af forpligtelserne i toldlovgivningen om udpassage af varer</w:t>
      </w:r>
    </w:p>
    <w:p w14:paraId="2E32E67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betingelser, på hvilke varerne kunne føres ud af Unionens toldområde med fuldstændig eller delvis fritagelse for eksportafgifter.</w:t>
      </w:r>
    </w:p>
    <w:p w14:paraId="71C0D6A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Toldskylden opstår på et af følgende tidspunkter:</w:t>
      </w:r>
    </w:p>
    <w:p w14:paraId="0DF8641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på det tidspunkt, hvor varerne faktisk føres ud af Unionens toldområde, uden at oplysningerne om en sådan eksport er meddelt toldmyndighederne</w:t>
      </w:r>
    </w:p>
    <w:p w14:paraId="0D24BDD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på det tidspunkt, hvor varerne anvendes til et andet formål end det, med henblik på hvilket de fik tilladelse til at blive ført ud af Unionens toldområde med fuldstændig eller delvis fritagelse for eksportafgifter</w:t>
      </w:r>
    </w:p>
    <w:p w14:paraId="5594BC9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hvis toldmyndighederne ikke kan fastslå det tidspunkt, der omhandles i litra b), på det tidspunkt, hvor fristen udløber for fremlæggelse af bevis for, at de fastsatte betingelser for opnåelse af denne fritagelse er blevet opfyldt.</w:t>
      </w:r>
    </w:p>
    <w:p w14:paraId="595B8D9C" w14:textId="77777777" w:rsidR="00BF6859" w:rsidRDefault="00BF6859">
      <w:pPr>
        <w:widowControl/>
        <w:rPr>
          <w:szCs w:val="24"/>
          <w:lang w:eastAsia="en-US"/>
        </w:rPr>
      </w:pPr>
      <w:r>
        <w:rPr>
          <w:szCs w:val="24"/>
          <w:lang w:eastAsia="en-US"/>
        </w:rPr>
        <w:br w:type="page"/>
      </w:r>
    </w:p>
    <w:p w14:paraId="46150AD6" w14:textId="286F855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I de i stk. 1, litra a), nævnte tilfælde er debitor en af følgende:</w:t>
      </w:r>
    </w:p>
    <w:p w14:paraId="304D7CE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enhver person, som det påhvilede at opfylde den pågældende forpligtelse</w:t>
      </w:r>
    </w:p>
    <w:p w14:paraId="27BC5BA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enhver person, som vidste eller med rimelighed burde have vidst, at den pågældende forpligtelse ikke var opfyldt, og som handlede på vegne af den person, der var forpligtet til at opfylde forpligtelsen</w:t>
      </w:r>
    </w:p>
    <w:p w14:paraId="00147A4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enhver person, der har medvirket i den handling, som førte til manglende opfyldelse af forpligtelserne, og som vidste eller med rimelighed burde have vidst, at de nødvendige oplysninger ikke var blevet meddelt, eller, såfremt det er relevant, at der ikke var, men burde have været indgivet en toldangivelse.</w:t>
      </w:r>
    </w:p>
    <w:p w14:paraId="2CA28A4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I de i stk. 1, litra b), nævnte tilfælde er debitor enhver person, som skal overholde de betingelser, på hvilke det var tilladt at føre varerne ud af Unionens toldområde med fuldstændig eller delvis fritagelse for eksportafgifter.</w:t>
      </w:r>
    </w:p>
    <w:p w14:paraId="4A871E45" w14:textId="77777777" w:rsidR="00BF6859" w:rsidRDefault="00BF6859">
      <w:pPr>
        <w:widowControl/>
        <w:rPr>
          <w:szCs w:val="24"/>
          <w:lang w:eastAsia="en-US"/>
        </w:rPr>
      </w:pPr>
      <w:r>
        <w:rPr>
          <w:szCs w:val="24"/>
          <w:lang w:eastAsia="en-US"/>
        </w:rPr>
        <w:br w:type="page"/>
      </w:r>
    </w:p>
    <w:p w14:paraId="72A03D0E" w14:textId="28547131"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3 </w:t>
      </w:r>
      <w:r w:rsidRPr="003E0486">
        <w:rPr>
          <w:szCs w:val="24"/>
          <w:lang w:eastAsia="en-US"/>
        </w:rPr>
        <w:br/>
        <w:t>Fælles bestemmelser for toldskyld, der er opstået ved import og eksport</w:t>
      </w:r>
    </w:p>
    <w:p w14:paraId="0853397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165</w:t>
      </w:r>
      <w:r w:rsidRPr="003E0486">
        <w:rPr>
          <w:szCs w:val="24"/>
          <w:lang w:eastAsia="en-US"/>
        </w:rPr>
        <w:br/>
        <w:t>Toldskyld i tilfælde af forbud og restriktioner</w:t>
      </w:r>
    </w:p>
    <w:p w14:paraId="7BCFB1E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opstår toldskyld ved import eller eksport, selv om den vedrører varer, der er omfattet af anden lovgivning, der anvendes af toldmyndighederne på import eller eksport, uanset varernes art.</w:t>
      </w:r>
    </w:p>
    <w:p w14:paraId="69E84B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Der opstår imidlertid ikke toldskyld:</w:t>
      </w:r>
    </w:p>
    <w:p w14:paraId="0FAEC90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hvis der ulovligt føres falske penge ind i Unionens toldområde</w:t>
      </w:r>
    </w:p>
    <w:p w14:paraId="3F623DC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hvis der i Unionens toldområde indføres narkotika og psykotrope stoffer, medmindre de er genstand for det af de kompetente myndigheder strengt kontrollerede salg med henblik på anvendelse til medicinske og videnskabelige formål.</w:t>
      </w:r>
    </w:p>
    <w:p w14:paraId="36E8ABE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Med henblik på sanktioner, som gælder for overtrædelser af toldlovgivningen, betragtes toldskylden dog som opstået, når denne forordning eller en medlemsstats lovgivning fastsætter, at import- eller eksportafgifter eller eksistensen af en toldskyld danner grundlag for fastsættelsen af sanktioner.</w:t>
      </w:r>
    </w:p>
    <w:p w14:paraId="0CCD1EE0" w14:textId="77777777" w:rsidR="00BF6859" w:rsidRDefault="00BF6859">
      <w:pPr>
        <w:widowControl/>
        <w:rPr>
          <w:szCs w:val="24"/>
          <w:lang w:eastAsia="en-US"/>
        </w:rPr>
      </w:pPr>
      <w:r>
        <w:rPr>
          <w:szCs w:val="24"/>
          <w:lang w:eastAsia="en-US"/>
        </w:rPr>
        <w:br w:type="page"/>
      </w:r>
    </w:p>
    <w:p w14:paraId="17185228" w14:textId="3CA1231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166</w:t>
      </w:r>
      <w:r w:rsidRPr="003E0486">
        <w:rPr>
          <w:szCs w:val="24"/>
          <w:lang w:eastAsia="en-US"/>
        </w:rPr>
        <w:br/>
        <w:t>Flere debitorer</w:t>
      </w:r>
    </w:p>
    <w:p w14:paraId="1B147EB5" w14:textId="77777777" w:rsidR="003E0486" w:rsidRPr="003E0486" w:rsidRDefault="003E0486" w:rsidP="003E0486">
      <w:pPr>
        <w:spacing w:before="120" w:after="120" w:line="360" w:lineRule="auto"/>
        <w:rPr>
          <w:szCs w:val="24"/>
          <w:lang w:eastAsia="en-US"/>
        </w:rPr>
      </w:pPr>
      <w:r w:rsidRPr="003E0486">
        <w:rPr>
          <w:szCs w:val="24"/>
          <w:lang w:eastAsia="en-US"/>
        </w:rPr>
        <w:t>Når flere personer er betalingspligtige for et import- eller eksportafgiftsbeløb, der svarer til en og samme toldskyld, hæfter disse solidarisk for betalingen af det pågældende beløb.</w:t>
      </w:r>
    </w:p>
    <w:p w14:paraId="7C4DA5B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167</w:t>
      </w:r>
      <w:r w:rsidRPr="003E0486">
        <w:rPr>
          <w:szCs w:val="24"/>
          <w:lang w:eastAsia="en-US"/>
        </w:rPr>
        <w:br/>
        <w:t>Almindelige regler for beregning af import- eller eksportafgiftsbeløbet</w:t>
      </w:r>
    </w:p>
    <w:p w14:paraId="49DC48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 eller eksportafgiftsbeløbet skal fastsættes på grundlag af varernes tarifering, toldværdi, mængde, art og oprindelse. Reglerne for beregning af tolden er dem, der gælder for de pågældende varer på det tidspunkt, hvor toldskylden for dem opstod.</w:t>
      </w:r>
    </w:p>
    <w:p w14:paraId="22D67F0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det ikke er muligt nøjagtigt at fastslå tidspunktet for toldskyldens opståen, regnes der med det tidspunkt, hvor toldmyndighederne konstaterer, at varen befinder sig i en situation, hvori der er opstået en toldskyld.</w:t>
      </w:r>
    </w:p>
    <w:p w14:paraId="19D3837D" w14:textId="77777777" w:rsidR="003E0486" w:rsidRPr="003E0486" w:rsidRDefault="003E0486" w:rsidP="003E0486">
      <w:pPr>
        <w:spacing w:before="120" w:after="120" w:line="360" w:lineRule="auto"/>
        <w:ind w:left="850"/>
        <w:rPr>
          <w:szCs w:val="24"/>
          <w:lang w:eastAsia="en-US"/>
        </w:rPr>
      </w:pPr>
      <w:r w:rsidRPr="003E0486">
        <w:rPr>
          <w:szCs w:val="24"/>
          <w:lang w:eastAsia="en-US"/>
        </w:rPr>
        <w:t>Er toldmyndighederne med de oplysninger, de råder over, i stand til at fastslå, at toldskylden opstod på et tidspunkt forud for denne konstatering, anses toldskylden dog for at være opstået på det tidligste tidspunkt, hvor en sådan situation kan fastslås.</w:t>
      </w:r>
    </w:p>
    <w:p w14:paraId="3A06FF2F" w14:textId="77777777" w:rsidR="00BF6859" w:rsidRDefault="00BF6859">
      <w:pPr>
        <w:widowControl/>
        <w:rPr>
          <w:szCs w:val="24"/>
          <w:lang w:eastAsia="en-US"/>
        </w:rPr>
      </w:pPr>
      <w:r>
        <w:rPr>
          <w:szCs w:val="24"/>
          <w:lang w:eastAsia="en-US"/>
        </w:rPr>
        <w:br w:type="page"/>
      </w:r>
    </w:p>
    <w:p w14:paraId="62680D60" w14:textId="34263D3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tillægges beføjelser til at vedtage delegerede retsakter i overensstemmelse med artikel 261 med henblik på at supplere denne forordning ved at fastsætte de i denne artikel omhandlede regler for beregning af import- eller eksportafgiftsbeløbet for varer, for hvilke der er opstået toldskyld i forbindelse med en særlig procedure.</w:t>
      </w:r>
    </w:p>
    <w:p w14:paraId="4CD61A3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168</w:t>
      </w:r>
      <w:r w:rsidRPr="003E0486">
        <w:rPr>
          <w:szCs w:val="24"/>
          <w:lang w:eastAsia="en-US"/>
        </w:rPr>
        <w:br/>
        <w:t>Særlige regler for beregning af importafgiftsbeløbet</w:t>
      </w:r>
    </w:p>
    <w:p w14:paraId="4CB8202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Er der påløbet omkostninger til oplagring eller sædvanlige behandlinger i Unionens toldområde for varer, der er henført under en toldprocedure eller til midlertidig opbevaring, tages sådanne omkostninger eller værdistigningen ikke i betragtning ved beregningen af importafgiftsbeløbet, når importøren eller eksportøren eller, såfremt det er relevant, klarereren har forelagt tilfredsstillende bevis for disse omkostninger.</w:t>
      </w:r>
    </w:p>
    <w:p w14:paraId="4EB7054F" w14:textId="77777777" w:rsidR="003E0486" w:rsidRPr="003E0486" w:rsidRDefault="003E0486" w:rsidP="003E0486">
      <w:pPr>
        <w:spacing w:before="120" w:after="120" w:line="360" w:lineRule="auto"/>
        <w:ind w:left="850"/>
        <w:rPr>
          <w:szCs w:val="24"/>
          <w:lang w:eastAsia="en-US"/>
        </w:rPr>
      </w:pPr>
      <w:r w:rsidRPr="003E0486">
        <w:rPr>
          <w:szCs w:val="24"/>
          <w:lang w:eastAsia="en-US"/>
        </w:rPr>
        <w:t>Toldværdien, mængden, arten og oprindelsen af ikke-EU-varer, der anvendes i behandlingerne, tages dog med i betragtning ved beregningen af importafgiftsbeløbet.</w:t>
      </w:r>
    </w:p>
    <w:p w14:paraId="5E5392E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Ændres tariferingen af varer, der er henført under en toldprocedure, som følge af sædvanlige behandlinger i Unionens toldområde, anvendes den oprindelige tarifering af varerne under proceduren efter anmodning fra importøren eller, såfremt det er relevant, klarereren.</w:t>
      </w:r>
    </w:p>
    <w:p w14:paraId="5E1D2389" w14:textId="77777777" w:rsidR="00BF6859" w:rsidRDefault="00BF6859">
      <w:pPr>
        <w:widowControl/>
        <w:rPr>
          <w:szCs w:val="24"/>
          <w:lang w:eastAsia="en-US"/>
        </w:rPr>
      </w:pPr>
      <w:r>
        <w:rPr>
          <w:szCs w:val="24"/>
          <w:lang w:eastAsia="en-US"/>
        </w:rPr>
        <w:br w:type="page"/>
      </w:r>
    </w:p>
    <w:p w14:paraId="47383ECD" w14:textId="39787B4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Opstår der toldskyld for forædlingsprodukter, der er resultatet af proceduren for aktiv forædling, fastsættes det importafgiftsbeløb, der svarer til denne skyld, efter anmodning fra importøren, på grundlag af tariferingen, toldværdien, mængden, arten og oprindelsen af de varer, der blev henført under proceduren for aktiv forædling.</w:t>
      </w:r>
    </w:p>
    <w:p w14:paraId="53CE1A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Er forædlingsprodukterne resultatet af efterfølgende procedurer for aktiv forædling, kan importøren udelukkende anmode om, at toldskylden fastsættes på grundlag af tariferingen, toldværdien, mængden, arten og oprindelsen af de varer, der blev henført under den første procedure for aktiv forædling.</w:t>
      </w:r>
    </w:p>
    <w:p w14:paraId="24E9425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I specifikke tilfælde fastsættes importafgiftsbeløbet dog i overensstemmelse med nærværende artikels stk. 2, 3og 4 uden en anmodning fra importøren eller eksportøren eller, såfremt det er relevant, klarereren for at undgå omgåelse af de i artikel 145, stk. 2, litra h), nævnte toldforanstaltninger.</w:t>
      </w:r>
    </w:p>
    <w:p w14:paraId="23A2C3F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Opstår der toldskyld for forædlingsprodukter, der er resultatet af proceduren for passiv forædling, eller ombytningsvarer, jf. artikel 143, stk. 1, beregnes importafgiftsbeløbet ud fra omkostningerne til den forædling, der er foregået uden for Unionens toldområde.</w:t>
      </w:r>
    </w:p>
    <w:p w14:paraId="7033C0E6" w14:textId="77777777" w:rsidR="00BF6859" w:rsidRDefault="00BF6859">
      <w:pPr>
        <w:widowControl/>
        <w:rPr>
          <w:szCs w:val="24"/>
          <w:lang w:eastAsia="en-US"/>
        </w:rPr>
      </w:pPr>
      <w:r>
        <w:rPr>
          <w:szCs w:val="24"/>
          <w:lang w:eastAsia="en-US"/>
        </w:rPr>
        <w:br w:type="page"/>
      </w:r>
    </w:p>
    <w:p w14:paraId="3644DC0F" w14:textId="1EE91E1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Opstår der toldskyld i henhold til denne forordnings artikel 161 eller artikel 164, og den forsømmelse, der førte til, at der opstod toldskyld, ikke udgjorde et forsøg på at vildlede, skal følgende også finde anvendelse:</w:t>
      </w:r>
    </w:p>
    <w:p w14:paraId="0ABAF28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toldlempelser for varer i henhold til toldlovgivningen, eller</w:t>
      </w:r>
    </w:p>
    <w:p w14:paraId="40F819E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fuldstændig eller delvis fritagelse for import- eller eksportafgifter i henhold til artikel 145, stk. 2, litra d), e), f) og g) eller artikel 90, 91, 92 og 93 eller 140, 141, 142, 143 og 144, eller</w:t>
      </w:r>
    </w:p>
    <w:p w14:paraId="0905ED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fritagelse i henhold til forordning (EF) nr. 1186/2009.</w:t>
      </w:r>
    </w:p>
    <w:p w14:paraId="436DD35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supplere denne forordning ved at fastsætte de i denne artikel omhandlede regler for beregning af import- eller eksportafgiftsbeløbet for varer, for hvilke der er opstået toldskyld i forbindelse med en særlig procedure, og de specifikke tilfælde omhandlet i stk. 5.</w:t>
      </w:r>
    </w:p>
    <w:p w14:paraId="154B759A" w14:textId="77777777" w:rsidR="00BF6859" w:rsidRDefault="00BF6859">
      <w:pPr>
        <w:widowControl/>
        <w:rPr>
          <w:szCs w:val="24"/>
          <w:lang w:eastAsia="en-US"/>
        </w:rPr>
      </w:pPr>
      <w:r>
        <w:rPr>
          <w:szCs w:val="24"/>
          <w:lang w:eastAsia="en-US"/>
        </w:rPr>
        <w:br w:type="page"/>
      </w:r>
    </w:p>
    <w:p w14:paraId="675213DC" w14:textId="0C7C3D61"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169</w:t>
      </w:r>
      <w:r w:rsidRPr="003E0486">
        <w:rPr>
          <w:szCs w:val="24"/>
          <w:lang w:eastAsia="en-US"/>
        </w:rPr>
        <w:br/>
        <w:t>Stedet, hvor toldskylden opstår</w:t>
      </w:r>
    </w:p>
    <w:p w14:paraId="52D0DB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En toldskyld opstår det sted, hvor importøren eller eksportøren er etableret.</w:t>
      </w:r>
    </w:p>
    <w:p w14:paraId="319105DC" w14:textId="77777777" w:rsidR="003E0486" w:rsidRPr="003E0486" w:rsidRDefault="003E0486" w:rsidP="003E0486">
      <w:pPr>
        <w:spacing w:before="120" w:after="120" w:line="360" w:lineRule="auto"/>
        <w:ind w:left="850"/>
        <w:rPr>
          <w:szCs w:val="24"/>
          <w:lang w:eastAsia="en-US"/>
        </w:rPr>
      </w:pPr>
      <w:r w:rsidRPr="003E0486">
        <w:rPr>
          <w:szCs w:val="24"/>
          <w:lang w:eastAsia="en-US"/>
        </w:rPr>
        <w:t>Uanset første afsnit opstår toldskylden, når den vedrører andre importører og eksportører end tillid og kontrol-erhvervsdrivende og formelle importører, på det sted, hvor toldangivelsen i overensstemmelse med artikel 63, stk. 4, er blevet indgivet eller ville være blevet indgivet før anvendelsen af modifikationen vedrørende metoden til at meddele oplysninger, som er fastlagt i artikel 63, stk. 2.</w:t>
      </w:r>
    </w:p>
    <w:p w14:paraId="239A93B4" w14:textId="77777777" w:rsidR="003E0486" w:rsidRPr="003E0486" w:rsidRDefault="003E0486" w:rsidP="003E0486">
      <w:pPr>
        <w:spacing w:before="120" w:after="120" w:line="360" w:lineRule="auto"/>
        <w:ind w:left="850"/>
        <w:rPr>
          <w:szCs w:val="24"/>
          <w:lang w:eastAsia="en-US"/>
        </w:rPr>
      </w:pPr>
      <w:r w:rsidRPr="003E0486">
        <w:rPr>
          <w:szCs w:val="24"/>
          <w:lang w:eastAsia="en-US"/>
        </w:rPr>
        <w:t>I alle andre tilfælde opstår toldskylden det sted, hvor de omstændigheder, der er årsag til den, indtræffer.</w:t>
      </w:r>
    </w:p>
    <w:p w14:paraId="7C211E81" w14:textId="77777777" w:rsidR="003E0486" w:rsidRPr="003E0486" w:rsidRDefault="003E0486" w:rsidP="003E0486">
      <w:pPr>
        <w:spacing w:before="120" w:after="120" w:line="360" w:lineRule="auto"/>
        <w:ind w:left="850"/>
        <w:rPr>
          <w:szCs w:val="24"/>
          <w:lang w:eastAsia="en-US"/>
        </w:rPr>
      </w:pPr>
      <w:r w:rsidRPr="003E0486">
        <w:rPr>
          <w:szCs w:val="24"/>
          <w:lang w:eastAsia="en-US"/>
        </w:rPr>
        <w:t>Er det ikke muligt at fastslå dette sted, opstår toldskylden det sted, hvor toldmyndighederne konstaterer, at varerne befinder sig i en situation, hvor der er opstået toldskyld.</w:t>
      </w:r>
    </w:p>
    <w:p w14:paraId="00F83562" w14:textId="77777777" w:rsidR="00BF6859" w:rsidRDefault="00BF6859">
      <w:pPr>
        <w:widowControl/>
        <w:rPr>
          <w:szCs w:val="24"/>
          <w:lang w:eastAsia="en-US"/>
        </w:rPr>
      </w:pPr>
      <w:r>
        <w:rPr>
          <w:szCs w:val="24"/>
          <w:lang w:eastAsia="en-US"/>
        </w:rPr>
        <w:br w:type="page"/>
      </w:r>
    </w:p>
    <w:p w14:paraId="1D9C2AF5" w14:textId="0AEB53B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Er varerne blevet henført under en toldprocedure, som ikke er afsluttet, eller er en midlertidig opbevaring ikke afsluttet korrekt, og kan stedet, hvor toldskylden er opstået, ikke bestemmes i henhold til stk. 1, andet eller tredje afsnit, inden for en specifik frist, opstår toldskylden det sted, hvor varerne enten blev henført under den pågældende procedure eller blev ført ind i Unionens toldområde under denne procedure eller var under midlertidig opbevaring.</w:t>
      </w:r>
    </w:p>
    <w:p w14:paraId="0B28C8A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Er toldmyndighederne med de oplysninger, de råder over, i stand til at fastslå, at der kan være opstået toldskyld på flere steder, anses toldskylden for at være opstået på det sted, hvor den opstod først.</w:t>
      </w:r>
    </w:p>
    <w:p w14:paraId="36A68BB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Fastslår en toldmyndighed, at der er opstået en toldskyld i henhold til artikel 161 eller artikel 164 i en anden medlemsstat, og hvis det import- eller eksportafgiftsbeløb, der svarer til denne skyld, er lavere end 10 000 EUR, anses toldskylden for at være opstået i den medlemsstat, hvor dens opståen er konstateret.</w:t>
      </w:r>
    </w:p>
    <w:p w14:paraId="2E4B4F5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de i stk. 2.omhandlede frister.</w:t>
      </w:r>
    </w:p>
    <w:p w14:paraId="10615455" w14:textId="77777777" w:rsidR="00BF6859" w:rsidRDefault="00BF6859">
      <w:pPr>
        <w:widowControl/>
        <w:rPr>
          <w:szCs w:val="24"/>
          <w:lang w:eastAsia="en-US"/>
        </w:rPr>
      </w:pPr>
      <w:r>
        <w:rPr>
          <w:szCs w:val="24"/>
          <w:lang w:eastAsia="en-US"/>
        </w:rPr>
        <w:br w:type="page"/>
      </w:r>
    </w:p>
    <w:p w14:paraId="1A2F7E3F" w14:textId="4D249B29"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2 </w:t>
      </w:r>
      <w:r w:rsidRPr="003E0486">
        <w:rPr>
          <w:szCs w:val="24"/>
          <w:lang w:eastAsia="en-US"/>
        </w:rPr>
        <w:br/>
        <w:t>Sikkerhedsstillelse for en potentiel eller eksisterende toldskyld</w:t>
      </w:r>
    </w:p>
    <w:p w14:paraId="2B0AEED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170</w:t>
      </w:r>
      <w:r w:rsidRPr="003E0486">
        <w:rPr>
          <w:szCs w:val="24"/>
          <w:lang w:eastAsia="en-US"/>
        </w:rPr>
        <w:br/>
        <w:t>Almindelige bestemmelser</w:t>
      </w:r>
    </w:p>
    <w:p w14:paraId="5D7A3BB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Medmindre andet er angivet, finder dette kapitel anvendelse på sikkerhedsstillelse for toldskyld, der er opstået, men hvis betaling er udsat ("eksisterende toldskyld"), og på sikkerhedsstillelse, der kræves, hvis der kan opstå en toldskyld ("potentiel toldskyld").</w:t>
      </w:r>
    </w:p>
    <w:p w14:paraId="35510A5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Kræver toldmyndighederne, at der stilles sikkerhed for en potentiel eller eksisterende toldskyld, skal denne sikkerhed dække import- eller eksportafgiftsbeløbet og andre afgifter, der skal betales i forbindelse med importen eller eksporten af varerne, når sikkerheden:</w:t>
      </w:r>
    </w:p>
    <w:p w14:paraId="0106439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anvendes til henførsel af varer under proceduren for EU-forsendelse, eller</w:t>
      </w:r>
    </w:p>
    <w:p w14:paraId="685B89C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kan anvendes i mere end én medlemsstat.</w:t>
      </w:r>
    </w:p>
    <w:p w14:paraId="1AC0E77E" w14:textId="77777777" w:rsidR="003E0486" w:rsidRPr="003E0486" w:rsidRDefault="003E0486" w:rsidP="003E0486">
      <w:pPr>
        <w:spacing w:before="120" w:after="120" w:line="360" w:lineRule="auto"/>
        <w:ind w:left="850"/>
        <w:rPr>
          <w:szCs w:val="24"/>
          <w:lang w:eastAsia="en-US"/>
        </w:rPr>
      </w:pPr>
      <w:r w:rsidRPr="003E0486">
        <w:rPr>
          <w:szCs w:val="24"/>
          <w:lang w:eastAsia="en-US"/>
        </w:rPr>
        <w:t>En sikkerhedsstillelse, der er accepteret eller tilladt af toldmyndighederne, er gyldig i hele Unionens område for de formål med henblik på hvilke, den blev givet.</w:t>
      </w:r>
    </w:p>
    <w:p w14:paraId="1DCE9414" w14:textId="77777777" w:rsidR="00BF6859" w:rsidRDefault="00BF6859">
      <w:pPr>
        <w:widowControl/>
        <w:rPr>
          <w:szCs w:val="24"/>
          <w:lang w:eastAsia="en-US"/>
        </w:rPr>
      </w:pPr>
      <w:r>
        <w:rPr>
          <w:szCs w:val="24"/>
          <w:lang w:eastAsia="en-US"/>
        </w:rPr>
        <w:br w:type="page"/>
      </w:r>
    </w:p>
    <w:p w14:paraId="757D900E" w14:textId="00ECF70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Sikkerheden stilles af debitor eller den person, som kan blive debitor, eller, hvis toldmyndighederne tillader det, af enhver anden person.</w:t>
      </w:r>
    </w:p>
    <w:p w14:paraId="6D0C6DA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Toldmyndighederne kan kun kræve én sikkerhedsstillelse for specifikke varer, jf. dog artikel 178.</w:t>
      </w:r>
    </w:p>
    <w:p w14:paraId="10D6C622" w14:textId="77777777" w:rsidR="003E0486" w:rsidRPr="003E0486" w:rsidRDefault="003E0486" w:rsidP="003E0486">
      <w:pPr>
        <w:spacing w:before="120" w:after="120" w:line="360" w:lineRule="auto"/>
        <w:ind w:left="850"/>
        <w:rPr>
          <w:szCs w:val="24"/>
          <w:lang w:eastAsia="en-US"/>
        </w:rPr>
      </w:pPr>
      <w:r w:rsidRPr="003E0486">
        <w:rPr>
          <w:szCs w:val="24"/>
          <w:lang w:eastAsia="en-US"/>
        </w:rPr>
        <w:t>Den sikkerhed, der stilles for specifikke varer, gælder for det import- eller eksportafgiftsbeløb, der svarer til toldskylden og andre afgifter for disse varer, uanset om de oplysninger, som meddeles eller gøres tilgængelige om varerne, er korrekte.</w:t>
      </w:r>
    </w:p>
    <w:p w14:paraId="1A7BB795" w14:textId="77777777" w:rsidR="003E0486" w:rsidRPr="003E0486" w:rsidRDefault="003E0486" w:rsidP="003E0486">
      <w:pPr>
        <w:spacing w:before="120" w:after="120" w:line="360" w:lineRule="auto"/>
        <w:ind w:left="850"/>
        <w:rPr>
          <w:szCs w:val="24"/>
          <w:lang w:eastAsia="en-US"/>
        </w:rPr>
      </w:pPr>
      <w:r w:rsidRPr="003E0486">
        <w:rPr>
          <w:szCs w:val="24"/>
          <w:lang w:eastAsia="en-US"/>
        </w:rPr>
        <w:t>Er sikkerheden ikke frigivet, kan den også anvendes inden for grænserne af det beløb, der stilles som sikkerhed, til inddrivelse af import- eller eksportafgiftsbeløb og andre afgifter, der skal betales som følge af kontrollen af disse varer efter frigivelse.</w:t>
      </w:r>
    </w:p>
    <w:p w14:paraId="173E8F9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Efter ansøgning fra den i stk. 3 omhandlede person kan toldmyndighederne i overensstemmelse med artikel 176, stk. 1 og 2, tillade, at der stilles en samlet sikkerhed til dækning af det import- eller eksportafgiftsbeløb, der svarer til toldskylden, for to eller flere transaktioner eller toldprocedurer.</w:t>
      </w:r>
    </w:p>
    <w:p w14:paraId="1B716C2E" w14:textId="77777777" w:rsidR="00BF6859" w:rsidRDefault="00BF6859">
      <w:pPr>
        <w:widowControl/>
        <w:rPr>
          <w:szCs w:val="24"/>
          <w:lang w:eastAsia="en-US"/>
        </w:rPr>
      </w:pPr>
      <w:r>
        <w:rPr>
          <w:szCs w:val="24"/>
          <w:lang w:eastAsia="en-US"/>
        </w:rPr>
        <w:br w:type="page"/>
      </w:r>
    </w:p>
    <w:p w14:paraId="56168F9B" w14:textId="19137B6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Toldmyndighederne fører tilsyn med sikkerhedsstillelsen.</w:t>
      </w:r>
    </w:p>
    <w:p w14:paraId="3A9016A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Der kræves ikke sikkerhedsstillelse i følgende situationer:</w:t>
      </w:r>
    </w:p>
    <w:p w14:paraId="44C213B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af stater, regionale og lokale forvaltninger eller andre offentligretlige organer for aktiviteter, hvor de forpligter sig som offentlige myndigheder</w:t>
      </w:r>
    </w:p>
    <w:p w14:paraId="647AD7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for varetransport på Rhinen, Rhinvandvejene, Donau eller Donauvandvejene</w:t>
      </w:r>
    </w:p>
    <w:p w14:paraId="5799E9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for varetransport i faste installationer</w:t>
      </w:r>
    </w:p>
    <w:p w14:paraId="4698941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i specifikke tilfælde, hvor varer er henført under proceduren for midlertidig import</w:t>
      </w:r>
    </w:p>
    <w:p w14:paraId="667694D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for varer, som transporteres ad sø- eller luftvejen mellem EU-havne eller EU-lufthavne.</w:t>
      </w:r>
    </w:p>
    <w:p w14:paraId="6E37FAE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Toldmyndighederne kan undlade at kræve sikkerhedsstillelse, hvis det import- eller eksportafgiftsbeløb, der skal stilles sikkerhed for, ikke overstiger den statistiske tærskel på 1 000 EUR.</w:t>
      </w:r>
    </w:p>
    <w:p w14:paraId="3AA0E81A" w14:textId="77777777" w:rsidR="00BF6859" w:rsidRDefault="00BF6859">
      <w:pPr>
        <w:widowControl/>
        <w:rPr>
          <w:szCs w:val="24"/>
          <w:lang w:eastAsia="en-US"/>
        </w:rPr>
      </w:pPr>
      <w:r>
        <w:rPr>
          <w:szCs w:val="24"/>
          <w:lang w:eastAsia="en-US"/>
        </w:rPr>
        <w:br w:type="page"/>
      </w:r>
    </w:p>
    <w:p w14:paraId="74A2509A" w14:textId="694FEF6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9.</w:t>
      </w:r>
      <w:r w:rsidRPr="003E0486">
        <w:rPr>
          <w:szCs w:val="24"/>
          <w:lang w:eastAsia="en-US"/>
        </w:rPr>
        <w:tab/>
        <w:t>Kommissionen tillægges beføjelser til at vedtage delegerede retsakter i overensstemmelse med artikel 261 med henblik på at supplere denne forordning ved at fastsætte de specifikke tilfælde, hvor der ikke kræves sikkerhedsstillelse for varer, der er henført under proceduren for midlertidig import, jf. stk. 7, litra d)</w:t>
      </w:r>
    </w:p>
    <w:p w14:paraId="11FB23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10.</w:t>
      </w:r>
      <w:r w:rsidRPr="003E0486">
        <w:rPr>
          <w:szCs w:val="24"/>
          <w:lang w:eastAsia="en-US"/>
        </w:rPr>
        <w:tab/>
        <w:t>Kommissionen præciserer ved gennemførelsesretsakter procedurereglerne for at foretage sikkerhedsstillelsen og tilsynet med sikkerheden som omhandlet i denne artikel Disse gennemførelsesretsakter vedtages efter undersøgelsesproceduren i artikel 262, stk. 4.</w:t>
      </w:r>
    </w:p>
    <w:p w14:paraId="6A8F989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171</w:t>
      </w:r>
      <w:r w:rsidRPr="003E0486">
        <w:rPr>
          <w:szCs w:val="24"/>
          <w:lang w:eastAsia="en-US"/>
        </w:rPr>
        <w:br/>
        <w:t>Referencebeløb for en obligatorisk sikkerhedsstillelse</w:t>
      </w:r>
    </w:p>
    <w:p w14:paraId="21DD8D7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toldmyndighederne skal kræve sikkerhedsstillelse og kan fastsætte det nøjagtige import- eller eksportafgiftsbeløb, der svarer til toldskylden og andre afgifter på det tidspunkt, hvor sikkerhedsstillelsen kræves, skal sikkerhedsstillelsen dække dette nøjagtige beløb.</w:t>
      </w:r>
    </w:p>
    <w:p w14:paraId="4B88889C" w14:textId="77777777" w:rsidR="003E0486" w:rsidRPr="003E0486" w:rsidRDefault="003E0486" w:rsidP="003E0486">
      <w:pPr>
        <w:spacing w:before="120" w:after="120" w:line="360" w:lineRule="auto"/>
        <w:ind w:left="850"/>
        <w:rPr>
          <w:szCs w:val="24"/>
          <w:lang w:eastAsia="en-US"/>
        </w:rPr>
      </w:pPr>
      <w:r w:rsidRPr="003E0486">
        <w:rPr>
          <w:szCs w:val="24"/>
          <w:lang w:eastAsia="en-US"/>
        </w:rPr>
        <w:t>Er det ikke muligt at fastsætte det nøjagtige beløb, fastsættes størrelsen af sikkerhedsstillelsen til det af toldmyndighederne anslåede højeste import- eller eksportafgiftsbeløb, der svarer til den toldskyld og andre afgifter, der er opstået eller vil kunne opstå.</w:t>
      </w:r>
    </w:p>
    <w:p w14:paraId="54EC524F" w14:textId="77777777" w:rsidR="00BF6859" w:rsidRDefault="00BF6859">
      <w:pPr>
        <w:widowControl/>
        <w:rPr>
          <w:szCs w:val="24"/>
          <w:lang w:eastAsia="en-US"/>
        </w:rPr>
      </w:pPr>
      <w:r>
        <w:rPr>
          <w:szCs w:val="24"/>
          <w:lang w:eastAsia="en-US"/>
        </w:rPr>
        <w:br w:type="page"/>
      </w:r>
    </w:p>
    <w:p w14:paraId="4FEDB0F9" w14:textId="49F4F1C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Uden at det berører artikel 176, fastsættes størrelsen af sikkerhedsstillelsen, hvis der er stillet samlet sikkerhed for det import- eller eksportafgiftsbeløb, der svarer til toldskylden og andre afgifter, hvor beløbet varierer over tid, således, at den på ethvert tidspunkt dækker det import- eller eksportafgiftsbeløb, der svarer til toldskylden og de andre afgifter.</w:t>
      </w:r>
    </w:p>
    <w:p w14:paraId="6CAB144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172</w:t>
      </w:r>
      <w:r w:rsidRPr="003E0486">
        <w:rPr>
          <w:szCs w:val="24"/>
          <w:lang w:eastAsia="en-US"/>
        </w:rPr>
        <w:br/>
        <w:t>Referencebeløb for en præventiv sikkerhedsstillelse</w:t>
      </w:r>
    </w:p>
    <w:p w14:paraId="7A36B1A0" w14:textId="77777777" w:rsidR="003E0486" w:rsidRPr="003E0486" w:rsidRDefault="003E0486" w:rsidP="003E0486">
      <w:pPr>
        <w:spacing w:before="120" w:after="120" w:line="360" w:lineRule="auto"/>
        <w:rPr>
          <w:szCs w:val="24"/>
          <w:lang w:eastAsia="en-US"/>
        </w:rPr>
      </w:pPr>
      <w:r w:rsidRPr="003E0486">
        <w:rPr>
          <w:szCs w:val="24"/>
          <w:lang w:eastAsia="en-US"/>
        </w:rPr>
        <w:t>Når sikkerhedsstillelse ikke er obligatorisk, men toldmyndighederne ikke er sikre på, at det import- eller eksportafgiftsbeløb, der svarer til en toldskyld og andre afgifter, vil blive betalt inden for den fastsatte frist, kræver de en sikkerhedsstillelse for et beløb, der ikke må overstige det i artikel 171 omhandlede niveau.</w:t>
      </w:r>
    </w:p>
    <w:p w14:paraId="1F49377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173</w:t>
      </w:r>
      <w:r w:rsidRPr="003E0486">
        <w:rPr>
          <w:szCs w:val="24"/>
          <w:lang w:eastAsia="en-US"/>
        </w:rPr>
        <w:br/>
        <w:t>Former for sikkerhedsstillelse</w:t>
      </w:r>
    </w:p>
    <w:p w14:paraId="56E0CEA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kan stilles sikkerhed under følgende former:</w:t>
      </w:r>
    </w:p>
    <w:p w14:paraId="0965C0E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ved ethvert betalingsmiddel, der anerkendes af toldmyndighederne, udstedt i euro eller i den medlemsstats valuta, hvor der kræves sikkerhedsstillelse</w:t>
      </w:r>
    </w:p>
    <w:p w14:paraId="70447DD4" w14:textId="77777777" w:rsidR="00BF6859" w:rsidRDefault="00BF6859">
      <w:pPr>
        <w:widowControl/>
        <w:rPr>
          <w:szCs w:val="24"/>
          <w:lang w:eastAsia="en-US"/>
        </w:rPr>
      </w:pPr>
      <w:r>
        <w:rPr>
          <w:szCs w:val="24"/>
          <w:lang w:eastAsia="en-US"/>
        </w:rPr>
        <w:br w:type="page"/>
      </w:r>
    </w:p>
    <w:p w14:paraId="1FA53F26" w14:textId="091E7393"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ved et tilsagn fra en kautionist</w:t>
      </w:r>
    </w:p>
    <w:p w14:paraId="21744C4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ved enhver anden form for sikkerhedsstillelse, som giver tilsvarende forsikring om, at det import- eller eksportafgiftsbeløb, der svarer til toldskylden og andre afgifter, vil blive betalt.</w:t>
      </w:r>
    </w:p>
    <w:p w14:paraId="059E1C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Et kontant depositum eller ethvert andet hermed sidestillet betalingsmiddel skal stilles i overensstemmelse med gældende bestemmelser i den medlemsstat, hvor der kræves sikkerhedsstillelse.</w:t>
      </w:r>
    </w:p>
    <w:p w14:paraId="1DCA619D" w14:textId="77777777" w:rsidR="003E0486" w:rsidRPr="003E0486" w:rsidRDefault="003E0486" w:rsidP="003E0486">
      <w:pPr>
        <w:spacing w:before="120" w:after="120" w:line="360" w:lineRule="auto"/>
        <w:ind w:left="850"/>
        <w:rPr>
          <w:szCs w:val="24"/>
          <w:lang w:eastAsia="en-US"/>
        </w:rPr>
      </w:pPr>
      <w:r w:rsidRPr="003E0486">
        <w:rPr>
          <w:szCs w:val="24"/>
          <w:lang w:eastAsia="en-US"/>
        </w:rPr>
        <w:t>Sikkerhedsstillelse ved ethvert betalingsmiddel, der anerkendes af toldmyndighederne, giver ikke ret til renter betalt af toldmyndighederne.</w:t>
      </w:r>
    </w:p>
    <w:p w14:paraId="780F7FC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tillægges beføjelser til at vedtage delegerede retsakter i overensstemmelse med artikel 261 med henblik på at supplere denne forordning ved at fastsætte sikkerhedsstillelsens form som omhandlet i stk. 1, litra c).</w:t>
      </w:r>
    </w:p>
    <w:p w14:paraId="18864D71" w14:textId="77777777" w:rsidR="00BF6859" w:rsidRDefault="00BF6859">
      <w:pPr>
        <w:widowControl/>
        <w:rPr>
          <w:szCs w:val="24"/>
          <w:lang w:eastAsia="en-US"/>
        </w:rPr>
      </w:pPr>
      <w:r>
        <w:rPr>
          <w:szCs w:val="24"/>
          <w:lang w:eastAsia="en-US"/>
        </w:rPr>
        <w:br w:type="page"/>
      </w:r>
    </w:p>
    <w:p w14:paraId="05A4E00A" w14:textId="0E9C2D6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174</w:t>
      </w:r>
      <w:r w:rsidRPr="003E0486">
        <w:rPr>
          <w:szCs w:val="24"/>
          <w:lang w:eastAsia="en-US"/>
        </w:rPr>
        <w:br/>
        <w:t>Valg af sikkerhedsstillelse</w:t>
      </w:r>
    </w:p>
    <w:p w14:paraId="213399B4" w14:textId="77777777" w:rsidR="003E0486" w:rsidRPr="003E0486" w:rsidRDefault="003E0486" w:rsidP="003E0486">
      <w:pPr>
        <w:spacing w:before="120" w:after="120" w:line="360" w:lineRule="auto"/>
        <w:rPr>
          <w:szCs w:val="24"/>
          <w:lang w:eastAsia="en-US"/>
        </w:rPr>
      </w:pPr>
      <w:r w:rsidRPr="003E0486">
        <w:rPr>
          <w:szCs w:val="24"/>
          <w:lang w:eastAsia="en-US"/>
        </w:rPr>
        <w:t>Den person, der skal stille sikkerhed, kan vælge mellem de forskellige former for sikkerhedsstillelse, der er fastsat i artikel 173, stk. 1.</w:t>
      </w:r>
    </w:p>
    <w:p w14:paraId="539C5F76" w14:textId="77777777" w:rsidR="003E0486" w:rsidRPr="003E0486" w:rsidRDefault="003E0486" w:rsidP="003E0486">
      <w:pPr>
        <w:spacing w:before="120" w:after="120" w:line="360" w:lineRule="auto"/>
        <w:rPr>
          <w:szCs w:val="24"/>
          <w:lang w:eastAsia="en-US"/>
        </w:rPr>
      </w:pPr>
      <w:r w:rsidRPr="003E0486">
        <w:rPr>
          <w:szCs w:val="24"/>
          <w:lang w:eastAsia="en-US"/>
        </w:rPr>
        <w:t>Toldmyndighederne kan dog afvise den foreslåede form for sikkerhedsstillelse, hvis den er uforenelig med den pågældende toldprocedures korrekte afvikling.</w:t>
      </w:r>
    </w:p>
    <w:p w14:paraId="3107203D" w14:textId="77777777" w:rsidR="003E0486" w:rsidRPr="003E0486" w:rsidRDefault="003E0486" w:rsidP="003E0486">
      <w:pPr>
        <w:spacing w:before="120" w:after="120" w:line="360" w:lineRule="auto"/>
        <w:rPr>
          <w:szCs w:val="24"/>
          <w:lang w:eastAsia="en-US"/>
        </w:rPr>
      </w:pPr>
      <w:r w:rsidRPr="003E0486">
        <w:rPr>
          <w:szCs w:val="24"/>
          <w:lang w:eastAsia="en-US"/>
        </w:rPr>
        <w:t>Toldmyndighederne kan kræve, at den valgte form for sikkerhedsstillelse fastholdes i en bestemt periode.</w:t>
      </w:r>
    </w:p>
    <w:p w14:paraId="796C8CF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175</w:t>
      </w:r>
      <w:r w:rsidRPr="003E0486">
        <w:rPr>
          <w:szCs w:val="24"/>
          <w:lang w:eastAsia="en-US"/>
        </w:rPr>
        <w:br/>
        <w:t>Kautionist</w:t>
      </w:r>
    </w:p>
    <w:p w14:paraId="5469B50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i artikel 173, stk. 1, litra b), nævnte kautionist skal være en tredjemand, der er bosiddende, registreret eller etableret i Unionens toldområde. Kautionisten skal godkendes af de toldmyndigheder, der kræver sikkerhedsstillelsen, medmindre kautionisten er et kreditinstitut, en finansiel institution eller et forsikringsselskab, der er akkrediteret i Unionen i henhold til gældende EU-bestemmelser.</w:t>
      </w:r>
    </w:p>
    <w:p w14:paraId="37367077" w14:textId="77777777" w:rsidR="00BF6859" w:rsidRDefault="00BF6859">
      <w:pPr>
        <w:widowControl/>
        <w:rPr>
          <w:szCs w:val="24"/>
          <w:lang w:eastAsia="en-US"/>
        </w:rPr>
      </w:pPr>
      <w:r>
        <w:rPr>
          <w:szCs w:val="24"/>
          <w:lang w:eastAsia="en-US"/>
        </w:rPr>
        <w:br w:type="page"/>
      </w:r>
    </w:p>
    <w:p w14:paraId="7652B5C4" w14:textId="7355A20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Kautionisten skal give skriftligt tilsagn om at ville betale det beløb, der stilles som sikkerhed for det import- eller eksportafgiftsbeløb, der svarer til toldskylden og andre afgifter.</w:t>
      </w:r>
    </w:p>
    <w:p w14:paraId="5E14137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afslå at godkende den foreslåede kautionist eller form for sikkerhedsstillelse, når ingen af dem synes at sikre, at det import- eller eksportafgiftsbeløb, der svarer til toldskylden og andre afgifter, vil blive betalt inden for den fastsatte frist.</w:t>
      </w:r>
    </w:p>
    <w:p w14:paraId="433ABDF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tillægges beføjelser til at vedtage delegerede retsakter i overensstemmelse med artikel 261 med henblik på at supplere denne forordning ved at fastsætte reglerne vedrørende formerne for sikkerhedsstillelse og vedrørende kautionisten som omhandlet i denne artikel.</w:t>
      </w:r>
    </w:p>
    <w:p w14:paraId="3F96F73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procedurereglerne vedrørende tilbagekaldelse og annullering af tilsagn fra den i denne artikel omhandlede kautionist. Disse gennemførelsesretsakter vedtages efter undersøgelsesproceduren i artikel 262, stk. 4.</w:t>
      </w:r>
    </w:p>
    <w:p w14:paraId="1B91DEC0" w14:textId="77777777" w:rsidR="00BF6859" w:rsidRDefault="00BF6859">
      <w:pPr>
        <w:widowControl/>
        <w:rPr>
          <w:szCs w:val="24"/>
          <w:lang w:eastAsia="en-US"/>
        </w:rPr>
      </w:pPr>
      <w:r>
        <w:rPr>
          <w:szCs w:val="24"/>
          <w:lang w:eastAsia="en-US"/>
        </w:rPr>
        <w:br w:type="page"/>
      </w:r>
    </w:p>
    <w:p w14:paraId="1D95BE56" w14:textId="3E85516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176</w:t>
      </w:r>
      <w:r w:rsidRPr="003E0486">
        <w:rPr>
          <w:szCs w:val="24"/>
          <w:lang w:eastAsia="en-US"/>
        </w:rPr>
        <w:br/>
        <w:t>Samlet sikkerhedsstillelse</w:t>
      </w:r>
    </w:p>
    <w:p w14:paraId="14B3B12D" w14:textId="1865CC63"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kun give den i artikel 170, stk. 5,</w:t>
      </w:r>
      <w:r w:rsidR="005753A1">
        <w:rPr>
          <w:szCs w:val="24"/>
          <w:lang w:eastAsia="en-US"/>
        </w:rPr>
        <w:t xml:space="preserve"> </w:t>
      </w:r>
      <w:r w:rsidRPr="003E0486">
        <w:rPr>
          <w:szCs w:val="24"/>
          <w:lang w:eastAsia="en-US"/>
        </w:rPr>
        <w:t>omhandlede bevilling til personer, som opfylder følgende betingelser:</w:t>
      </w:r>
    </w:p>
    <w:p w14:paraId="4CA0CD36" w14:textId="55C6C556"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er etableret i Unionens toldområde</w:t>
      </w:r>
    </w:p>
    <w:p w14:paraId="4FED5D7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 opfylder kriterierne i artikel 24, stk. 1, litra a)</w:t>
      </w:r>
    </w:p>
    <w:p w14:paraId="6028928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anvender regelmæssigt de pågældende toldprocedurer, eller de er operatører af lagerfaciliteter til midlertidig opbevaring, eller de opfylder kriterierne i artikel 24, stk. 1, litra d).</w:t>
      </w:r>
    </w:p>
    <w:p w14:paraId="0F8AF4A8" w14:textId="10EF0B4D" w:rsidR="003E0486" w:rsidRPr="00C82C23"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Toldmyndighederne kan give en økonomisk operatør, der opfylder kriterierne i artikel 24, stk. 1</w:t>
      </w:r>
      <w:r w:rsidRPr="003E0486">
        <w:rPr>
          <w:b/>
          <w:i/>
          <w:szCs w:val="24"/>
          <w:lang w:eastAsia="en-US"/>
        </w:rPr>
        <w:t>, litra b) og c), en økonomisk operatør, der opfylder kriterierne i artikel 25, stk. 3</w:t>
      </w:r>
      <w:r w:rsidRPr="003E0486">
        <w:rPr>
          <w:szCs w:val="24"/>
          <w:lang w:eastAsia="en-US"/>
        </w:rPr>
        <w:t>, litra b) og c), og tillid og kontrol-erhvervsdrivende tilladelse til at stille en samlet sikkerhed for potentiel toldskyld og andre afgifter med et nedsat beløb eller til fritagelse for sikkerhedsstillelse.</w:t>
      </w:r>
      <w:r w:rsidR="00C82C23">
        <w:rPr>
          <w:b/>
          <w:szCs w:val="24"/>
          <w:lang w:eastAsia="en-US"/>
        </w:rPr>
        <w:t xml:space="preserve"> [Ændring 199]</w:t>
      </w:r>
    </w:p>
    <w:p w14:paraId="1CA3220D" w14:textId="77777777" w:rsidR="00BF6859" w:rsidRDefault="00BF6859">
      <w:pPr>
        <w:widowControl/>
        <w:rPr>
          <w:szCs w:val="24"/>
          <w:lang w:eastAsia="en-US"/>
        </w:rPr>
      </w:pPr>
      <w:r>
        <w:rPr>
          <w:szCs w:val="24"/>
          <w:lang w:eastAsia="en-US"/>
        </w:rPr>
        <w:br w:type="page"/>
      </w:r>
    </w:p>
    <w:p w14:paraId="60D884CE" w14:textId="1FEEED3E" w:rsidR="003E0486" w:rsidRPr="00C82C23" w:rsidRDefault="003E0486" w:rsidP="003E0486">
      <w:pPr>
        <w:spacing w:before="120" w:after="120" w:line="360" w:lineRule="auto"/>
        <w:ind w:left="850" w:hanging="850"/>
        <w:rPr>
          <w:b/>
          <w:szCs w:val="24"/>
          <w:lang w:eastAsia="en-US"/>
        </w:rPr>
      </w:pPr>
      <w:r w:rsidRPr="003E0486">
        <w:rPr>
          <w:szCs w:val="24"/>
          <w:lang w:eastAsia="en-US"/>
        </w:rPr>
        <w:lastRenderedPageBreak/>
        <w:t>3.</w:t>
      </w:r>
      <w:r w:rsidRPr="003E0486">
        <w:rPr>
          <w:szCs w:val="24"/>
          <w:lang w:eastAsia="en-US"/>
        </w:rPr>
        <w:tab/>
        <w:t>Toldmyndighederne kan efter ansøgning give en autoriseret økonomisk operatør med bevilling til at udnytte forenklede toldbestemmelser</w:t>
      </w:r>
      <w:r w:rsidRPr="003E0486">
        <w:rPr>
          <w:b/>
          <w:i/>
          <w:szCs w:val="24"/>
          <w:lang w:eastAsia="en-US"/>
        </w:rPr>
        <w:t>, en økonomisk operatør, der opfylder kriterierne i artikel 25, stk. 3, litra b) og c),</w:t>
      </w:r>
      <w:r w:rsidRPr="003E0486">
        <w:rPr>
          <w:szCs w:val="24"/>
          <w:lang w:eastAsia="en-US"/>
        </w:rPr>
        <w:t xml:space="preserve"> og en tillid og kontrol-erhvervsdrivende tilladelse til at stille en samlet sikkerhed for eksisterende toldskyld og andre afgifter med et reduceret beløb</w:t>
      </w:r>
      <w:r w:rsidRPr="003E0486">
        <w:rPr>
          <w:b/>
          <w:i/>
          <w:szCs w:val="24"/>
          <w:lang w:eastAsia="en-US"/>
        </w:rPr>
        <w:t xml:space="preserve"> eller, for en tillid og kontrol-erhvervsdrivende, at få en fritagelse for sikkerhedsstillelse</w:t>
      </w:r>
      <w:r w:rsidRPr="003E0486">
        <w:rPr>
          <w:szCs w:val="24"/>
          <w:lang w:eastAsia="en-US"/>
        </w:rPr>
        <w:t>.</w:t>
      </w:r>
      <w:r w:rsidR="00C82C23">
        <w:rPr>
          <w:b/>
          <w:szCs w:val="24"/>
          <w:lang w:eastAsia="en-US"/>
        </w:rPr>
        <w:t xml:space="preserve"> [Ændring 200]</w:t>
      </w:r>
    </w:p>
    <w:p w14:paraId="6D6BC06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Den i stk. 3 omhandlede samlede sikkerhedsstillelse med et nedsat beløb sidestilles med sikkerhedsstillelse.</w:t>
      </w:r>
    </w:p>
    <w:p w14:paraId="59C03881" w14:textId="6EBC02D0" w:rsidR="003E0486" w:rsidRPr="00C82C23" w:rsidRDefault="003E0486" w:rsidP="003E0486">
      <w:pPr>
        <w:spacing w:before="120" w:after="120" w:line="360" w:lineRule="auto"/>
        <w:ind w:left="850" w:hanging="850"/>
        <w:rPr>
          <w:b/>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betingelserne for tildeling af bevilling til at anvende en samlet sikkerhedsstillelse med et nedsat beløb eller at opnå fritagelse for sikkerhedsstillelse, jf. stk. 2</w:t>
      </w:r>
      <w:r w:rsidRPr="003E0486">
        <w:rPr>
          <w:b/>
          <w:i/>
          <w:szCs w:val="24"/>
          <w:lang w:eastAsia="en-US"/>
        </w:rPr>
        <w:t xml:space="preserve"> og 3</w:t>
      </w:r>
      <w:r w:rsidRPr="003E0486">
        <w:rPr>
          <w:szCs w:val="24"/>
          <w:lang w:eastAsia="en-US"/>
        </w:rPr>
        <w:t>.</w:t>
      </w:r>
      <w:r w:rsidR="00C82C23">
        <w:rPr>
          <w:b/>
          <w:szCs w:val="24"/>
          <w:lang w:eastAsia="en-US"/>
        </w:rPr>
        <w:t xml:space="preserve"> [Ændring 201]</w:t>
      </w:r>
    </w:p>
    <w:p w14:paraId="3E44A307" w14:textId="668E9BF4" w:rsidR="003E0486" w:rsidRPr="00C82C23"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Kommissionen præciserer ved gennemførelsesretsakter procedurereglerne for fastsættelse af sikkerhedsstillelsens beløb, herunder det nedsatte beløb som omhandlet i stk. 2</w:t>
      </w:r>
      <w:r w:rsidRPr="003E0486">
        <w:rPr>
          <w:b/>
          <w:i/>
          <w:szCs w:val="24"/>
          <w:lang w:eastAsia="en-US"/>
        </w:rPr>
        <w:t xml:space="preserve"> og 3</w:t>
      </w:r>
      <w:r w:rsidRPr="003E0486">
        <w:rPr>
          <w:szCs w:val="24"/>
          <w:lang w:eastAsia="en-US"/>
        </w:rPr>
        <w:t>. Disse gennemførelsesretsakter vedtages efter undersøgelsesproceduren i artikel 262, stk. 4.</w:t>
      </w:r>
      <w:r w:rsidR="00C82C23">
        <w:rPr>
          <w:b/>
          <w:szCs w:val="24"/>
          <w:lang w:eastAsia="en-US"/>
        </w:rPr>
        <w:t xml:space="preserve"> [Ændring 202]</w:t>
      </w:r>
    </w:p>
    <w:p w14:paraId="682E9FB2" w14:textId="77777777" w:rsidR="00BF6859" w:rsidRDefault="00BF6859">
      <w:pPr>
        <w:widowControl/>
        <w:rPr>
          <w:szCs w:val="24"/>
          <w:lang w:eastAsia="en-US"/>
        </w:rPr>
      </w:pPr>
      <w:r>
        <w:rPr>
          <w:szCs w:val="24"/>
          <w:lang w:eastAsia="en-US"/>
        </w:rPr>
        <w:br w:type="page"/>
      </w:r>
    </w:p>
    <w:p w14:paraId="6A2F082D" w14:textId="395E0D3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177</w:t>
      </w:r>
      <w:r w:rsidRPr="003E0486">
        <w:rPr>
          <w:szCs w:val="24"/>
          <w:lang w:eastAsia="en-US"/>
        </w:rPr>
        <w:br/>
        <w:t>Midlertidige forbud vedrørende anvendelsen af samlet sikkerhedsstillelse</w:t>
      </w:r>
    </w:p>
    <w:p w14:paraId="29598EE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forbindelse med særlige procedurer eller midlertidig opbevaring kan Kommissionen træffe afgørelse om midlertidigt at forbyde, at der anvendes:</w:t>
      </w:r>
    </w:p>
    <w:p w14:paraId="6BCAE9C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samlet sikkerhedsstillelse for et nedsat beløb eller en fritagelse for sikkerhedsstillelse som omhandlet i artikel 176, stk. 2</w:t>
      </w:r>
    </w:p>
    <w:p w14:paraId="6276B52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samlet sikkerhedsstillelse som omhandlet i artikel 176 for varer, som har været genstand for påvist svig i større omfang.</w:t>
      </w:r>
    </w:p>
    <w:p w14:paraId="7F0FA45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stk. 1, litra a) eller b), finder anvendelse, kan der gives tilladelse til en samlet sikkerhedsstillelse for et nedsat beløb eller fritagelse for sikkerhedsstillelse eller til samlet sikkerhedsstillelse som omhandlet i artikel 176, såfremt den pågældende person opfylder en af følgende betingelser:</w:t>
      </w:r>
    </w:p>
    <w:p w14:paraId="16210A1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den pågældende person kan påvise, at der ikke er opstået toldskyld for de pågældende varer under de transaktioner, som vedkommende har foretaget i de to år forud for den i stk. 1 omhandlede afgørelse</w:t>
      </w:r>
    </w:p>
    <w:p w14:paraId="311297E1" w14:textId="77777777" w:rsidR="00BF6859" w:rsidRDefault="00BF6859">
      <w:pPr>
        <w:widowControl/>
        <w:rPr>
          <w:szCs w:val="24"/>
          <w:lang w:eastAsia="en-US"/>
        </w:rPr>
      </w:pPr>
      <w:r>
        <w:rPr>
          <w:szCs w:val="24"/>
          <w:lang w:eastAsia="en-US"/>
        </w:rPr>
        <w:br w:type="page"/>
      </w:r>
    </w:p>
    <w:p w14:paraId="0C8C8500" w14:textId="5FB154E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den pågældende person kan, når der er opstået toldskyld i de to år forud for den i stk. 1 omhandlede afgørelse, påvise, at den blev betalt fuldt ud af debitoren eller debitorerne eller kautionisten inden for den fastsatte frist.</w:t>
      </w:r>
    </w:p>
    <w:p w14:paraId="05D6FB6A" w14:textId="77777777" w:rsidR="003E0486" w:rsidRPr="003E0486" w:rsidRDefault="003E0486" w:rsidP="003E0486">
      <w:pPr>
        <w:spacing w:before="120" w:after="120" w:line="360" w:lineRule="auto"/>
        <w:ind w:left="850"/>
        <w:rPr>
          <w:szCs w:val="24"/>
          <w:lang w:eastAsia="en-US"/>
        </w:rPr>
      </w:pPr>
      <w:r w:rsidRPr="003E0486">
        <w:rPr>
          <w:szCs w:val="24"/>
          <w:lang w:eastAsia="en-US"/>
        </w:rPr>
        <w:t>For at opnå tilladelse til at anvende en midlertidigt forbudt samlet sikkerhedsstillelse skal den pågældende person endvidere opfylde kriterierne i artikel 24, stk. 1, litra b) og c).</w:t>
      </w:r>
    </w:p>
    <w:p w14:paraId="2377BDA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præciserer ved gennemførelsesretsakter reglerne for midlertidige forbud vedrørende anvendelsen af samlede sikkerhedsstillelser som omhandlet i stk. 1. Disse gennemførelsesretsakter vedtages efter undersøgelsesproceduren i artikel 262, stk. 4.</w:t>
      </w:r>
    </w:p>
    <w:p w14:paraId="43B315E5" w14:textId="77777777" w:rsidR="003E0486" w:rsidRPr="003E0486" w:rsidRDefault="003E0486" w:rsidP="003E0486">
      <w:pPr>
        <w:spacing w:before="120" w:after="120" w:line="360" w:lineRule="auto"/>
        <w:ind w:left="850"/>
        <w:rPr>
          <w:szCs w:val="24"/>
          <w:lang w:eastAsia="en-US"/>
        </w:rPr>
      </w:pPr>
      <w:r w:rsidRPr="003E0486">
        <w:rPr>
          <w:szCs w:val="24"/>
          <w:lang w:eastAsia="en-US"/>
        </w:rPr>
        <w:t>I særligt hastende tilfælde, der vedrører sådanne foranstaltninger, hvor det er behørigt begrundet i behovet for hurtigt at øge beskyttelsen af Unionens og medlemsstaternes finansielle interesser, vedtager Kommissionen efter proceduren i artikel 262, stk. 5 gennemførelsesretsakter, der finder anvendelse straks.</w:t>
      </w:r>
    </w:p>
    <w:p w14:paraId="4CB311F1" w14:textId="77777777" w:rsidR="00BF6859" w:rsidRDefault="00BF6859">
      <w:pPr>
        <w:widowControl/>
        <w:rPr>
          <w:szCs w:val="24"/>
          <w:lang w:eastAsia="en-US"/>
        </w:rPr>
      </w:pPr>
      <w:r>
        <w:rPr>
          <w:szCs w:val="24"/>
          <w:lang w:eastAsia="en-US"/>
        </w:rPr>
        <w:br w:type="page"/>
      </w:r>
    </w:p>
    <w:p w14:paraId="485BB973" w14:textId="31595F8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178</w:t>
      </w:r>
      <w:r w:rsidRPr="003E0486">
        <w:rPr>
          <w:szCs w:val="24"/>
          <w:lang w:eastAsia="en-US"/>
        </w:rPr>
        <w:br/>
        <w:t>Supplerende sikkerhedsstillelse eller erstatning af sikkerhedsstillelse</w:t>
      </w:r>
    </w:p>
    <w:p w14:paraId="01E640A8" w14:textId="77777777" w:rsidR="003E0486" w:rsidRPr="003E0486" w:rsidRDefault="003E0486" w:rsidP="003E0486">
      <w:pPr>
        <w:spacing w:before="120" w:after="120" w:line="360" w:lineRule="auto"/>
        <w:rPr>
          <w:szCs w:val="24"/>
          <w:lang w:eastAsia="en-US"/>
        </w:rPr>
      </w:pPr>
      <w:r w:rsidRPr="003E0486">
        <w:rPr>
          <w:szCs w:val="24"/>
          <w:lang w:eastAsia="en-US"/>
        </w:rPr>
        <w:t>Konstaterer toldmyndighederne, at sikkerhedsstillelsen ikke eller ikke længere helt sikkert eller fuldt ud garanterer rettidig betaling af det import- eller eksportafgiftsbeløb, der svarer til toldskylden og andre afgifter, kræver de af en af de i artikel 170, stk. 3, omhandlede personer, at den pågældende efter eget valg enten stiller en supplerende sikkerhed eller erstatter den oprindelige sikkerhed med en ny.</w:t>
      </w:r>
    </w:p>
    <w:p w14:paraId="794B124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179</w:t>
      </w:r>
      <w:r w:rsidRPr="003E0486">
        <w:rPr>
          <w:szCs w:val="24"/>
          <w:lang w:eastAsia="en-US"/>
        </w:rPr>
        <w:br/>
        <w:t>Frigivelse af sikkerhedsstillelse</w:t>
      </w:r>
    </w:p>
    <w:p w14:paraId="5008C57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frigiver omgående sikkerhedsstillelsen, når toldskylden eller betalingspligten vedrørende andre afgifter er ophørt eller ikke længere vil kunne opstå.</w:t>
      </w:r>
    </w:p>
    <w:p w14:paraId="7B8C8CC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toldskylden eller betalingspligten vedrørende andre afgifter er delvis ophørt eller kun kan opstå for en del af sikkerhedsstillelsesbeløbet, frigives den tilsvarende del af dette beløb, hvis den pågældende person anmoder herom, medmindre det pågældende beløbs størrelse ikke gør noget sådant berettiget.</w:t>
      </w:r>
    </w:p>
    <w:p w14:paraId="5A023FC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 tillægges beføjelser til at vedtage delegerede retsakter i overensstemmelse med artikel 261 med henblik på at supplere denne forordning ved at fastsætte fristerne for frigivelse af en sikkerhedsstillelse.</w:t>
      </w:r>
    </w:p>
    <w:p w14:paraId="59DD7735" w14:textId="77777777" w:rsidR="00BF6859" w:rsidRDefault="00BF6859">
      <w:pPr>
        <w:widowControl/>
        <w:rPr>
          <w:szCs w:val="24"/>
          <w:lang w:eastAsia="en-US"/>
        </w:rPr>
      </w:pPr>
      <w:r>
        <w:rPr>
          <w:szCs w:val="24"/>
          <w:lang w:eastAsia="en-US"/>
        </w:rPr>
        <w:br w:type="page"/>
      </w:r>
    </w:p>
    <w:p w14:paraId="2355B533" w14:textId="0CC4181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præciserer ved gennemførelsesretsakter procedurereglerne for frigivelsen af sikkerhedsstillelsen som omhandlet i denne artikel Disse gennemførelsesretsakter vedtages efter undersøgelsesproceduren i artikel 262, stk. 4.</w:t>
      </w:r>
    </w:p>
    <w:p w14:paraId="2A151B54"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3 </w:t>
      </w:r>
      <w:r w:rsidRPr="003E0486">
        <w:rPr>
          <w:szCs w:val="24"/>
          <w:lang w:eastAsia="en-US"/>
        </w:rPr>
        <w:br/>
        <w:t>Opkrævning, betaling, godtgørelse af og fritagelse for import- eller eksportafgiftsbeløbet</w:t>
      </w:r>
    </w:p>
    <w:p w14:paraId="06C62908"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1 </w:t>
      </w:r>
      <w:r w:rsidRPr="003E0486">
        <w:rPr>
          <w:szCs w:val="24"/>
          <w:lang w:eastAsia="en-US"/>
        </w:rPr>
        <w:br/>
        <w:t>Fastsættelse af import- eller eksportafgiftsbeløbet, meddelelse af toldskyld og bogføring</w:t>
      </w:r>
    </w:p>
    <w:p w14:paraId="7B20BE4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180</w:t>
      </w:r>
      <w:r w:rsidRPr="003E0486">
        <w:rPr>
          <w:szCs w:val="24"/>
          <w:lang w:eastAsia="en-US"/>
        </w:rPr>
        <w:br/>
        <w:t>Fastsættelse af import- eller eksportafgiftsbeløbet</w:t>
      </w:r>
    </w:p>
    <w:p w14:paraId="323036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Importøren og eksportøren beregner det skyldige import- eller eksportafgiftsbeløb. Ved frigivelse af varerne anses toldmyndighederne for at acceptere det import- eller eksportafgiftsbeløb, der skal betales som beregnet af importøren og eksportøren, uden at dette berører kontrollen efter frigivelse. Hvis den pågældende person ikke beregner beløbet, eller hvis toldmyndighederne er uenige i det beløb, som denne person har beregnet, fastsætter de toldmyndigheder, der er ansvarlige for det sted, hvor toldskylden er opstået eller anses for at være opstået i henhold til artikel 169, det skyldige import- eller eksportafgiftsbeløb, så snart de har de nødvendige oplysninger.</w:t>
      </w:r>
    </w:p>
    <w:p w14:paraId="782038EC" w14:textId="77777777" w:rsidR="003263F7" w:rsidRDefault="003263F7">
      <w:pPr>
        <w:widowControl/>
        <w:rPr>
          <w:szCs w:val="24"/>
          <w:lang w:eastAsia="en-US"/>
        </w:rPr>
      </w:pPr>
      <w:r>
        <w:rPr>
          <w:szCs w:val="24"/>
          <w:lang w:eastAsia="en-US"/>
        </w:rPr>
        <w:br w:type="page"/>
      </w:r>
    </w:p>
    <w:p w14:paraId="7EB73406" w14:textId="569047D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Uanset stk. 1 kan toldmyndighederne indtil den dato, der er fastsat i artikel 265, stk. 3, hvis der er indgivet en toldangivelse, acceptere det skyldige import- eller eksportafgiftsbeløb, der er fastsat i toldangivelsen, uden at dette berører kontrollen efter frigivelse. Hvis toldmyndighederne er uenige i dette beløb, fastsætter de det skyldige import- eller eksportafgiftsbeløb, så snart de har de nødvendige oplysninger.</w:t>
      </w:r>
    </w:p>
    <w:p w14:paraId="5553D0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det skyldige import- eller eksportafgiftsbeløb ikke resulterer i et helt tal, kan beløbet afrundes.</w:t>
      </w:r>
    </w:p>
    <w:p w14:paraId="0B81F82D" w14:textId="77777777" w:rsidR="003E0486" w:rsidRPr="003E0486" w:rsidRDefault="003E0486" w:rsidP="003E0486">
      <w:pPr>
        <w:spacing w:before="120" w:after="120" w:line="360" w:lineRule="auto"/>
        <w:ind w:left="850"/>
        <w:rPr>
          <w:szCs w:val="24"/>
          <w:lang w:eastAsia="en-US"/>
        </w:rPr>
      </w:pPr>
      <w:r w:rsidRPr="003E0486">
        <w:rPr>
          <w:szCs w:val="24"/>
          <w:lang w:eastAsia="en-US"/>
        </w:rPr>
        <w:t>Når det i første afsnit omhandlede beløb er udtrykt i euro, kan afrunding opad eller nedad kun ske til det nærmeste hele tal.</w:t>
      </w:r>
    </w:p>
    <w:p w14:paraId="141A8A0D" w14:textId="77777777" w:rsidR="003E0486" w:rsidRPr="003E0486" w:rsidRDefault="003E0486" w:rsidP="003E0486">
      <w:pPr>
        <w:spacing w:before="120" w:after="120" w:line="360" w:lineRule="auto"/>
        <w:ind w:left="850"/>
        <w:rPr>
          <w:szCs w:val="24"/>
          <w:lang w:eastAsia="en-US"/>
        </w:rPr>
      </w:pPr>
      <w:r w:rsidRPr="003E0486">
        <w:rPr>
          <w:szCs w:val="24"/>
          <w:lang w:eastAsia="en-US"/>
        </w:rPr>
        <w:t>Importører og eksportører, der er etableret i en medlemsstat, der ikke har euroen som valuta, kan enten anvende bestemmelserne i andet afsnit tilsvarende eller afvige fra nævnte afsnit, forudsat at reglerne om afrunding ikke har en større økonomisk indvirkning end reglen i andet afsnit.</w:t>
      </w:r>
    </w:p>
    <w:p w14:paraId="0D373E4C" w14:textId="77777777" w:rsidR="003263F7" w:rsidRDefault="003263F7">
      <w:pPr>
        <w:widowControl/>
        <w:rPr>
          <w:szCs w:val="24"/>
          <w:lang w:eastAsia="en-US"/>
        </w:rPr>
      </w:pPr>
      <w:r>
        <w:rPr>
          <w:szCs w:val="24"/>
          <w:lang w:eastAsia="en-US"/>
        </w:rPr>
        <w:br w:type="page"/>
      </w:r>
    </w:p>
    <w:p w14:paraId="592ED4EF" w14:textId="0734BCA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181</w:t>
      </w:r>
      <w:r w:rsidRPr="003E0486">
        <w:rPr>
          <w:szCs w:val="24"/>
          <w:lang w:eastAsia="en-US"/>
        </w:rPr>
        <w:br/>
        <w:t>Underretning om toldskyld</w:t>
      </w:r>
    </w:p>
    <w:p w14:paraId="74ABC83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Ved frigivelse af varerne, anses toldmyndighederne for at have underrettet importøren eller eksportøren om toldskylden.</w:t>
      </w:r>
    </w:p>
    <w:p w14:paraId="7D2CB5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Har toldmyndighederne fastsat det skyldige import- eller eksportafgiftsbeløb, skal de underrette debitor om dette i den form, der er foreskrevet på det sted, hvor toldskylden er opstået eller anses for at være opstået i henhold til artikel 169.</w:t>
      </w:r>
    </w:p>
    <w:p w14:paraId="37353F24" w14:textId="77777777" w:rsidR="003E0486" w:rsidRPr="003E0486" w:rsidRDefault="003E0486" w:rsidP="003E0486">
      <w:pPr>
        <w:spacing w:before="120" w:after="120" w:line="360" w:lineRule="auto"/>
        <w:ind w:left="850"/>
        <w:rPr>
          <w:szCs w:val="24"/>
          <w:lang w:eastAsia="en-US"/>
        </w:rPr>
      </w:pPr>
      <w:r w:rsidRPr="003E0486">
        <w:rPr>
          <w:szCs w:val="24"/>
          <w:lang w:eastAsia="en-US"/>
        </w:rPr>
        <w:t>Den i første afsnit omhandlede underretning gives ikke i følgende tilfælde:</w:t>
      </w:r>
    </w:p>
    <w:p w14:paraId="10C42A0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der i afventning af en endelig fastsættelse af import- eller eksportafgiftsbeløbets størrelse er indført en foreløbig antidumpingtold, en foreløbig udligningstold eller en foreløbig beskyttelsesforanstaltning</w:t>
      </w:r>
    </w:p>
    <w:p w14:paraId="508C78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størrelsen af den skyldige import- eller eksportafgift overstiger det beløb, der blev fastsat på grundlag af en afgørelse truffet i henhold til artikel 13</w:t>
      </w:r>
    </w:p>
    <w:p w14:paraId="7442E56D" w14:textId="77777777" w:rsidR="003263F7" w:rsidRDefault="003263F7">
      <w:pPr>
        <w:widowControl/>
        <w:rPr>
          <w:szCs w:val="24"/>
          <w:lang w:eastAsia="en-US"/>
        </w:rPr>
      </w:pPr>
      <w:r>
        <w:rPr>
          <w:szCs w:val="24"/>
          <w:lang w:eastAsia="en-US"/>
        </w:rPr>
        <w:br w:type="page"/>
      </w:r>
    </w:p>
    <w:p w14:paraId="37E75994" w14:textId="1B5DB058"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når den oprindelige afgørelse om ikke at underrette om toldskylden eller at give underretning om den med et lavere import- eller eksportafgiftsbeløb end det skyldige import- eller eksportbeløb blev truffet på grundlag af almindelige bestemmelser, som senere er fundet ugyldige ved en retsafgørelse</w:t>
      </w:r>
    </w:p>
    <w:p w14:paraId="4164531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når toldmyndighederne i medfør af toldlovgivningen er fritaget for at give underretning om toldskylden.</w:t>
      </w:r>
    </w:p>
    <w:p w14:paraId="40D4686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Skal toldmyndighederne give underretning om det skyldige import- eller eksportafgiftsbeløb i overensstemmelse med stk. 2, underretter de debitor om toldskylden, når de er i stand til at fastsætte beløbet og træffe afgørelse herom.</w:t>
      </w:r>
    </w:p>
    <w:p w14:paraId="2FB62976" w14:textId="5B220D7B" w:rsidR="003E0486" w:rsidRPr="00C82C23" w:rsidRDefault="003E0486" w:rsidP="003E0486">
      <w:pPr>
        <w:spacing w:before="120" w:after="120" w:line="360" w:lineRule="auto"/>
        <w:ind w:left="850"/>
        <w:rPr>
          <w:b/>
          <w:szCs w:val="24"/>
          <w:lang w:eastAsia="en-US"/>
        </w:rPr>
      </w:pPr>
      <w:r w:rsidRPr="003E0486">
        <w:rPr>
          <w:szCs w:val="24"/>
          <w:lang w:eastAsia="en-US"/>
        </w:rPr>
        <w:t>Når underretningen om toldskylden ville skade en strafferetlig efterforskning, kan toldmyndighederne dog udsætte denne underretning, indtil den ikke længere skader den strafferetlige efterforskning</w:t>
      </w:r>
      <w:r w:rsidRPr="003E0486">
        <w:rPr>
          <w:b/>
          <w:i/>
          <w:szCs w:val="24"/>
          <w:lang w:eastAsia="en-US"/>
        </w:rPr>
        <w:t>, selv om efterforskningen finder sted i en anden medlemsstat</w:t>
      </w:r>
      <w:r w:rsidRPr="003E0486">
        <w:rPr>
          <w:szCs w:val="24"/>
          <w:lang w:eastAsia="en-US"/>
        </w:rPr>
        <w:t>.</w:t>
      </w:r>
      <w:r w:rsidRPr="003E0486">
        <w:rPr>
          <w:b/>
          <w:i/>
          <w:szCs w:val="24"/>
          <w:lang w:eastAsia="en-US"/>
        </w:rPr>
        <w:t xml:space="preserve"> Hvis en offentlig myndighed, der er kompetent til at forebygge, efterforske, afsløre eller retsforfølge strafbare handlinger, herunder EPPO, anmoder om det, udsætter de toldmyndigheder, der har modtaget anmodningen, underretningen.</w:t>
      </w:r>
      <w:r w:rsidR="00C82C23">
        <w:rPr>
          <w:b/>
          <w:szCs w:val="24"/>
          <w:lang w:eastAsia="en-US"/>
        </w:rPr>
        <w:t xml:space="preserve"> [Ændring 203]</w:t>
      </w:r>
    </w:p>
    <w:p w14:paraId="5279014A" w14:textId="77777777" w:rsidR="003263F7" w:rsidRDefault="003263F7">
      <w:pPr>
        <w:widowControl/>
        <w:rPr>
          <w:szCs w:val="24"/>
          <w:lang w:eastAsia="en-US"/>
        </w:rPr>
      </w:pPr>
      <w:r>
        <w:rPr>
          <w:szCs w:val="24"/>
          <w:lang w:eastAsia="en-US"/>
        </w:rPr>
        <w:br w:type="page"/>
      </w:r>
    </w:p>
    <w:p w14:paraId="7A6158DF" w14:textId="45686F0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kan tillade en tillid og kontrol-erhvervsdrivende at beregne den toldskyld, der svarer til det samlede import- eller eksportafgiftsbeløb for alle de varer, som denne operatør har frigivet på vegne af toldmyndighederne i en periode på højst 31 kalenderdage, og at meddele dette til toldmyndighederne med en opdeling af beløbene for hver enkelt vareforsendelse. Hvis toldmyndighederne er uenige i det beregnede og meddelte beløb, fastsætter de det skyldige import- eller eksportafgiftsbeløb.</w:t>
      </w:r>
    </w:p>
    <w:p w14:paraId="039B6E6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Uanset stk. 1 kan toldmyndighederne, når afsnit XII, kapitel 6, afdeling 4, i direktiv 2006/112/EF finder anvendelse på fjernsalg af varer, der skal importeres fra tredjelande til en kunde i Unionens toldområde, give en formel importør tilladelse til at beregne den toldskyld, der svarer til det samlede importafgiftsbeløb for alle de varer, der er frigivet til den pågældende formelle importør i løbet af en måned, og til at meddele dette inden udgangen af den følgende måned med en opdeling af beløbene for hver enkelt vareforsendelse.  Denne meddelelse kan ændre eller ugyldiggøre de oplysninger, som er blevet meddelt af den formelle importør i henhold til artikel 59, stk. 2. Hvis toldmyndighederne er uenige i det beregnede og meddelte beløb, fastsætter de det skyldige import- eller eksportafgiftsbeløb. Toldmyndighederne anses for at have givet underretning om toldskylden, hvis de ikke har erklæret sig uenige i meddelelsen inden for en rimelig frist, efter at den erhvervsdrivende har indgivet den.</w:t>
      </w:r>
    </w:p>
    <w:p w14:paraId="588C891B" w14:textId="77777777" w:rsidR="003263F7" w:rsidRDefault="003263F7">
      <w:pPr>
        <w:widowControl/>
        <w:rPr>
          <w:szCs w:val="24"/>
          <w:lang w:eastAsia="en-US"/>
        </w:rPr>
      </w:pPr>
      <w:r>
        <w:rPr>
          <w:szCs w:val="24"/>
          <w:lang w:eastAsia="en-US"/>
        </w:rPr>
        <w:br w:type="page"/>
      </w:r>
    </w:p>
    <w:p w14:paraId="7CE65361" w14:textId="07335D3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Indtil den dato, der er fastsat i artikel 265, stk. 3, kan toldmyndighederne, hvis der er indgivet en toldangivelse, og for så vidt der er stillet sikkerhed for betalingen, tillade, at toldskyld svarende til samtlige import- eller eksportafgiftsbeløb vedrørende alle varer, der er frigivet til en og samme person i løbet af en fastsat periode, meddeles samlet ved slutningen af denne periode. Den af toldmyndighederne fastsatte periode må højst være 31 dage.</w:t>
      </w:r>
    </w:p>
    <w:p w14:paraId="2B19AFC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Kommissionen tillægges beføjelser til at vedtage delegerede retsakter i overensstemmelse med artikel 261 med henblik på at supplere denne forordning ved at fastsætte:</w:t>
      </w:r>
    </w:p>
    <w:p w14:paraId="1378D20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i stk. 2, andet afsnit, litra d), omhandlede tilfælde, hvor toldmyndighederne er fritaget for at give underretning om toldskylden</w:t>
      </w:r>
    </w:p>
    <w:p w14:paraId="1D1E895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rimelig frist til konstatering af, at der ikke er uenighed, jf. stk. 5</w:t>
      </w:r>
    </w:p>
    <w:p w14:paraId="3786F7C4" w14:textId="7B6075FA"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oplysninger, der skal gives i den i stk. 5 omhandlede meddelelse fra den formelle importør</w:t>
      </w:r>
      <w:r w:rsidR="00602671">
        <w:rPr>
          <w:szCs w:val="24"/>
          <w:lang w:eastAsia="en-US"/>
        </w:rPr>
        <w:t>.</w:t>
      </w:r>
    </w:p>
    <w:p w14:paraId="7516222F" w14:textId="77777777" w:rsidR="003263F7" w:rsidRDefault="003263F7">
      <w:pPr>
        <w:widowControl/>
        <w:rPr>
          <w:szCs w:val="24"/>
          <w:lang w:eastAsia="en-US"/>
        </w:rPr>
      </w:pPr>
      <w:r>
        <w:rPr>
          <w:szCs w:val="24"/>
          <w:lang w:eastAsia="en-US"/>
        </w:rPr>
        <w:br w:type="page"/>
      </w:r>
    </w:p>
    <w:p w14:paraId="4FDBE009" w14:textId="2274C77F"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182</w:t>
      </w:r>
      <w:r w:rsidRPr="003E0486">
        <w:rPr>
          <w:szCs w:val="24"/>
          <w:lang w:eastAsia="en-US"/>
        </w:rPr>
        <w:br/>
        <w:t>Forældelse af toldskylden</w:t>
      </w:r>
    </w:p>
    <w:p w14:paraId="412E9E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må ikke give underretning om en toldskyld til debitor efter udløbet af en periode på tre år, regnet fra datoen for toldskyldens opståen.</w:t>
      </w:r>
    </w:p>
    <w:p w14:paraId="3477D7B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Er toldskylden opstået på grund af en handling, der på det tidspunkt, hvor den blev begået, kunne give anledning til strafferetlig forfølgning, forlænges den treårsperiode, der er fastsat i stk. 1, til mindst fem og højst ti år i overensstemmelse med national lovgivning.</w:t>
      </w:r>
    </w:p>
    <w:p w14:paraId="749AF1A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Perioderne i stk. 1 og 2 suspenderes, hvis</w:t>
      </w:r>
    </w:p>
    <w:p w14:paraId="77365927" w14:textId="458D621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der indbringes en sag i overensstemmelse med artikel 16</w:t>
      </w:r>
    </w:p>
    <w:p w14:paraId="7B072F2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sådan suspension har virkning fra den dato, hvor sagen indbringes, og varer hele prøvelsesproceduren ud, eller</w:t>
      </w:r>
    </w:p>
    <w:p w14:paraId="5DA9642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toldmyndighederne i overensstemmelse med artikel 6, stk. 6, meddeler debitor de grunde, som de agter at basere toldskylden på; en sådan suspension har virkning fra datoen for denne meddelelse og indtil udløbet af den periode, i hvilken debitor får lejlighed til at fremsætte sine synspunkter.</w:t>
      </w:r>
    </w:p>
    <w:p w14:paraId="0C5CDF10" w14:textId="77777777" w:rsidR="003263F7" w:rsidRDefault="003263F7">
      <w:pPr>
        <w:widowControl/>
        <w:rPr>
          <w:szCs w:val="24"/>
          <w:lang w:eastAsia="en-US"/>
        </w:rPr>
      </w:pPr>
      <w:r>
        <w:rPr>
          <w:szCs w:val="24"/>
          <w:lang w:eastAsia="en-US"/>
        </w:rPr>
        <w:br w:type="page"/>
      </w:r>
    </w:p>
    <w:p w14:paraId="46741CC9" w14:textId="6D2A571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Hvis der genindføres en toldskyld i medfør af artikel 193, stk. 7, anses de perioder, der er fastsat i stk. 1 og 2, for at være suspenderet fra den dato, hvor ansøgningen om godtgørelse eller fritagelse blev indgivet i henhold til artikel 198, indtil den dato, hvor der blev truffet en afgørelse om godtgørelse eller fritagelse.</w:t>
      </w:r>
    </w:p>
    <w:p w14:paraId="6F81251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183</w:t>
      </w:r>
      <w:r w:rsidRPr="003E0486">
        <w:rPr>
          <w:szCs w:val="24"/>
          <w:lang w:eastAsia="en-US"/>
        </w:rPr>
        <w:br/>
        <w:t>Bogføring</w:t>
      </w:r>
    </w:p>
    <w:p w14:paraId="48787D3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 i artikel 180 omhandlede toldmyndigheder bogfører i overensstemmelse med national lovgivning det skyldige import- eller eksportafgiftsbeløb, som er der er givet underretning om i overensstemmelse med artikel 181.</w:t>
      </w:r>
    </w:p>
    <w:p w14:paraId="5168275B" w14:textId="77777777" w:rsidR="003E0486" w:rsidRPr="003E0486" w:rsidRDefault="003E0486" w:rsidP="003E0486">
      <w:pPr>
        <w:spacing w:before="120" w:after="120" w:line="360" w:lineRule="auto"/>
        <w:ind w:left="850"/>
        <w:rPr>
          <w:szCs w:val="24"/>
          <w:lang w:eastAsia="en-US"/>
        </w:rPr>
      </w:pPr>
      <w:r w:rsidRPr="003E0486">
        <w:rPr>
          <w:szCs w:val="24"/>
          <w:lang w:eastAsia="en-US"/>
        </w:rPr>
        <w:t>Toldmyndighedernes forpligtelse i første afsnit finder ikke anvendelse i de tilfælde, der er omhandlet i artikel 181, stk. 2, andet afsnit.</w:t>
      </w:r>
    </w:p>
    <w:p w14:paraId="23BAA46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kan undlade at bogføre import- eller eksportafgiftsbeløb, der i henhold til artikel 182 svarer til en toldskyld, som debitor ikke længere kan gives underretning om.</w:t>
      </w:r>
    </w:p>
    <w:p w14:paraId="4A40DA4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 praktiske procedurer for bogføringen af import- eller eksportafgiftsbeløbene fastlægges af medlemsstaterne. Disse procedurer kan være forskellige, afhængigt af om toldmyndighederne på baggrund af forholdene omkring toldskyldens opståen har sikkerhed for, at de nævnte beløb betales.</w:t>
      </w:r>
    </w:p>
    <w:p w14:paraId="51DE2B51" w14:textId="77777777" w:rsidR="003263F7" w:rsidRDefault="003263F7">
      <w:pPr>
        <w:widowControl/>
        <w:rPr>
          <w:szCs w:val="24"/>
          <w:lang w:eastAsia="en-US"/>
        </w:rPr>
      </w:pPr>
      <w:r>
        <w:rPr>
          <w:szCs w:val="24"/>
          <w:lang w:eastAsia="en-US"/>
        </w:rPr>
        <w:br w:type="page"/>
      </w:r>
    </w:p>
    <w:p w14:paraId="3503BD99" w14:textId="61E60F19"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184</w:t>
      </w:r>
      <w:r w:rsidRPr="003E0486">
        <w:rPr>
          <w:szCs w:val="24"/>
          <w:lang w:eastAsia="en-US"/>
        </w:rPr>
        <w:br/>
        <w:t>Frist for bogføring</w:t>
      </w:r>
    </w:p>
    <w:p w14:paraId="6B8D798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Senest 14 dage efter frigivelsen af varerne bogfører toldmyndighederne det skyldige import- eller eksportafgiftsbeløb, medmindre varerne er henført under midlertidig import med delvis fritagelse for importafgifter.</w:t>
      </w:r>
    </w:p>
    <w:p w14:paraId="2D7D612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Uanset stk. 1 kan toldmyndighederne dække det samlede import- eller eksportafgiftsbeløb for alle de varer, der er frigivet til en tillid og kontrol-erhvervsdrivende inden for en fastsat periode, jf. artikel 181, stk. 4, ved en enkelt bogføring ved udgangen af denne periode.</w:t>
      </w:r>
    </w:p>
    <w:p w14:paraId="3E040455" w14:textId="77777777" w:rsidR="003E0486" w:rsidRPr="003E0486" w:rsidRDefault="003E0486" w:rsidP="003E0486">
      <w:pPr>
        <w:spacing w:before="120" w:after="120" w:line="360" w:lineRule="auto"/>
        <w:ind w:left="850"/>
        <w:rPr>
          <w:szCs w:val="24"/>
          <w:lang w:eastAsia="en-US"/>
        </w:rPr>
      </w:pPr>
      <w:r w:rsidRPr="003E0486">
        <w:rPr>
          <w:szCs w:val="24"/>
          <w:lang w:eastAsia="en-US"/>
        </w:rPr>
        <w:t>Denne bogføring skal ske senest 14 dage efter den pågældende periodes udløb.</w:t>
      </w:r>
    </w:p>
    <w:p w14:paraId="3B2706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Uanset stk. 1 kan det samlede importafgiftsbeløb for alle de varer, der er frigivet til en formel importør i løbet af en måned, jf. artikel 181, stk. 5, dækkes ved en enkelt bogføring inden udgangen af den følgende måned med en opdeling af beløbene for hver enkelt vareforsendelse.</w:t>
      </w:r>
    </w:p>
    <w:p w14:paraId="0A4C755D" w14:textId="77777777" w:rsidR="003263F7" w:rsidRDefault="003263F7">
      <w:pPr>
        <w:widowControl/>
        <w:rPr>
          <w:szCs w:val="24"/>
          <w:lang w:eastAsia="en-US"/>
        </w:rPr>
      </w:pPr>
      <w:r>
        <w:rPr>
          <w:szCs w:val="24"/>
          <w:lang w:eastAsia="en-US"/>
        </w:rPr>
        <w:br w:type="page"/>
      </w:r>
    </w:p>
    <w:p w14:paraId="632F2DE3" w14:textId="5330983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Indtil den dato, der er fastsat i artikel 265, stk. 3, kan toldmyndighederne, hvis der er indgivet en toldangivelse, og for så vidt der er stillet sikkerhed for betalingen, tillade, at toldskyld svarende til samtlige import- eller eksportafgiftsbeløb vedrørende alle varer, der er frigivet til en og samme person i løbet af en fastsat periode, som ikke må overstige 31 dage, meddeles samlet ved slutningen af denne periode.</w:t>
      </w:r>
    </w:p>
    <w:p w14:paraId="24003B94" w14:textId="77777777" w:rsidR="003E0486" w:rsidRPr="003E0486" w:rsidRDefault="003E0486" w:rsidP="003E0486">
      <w:pPr>
        <w:spacing w:before="120" w:after="120" w:line="360" w:lineRule="auto"/>
        <w:ind w:left="850"/>
        <w:rPr>
          <w:szCs w:val="24"/>
          <w:lang w:eastAsia="en-US"/>
        </w:rPr>
      </w:pPr>
      <w:r w:rsidRPr="003E0486">
        <w:rPr>
          <w:szCs w:val="24"/>
          <w:lang w:eastAsia="en-US"/>
        </w:rPr>
        <w:t>Denne bogføring skal ske senest 14 dage efter den pågældende periodes udløb.</w:t>
      </w:r>
    </w:p>
    <w:p w14:paraId="37FA55A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Når varer kan frigives under visse betingelser, som enten vedrører fastlæggelsen af det skyldige import- eller eksportafgiftsbeløb eller opkrævningen heraf, skal bogføringen finde sted senest 14 dage efter den dag, hvor det skyldige import- eller eksportafgiftsbeløb er fastsat, eller hvor forpligtelsen til at betale denne afgift er fastslået.</w:t>
      </w:r>
    </w:p>
    <w:p w14:paraId="19B422E3" w14:textId="77777777" w:rsidR="003E0486" w:rsidRPr="003E0486" w:rsidRDefault="003E0486" w:rsidP="003E0486">
      <w:pPr>
        <w:spacing w:before="120" w:after="120" w:line="360" w:lineRule="auto"/>
        <w:ind w:left="850"/>
        <w:rPr>
          <w:szCs w:val="24"/>
          <w:lang w:eastAsia="en-US"/>
        </w:rPr>
      </w:pPr>
      <w:r w:rsidRPr="003E0486">
        <w:rPr>
          <w:szCs w:val="24"/>
          <w:lang w:eastAsia="en-US"/>
        </w:rPr>
        <w:t xml:space="preserve">Vedrører toldskylden imidlertid en foreløbig antidumpingtold, en foreløbig udligningstold eller en foreløbig beskyttelsesforanstaltning, skal det skyldige import- eller eksportafgiftsbeløb bogføres senest to måneder efter, at forordningen om indførelse af den endelige told er blevet offentliggjort i </w:t>
      </w:r>
      <w:r w:rsidRPr="003740C4">
        <w:rPr>
          <w:i/>
          <w:szCs w:val="24"/>
          <w:lang w:eastAsia="en-US"/>
        </w:rPr>
        <w:t>Den Europæiske Unions Tidende</w:t>
      </w:r>
      <w:r w:rsidRPr="003E0486">
        <w:rPr>
          <w:szCs w:val="24"/>
          <w:lang w:eastAsia="en-US"/>
        </w:rPr>
        <w:t>.</w:t>
      </w:r>
    </w:p>
    <w:p w14:paraId="3A287DFB" w14:textId="77777777" w:rsidR="003263F7" w:rsidRDefault="003263F7">
      <w:pPr>
        <w:widowControl/>
        <w:rPr>
          <w:szCs w:val="24"/>
          <w:lang w:eastAsia="en-US"/>
        </w:rPr>
      </w:pPr>
      <w:r>
        <w:rPr>
          <w:szCs w:val="24"/>
          <w:lang w:eastAsia="en-US"/>
        </w:rPr>
        <w:br w:type="page"/>
      </w:r>
    </w:p>
    <w:p w14:paraId="2EAB1BAF" w14:textId="323F1C2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Hvis der opstår en toldskyld under omstændigheder, der ikke er omhandlet i stk. 1, bogføres det skyldige import- eller eksportafgiftsbeløb senest 14 dage efter den dag, hvor toldmyndighederne kan fastsætte størrelsen af det pågældende import- eller eksportafgiftsbeløb og træffe afgørelse.</w:t>
      </w:r>
    </w:p>
    <w:p w14:paraId="7551CB6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Stk. 6 finder anvendelse for et import- eller eksportafgiftsbeløb, der skal opkræves eller endnu ikke er opkrævet, hvis det skyldige import- eller eksportafgiftsbeløb ikke er bogført i henhold til stk. 1-6 eller er fastsat og bogført for lavt i forhold til det beløb, der skal betales.</w:t>
      </w:r>
    </w:p>
    <w:p w14:paraId="5DF555E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De tidsfrister for bogføring, der er fastsat i stk. 1-6, gælder ikke i tilfælde af hændelige omstændigheder eller force majeure.</w:t>
      </w:r>
    </w:p>
    <w:p w14:paraId="27EC97BE" w14:textId="34CA11EB" w:rsidR="003E0486" w:rsidRPr="00C82C23" w:rsidRDefault="003E0486" w:rsidP="003E0486">
      <w:pPr>
        <w:spacing w:before="120" w:after="120" w:line="360" w:lineRule="auto"/>
        <w:ind w:left="850" w:hanging="850"/>
        <w:rPr>
          <w:b/>
          <w:szCs w:val="24"/>
          <w:lang w:eastAsia="en-US"/>
        </w:rPr>
      </w:pPr>
      <w:r w:rsidRPr="003E0486">
        <w:rPr>
          <w:szCs w:val="24"/>
          <w:lang w:eastAsia="en-US"/>
        </w:rPr>
        <w:t>9.</w:t>
      </w:r>
      <w:r w:rsidRPr="003E0486">
        <w:rPr>
          <w:szCs w:val="24"/>
          <w:lang w:eastAsia="en-US"/>
        </w:rPr>
        <w:tab/>
        <w:t>Bogføringen kan udsættes i de i artikel 181, stk. 3, andet afsnit, omhandlede tilfælde, indtil underretningen om toldskylden ikke længere skader en strafferetlig efterforskning</w:t>
      </w:r>
      <w:r w:rsidRPr="003E0486">
        <w:rPr>
          <w:b/>
          <w:i/>
          <w:szCs w:val="24"/>
          <w:lang w:eastAsia="en-US"/>
        </w:rPr>
        <w:t>, selv om denne efterforskning finder sted i en anden medlemsstat</w:t>
      </w:r>
      <w:r w:rsidRPr="003E0486">
        <w:rPr>
          <w:szCs w:val="24"/>
          <w:lang w:eastAsia="en-US"/>
        </w:rPr>
        <w:t>.</w:t>
      </w:r>
      <w:r w:rsidR="00C82C23">
        <w:rPr>
          <w:b/>
          <w:szCs w:val="24"/>
          <w:lang w:eastAsia="en-US"/>
        </w:rPr>
        <w:t xml:space="preserve"> [Ændring 204]</w:t>
      </w:r>
    </w:p>
    <w:p w14:paraId="48C47302" w14:textId="77777777" w:rsidR="003263F7" w:rsidRDefault="003263F7">
      <w:pPr>
        <w:widowControl/>
        <w:rPr>
          <w:szCs w:val="24"/>
          <w:lang w:eastAsia="en-US"/>
        </w:rPr>
      </w:pPr>
      <w:r>
        <w:rPr>
          <w:szCs w:val="24"/>
          <w:lang w:eastAsia="en-US"/>
        </w:rPr>
        <w:br w:type="page"/>
      </w:r>
    </w:p>
    <w:p w14:paraId="3A86294B" w14:textId="3E75D04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185</w:t>
      </w:r>
      <w:r w:rsidRPr="003E0486">
        <w:rPr>
          <w:szCs w:val="24"/>
          <w:lang w:eastAsia="en-US"/>
        </w:rPr>
        <w:br/>
        <w:t>Tillæggelse af gennemførelsesbeføjelser</w:t>
      </w:r>
    </w:p>
    <w:p w14:paraId="47EAF0D9" w14:textId="77777777" w:rsidR="003E0486" w:rsidRPr="003E0486" w:rsidRDefault="003E0486" w:rsidP="003E0486">
      <w:pPr>
        <w:spacing w:before="120" w:after="120" w:line="360" w:lineRule="auto"/>
        <w:rPr>
          <w:szCs w:val="24"/>
          <w:lang w:eastAsia="en-US"/>
        </w:rPr>
      </w:pPr>
      <w:r w:rsidRPr="003E0486">
        <w:rPr>
          <w:szCs w:val="24"/>
          <w:lang w:eastAsia="en-US"/>
        </w:rPr>
        <w:t>Kommissionen vedtager ved gennemførelsesretsakter foranstaltninger for at sikre gensidig bistand mellem toldmyndighederne, når der opstår toldskyld.</w:t>
      </w:r>
    </w:p>
    <w:p w14:paraId="1B267D11" w14:textId="77777777" w:rsidR="003E0486" w:rsidRPr="003E0486" w:rsidRDefault="003E0486" w:rsidP="003E0486">
      <w:pPr>
        <w:spacing w:before="120" w:after="120" w:line="360" w:lineRule="auto"/>
        <w:rPr>
          <w:szCs w:val="24"/>
          <w:lang w:eastAsia="en-US"/>
        </w:rPr>
      </w:pPr>
      <w:r w:rsidRPr="003E0486">
        <w:rPr>
          <w:szCs w:val="24"/>
          <w:lang w:eastAsia="en-US"/>
        </w:rPr>
        <w:t>Disse gennemførelsesretsakter vedtages efter undersøgelsesproceduren i artikel 262, stk. 4.</w:t>
      </w:r>
    </w:p>
    <w:p w14:paraId="2E98AC8D"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2 </w:t>
      </w:r>
      <w:r w:rsidRPr="003E0486">
        <w:rPr>
          <w:szCs w:val="24"/>
          <w:lang w:eastAsia="en-US"/>
        </w:rPr>
        <w:br/>
        <w:t>Betaling af import- eller eksportafgiftsbeløbet</w:t>
      </w:r>
    </w:p>
    <w:p w14:paraId="3220599E"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186</w:t>
      </w:r>
      <w:r w:rsidRPr="003E0486">
        <w:rPr>
          <w:szCs w:val="24"/>
          <w:lang w:eastAsia="en-US"/>
        </w:rPr>
        <w:br/>
        <w:t>Almindelige frister for betaling og suspension af betalingsfristen</w:t>
      </w:r>
    </w:p>
    <w:p w14:paraId="1E1AC55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Debitoren betaler import- eller eksportafgiftsbeløbene, der svarer til en toldskyld, som er meddelt i overensstemmelse med artikel 181, inden for den frist, der er fastsat af toldmyndighederne.</w:t>
      </w:r>
    </w:p>
    <w:p w14:paraId="04104969" w14:textId="77777777" w:rsidR="003E0486" w:rsidRPr="003E0486" w:rsidRDefault="003E0486" w:rsidP="003E0486">
      <w:pPr>
        <w:spacing w:before="120" w:after="120" w:line="360" w:lineRule="auto"/>
        <w:ind w:left="850"/>
        <w:rPr>
          <w:szCs w:val="24"/>
          <w:lang w:eastAsia="en-US"/>
        </w:rPr>
      </w:pPr>
      <w:r w:rsidRPr="003E0486">
        <w:rPr>
          <w:szCs w:val="24"/>
          <w:lang w:eastAsia="en-US"/>
        </w:rPr>
        <w:t>Uden at det berører artikel 17, stk. 2, må denne frist højst være på ti dage fra det tidspunkt, hvor debitor er blevet underrettet om toldskylden.</w:t>
      </w:r>
    </w:p>
    <w:p w14:paraId="5DD78123" w14:textId="77777777" w:rsidR="003263F7" w:rsidRDefault="003263F7">
      <w:pPr>
        <w:widowControl/>
        <w:rPr>
          <w:szCs w:val="24"/>
          <w:lang w:eastAsia="en-US"/>
        </w:rPr>
      </w:pPr>
      <w:r>
        <w:rPr>
          <w:szCs w:val="24"/>
          <w:lang w:eastAsia="en-US"/>
        </w:rPr>
        <w:br w:type="page"/>
      </w:r>
    </w:p>
    <w:p w14:paraId="7FDCEF39" w14:textId="337D028C" w:rsidR="003E0486" w:rsidRPr="003E0486" w:rsidRDefault="003E0486" w:rsidP="003E0486">
      <w:pPr>
        <w:spacing w:before="120" w:after="120" w:line="360" w:lineRule="auto"/>
        <w:ind w:left="850"/>
        <w:rPr>
          <w:szCs w:val="24"/>
          <w:lang w:eastAsia="en-US"/>
        </w:rPr>
      </w:pPr>
      <w:r w:rsidRPr="003E0486">
        <w:rPr>
          <w:szCs w:val="24"/>
          <w:lang w:eastAsia="en-US"/>
        </w:rPr>
        <w:lastRenderedPageBreak/>
        <w:t>Toldmyndighederne kan efter ansøgning fra debitor indrømme en forlænget frist, når det skyldige import- eller eksportafgiftsbeløb er blevet fastsat under kontrol efter frigivelse som omhandlet i artikel 48. En således indrømmet forlænget frist må ikke overstige den tid, der er nødvendig for, at debitor kan træffe de fornødne foranstaltninger til at opfylde sin forpligtelse, jf. dog artikel 190, stk. 2.</w:t>
      </w:r>
    </w:p>
    <w:p w14:paraId="59D252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Uanset stk. 1 skal det importafgiftsbeløb, som svarer til en toldskyld, der er givet underretning om i overensstemmelse med artikel 181, stk. 5, betales af debitor senest ved udløbet af den frist, inden for hvilken toldskylden skal meddeles.</w:t>
      </w:r>
    </w:p>
    <w:p w14:paraId="74BD38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der er indrømmet debitor en af de i artikel 188-190 fastsatte betalingslempelser, skal betalingen finde sted inden for den eller de frister, der er fastsat i forbindelse med disse betalingslempelser.</w:t>
      </w:r>
    </w:p>
    <w:p w14:paraId="1A366BD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Fristen for betaling af det import- eller eksportafgiftsbeløb, der svarer til toldskylden, suspenderes i følgende tilfælde:</w:t>
      </w:r>
    </w:p>
    <w:p w14:paraId="34D43ED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der indgives en ansøgning om fritagelse for afgifter i henhold til artikel 198</w:t>
      </w:r>
    </w:p>
    <w:p w14:paraId="4D7CBF1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en vare skal konfiskeres, tilintetgøres eller afstås til staten</w:t>
      </w:r>
    </w:p>
    <w:p w14:paraId="2731E035" w14:textId="77777777" w:rsidR="003263F7" w:rsidRDefault="003263F7">
      <w:pPr>
        <w:widowControl/>
        <w:rPr>
          <w:szCs w:val="24"/>
          <w:lang w:eastAsia="en-US"/>
        </w:rPr>
      </w:pPr>
      <w:r>
        <w:rPr>
          <w:szCs w:val="24"/>
          <w:lang w:eastAsia="en-US"/>
        </w:rPr>
        <w:br w:type="page"/>
      </w:r>
    </w:p>
    <w:p w14:paraId="45BB932C" w14:textId="2F81F21C"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når toldskylden opstod i medfør af artikel 161, og der er mere end én debitor.</w:t>
      </w:r>
    </w:p>
    <w:p w14:paraId="4809D33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reglerne for suspension af fristen for betaling af import- eller eksportafgifter svarende til en toldskyld som omhandlet i stk. 3, og suspensionsperioden.</w:t>
      </w:r>
    </w:p>
    <w:p w14:paraId="3BF8520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187</w:t>
      </w:r>
      <w:r w:rsidRPr="003E0486">
        <w:rPr>
          <w:szCs w:val="24"/>
          <w:lang w:eastAsia="en-US"/>
        </w:rPr>
        <w:br/>
        <w:t>Betaling</w:t>
      </w:r>
    </w:p>
    <w:p w14:paraId="406F8B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Betaling skal finde sted i rede penge eller i form af ethvert andet betalingsmiddel, som har tilsvarende frigørende virkning, herunder modregning i henhold til national lovgivning.</w:t>
      </w:r>
    </w:p>
    <w:p w14:paraId="1250D08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Betaling kan foretages af tredjemand i stedet for debitor.</w:t>
      </w:r>
    </w:p>
    <w:p w14:paraId="415C1F4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Debitor kan i alle tilfælde betale hele eller en del af import- eller eksportafgiften uden at afvente udløbet af den frist for betaling, den pågældende har fået.</w:t>
      </w:r>
    </w:p>
    <w:p w14:paraId="3FE18E0C" w14:textId="77777777" w:rsidR="003263F7" w:rsidRDefault="003263F7">
      <w:pPr>
        <w:widowControl/>
        <w:rPr>
          <w:szCs w:val="24"/>
          <w:lang w:eastAsia="en-US"/>
        </w:rPr>
      </w:pPr>
      <w:r>
        <w:rPr>
          <w:szCs w:val="24"/>
          <w:lang w:eastAsia="en-US"/>
        </w:rPr>
        <w:br w:type="page"/>
      </w:r>
    </w:p>
    <w:p w14:paraId="06290A5E" w14:textId="3F73286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188</w:t>
      </w:r>
      <w:r w:rsidRPr="003E0486">
        <w:rPr>
          <w:szCs w:val="24"/>
          <w:lang w:eastAsia="en-US"/>
        </w:rPr>
        <w:br/>
        <w:t>Betalingshenstand</w:t>
      </w:r>
    </w:p>
    <w:p w14:paraId="6F7F5944" w14:textId="77777777" w:rsidR="003E0486" w:rsidRPr="003E0486" w:rsidRDefault="003E0486" w:rsidP="003E0486">
      <w:pPr>
        <w:spacing w:before="120" w:after="120" w:line="360" w:lineRule="auto"/>
        <w:rPr>
          <w:szCs w:val="24"/>
          <w:lang w:eastAsia="en-US"/>
        </w:rPr>
      </w:pPr>
      <w:r w:rsidRPr="003E0486">
        <w:rPr>
          <w:szCs w:val="24"/>
          <w:lang w:eastAsia="en-US"/>
        </w:rPr>
        <w:t>Toldmyndighederne indrømmer efter ansøgning fra den pågældende person og mod, at der stilles sikkerhed, henstand med betaling af den skyldige afgift på en af følgende måder:</w:t>
      </w:r>
    </w:p>
    <w:p w14:paraId="03906A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særskilt for hvert enkelt import- eller eksportafgiftsbeløb, der bogføres i overensstemmelse med artikel 184, stk. 1 eller 7</w:t>
      </w:r>
    </w:p>
    <w:p w14:paraId="5651D65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(b)</w:t>
      </w:r>
      <w:r w:rsidRPr="003E0486">
        <w:rPr>
          <w:szCs w:val="24"/>
          <w:lang w:eastAsia="en-US"/>
        </w:rPr>
        <w:tab/>
        <w:t>samlet for alle de import- eller eksportafgiftsbeløb, der bogføres i overensstemmelse med artikel 184, stk. 1, i en periode, der fastsættes af toldmyndighederne, og som højst må være på 31 dage</w:t>
      </w:r>
    </w:p>
    <w:p w14:paraId="1C9973E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samlet for alle de import- eller eksportafgiftsbeløb, der bogføres samlet i overensstemmelse med artikel 184, stk. 2, 3 og 4.</w:t>
      </w:r>
    </w:p>
    <w:p w14:paraId="4600D8CF" w14:textId="743F9961" w:rsidR="003E0486" w:rsidRPr="00C82C23" w:rsidRDefault="003E0486" w:rsidP="003E0486">
      <w:pPr>
        <w:spacing w:before="120" w:after="120" w:line="360" w:lineRule="auto"/>
        <w:rPr>
          <w:b/>
          <w:szCs w:val="24"/>
          <w:lang w:eastAsia="en-US"/>
        </w:rPr>
      </w:pPr>
      <w:r w:rsidRPr="003E0486">
        <w:rPr>
          <w:b/>
          <w:i/>
          <w:szCs w:val="24"/>
          <w:lang w:eastAsia="en-US"/>
        </w:rPr>
        <w:t>Når toldmyndighederne giver tilladelse til at udskyde betalingen af den skyldige told</w:t>
      </w:r>
      <w:r w:rsidR="003D27AF">
        <w:rPr>
          <w:b/>
          <w:i/>
          <w:szCs w:val="24"/>
          <w:lang w:eastAsia="en-US"/>
        </w:rPr>
        <w:t xml:space="preserve"> som omhandlet i </w:t>
      </w:r>
      <w:r w:rsidRPr="003E0486">
        <w:rPr>
          <w:b/>
          <w:i/>
          <w:szCs w:val="24"/>
          <w:lang w:eastAsia="en-US"/>
        </w:rPr>
        <w:t xml:space="preserve">stk. 1, kræver de ikke, at der stilles sikkerhed, hvis ansøgeren er en tillid og kontrol-erhvervsdrivende, der har tilladelse til at opnå fritagelse for sikkerhedsstillelse i </w:t>
      </w:r>
      <w:r w:rsidR="003D27AF">
        <w:rPr>
          <w:b/>
          <w:i/>
          <w:szCs w:val="24"/>
          <w:lang w:eastAsia="en-US"/>
        </w:rPr>
        <w:t>overensstemmelse med</w:t>
      </w:r>
      <w:r w:rsidRPr="003E0486">
        <w:rPr>
          <w:b/>
          <w:i/>
          <w:szCs w:val="24"/>
          <w:lang w:eastAsia="en-US"/>
        </w:rPr>
        <w:t xml:space="preserve"> artikel 176, stk. 3.</w:t>
      </w:r>
      <w:r w:rsidR="00C82C23">
        <w:rPr>
          <w:b/>
          <w:szCs w:val="24"/>
          <w:lang w:eastAsia="en-US"/>
        </w:rPr>
        <w:t xml:space="preserve"> [Ændring 205]</w:t>
      </w:r>
    </w:p>
    <w:p w14:paraId="3B248BC5" w14:textId="77777777" w:rsidR="003263F7" w:rsidRDefault="003263F7">
      <w:pPr>
        <w:widowControl/>
        <w:rPr>
          <w:szCs w:val="24"/>
          <w:lang w:eastAsia="en-US"/>
        </w:rPr>
      </w:pPr>
      <w:r>
        <w:rPr>
          <w:szCs w:val="24"/>
          <w:lang w:eastAsia="en-US"/>
        </w:rPr>
        <w:br w:type="page"/>
      </w:r>
    </w:p>
    <w:p w14:paraId="298A6042" w14:textId="4B1336A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189</w:t>
      </w:r>
      <w:r w:rsidRPr="003E0486">
        <w:rPr>
          <w:szCs w:val="24"/>
          <w:lang w:eastAsia="en-US"/>
        </w:rPr>
        <w:br/>
        <w:t>Perioder for betalingshenstand</w:t>
      </w:r>
    </w:p>
    <w:p w14:paraId="3C9B7C6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Betalingshenstand efter artikel 188 er på 30 dage.</w:t>
      </w:r>
    </w:p>
    <w:p w14:paraId="3400264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der gives betalingshenstand i henhold til artikel 188, litra a), regnes perioden fra dagen efter den dag, hvor debitor underrettes om toldskylden.</w:t>
      </w:r>
    </w:p>
    <w:p w14:paraId="04C947B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der gives betalingshenstand i henhold til artikel 188, litra b), regnes perioden fra dagen efter den dag, hvor perioden for samlet bogføring ophører. Den nedsættes med et antal dage svarende til halvdelen af det antal dage, som den pågældende periode omfatter.</w:t>
      </w:r>
    </w:p>
    <w:p w14:paraId="38D1DE4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der gives betalingshenstand i henhold til artikel 188, litra c), regnes perioden fra dagen efter ophøret af den periode, der er fastsat til frigivelse af de pågældende varer. Den nedsættes med et antal dage svarende til halvdelen af det antal dage, som den pågældende periode omfatter.</w:t>
      </w:r>
    </w:p>
    <w:p w14:paraId="664806C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Hvis de i stk. 3 og 4 omhandlede perioder omfatter et ulige antal dage, er det antal dage, der skal fratrækkes perioden på 30 dage i henhold til bestemmelserne i disse stykker, lig med halvdelen af det lige antal dage umiddelbart under dette ulige antal.</w:t>
      </w:r>
    </w:p>
    <w:p w14:paraId="628F1197" w14:textId="77777777" w:rsidR="003263F7" w:rsidRDefault="003263F7">
      <w:pPr>
        <w:widowControl/>
        <w:rPr>
          <w:szCs w:val="24"/>
          <w:lang w:eastAsia="en-US"/>
        </w:rPr>
      </w:pPr>
      <w:r>
        <w:rPr>
          <w:szCs w:val="24"/>
          <w:lang w:eastAsia="en-US"/>
        </w:rPr>
        <w:br w:type="page"/>
      </w:r>
    </w:p>
    <w:p w14:paraId="7437FB38" w14:textId="0412DC0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Hvis de i stk. 3 og 4 omhandlede perioder er uger, kan medlemsstaterne bestemme, at det import- eller eksportafgiftsbeløb, for hvilket der er givet betalingshenstand, skal betales senest om fredagen i den fjerde uge efter den pågældende uge.</w:t>
      </w:r>
    </w:p>
    <w:p w14:paraId="22AD7CC5" w14:textId="77777777" w:rsidR="003E0486" w:rsidRPr="003E0486" w:rsidRDefault="003E0486" w:rsidP="003E0486">
      <w:pPr>
        <w:spacing w:before="120" w:after="120" w:line="360" w:lineRule="auto"/>
        <w:ind w:left="850"/>
        <w:rPr>
          <w:szCs w:val="24"/>
          <w:lang w:eastAsia="en-US"/>
        </w:rPr>
      </w:pPr>
      <w:r w:rsidRPr="003E0486">
        <w:rPr>
          <w:szCs w:val="24"/>
          <w:lang w:eastAsia="en-US"/>
        </w:rPr>
        <w:t>Hvis disse perioder er måneder, kan medlemsstaterne bestemme, at det import- eller eksportafgiftsbeløb, for hvilket der er givet betalingshenstand, skal betales senest den 16. dag i måneden efter den pågældende måned. Disse perioder kan ikke forlænges, selv om periodens udløb falder på en helligdag.</w:t>
      </w:r>
    </w:p>
    <w:p w14:paraId="74985AE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190</w:t>
      </w:r>
      <w:r w:rsidRPr="003E0486">
        <w:rPr>
          <w:szCs w:val="24"/>
          <w:lang w:eastAsia="en-US"/>
        </w:rPr>
        <w:br/>
        <w:t>Andre betalingslempelser</w:t>
      </w:r>
    </w:p>
    <w:p w14:paraId="13E4E2E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kan indrømme debitor andre betalingslempelser end betalingshenstand på betingelse af, at der stilles en sikkerhed.</w:t>
      </w:r>
    </w:p>
    <w:p w14:paraId="4EE1A9B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der er indrømmet lempelser i henhold til stk. 1, opkræves der lånerente af import- eller eksportafgiftsbeløbet.</w:t>
      </w:r>
    </w:p>
    <w:p w14:paraId="6E7ACD24" w14:textId="77777777" w:rsidR="003263F7" w:rsidRDefault="003263F7">
      <w:pPr>
        <w:widowControl/>
        <w:rPr>
          <w:szCs w:val="24"/>
          <w:lang w:eastAsia="en-US"/>
        </w:rPr>
      </w:pPr>
      <w:r>
        <w:rPr>
          <w:szCs w:val="24"/>
          <w:lang w:eastAsia="en-US"/>
        </w:rPr>
        <w:br w:type="page"/>
      </w:r>
    </w:p>
    <w:p w14:paraId="423967C4" w14:textId="25A2B808" w:rsidR="003E0486" w:rsidRPr="003E0486" w:rsidRDefault="003E0486" w:rsidP="003E0486">
      <w:pPr>
        <w:spacing w:before="120" w:after="120" w:line="360" w:lineRule="auto"/>
        <w:ind w:left="850"/>
        <w:rPr>
          <w:szCs w:val="24"/>
          <w:lang w:eastAsia="en-US"/>
        </w:rPr>
      </w:pPr>
      <w:r w:rsidRPr="003E0486">
        <w:rPr>
          <w:szCs w:val="24"/>
          <w:lang w:eastAsia="en-US"/>
        </w:rPr>
        <w:lastRenderedPageBreak/>
        <w:t xml:space="preserve">For en medlemsstat, der har euroen som valuta, er lånerentesatsen lig med den rentesats, som Den Europæiske Centralbank anvender på sine vigtigste refinansieringstransaktioner den første dag i forfaldsmåneden, og som offentliggøres i </w:t>
      </w:r>
      <w:r w:rsidRPr="003740C4">
        <w:rPr>
          <w:i/>
          <w:szCs w:val="24"/>
          <w:lang w:eastAsia="en-US"/>
        </w:rPr>
        <w:t>Den Europæiske Unions Tidende</w:t>
      </w:r>
      <w:r w:rsidRPr="003E0486">
        <w:rPr>
          <w:szCs w:val="24"/>
          <w:lang w:eastAsia="en-US"/>
        </w:rPr>
        <w:t>, C-udgaven, forhøjet med et procentpoint.</w:t>
      </w:r>
    </w:p>
    <w:p w14:paraId="2F4E9535" w14:textId="77777777" w:rsidR="003E0486" w:rsidRPr="003E0486" w:rsidRDefault="003E0486" w:rsidP="003E0486">
      <w:pPr>
        <w:spacing w:before="120" w:after="120" w:line="360" w:lineRule="auto"/>
        <w:ind w:left="850"/>
        <w:rPr>
          <w:szCs w:val="24"/>
          <w:lang w:eastAsia="en-US"/>
        </w:rPr>
      </w:pPr>
      <w:r w:rsidRPr="003E0486">
        <w:rPr>
          <w:szCs w:val="24"/>
          <w:lang w:eastAsia="en-US"/>
        </w:rPr>
        <w:t>For en medlemsstat, der ikke har euroen som valuta, er lånerentesatsen lig med den sats, som dens nationale centralbank anvender på sine vigtigste refinansieringstransaktioner den første dag i den pågældende måned, forhøjet med et procentpoint, eller, for en medlemsstat, hvor den nationale centralbanks sats ikke foreligger, den nærmest tilsvarende sats, der finder anvendelse den første dag i den pågældende måned på medlemsstatens pengemarked, forhøjet med et procentpoint.</w:t>
      </w:r>
    </w:p>
    <w:p w14:paraId="74BEE54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undlade at kræve sikkerhed eller at opkræve lånerente, når det på grundlag af en dokumenteret vurdering af debitors situation fastslås, at dette vil kunne give anledning til alvorlige økonomiske eller sociale vanskeligheder.</w:t>
      </w:r>
    </w:p>
    <w:p w14:paraId="5A6E92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Toldmyndighederne undlader at opkræve lånerente, når beløbet for hver opkrævning er under 10 EUR.</w:t>
      </w:r>
    </w:p>
    <w:p w14:paraId="040FDE5C" w14:textId="77777777" w:rsidR="003263F7" w:rsidRDefault="003263F7">
      <w:pPr>
        <w:widowControl/>
        <w:rPr>
          <w:szCs w:val="24"/>
          <w:lang w:eastAsia="en-US"/>
        </w:rPr>
      </w:pPr>
      <w:r>
        <w:rPr>
          <w:szCs w:val="24"/>
          <w:lang w:eastAsia="en-US"/>
        </w:rPr>
        <w:br w:type="page"/>
      </w:r>
    </w:p>
    <w:p w14:paraId="5EE9FFBE" w14:textId="781CCDC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191</w:t>
      </w:r>
      <w:r w:rsidRPr="003E0486">
        <w:rPr>
          <w:szCs w:val="24"/>
          <w:lang w:eastAsia="en-US"/>
        </w:rPr>
        <w:br/>
        <w:t>Tvangsinddrivelse af betaling</w:t>
      </w:r>
    </w:p>
    <w:p w14:paraId="5204F57D" w14:textId="77777777" w:rsidR="003E0486" w:rsidRPr="003E0486" w:rsidRDefault="003E0486" w:rsidP="003E0486">
      <w:pPr>
        <w:spacing w:before="120" w:after="120" w:line="360" w:lineRule="auto"/>
        <w:rPr>
          <w:szCs w:val="24"/>
          <w:lang w:eastAsia="en-US"/>
        </w:rPr>
      </w:pPr>
      <w:r w:rsidRPr="003E0486">
        <w:rPr>
          <w:szCs w:val="24"/>
          <w:lang w:eastAsia="en-US"/>
        </w:rPr>
        <w:t>Hvis det skyldige import- eller eksportafgiftsbeløb ikke er blevet betalt inden for den fastsatte frist, gør toldmyndighederne brug af alle de muligheder, de har i henhold til den pågældende medlemsstats lovgivning, for at sikre, at beløbet betales.</w:t>
      </w:r>
    </w:p>
    <w:p w14:paraId="234A919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192</w:t>
      </w:r>
      <w:r w:rsidRPr="003E0486">
        <w:rPr>
          <w:szCs w:val="24"/>
          <w:lang w:eastAsia="en-US"/>
        </w:rPr>
        <w:br/>
        <w:t>Morarenter</w:t>
      </w:r>
    </w:p>
    <w:p w14:paraId="7EC0AEF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opkræves morarente af import- eller eksportafgiftsbeløbet fra den dag, hvor den fastsatte frist udløber, og indtil den dag, betalingen finder sted.</w:t>
      </w:r>
    </w:p>
    <w:p w14:paraId="41041FE7" w14:textId="77777777" w:rsidR="003E0486" w:rsidRPr="003E0486" w:rsidRDefault="003E0486" w:rsidP="003E0486">
      <w:pPr>
        <w:spacing w:before="120" w:after="120" w:line="360" w:lineRule="auto"/>
        <w:ind w:left="850"/>
        <w:rPr>
          <w:szCs w:val="24"/>
          <w:lang w:eastAsia="en-US"/>
        </w:rPr>
      </w:pPr>
      <w:r w:rsidRPr="003E0486">
        <w:rPr>
          <w:szCs w:val="24"/>
          <w:lang w:eastAsia="en-US"/>
        </w:rPr>
        <w:t xml:space="preserve">For en medlemsstat, der har euroen som valuta, er morarentesatsen lig med den rentesats, som Den Europæiske Centralbank anvender på sine vigtigste refinansieringstransaktioner den første dag i forfaldsmåneden, og som offentliggøres i </w:t>
      </w:r>
      <w:r w:rsidRPr="003740C4">
        <w:rPr>
          <w:i/>
          <w:szCs w:val="24"/>
          <w:lang w:eastAsia="en-US"/>
        </w:rPr>
        <w:t>Den Europæiske Unions Tidende</w:t>
      </w:r>
      <w:r w:rsidRPr="003E0486">
        <w:rPr>
          <w:szCs w:val="24"/>
          <w:lang w:eastAsia="en-US"/>
        </w:rPr>
        <w:t>, C-udgaven, forhøjet med to procentpoint.</w:t>
      </w:r>
    </w:p>
    <w:p w14:paraId="5648BE5A" w14:textId="77777777" w:rsidR="003E0486" w:rsidRPr="003E0486" w:rsidRDefault="003E0486" w:rsidP="003E0486">
      <w:pPr>
        <w:spacing w:before="120" w:after="120" w:line="360" w:lineRule="auto"/>
        <w:ind w:left="850"/>
        <w:rPr>
          <w:szCs w:val="24"/>
          <w:lang w:eastAsia="en-US"/>
        </w:rPr>
      </w:pPr>
      <w:r w:rsidRPr="003E0486">
        <w:rPr>
          <w:szCs w:val="24"/>
          <w:lang w:eastAsia="en-US"/>
        </w:rPr>
        <w:t>For en medlemsstat, der ikke har euroen som valuta, er morarentesatsen lig med den sats, som dens nationale centralbank anvender på sine vigtigste refinansieringstransaktioner den første dag i den pågældende måned, forhøjet med to procentpoint, eller, for en medlemsstat, hvor den nationale centralbanks sats ikke foreligger, den nærmest tilsvarende sats, der finder anvendelse den første dag i den pågældende måned på medlemsstatens pengemarked, forhøjet med to procentpoint.</w:t>
      </w:r>
    </w:p>
    <w:p w14:paraId="6A723028" w14:textId="77777777" w:rsidR="003263F7" w:rsidRDefault="003263F7">
      <w:pPr>
        <w:widowControl/>
        <w:rPr>
          <w:szCs w:val="24"/>
          <w:lang w:eastAsia="en-US"/>
        </w:rPr>
      </w:pPr>
      <w:r>
        <w:rPr>
          <w:szCs w:val="24"/>
          <w:lang w:eastAsia="en-US"/>
        </w:rPr>
        <w:br w:type="page"/>
      </w:r>
    </w:p>
    <w:p w14:paraId="3FBB6FF1" w14:textId="6FD21B6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Hvis toldskylden er opstået på grundlag af artikel 161 eller 164, eller hvis underretningen om toldskylden skyldes en kontrol efter frigivelse, opkræves der ud over import- eller eksportafgiftsbeløbet morarente fra den dag, hvor toldskylden opstod, og indtil datoen for meddelelsen.</w:t>
      </w:r>
    </w:p>
    <w:p w14:paraId="14C243F3" w14:textId="77777777" w:rsidR="003E0486" w:rsidRPr="003E0486" w:rsidRDefault="003E0486" w:rsidP="003E0486">
      <w:pPr>
        <w:spacing w:before="120" w:after="120" w:line="360" w:lineRule="auto"/>
        <w:ind w:left="850"/>
        <w:rPr>
          <w:szCs w:val="24"/>
          <w:lang w:eastAsia="en-US"/>
        </w:rPr>
      </w:pPr>
      <w:r w:rsidRPr="003E0486">
        <w:rPr>
          <w:szCs w:val="24"/>
          <w:lang w:eastAsia="en-US"/>
        </w:rPr>
        <w:t>Morarentesatsen fastsættes i overensstemmelse med stk. 1.</w:t>
      </w:r>
    </w:p>
    <w:p w14:paraId="7BB57B1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undlade at opkræve morarente, når det på grundlag af en dokumenteret vurdering af debitors situation fastslås, at opkrævning af morarente vil kunne give anledning til alvorlige økonomiske eller sociale vanskeligheder.</w:t>
      </w:r>
    </w:p>
    <w:p w14:paraId="7C4136C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Toldmyndighederne undlader at opkræve morarente, når beløbet for hver opkrævning er under 10 EUR.</w:t>
      </w:r>
    </w:p>
    <w:p w14:paraId="7254058E" w14:textId="77777777" w:rsidR="003263F7" w:rsidRDefault="003263F7">
      <w:pPr>
        <w:widowControl/>
        <w:rPr>
          <w:szCs w:val="24"/>
          <w:lang w:eastAsia="en-US"/>
        </w:rPr>
      </w:pPr>
      <w:r>
        <w:rPr>
          <w:szCs w:val="24"/>
          <w:lang w:eastAsia="en-US"/>
        </w:rPr>
        <w:br w:type="page"/>
      </w:r>
    </w:p>
    <w:p w14:paraId="6CDFDE30" w14:textId="39AE648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3 </w:t>
      </w:r>
      <w:r w:rsidRPr="003E0486">
        <w:rPr>
          <w:szCs w:val="24"/>
          <w:lang w:eastAsia="en-US"/>
        </w:rPr>
        <w:br/>
        <w:t>Godtgørelse og fritagelse</w:t>
      </w:r>
    </w:p>
    <w:p w14:paraId="635BCC8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193</w:t>
      </w:r>
      <w:r w:rsidRPr="003E0486">
        <w:rPr>
          <w:szCs w:val="24"/>
          <w:lang w:eastAsia="en-US"/>
        </w:rPr>
        <w:br/>
        <w:t>Godtgørelse og fritagelse</w:t>
      </w:r>
    </w:p>
    <w:p w14:paraId="53C3137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På de betingelser, der er fastsat i denne afdeling, skal toldmyndighederne yde godtgørelse af eller fritagelse for import- eller eksportafgiftsbeløb på grundlag af følgende:</w:t>
      </w:r>
    </w:p>
    <w:p w14:paraId="7DCE98B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for meget opkrævede import- eller eksportafgiftsbeløb</w:t>
      </w:r>
    </w:p>
    <w:p w14:paraId="79C49DA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defekte eller ikkebestillingssvarende varer</w:t>
      </w:r>
    </w:p>
    <w:p w14:paraId="06E2254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fejl begået af de kompetente myndigheder</w:t>
      </w:r>
    </w:p>
    <w:p w14:paraId="2CBC10F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rimelighed</w:t>
      </w:r>
    </w:p>
    <w:p w14:paraId="45E4CD1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ugyldiggørelse af de data, på grundlag af hvilke toldskylden blev fastslået for de pågældende varer, eller i givet fald af den pågældende toldangivelse.</w:t>
      </w:r>
    </w:p>
    <w:p w14:paraId="759BFB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yder godtgørelse af eller fritagelse for det import- eller eksportafgiftsbeløb, der er omhandlet i stk. 1, når det er på 10 EUR eller derover, bortset fra når den pågældende person anmoder om godtgørelse af eller fritagelse for et lavere beløb.</w:t>
      </w:r>
    </w:p>
    <w:p w14:paraId="1181A9C6" w14:textId="77777777" w:rsidR="003263F7" w:rsidRDefault="003263F7">
      <w:pPr>
        <w:widowControl/>
        <w:rPr>
          <w:szCs w:val="24"/>
          <w:lang w:eastAsia="en-US"/>
        </w:rPr>
      </w:pPr>
      <w:r>
        <w:rPr>
          <w:szCs w:val="24"/>
          <w:lang w:eastAsia="en-US"/>
        </w:rPr>
        <w:br w:type="page"/>
      </w:r>
    </w:p>
    <w:p w14:paraId="7C0BBCFA" w14:textId="1C66095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toldmyndighederne finder, at der bør indrømmes godtgørelse eller fritagelse på grundlag af artikel 196 og 197, forelægger den pågældende medlemsstat sagen for Kommissionen, for at der kan træffes afgørelse, i følgende tilfælde:</w:t>
      </w:r>
    </w:p>
    <w:p w14:paraId="695DC99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toldmyndighederne finder, at de særlige omstændigheder skyldes Kommissionens tilsidesættelse af sine forpligtelser</w:t>
      </w:r>
    </w:p>
    <w:p w14:paraId="4E0C838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toldmyndighederne finder, at Kommissionen begik en fejl som omhandlet i artikel 196</w:t>
      </w:r>
    </w:p>
    <w:p w14:paraId="511F60D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sagens omstændigheder har tilknytning til resultaterne af en EU-undersøgelse gennemført i henhold til forordning (EF) nr. 515/97 eller i henhold til anden EU-lovgivning eller en aftale indgået af EU med lande eller grupper af lande, der indeholder bestemmelse om gennemførelse af sådanne EU-undersøgelser</w:t>
      </w:r>
    </w:p>
    <w:p w14:paraId="3BD2B6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når det beløb, som den pågældende person kan være betalingspligtig for i forbindelse med en eller flere import- eller eksporttransaktioner, svarer til eller overstiger 500 000 EUR som følge af en fejl eller særlige omstændigheder.</w:t>
      </w:r>
    </w:p>
    <w:p w14:paraId="54E567AA" w14:textId="77777777" w:rsidR="003263F7" w:rsidRDefault="003263F7">
      <w:pPr>
        <w:widowControl/>
        <w:rPr>
          <w:szCs w:val="24"/>
          <w:lang w:eastAsia="en-US"/>
        </w:rPr>
      </w:pPr>
      <w:r>
        <w:rPr>
          <w:szCs w:val="24"/>
          <w:lang w:eastAsia="en-US"/>
        </w:rPr>
        <w:br w:type="page"/>
      </w:r>
    </w:p>
    <w:p w14:paraId="1DAE4946" w14:textId="365ACFDF" w:rsidR="003E0486" w:rsidRPr="003E0486" w:rsidRDefault="003E0486" w:rsidP="003E0486">
      <w:pPr>
        <w:spacing w:before="120" w:after="120" w:line="360" w:lineRule="auto"/>
        <w:ind w:left="850"/>
        <w:rPr>
          <w:szCs w:val="24"/>
          <w:lang w:eastAsia="en-US"/>
        </w:rPr>
      </w:pPr>
      <w:r w:rsidRPr="003E0486">
        <w:rPr>
          <w:szCs w:val="24"/>
          <w:lang w:eastAsia="en-US"/>
        </w:rPr>
        <w:lastRenderedPageBreak/>
        <w:t>Uanset første afsnit, forelægges sager dog ikke i følgende situationer:</w:t>
      </w:r>
    </w:p>
    <w:p w14:paraId="423DC0B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Kommissionen allerede har vedtaget en afgørelse i en sag, hvor lignende faktiske og retlige forhold gør sig gældende</w:t>
      </w:r>
    </w:p>
    <w:p w14:paraId="5616445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Kommissionen allerede har fået forelagt en sag, hvor lignende faktiske og retlige forhold gør sig gældende.</w:t>
      </w:r>
    </w:p>
    <w:p w14:paraId="2F48384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Uden at det berører kompetencereglerne for en afgørelse yder toldmyndighederne på eget initiativ godtgørelse eller fritagelse, når de selv inden for de i artikel 198, stk. 1, omhandlede frister konstaterer, at der skal ydes godtgørelse af eller fritagelse for import- eller eksportafgiftsbeløb i medfør af artikel 194, 196 og 197.</w:t>
      </w:r>
    </w:p>
    <w:p w14:paraId="00A4265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Der indrømmes ikke godtgørelse eller fritagelse, når den situation, der førte til underretning om toldskylden, skyldes, at debitor har gjort sig skyldig i urigtigheder.</w:t>
      </w:r>
    </w:p>
    <w:p w14:paraId="345F4E3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Godtgørelsen medfører ikke, at de pågældende toldmyndigheder skal betale renter, undtagen i de tilfælde, der er nævnt i stk. 1, litra a) og c).</w:t>
      </w:r>
    </w:p>
    <w:p w14:paraId="09B840A9" w14:textId="77777777" w:rsidR="003263F7" w:rsidRDefault="003263F7">
      <w:pPr>
        <w:widowControl/>
        <w:rPr>
          <w:szCs w:val="24"/>
          <w:lang w:eastAsia="en-US"/>
        </w:rPr>
      </w:pPr>
      <w:r>
        <w:rPr>
          <w:szCs w:val="24"/>
          <w:lang w:eastAsia="en-US"/>
        </w:rPr>
        <w:br w:type="page"/>
      </w:r>
    </w:p>
    <w:p w14:paraId="47495F50" w14:textId="7FC6D3CC" w:rsidR="003E0486" w:rsidRPr="003E0486" w:rsidRDefault="003E0486" w:rsidP="003E0486">
      <w:pPr>
        <w:spacing w:before="120" w:after="120" w:line="360" w:lineRule="auto"/>
        <w:ind w:left="850"/>
        <w:rPr>
          <w:szCs w:val="24"/>
          <w:lang w:eastAsia="en-US"/>
        </w:rPr>
      </w:pPr>
      <w:r w:rsidRPr="003E0486">
        <w:rPr>
          <w:szCs w:val="24"/>
          <w:lang w:eastAsia="en-US"/>
        </w:rPr>
        <w:lastRenderedPageBreak/>
        <w:t>I disse tilfælde giver godtgørelsen dog ikke anledning til, at de berørte toldmyndigheder skal betale renter, hvis toldmyndighederne godtgør et import- eller eksportafgiftsbeløb uden unødigt ophold, efter at det er konstateret, at beløbet skal tilbagebetales. Hvis toldmyndighederne undlader at tilbagebetale beløbet uden unødigt ophold, og debitor indleder en sag med henblik på at opnå tilbagebetaling, betales renterne for perioden fra datoen for betalingen af disse afgifter til datoen for deres godtgørelse.</w:t>
      </w:r>
    </w:p>
    <w:p w14:paraId="64DA6DA5" w14:textId="77777777" w:rsidR="003E0486" w:rsidRPr="003E0486" w:rsidRDefault="003E0486" w:rsidP="003E0486">
      <w:pPr>
        <w:spacing w:before="120" w:after="120" w:line="360" w:lineRule="auto"/>
        <w:ind w:left="850"/>
        <w:rPr>
          <w:szCs w:val="24"/>
          <w:lang w:eastAsia="en-US"/>
        </w:rPr>
      </w:pPr>
      <w:r w:rsidRPr="003E0486">
        <w:rPr>
          <w:szCs w:val="24"/>
          <w:lang w:eastAsia="en-US"/>
        </w:rPr>
        <w:t>Der betales derudover rente, når en afgørelse om at indrømme godtgørelse ikke er gennemført senest tre måneder efter den dato, hvor denne afgørelse blev truffet, medmindre den manglende overholdelse af fristen skyldes forhold, som toldmyndighederne ikke havde kontrol over.</w:t>
      </w:r>
    </w:p>
    <w:p w14:paraId="2AAD328D" w14:textId="77777777" w:rsidR="003E0486" w:rsidRPr="003E0486" w:rsidRDefault="003E0486" w:rsidP="003E0486">
      <w:pPr>
        <w:spacing w:before="120" w:after="120" w:line="360" w:lineRule="auto"/>
        <w:ind w:left="850"/>
        <w:rPr>
          <w:szCs w:val="24"/>
          <w:lang w:eastAsia="en-US"/>
        </w:rPr>
      </w:pPr>
      <w:r w:rsidRPr="003E0486">
        <w:rPr>
          <w:szCs w:val="24"/>
          <w:lang w:eastAsia="en-US"/>
        </w:rPr>
        <w:t>I så fald betales der rente fra datoen for tremånedersperiodens udløb indtil datoen for godtgørelsen. Rentesatsen fastsættes i overensstemmelse med artikel 190.</w:t>
      </w:r>
    </w:p>
    <w:p w14:paraId="51791C5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Hvis toldmyndighederne med urette har indrømmet godtgørelse eller fritagelse, genindføres den oprindelige toldskyld, for så vidt opkrævningen af den ikke er forældet i henhold til artikel 182.</w:t>
      </w:r>
    </w:p>
    <w:p w14:paraId="2E42377D" w14:textId="77777777" w:rsidR="003E0486" w:rsidRPr="003E0486" w:rsidRDefault="003E0486" w:rsidP="003E0486">
      <w:pPr>
        <w:spacing w:before="120" w:after="120" w:line="360" w:lineRule="auto"/>
        <w:ind w:left="850"/>
        <w:rPr>
          <w:szCs w:val="24"/>
          <w:lang w:eastAsia="en-US"/>
        </w:rPr>
      </w:pPr>
      <w:r w:rsidRPr="003E0486">
        <w:rPr>
          <w:szCs w:val="24"/>
          <w:lang w:eastAsia="en-US"/>
        </w:rPr>
        <w:t>I sådanne tilfælde skal de renter, der eventuelt er betalt i henhold til stk. 6, andet afsnit, betales tilbage.</w:t>
      </w:r>
    </w:p>
    <w:p w14:paraId="037105D9" w14:textId="77777777" w:rsidR="003263F7" w:rsidRDefault="003263F7">
      <w:pPr>
        <w:widowControl/>
        <w:rPr>
          <w:szCs w:val="24"/>
          <w:lang w:eastAsia="en-US"/>
        </w:rPr>
      </w:pPr>
      <w:r>
        <w:rPr>
          <w:szCs w:val="24"/>
          <w:lang w:eastAsia="en-US"/>
        </w:rPr>
        <w:br w:type="page"/>
      </w:r>
    </w:p>
    <w:p w14:paraId="3D577B1F" w14:textId="7C95372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Kommissionen tillægges beføjelser til at vedtage delegerede retsakter i overensstemmelse med artikel 261 med henblik på at supplere denne forordning ved at fastsætte de regler, som den skal overholde, når den træffer en afgørelse som omhandlet i stk. 3, og navnlig med hensyn til følgende:</w:t>
      </w:r>
    </w:p>
    <w:p w14:paraId="601B1D6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betingelserne for antagelse af sagen</w:t>
      </w:r>
    </w:p>
    <w:p w14:paraId="0B4369F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fristen for at træffe en afgørelse og suspensionen af den frist</w:t>
      </w:r>
    </w:p>
    <w:p w14:paraId="3444B3A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meddelelsen af de grunde, som Kommissionen agter at basere sin afgørelse på, inden der træffes en afgørelse, som kan få negative følger for den pågældende person</w:t>
      </w:r>
    </w:p>
    <w:p w14:paraId="4AAD94E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meddelelsen af afgørelsen</w:t>
      </w:r>
    </w:p>
    <w:p w14:paraId="0035CCA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følgerne af, at der ikke træffes afgørelse, eller at der ikke gives meddelelse om en sådan afgørelse.</w:t>
      </w:r>
    </w:p>
    <w:p w14:paraId="2AF872F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Kommissionen præciserer ved gennemførelsesretsakter procedurereglerne for godtgørelse og fritagelse og for den i stk. 3 omhandlede afgørelse. Disse gennemførelsesretsakter vedtages efter rådgivningsproceduren i artikel 262, stk. 2.</w:t>
      </w:r>
    </w:p>
    <w:p w14:paraId="185E4658" w14:textId="77777777" w:rsidR="003E0486" w:rsidRPr="003E0486" w:rsidRDefault="003E0486" w:rsidP="003E0486">
      <w:pPr>
        <w:spacing w:before="120" w:after="120" w:line="360" w:lineRule="auto"/>
        <w:ind w:left="850"/>
        <w:rPr>
          <w:szCs w:val="24"/>
          <w:lang w:eastAsia="en-US"/>
        </w:rPr>
      </w:pPr>
      <w:r w:rsidRPr="003E0486">
        <w:rPr>
          <w:szCs w:val="24"/>
          <w:lang w:eastAsia="en-US"/>
        </w:rPr>
        <w:t>Hvis der ved skriftlig procedure skal indhentes udtalelse fra det udvalg, der er omhandlet i artikel 262, stk. 1, finder artikel 262, stk. 6 anvendelse.</w:t>
      </w:r>
    </w:p>
    <w:p w14:paraId="0DA90B61" w14:textId="77777777" w:rsidR="003263F7" w:rsidRDefault="003263F7">
      <w:pPr>
        <w:widowControl/>
        <w:rPr>
          <w:szCs w:val="24"/>
          <w:lang w:eastAsia="en-US"/>
        </w:rPr>
      </w:pPr>
      <w:r>
        <w:rPr>
          <w:szCs w:val="24"/>
          <w:lang w:eastAsia="en-US"/>
        </w:rPr>
        <w:br w:type="page"/>
      </w:r>
    </w:p>
    <w:p w14:paraId="73BD6812" w14:textId="21F9F7E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194</w:t>
      </w:r>
      <w:r w:rsidRPr="003E0486">
        <w:rPr>
          <w:szCs w:val="24"/>
          <w:lang w:eastAsia="en-US"/>
        </w:rPr>
        <w:br/>
        <w:t>For meget opkrævede import- eller eksportafgiftsbeløb</w:t>
      </w:r>
    </w:p>
    <w:p w14:paraId="444E6D0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ydes godtgørelse af eller fritagelse for et import- eller eksportafgiftsbeløb, hvis det beløb, der svarer til den oprindeligt meddelte toldskyld, overstiger det skyldige beløb, eller toldskylden var meddelt debitor i strid med artikel 181, stk. 1, litra c) og d).</w:t>
      </w:r>
    </w:p>
    <w:p w14:paraId="0FB9945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ansøgningen om godtgørelse eller fritagelse er begrundet i, at der på det tidspunkt, hvor varerne overgik til fri omsætning, kunne anvendes en nedsat importafgift eller nulimportafgift inden for rammerne af et toldkontingent, et toldloft eller en anden toldlempelse, indrømmes der godtgørelse eller fritagelse, såfremt ansøgningen på tidspunktet for indgivelsen var ledsaget af de nødvendige dokumenter, og følgende forhold gør sig gældende:</w:t>
      </w:r>
    </w:p>
    <w:p w14:paraId="5D7D80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det drejer sig om et toldkontingent, må dette ikke være opbrugt</w:t>
      </w:r>
    </w:p>
    <w:p w14:paraId="32A6BC3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i andre tilfælde må den normale sats ikke være genindført.</w:t>
      </w:r>
    </w:p>
    <w:p w14:paraId="3A49731A" w14:textId="77777777" w:rsidR="003263F7" w:rsidRDefault="003263F7">
      <w:pPr>
        <w:widowControl/>
        <w:rPr>
          <w:szCs w:val="24"/>
          <w:lang w:eastAsia="en-US"/>
        </w:rPr>
      </w:pPr>
      <w:r>
        <w:rPr>
          <w:szCs w:val="24"/>
          <w:lang w:eastAsia="en-US"/>
        </w:rPr>
        <w:br w:type="page"/>
      </w:r>
    </w:p>
    <w:p w14:paraId="418F014A" w14:textId="29263845"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195</w:t>
      </w:r>
      <w:r w:rsidRPr="003E0486">
        <w:rPr>
          <w:szCs w:val="24"/>
          <w:lang w:eastAsia="en-US"/>
        </w:rPr>
        <w:br/>
        <w:t>Defekte varer eller ikkebestillingssvarende varer</w:t>
      </w:r>
    </w:p>
    <w:p w14:paraId="26314B0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godtgør eller fritager for et importafgiftsbeløb, hvis følgende betingelser er opfyldt:</w:t>
      </w:r>
    </w:p>
    <w:p w14:paraId="4C18088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meddelelsen af toldskylden vedrører varer, som importøren har afvist, fordi de på det tidspunkt, hvor de blev frigivet, var defekte eller ikke svarede til betingelserne i den kontrakt, som var grundlaget for importen af varerne</w:t>
      </w:r>
    </w:p>
    <w:p w14:paraId="510C441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varerne ikke er blevet taget i anvendelse, bortset fra den anvendelse, der var nødvendig for at konstatere, at de var defekte eller ikke svarede til betingelserne i kontrakten</w:t>
      </w:r>
    </w:p>
    <w:p w14:paraId="5E9C00E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varerne føres ud af Unionens toldområde, eller toldmyndighederne har efter ansøgning fra den berørte person givet tilladelse til, at varerne henføres under proceduren for aktiv forædling, herunder med henblik på tilintetgørelse, eller under proceduren for ekstern forsendelse, toldoplagsproceduren eller frizoneproceduren.</w:t>
      </w:r>
    </w:p>
    <w:p w14:paraId="36B1F4D9" w14:textId="77777777" w:rsidR="003263F7" w:rsidRDefault="003263F7">
      <w:pPr>
        <w:widowControl/>
        <w:rPr>
          <w:szCs w:val="24"/>
          <w:lang w:eastAsia="en-US"/>
        </w:rPr>
      </w:pPr>
      <w:r>
        <w:rPr>
          <w:szCs w:val="24"/>
          <w:lang w:eastAsia="en-US"/>
        </w:rPr>
        <w:br w:type="page"/>
      </w:r>
    </w:p>
    <w:p w14:paraId="21DBE874" w14:textId="2ED1839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giver hverken godtgørelse eller fritagelse for et importafgiftsbeløb i følgende tilfælde:</w:t>
      </w:r>
    </w:p>
    <w:p w14:paraId="0C715CA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varerne, inden de er overgået til fri omsætning, har været henført under en særlig procedure med henblik på afprøvning, medmindre det godtgøres, at det ikke under afprøvningen på normal vis har kunnet påvises, at disse var defekte eller ikkebestillingssvarende</w:t>
      </w:r>
    </w:p>
    <w:p w14:paraId="73FBE9C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varernes defekte karakter er blevet taget i betragtning ved udfærdigelsen af kontrakten, navnlig ved fastsættelsen af prisen, inden de pågældende varer er henført under en toldprocedure, der indebærer toldskyld</w:t>
      </w:r>
    </w:p>
    <w:p w14:paraId="2243535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varerne er blevet solgt af ansøgeren, efter at det er blevet konstateret, at de var defekte eller ikkebestillingssvarende.</w:t>
      </w:r>
    </w:p>
    <w:p w14:paraId="0BE16D0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Med defekte varer sidestilles varer, som er blevet beskadiget inden frigivelsen.</w:t>
      </w:r>
    </w:p>
    <w:p w14:paraId="149D9BBB" w14:textId="77777777" w:rsidR="003263F7" w:rsidRDefault="003263F7">
      <w:pPr>
        <w:widowControl/>
        <w:rPr>
          <w:szCs w:val="24"/>
          <w:lang w:eastAsia="en-US"/>
        </w:rPr>
      </w:pPr>
      <w:r>
        <w:rPr>
          <w:szCs w:val="24"/>
          <w:lang w:eastAsia="en-US"/>
        </w:rPr>
        <w:br w:type="page"/>
      </w:r>
    </w:p>
    <w:p w14:paraId="62215EE4" w14:textId="640AFD2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196</w:t>
      </w:r>
      <w:r w:rsidRPr="003E0486">
        <w:rPr>
          <w:szCs w:val="24"/>
          <w:lang w:eastAsia="en-US"/>
        </w:rPr>
        <w:br/>
        <w:t>Fejl begået af toldmyndighederne</w:t>
      </w:r>
    </w:p>
    <w:p w14:paraId="3542427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andre tilfælde end dem, der er omhandlet i artikel 193, stk. 1, litra e), og artikel 194, 195 og 197, yder toldmyndighederne godtgørelse af eller fritagelse for et import- eller eksportafgiftsbeløb, når de ved egen fejl har givet underretning om et beløb, som svarer til toldskylden, der er lavere end det skyldige beløb, forudsat at følgende betingelser er opfyldt:</w:t>
      </w:r>
    </w:p>
    <w:p w14:paraId="49FDCAA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debitor kunne ikke med rimelighed forventes at have opdaget fejlen</w:t>
      </w:r>
    </w:p>
    <w:p w14:paraId="2854D55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debitor handlede i god tro.</w:t>
      </w:r>
    </w:p>
    <w:p w14:paraId="598A496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betingelserne i artikel 194, stk. 2, ikke er opfyldt, yder toldmyndighederne godtgørelse eller fritagelse, såfremt det skyldes en fejl fra deres side, at den nedsatte importafgift eller nulimportafgiften ikke blev anvendt, og oplysningerne, der dannede grundlag for varernes frigivelse, eller, såfremt det er relevant, angivelsen om overgang til fri omsætning indeholdt alle de oplysninger og var ledsaget af alle de dokumenter, der var nødvendige, for at den nedsatte afgift eller nulafgiften kunne anvendes.</w:t>
      </w:r>
    </w:p>
    <w:p w14:paraId="342F79F5" w14:textId="77777777" w:rsidR="003263F7" w:rsidRDefault="003263F7">
      <w:pPr>
        <w:widowControl/>
        <w:rPr>
          <w:szCs w:val="24"/>
          <w:lang w:eastAsia="en-US"/>
        </w:rPr>
      </w:pPr>
      <w:r>
        <w:rPr>
          <w:szCs w:val="24"/>
          <w:lang w:eastAsia="en-US"/>
        </w:rPr>
        <w:br w:type="page"/>
      </w:r>
    </w:p>
    <w:p w14:paraId="292F78A5" w14:textId="7D6C060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Er præferencebehandlingen af varen indrømmet på grundlag af et administrativt samarbejde med myndighederne i et tredjeland, anses et ukorrekt certifikat udstedt af disse myndigheder for en fejl, som ikke med rimelighed kunne forventes opdaget, jf. stk. 1, litra a).</w:t>
      </w:r>
    </w:p>
    <w:p w14:paraId="1D342590" w14:textId="77777777" w:rsidR="003E0486" w:rsidRPr="003E0486" w:rsidRDefault="003E0486" w:rsidP="003E0486">
      <w:pPr>
        <w:spacing w:before="120" w:after="120" w:line="360" w:lineRule="auto"/>
        <w:ind w:left="850"/>
        <w:rPr>
          <w:szCs w:val="24"/>
          <w:lang w:eastAsia="en-US"/>
        </w:rPr>
      </w:pPr>
      <w:r w:rsidRPr="003E0486">
        <w:rPr>
          <w:szCs w:val="24"/>
          <w:lang w:eastAsia="en-US"/>
        </w:rPr>
        <w:t>Udstedelse af et ukorrekt certifikat anses dog ikke for en fejl, når certifikatet er baseret på eksportørens ukorrekte fremstilling af de faktiske forhold, medmindre det er klart, at de udstedende myndigheder var bekendt med eller burde have været bekendt med, at varen ikke var berettiget til præferencebehandling.</w:t>
      </w:r>
    </w:p>
    <w:p w14:paraId="7491D40F" w14:textId="77777777" w:rsidR="003E0486" w:rsidRPr="003E0486" w:rsidRDefault="003E0486" w:rsidP="003E0486">
      <w:pPr>
        <w:spacing w:before="120" w:after="120" w:line="360" w:lineRule="auto"/>
        <w:ind w:left="850"/>
        <w:rPr>
          <w:szCs w:val="24"/>
          <w:lang w:eastAsia="en-US"/>
        </w:rPr>
      </w:pPr>
      <w:r w:rsidRPr="003E0486">
        <w:rPr>
          <w:szCs w:val="24"/>
          <w:lang w:eastAsia="en-US"/>
        </w:rPr>
        <w:t>Debitor anses for at have handlet i god tro, når debitor kan påvise, at vedkommende i den periode, hvor de pågældende forretningsaktiviteter fandt sted, har udvist omhu for at sikre sig, at samtlige betingelser for præferencebehandling var opfyldt.</w:t>
      </w:r>
    </w:p>
    <w:p w14:paraId="19813FFC" w14:textId="77777777" w:rsidR="003E0486" w:rsidRPr="003E0486" w:rsidRDefault="003E0486" w:rsidP="003E0486">
      <w:pPr>
        <w:spacing w:before="120" w:after="120" w:line="360" w:lineRule="auto"/>
        <w:ind w:left="850"/>
        <w:rPr>
          <w:szCs w:val="24"/>
          <w:lang w:eastAsia="en-US"/>
        </w:rPr>
      </w:pPr>
      <w:r w:rsidRPr="003E0486">
        <w:rPr>
          <w:szCs w:val="24"/>
          <w:lang w:eastAsia="en-US"/>
        </w:rPr>
        <w:t xml:space="preserve">Debitor kan ikke påberåbe sig at have handlet i god tro, hvis Kommissionen har offentliggjort en meddelelse i </w:t>
      </w:r>
      <w:r w:rsidRPr="003740C4">
        <w:rPr>
          <w:i/>
          <w:szCs w:val="24"/>
          <w:lang w:eastAsia="en-US"/>
        </w:rPr>
        <w:t>Den Europæiske Unions Tidende</w:t>
      </w:r>
      <w:r w:rsidRPr="003E0486">
        <w:rPr>
          <w:szCs w:val="24"/>
          <w:lang w:eastAsia="en-US"/>
        </w:rPr>
        <w:t xml:space="preserve"> om, at der foreligger begrundet tvivl om, at det præferenceberettigede land eller område har anvendt præferenceordningen korrekt.</w:t>
      </w:r>
    </w:p>
    <w:p w14:paraId="20E226E8" w14:textId="77777777" w:rsidR="003263F7" w:rsidRDefault="003263F7">
      <w:pPr>
        <w:widowControl/>
        <w:rPr>
          <w:szCs w:val="24"/>
          <w:lang w:eastAsia="en-US"/>
        </w:rPr>
      </w:pPr>
      <w:r>
        <w:rPr>
          <w:szCs w:val="24"/>
          <w:lang w:eastAsia="en-US"/>
        </w:rPr>
        <w:br w:type="page"/>
      </w:r>
    </w:p>
    <w:p w14:paraId="0E8055D4" w14:textId="1C666FF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197</w:t>
      </w:r>
      <w:r w:rsidRPr="003E0486">
        <w:rPr>
          <w:szCs w:val="24"/>
          <w:lang w:eastAsia="en-US"/>
        </w:rPr>
        <w:br/>
        <w:t>Rimelighed</w:t>
      </w:r>
    </w:p>
    <w:p w14:paraId="6C6971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andre tilfælde end dem, der er omhandlet i artikel 193, stk. 1, litra e), og i artikel 194, 195 og 196, yder toldmyndighederne af hensyn til rimelighed godtgørelse af eller fritagelse for et import- eller eksportafgiftsbeløb, når der er opstået toldskyld under særlige omstændigheder, hvor debitor ikke har gjort sig skyldig i urigtigheder eller åbenbar forsømmelighed.</w:t>
      </w:r>
    </w:p>
    <w:p w14:paraId="24247FB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Særlige omstændigheder som omhandlet i stk. 1 foreligger, når det fremgår af sagens omstændigheder, at debitor befinder sig i en usædvanlig situation i forhold til andre erhvervsdrivende, der udøver samme aktivitet, og den pågældende, såfremt disse omstændigheder ikke havde foreligget, ikke ville have lidt tab som følge af opkrævning af import- eller eksporttoldbeløbet.</w:t>
      </w:r>
    </w:p>
    <w:p w14:paraId="2744227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198</w:t>
      </w:r>
      <w:r w:rsidRPr="003E0486">
        <w:rPr>
          <w:szCs w:val="24"/>
          <w:lang w:eastAsia="en-US"/>
        </w:rPr>
        <w:br/>
        <w:t>Fremgangsmåde ved godtgørelse og fritagelse</w:t>
      </w:r>
    </w:p>
    <w:p w14:paraId="7BE9FAC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Ansøgninger om godtgørelse og fritagelse i henhold til artikel 193 indgives til toldmyndighederne inden for følgende frister:</w:t>
      </w:r>
    </w:p>
    <w:p w14:paraId="5A477BB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 tilfælde af for meget opkrævede import- eller eksportafgiftsbeløb, fejl begået af de kompetente myndigheder eller ret og rimelighed, senest tre år efter datoen for meddelelse af toldskylden</w:t>
      </w:r>
    </w:p>
    <w:p w14:paraId="2ABB1D9D" w14:textId="77777777" w:rsidR="003263F7" w:rsidRDefault="003263F7">
      <w:pPr>
        <w:widowControl/>
        <w:rPr>
          <w:szCs w:val="24"/>
          <w:lang w:eastAsia="en-US"/>
        </w:rPr>
      </w:pPr>
      <w:r>
        <w:rPr>
          <w:szCs w:val="24"/>
          <w:lang w:eastAsia="en-US"/>
        </w:rPr>
        <w:br w:type="page"/>
      </w:r>
    </w:p>
    <w:p w14:paraId="0360FA77" w14:textId="1EFB5365"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i tilfælde af defekte varer eller varer, der er ikkebestillingssvarende, senest et år efter datoen for meddelelse af toldskylden</w:t>
      </w:r>
    </w:p>
    <w:p w14:paraId="3A754D7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i tilfælde af ugyldiggørelse af de data eller, hvor det er relevant, af en toldangivelse, på hvis grundlag varerne er blevet frigivet, senest et år efter datoen for ugyldiggørelse af disse data eller af den pågældende toldangivelse, medmindre andet er fastsat i de regler, der gælder for ugyldiggørelse.</w:t>
      </w:r>
    </w:p>
    <w:p w14:paraId="4128DA51" w14:textId="77777777" w:rsidR="003E0486" w:rsidRPr="003E0486" w:rsidRDefault="003E0486" w:rsidP="003E0486">
      <w:pPr>
        <w:spacing w:before="120" w:after="120" w:line="360" w:lineRule="auto"/>
        <w:ind w:left="850"/>
        <w:rPr>
          <w:szCs w:val="24"/>
          <w:lang w:eastAsia="en-US"/>
        </w:rPr>
      </w:pPr>
      <w:r w:rsidRPr="003E0486">
        <w:rPr>
          <w:szCs w:val="24"/>
          <w:lang w:eastAsia="en-US"/>
        </w:rPr>
        <w:t>Den i første afsnit, litra a) og b), anførte frist forlænges, hvis ansøgeren godtgør, at vedkommende har været forhindret i at indgive ansøgning inden for den fastsatte frist som følge af hændelige omstændigheder eller force majeure.</w:t>
      </w:r>
    </w:p>
    <w:p w14:paraId="574C2F5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toldmyndighederne på basis af de fremførte grunde ikke er i stand til at indrømme godtgørelse eller fritagelse for et import- eller eksporttoldbeløb, skal de undersøge, om en ansøgning om godtgørelse eller fritagelse skal tages til følge i lyset af de andre grundlag for godtgørelse eller fritagelse, der er omhandlet i artikel 193.</w:t>
      </w:r>
    </w:p>
    <w:p w14:paraId="2EBC2D4B" w14:textId="77777777" w:rsidR="003263F7" w:rsidRDefault="003263F7">
      <w:pPr>
        <w:widowControl/>
        <w:rPr>
          <w:szCs w:val="24"/>
          <w:lang w:eastAsia="en-US"/>
        </w:rPr>
      </w:pPr>
      <w:r>
        <w:rPr>
          <w:szCs w:val="24"/>
          <w:lang w:eastAsia="en-US"/>
        </w:rPr>
        <w:br w:type="page"/>
      </w:r>
    </w:p>
    <w:p w14:paraId="20C0F53F" w14:textId="676BD44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Hvis der er indbragt en sag i henhold til artikel 16 vedrørende underretningen om toldskylden, suspenderes den relevante frist, der er angivet i stk. 1, første afsnit, og undersøgelsen af ansøgningerne om fritagelse og godtgørelse og de tilhørende frister fra den dato, hvor sagen indbringes, og for hele prøvelsesperioden.</w:t>
      </w:r>
    </w:p>
    <w:p w14:paraId="258D472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en toldmyndighed indrømmer godtgørelse eller fritagelse i medfør af artikel 196 og 197, skal den berørte medlemsstat underrette Kommissionen herom.</w:t>
      </w:r>
    </w:p>
    <w:p w14:paraId="37EF982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gennemførelsesretsakter procedurereglerne for underretningen efter stk. 4 og de oplysninger, der skal forelægges. Disse gennemførelsesretsakter vedtages efter undersøgelsesproceduren i artikel 262, stk. 4.</w:t>
      </w:r>
    </w:p>
    <w:p w14:paraId="37C59294" w14:textId="77777777" w:rsidR="003263F7" w:rsidRDefault="003263F7">
      <w:pPr>
        <w:widowControl/>
        <w:rPr>
          <w:szCs w:val="24"/>
          <w:lang w:eastAsia="en-US"/>
        </w:rPr>
      </w:pPr>
      <w:r>
        <w:rPr>
          <w:szCs w:val="24"/>
          <w:lang w:eastAsia="en-US"/>
        </w:rPr>
        <w:br w:type="page"/>
      </w:r>
    </w:p>
    <w:p w14:paraId="7DAC1894" w14:textId="04226D3E"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4 </w:t>
      </w:r>
      <w:r w:rsidRPr="003E0486">
        <w:rPr>
          <w:szCs w:val="24"/>
          <w:lang w:eastAsia="en-US"/>
        </w:rPr>
        <w:br/>
        <w:t>Toldskyldens ophør</w:t>
      </w:r>
    </w:p>
    <w:p w14:paraId="4E37E9D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199</w:t>
      </w:r>
      <w:r w:rsidRPr="003E0486">
        <w:rPr>
          <w:szCs w:val="24"/>
          <w:lang w:eastAsia="en-US"/>
        </w:rPr>
        <w:br/>
        <w:t>Ophør</w:t>
      </w:r>
    </w:p>
    <w:p w14:paraId="5213A61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de gældende bestemmelser om de tilfælde, hvor det import- eller eksportafgiftsbeløb, der svarer til toldskylden, ikke kan inddrives, fordi debitor ad rettens vej er erklæret insolvent, ophører toldskylden ved import eller eksport på en af følgende måder:</w:t>
      </w:r>
    </w:p>
    <w:p w14:paraId="56D896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der ikke længere kan gives underretning om toldskyld til debitor i overensstemmelse med artikel 181</w:t>
      </w:r>
    </w:p>
    <w:p w14:paraId="4E1D2DE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import- eller eksportafgiftsbeløbet betales</w:t>
      </w:r>
    </w:p>
    <w:p w14:paraId="5075E58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der ydes fritagelse for import- eller eksportafgiftsbeløbet, jf. dog stk. 5</w:t>
      </w:r>
    </w:p>
    <w:p w14:paraId="55F46A1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for så vidt angår varer frigivet til en toldprocedure, der medfører en forpligtelse til at betale import- eller eksportafgifter, når de data, som frigivelsen er sket på grundlag af, eller toldangivelsen ugyldiggøres</w:t>
      </w:r>
    </w:p>
    <w:p w14:paraId="3F38B453" w14:textId="77777777" w:rsidR="003263F7" w:rsidRDefault="003263F7">
      <w:pPr>
        <w:widowControl/>
        <w:rPr>
          <w:szCs w:val="24"/>
          <w:lang w:eastAsia="en-US"/>
        </w:rPr>
      </w:pPr>
      <w:r>
        <w:rPr>
          <w:szCs w:val="24"/>
          <w:lang w:eastAsia="en-US"/>
        </w:rPr>
        <w:br w:type="page"/>
      </w:r>
    </w:p>
    <w:p w14:paraId="1C974868" w14:textId="3195144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(e)</w:t>
      </w:r>
      <w:r w:rsidRPr="003E0486">
        <w:rPr>
          <w:szCs w:val="24"/>
          <w:lang w:eastAsia="en-US"/>
        </w:rPr>
        <w:tab/>
        <w:t>når import- eller eksportafgiftspligtige varer konfiskeres eller beslaglægges og samtidig eller senere konfiskeres</w:t>
      </w:r>
    </w:p>
    <w:p w14:paraId="72C172E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når import- eller eksportafgiftspligtige varer tilintetgøres under toldtilsyn eller afstås til staten</w:t>
      </w:r>
    </w:p>
    <w:p w14:paraId="0261FFC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når varernes forsvinden eller manglende opfyldelse af forpligtelser i henhold til toldlovgivningen skyldes, at disse varer er fuldstændig tilintetgjort eller uigenkaldeligt tabt som følge af varernes egen beskaffenhed eller hændelige omstændigheder eller force majeure eller som en konsekvens af ordre fra toldmyndighederne; i forbindelse med dette litra, anses varer for at være uigenkaldeligt tabt, når de er gjort uanvendelige for enhver</w:t>
      </w:r>
    </w:p>
    <w:p w14:paraId="049F4D4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når toldskylden opstod i henhold til artikel 161 eller 164, og når følgende betingelser er opfyldt:</w:t>
      </w:r>
    </w:p>
    <w:p w14:paraId="6E64E65A" w14:textId="7B6F1A03" w:rsidR="003E0486" w:rsidRPr="003E0486" w:rsidRDefault="00B463AC"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den forsømmelse, som førte til, at der opstod en toldskyld, havde ikke væsentlige følger for den midlertidige opbevarings eller den pågældende toldprocedures korrekte forløb, og der var ikke gjort forsøg på at begå urigtigheder</w:t>
      </w:r>
    </w:p>
    <w:p w14:paraId="2FE5ECB2" w14:textId="7045E537" w:rsidR="003E0486" w:rsidRPr="003E0486" w:rsidRDefault="00B463AC" w:rsidP="003E0486">
      <w:pPr>
        <w:spacing w:before="120" w:after="120" w:line="360" w:lineRule="auto"/>
        <w:ind w:left="1982"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alle de formaliteter, der er nødvendige for at bringe forholdene for de pågældende varer i overensstemmelse med reglerne, opfyldes efterfølgende</w:t>
      </w:r>
    </w:p>
    <w:p w14:paraId="0153F2EE" w14:textId="77777777" w:rsidR="003263F7" w:rsidRDefault="003263F7">
      <w:pPr>
        <w:widowControl/>
        <w:rPr>
          <w:szCs w:val="24"/>
          <w:lang w:eastAsia="en-US"/>
        </w:rPr>
      </w:pPr>
      <w:r>
        <w:rPr>
          <w:szCs w:val="24"/>
          <w:lang w:eastAsia="en-US"/>
        </w:rPr>
        <w:br w:type="page"/>
      </w:r>
    </w:p>
    <w:p w14:paraId="22B6237C" w14:textId="7D6AB2A2"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(i)</w:t>
      </w:r>
      <w:r w:rsidRPr="003E0486">
        <w:rPr>
          <w:szCs w:val="24"/>
          <w:lang w:eastAsia="en-US"/>
        </w:rPr>
        <w:tab/>
        <w:t>når varer, der er overgået til fri omsætning uden told eller til en nedsat importafgiftssats på grund af deres særlige anvendelsesformål, er blevet eksporteret med toldmyndighedernes tilladelse</w:t>
      </w:r>
    </w:p>
    <w:p w14:paraId="407C161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når toldskylden opstod i henhold til artikel 160, og når de formaliteter, der er opfyldt med henblik på indrømmelse af den i nævnte artikel omhandlede præferencetoldbehandling, annulleres</w:t>
      </w:r>
    </w:p>
    <w:p w14:paraId="7367C26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(k)</w:t>
      </w:r>
      <w:r w:rsidRPr="003E0486">
        <w:rPr>
          <w:szCs w:val="24"/>
          <w:lang w:eastAsia="en-US"/>
        </w:rPr>
        <w:tab/>
        <w:t>når toldskylden opstod i henhold til artikel 161, og det på tilfredsstillende måde godtgøres over for toldmyndighederne, at varerne ikke er blevet anvendt eller forbrugt og er blevet ført ud af Unionens toldområde, jf. dog stk. 6.</w:t>
      </w:r>
    </w:p>
    <w:p w14:paraId="6E9A9C2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de tilfælde, der er anført i stk. 1, litra e), anses toldskylden dog af hensyn til sanktioner, der anvendes for overtrædelser af toldlovgivningen, for ikke at være ophørt, når import- eller eksportafgifter eller en opstået toldskyld i henhold til denne forordning og en medlemsstats lovgivning danner grundlag for idømmelse af sanktioner.</w:t>
      </w:r>
    </w:p>
    <w:p w14:paraId="3E067E22" w14:textId="77777777" w:rsidR="003263F7" w:rsidRDefault="003263F7">
      <w:pPr>
        <w:widowControl/>
        <w:rPr>
          <w:szCs w:val="24"/>
          <w:lang w:eastAsia="en-US"/>
        </w:rPr>
      </w:pPr>
      <w:r>
        <w:rPr>
          <w:szCs w:val="24"/>
          <w:lang w:eastAsia="en-US"/>
        </w:rPr>
        <w:br w:type="page"/>
      </w:r>
    </w:p>
    <w:p w14:paraId="3C663667" w14:textId="0C9B548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Når en toldskyld i overensstemmelse med stk. 1, litra g), ophører for varer, der er overgået til fri omsætning uden told eller til nedsat importafgiftssats på grund af deres særlige anvendelsesformål, anses affald og skrot fra deres tilintetgørelse for at være ikke-EU-varer.</w:t>
      </w:r>
    </w:p>
    <w:p w14:paraId="3841CEF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 gældende bestemmelser vedrørende standardsatser for uigenkaldeligt tab af grunde, der kan henføres til varens egen beskaffenhed, anvendes, medmindre der fremlægges dokumentation for, at det reelle tab har været større end det, der beregnes ved anvendelse af standardsatsen for den pågældende vare.</w:t>
      </w:r>
    </w:p>
    <w:p w14:paraId="4FAE4A8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Når flere personer er betalingspligtige for det import- eller eksportafgiftsbeløb, der svarer til toldskylden, og der indrømmes fritagelse, ophører forpligtelsen til at betale toldskylden kun for den eller de personer, som fritagelsen indrømmes for.</w:t>
      </w:r>
    </w:p>
    <w:p w14:paraId="6C6ED51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I det tilfælde, der omhandles i stk. 1, litra k), ophører forpligtelsen til at betale toldskylden ikke for den eller de personer, der har forsøgt at begå urigtigheder.</w:t>
      </w:r>
    </w:p>
    <w:p w14:paraId="1C07018A" w14:textId="77777777" w:rsidR="003263F7" w:rsidRDefault="003263F7">
      <w:pPr>
        <w:widowControl/>
        <w:rPr>
          <w:szCs w:val="24"/>
          <w:lang w:eastAsia="en-US"/>
        </w:rPr>
      </w:pPr>
      <w:r>
        <w:rPr>
          <w:szCs w:val="24"/>
          <w:lang w:eastAsia="en-US"/>
        </w:rPr>
        <w:br w:type="page"/>
      </w:r>
    </w:p>
    <w:p w14:paraId="72F2CE31" w14:textId="1A21C17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Når toldskylden opstod i henhold til artikel 161, ophører forpligtelsen til at betale den for den person, hvis adfærd ikke indebar forsøg på urigtigheder, og som var med til at bekæmpe svig.</w:t>
      </w:r>
    </w:p>
    <w:p w14:paraId="67DD160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supplere denne forordning ved at fastsætte listen over misligholdelser, der ikke har væsentlige følger for den midlertidige opbevarings eller den pågældende toldprocedures korrekte forløb som omhandlet i stk. 1, litra h), nr. i).</w:t>
      </w:r>
    </w:p>
    <w:p w14:paraId="27A2D77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200</w:t>
      </w:r>
      <w:r w:rsidRPr="003E0486">
        <w:rPr>
          <w:szCs w:val="24"/>
          <w:lang w:eastAsia="en-US"/>
        </w:rPr>
        <w:br/>
        <w:t>Anvendelse af sanktioner</w:t>
      </w:r>
    </w:p>
    <w:p w14:paraId="2D31EB85" w14:textId="77777777" w:rsidR="003E0486" w:rsidRPr="003E0486" w:rsidRDefault="003E0486" w:rsidP="003E0486">
      <w:pPr>
        <w:spacing w:before="120" w:after="120" w:line="360" w:lineRule="auto"/>
        <w:rPr>
          <w:szCs w:val="24"/>
          <w:lang w:eastAsia="en-US"/>
        </w:rPr>
      </w:pPr>
      <w:r w:rsidRPr="003E0486">
        <w:rPr>
          <w:szCs w:val="24"/>
          <w:lang w:eastAsia="en-US"/>
        </w:rPr>
        <w:t>Hvis toldskylden ophører i medfør af artikel 199, stk. 1, litra h), er dette ikke til hinder for, at medlemsstaterne anvender sanktioner for manglende overholdelse af toldlovgivningen.</w:t>
      </w:r>
    </w:p>
    <w:p w14:paraId="5B93028B" w14:textId="77777777" w:rsidR="003263F7" w:rsidRDefault="003263F7">
      <w:pPr>
        <w:widowControl/>
        <w:rPr>
          <w:szCs w:val="24"/>
          <w:lang w:eastAsia="en-US"/>
        </w:rPr>
      </w:pPr>
      <w:r>
        <w:rPr>
          <w:szCs w:val="24"/>
          <w:lang w:eastAsia="en-US"/>
        </w:rPr>
        <w:br w:type="page"/>
      </w:r>
    </w:p>
    <w:p w14:paraId="6F25129F" w14:textId="53D2DDC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XI </w:t>
      </w:r>
      <w:r w:rsidRPr="003E0486">
        <w:rPr>
          <w:szCs w:val="24"/>
          <w:lang w:eastAsia="en-US"/>
        </w:rPr>
        <w:br/>
        <w:t>RESTRIKTIVE FORANSTALTNINGER OG KRISESTYRINGSMEKANISME</w:t>
      </w:r>
    </w:p>
    <w:p w14:paraId="7C485EA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Restriktive foranstaltninger</w:t>
      </w:r>
    </w:p>
    <w:p w14:paraId="7F637D3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201</w:t>
      </w:r>
      <w:r w:rsidRPr="003E0486">
        <w:rPr>
          <w:szCs w:val="24"/>
          <w:lang w:eastAsia="en-US"/>
        </w:rPr>
        <w:br/>
        <w:t>EU-Toldmyndighedens og toldmyndighedernes rolle</w:t>
      </w:r>
    </w:p>
    <w:p w14:paraId="26C867E6" w14:textId="748D1B52"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bidrager til den korrekte anvendelse af restriktive foranstaltninger vedtaget i efter artikel 215 i TEUF ved at overvåge deres gennemførelse i de områder, der henhører under dens kompetence, og, med forbehold af Kommissionens kontrol og tilladelse, ved at give toldmyndighederne behørig vejledning.</w:t>
      </w:r>
      <w:r w:rsidRPr="003E0486">
        <w:rPr>
          <w:b/>
          <w:i/>
          <w:szCs w:val="24"/>
          <w:lang w:eastAsia="en-US"/>
        </w:rPr>
        <w:t xml:space="preserve"> </w:t>
      </w:r>
      <w:r w:rsidR="00217355">
        <w:rPr>
          <w:b/>
          <w:szCs w:val="24"/>
          <w:lang w:eastAsia="en-US"/>
        </w:rPr>
        <w:t>[</w:t>
      </w:r>
      <w:r w:rsidRPr="00C82C23">
        <w:rPr>
          <w:b/>
          <w:szCs w:val="24"/>
          <w:lang w:eastAsia="en-US"/>
        </w:rPr>
        <w:t>Ændring 206</w:t>
      </w:r>
      <w:r w:rsidRPr="003E0486">
        <w:rPr>
          <w:b/>
          <w:i/>
          <w:szCs w:val="24"/>
          <w:lang w:eastAsia="en-US"/>
        </w:rPr>
        <w:t xml:space="preserve"> - vedrører ikke den danske tekst</w:t>
      </w:r>
      <w:r w:rsidR="00217355" w:rsidRPr="00217355">
        <w:rPr>
          <w:b/>
          <w:szCs w:val="24"/>
          <w:lang w:eastAsia="en-US"/>
        </w:rPr>
        <w:t>]</w:t>
      </w:r>
    </w:p>
    <w:p w14:paraId="7146BB3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Toldmyndighederne tager alle nødvendige skridt til at overholde de restriktive foranstaltninger under hensyntagen til vejledningen fra EU-Toldmyndigheden.</w:t>
      </w:r>
    </w:p>
    <w:p w14:paraId="4188426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202</w:t>
      </w:r>
      <w:r w:rsidRPr="003E0486">
        <w:rPr>
          <w:szCs w:val="24"/>
          <w:lang w:eastAsia="en-US"/>
        </w:rPr>
        <w:br/>
        <w:t>Rapportering</w:t>
      </w:r>
    </w:p>
    <w:p w14:paraId="23696B1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aflægger regelmæssigt, og når det er nødvendigt, rapport til Kommissionen om toldmyndighedernes gennemførelse af de restriktive foranstaltninger og i tilfælde af overtrædelse heraf.</w:t>
      </w:r>
    </w:p>
    <w:p w14:paraId="64CB28FF" w14:textId="77777777" w:rsidR="003263F7" w:rsidRDefault="003263F7">
      <w:pPr>
        <w:widowControl/>
        <w:rPr>
          <w:szCs w:val="24"/>
          <w:lang w:eastAsia="en-US"/>
        </w:rPr>
      </w:pPr>
      <w:r>
        <w:rPr>
          <w:szCs w:val="24"/>
          <w:lang w:eastAsia="en-US"/>
        </w:rPr>
        <w:br w:type="page"/>
      </w:r>
    </w:p>
    <w:p w14:paraId="1E3D8E13" w14:textId="31D573E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underretter EU-Toldmyndigheden, Kommissionen og de nationale myndigheder i medlemsstaterne, der har kompetence til at gennemføre sanktioner, om enhver mistanke om og tilfælde af omgåelse af restriktive foranstaltninger og om deres afbødende foranstaltninger i denne henseende.</w:t>
      </w:r>
    </w:p>
    <w:p w14:paraId="3A801E08"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Krisestyringsmekanisme</w:t>
      </w:r>
    </w:p>
    <w:p w14:paraId="600CFC6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203</w:t>
      </w:r>
      <w:r w:rsidRPr="003E0486">
        <w:rPr>
          <w:szCs w:val="24"/>
          <w:lang w:eastAsia="en-US"/>
        </w:rPr>
        <w:br/>
        <w:t>Udarbejdelse af protokoller og procedurer</w:t>
      </w:r>
    </w:p>
    <w:p w14:paraId="6D3C2A6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udarbejder procedurer og protokoller, der kan aktiveres i overensstemmelse med artikel 204, stk. 1, i tilfælde af:</w:t>
      </w:r>
    </w:p>
    <w:p w14:paraId="383283B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krise ved grænsen til en eller flere medlemsstater, som har indvirkning på toldprocesserne</w:t>
      </w:r>
    </w:p>
    <w:p w14:paraId="04F49BA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krise i en anden sektor, der kræver et tiltag fra toldmyndighedernes side i samarbejde med de relevante myndigheder</w:t>
      </w:r>
    </w:p>
    <w:p w14:paraId="37039B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med henblik på at sikre en hurtig, effektiv og forholdsmæssig reaktion på den pågældende situation.</w:t>
      </w:r>
    </w:p>
    <w:p w14:paraId="0BA5B482" w14:textId="77777777" w:rsidR="003263F7" w:rsidRDefault="003263F7">
      <w:pPr>
        <w:widowControl/>
        <w:rPr>
          <w:szCs w:val="24"/>
          <w:lang w:eastAsia="en-US"/>
        </w:rPr>
      </w:pPr>
      <w:r>
        <w:rPr>
          <w:szCs w:val="24"/>
          <w:lang w:eastAsia="en-US"/>
        </w:rPr>
        <w:br w:type="page"/>
      </w:r>
    </w:p>
    <w:p w14:paraId="20837E8B" w14:textId="60F0A98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Protokoller og procedurer kan navnlig omfatte:</w:t>
      </w:r>
    </w:p>
    <w:p w14:paraId="6F9A613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anvendelse af fælles risikokriterier, fælles prioriterede kontrolområder og risikoprofiler, passende afbødende foranstaltninger og toldkontrol</w:t>
      </w:r>
    </w:p>
    <w:p w14:paraId="1090D9E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samarbejdsramme, der gør det muligt midlertidigt at stille toldembedsmænd og toldkontroludstyr fra en medlemsstat til rådighed for en anden.</w:t>
      </w:r>
    </w:p>
    <w:p w14:paraId="2003E85B" w14:textId="572D0283" w:rsidR="003E0486" w:rsidRPr="00C82C23"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ba)</w:t>
      </w:r>
      <w:r w:rsidR="003E0486" w:rsidRPr="003E0486">
        <w:rPr>
          <w:szCs w:val="24"/>
          <w:lang w:eastAsia="en-US"/>
        </w:rPr>
        <w:tab/>
      </w:r>
      <w:r w:rsidR="003E0486" w:rsidRPr="003E0486">
        <w:rPr>
          <w:b/>
          <w:i/>
          <w:szCs w:val="24"/>
          <w:lang w:eastAsia="en-US"/>
        </w:rPr>
        <w:t>hurtigbaner ved grænserne for at minimere forsinkelser og kødannelse i fragtstrømmene</w:t>
      </w:r>
      <w:r w:rsidR="00C82C23">
        <w:rPr>
          <w:b/>
          <w:szCs w:val="24"/>
          <w:lang w:eastAsia="en-US"/>
        </w:rPr>
        <w:t xml:space="preserve"> [Ændring 207]</w:t>
      </w:r>
    </w:p>
    <w:p w14:paraId="50F5AD72" w14:textId="6A980F63" w:rsidR="003E0486" w:rsidRPr="00C82C23"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bb)</w:t>
      </w:r>
      <w:r w:rsidR="003E0486" w:rsidRPr="003E0486">
        <w:rPr>
          <w:szCs w:val="24"/>
          <w:lang w:eastAsia="en-US"/>
        </w:rPr>
        <w:tab/>
      </w:r>
      <w:r w:rsidR="003E0486" w:rsidRPr="003E0486">
        <w:rPr>
          <w:b/>
          <w:i/>
          <w:szCs w:val="24"/>
          <w:lang w:eastAsia="en-US"/>
        </w:rPr>
        <w:t xml:space="preserve">undgåelse af handelsrestriktioner for kriserelevante varer som defineret i artikel 3, nr. 6, i forordning (EU) </w:t>
      </w:r>
      <w:r w:rsidR="00AD2D9A">
        <w:rPr>
          <w:b/>
          <w:i/>
          <w:szCs w:val="24"/>
          <w:lang w:eastAsia="en-US"/>
        </w:rPr>
        <w:t>2024/2747</w:t>
      </w:r>
      <w:r w:rsidR="003E0486" w:rsidRPr="003E0486">
        <w:rPr>
          <w:b/>
          <w:i/>
          <w:szCs w:val="24"/>
          <w:lang w:eastAsia="en-US"/>
        </w:rPr>
        <w:t>.</w:t>
      </w:r>
      <w:r w:rsidR="00C82C23">
        <w:rPr>
          <w:b/>
          <w:szCs w:val="24"/>
          <w:lang w:eastAsia="en-US"/>
        </w:rPr>
        <w:t xml:space="preserve"> [Ændring 208]</w:t>
      </w:r>
    </w:p>
    <w:p w14:paraId="0684F438" w14:textId="77777777" w:rsidR="003263F7" w:rsidRDefault="003263F7">
      <w:pPr>
        <w:widowControl/>
        <w:rPr>
          <w:szCs w:val="24"/>
          <w:lang w:eastAsia="en-US"/>
        </w:rPr>
      </w:pPr>
      <w:r>
        <w:rPr>
          <w:szCs w:val="24"/>
          <w:lang w:eastAsia="en-US"/>
        </w:rPr>
        <w:br w:type="page"/>
      </w:r>
    </w:p>
    <w:p w14:paraId="7C0BC5B4" w14:textId="6F0AA5B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204</w:t>
      </w:r>
      <w:r w:rsidRPr="003E0486">
        <w:rPr>
          <w:szCs w:val="24"/>
          <w:lang w:eastAsia="en-US"/>
        </w:rPr>
        <w:br/>
        <w:t>Aktivering af krisestyringsmekanismen</w:t>
      </w:r>
    </w:p>
    <w:p w14:paraId="6AAC7BAE" w14:textId="241B6600" w:rsidR="003E0486" w:rsidRPr="00C82C23"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Kommissionen kan på eget initiativ eller efter anmodning fra en eller flere medlemsstater eller EU-Toldmyndigheden vedtage en gennemførelsesretsakt efter undersøgelsesproceduren i overensstemmelse med denne forordnings artikel 262, stk. 4 og 5, under hensyntagen til de protokoller og procedurer, der er omhandlet i artikel 203, </w:t>
      </w:r>
      <w:r w:rsidRPr="003E0486">
        <w:rPr>
          <w:strike/>
          <w:szCs w:val="24"/>
          <w:lang w:eastAsia="en-US"/>
        </w:rPr>
        <w:t>samt</w:t>
      </w:r>
      <w:r w:rsidRPr="003E0486">
        <w:rPr>
          <w:b/>
          <w:i/>
          <w:szCs w:val="24"/>
          <w:lang w:eastAsia="en-US"/>
        </w:rPr>
        <w:t>som fastlægger</w:t>
      </w:r>
      <w:r w:rsidRPr="003E0486">
        <w:rPr>
          <w:szCs w:val="24"/>
          <w:lang w:eastAsia="en-US"/>
        </w:rPr>
        <w:t xml:space="preserve"> de passende og nødvendige foranstaltninger og ordninger</w:t>
      </w:r>
      <w:r w:rsidRPr="003E0486">
        <w:rPr>
          <w:strike/>
          <w:szCs w:val="24"/>
          <w:lang w:eastAsia="en-US"/>
        </w:rPr>
        <w:t>, der bør finde anvendelse</w:t>
      </w:r>
      <w:r w:rsidRPr="003E0486">
        <w:rPr>
          <w:szCs w:val="24"/>
          <w:lang w:eastAsia="en-US"/>
        </w:rPr>
        <w:t xml:space="preserve"> for at håndtere en krisesituation eller afbøde dens negative virkninger.</w:t>
      </w:r>
      <w:r w:rsidR="00C82C23">
        <w:rPr>
          <w:b/>
          <w:szCs w:val="24"/>
          <w:lang w:eastAsia="en-US"/>
        </w:rPr>
        <w:t xml:space="preserve"> [Ændring 209]</w:t>
      </w:r>
    </w:p>
    <w:p w14:paraId="7611B4A0" w14:textId="73D6A224" w:rsidR="003E0486" w:rsidRPr="00C82C23" w:rsidRDefault="003E0486" w:rsidP="003E0486">
      <w:pPr>
        <w:spacing w:before="120" w:after="120" w:line="360" w:lineRule="auto"/>
        <w:ind w:left="850" w:hanging="850"/>
        <w:rPr>
          <w:b/>
          <w:szCs w:val="24"/>
          <w:lang w:eastAsia="en-US"/>
        </w:rPr>
      </w:pPr>
      <w:r w:rsidRPr="003E0486">
        <w:rPr>
          <w:strike/>
          <w:szCs w:val="24"/>
          <w:lang w:eastAsia="en-US"/>
        </w:rPr>
        <w:t>2.</w:t>
      </w:r>
      <w:r w:rsidRPr="003740C4">
        <w:rPr>
          <w:strike/>
          <w:szCs w:val="24"/>
          <w:lang w:eastAsia="en-US"/>
        </w:rPr>
        <w:tab/>
      </w:r>
      <w:r w:rsidRPr="003E0486">
        <w:rPr>
          <w:strike/>
          <w:szCs w:val="24"/>
          <w:lang w:eastAsia="en-US"/>
        </w:rPr>
        <w:t>EU-Toldmyndigheden koordinerer og fører tilsyn med toldmyndighedernes anvendelse og gennemførelse af de passende foranstaltninger og ordninger og aflægger rapport om resultaterne af denne gennemførelse til Kommissionen.</w:t>
      </w:r>
      <w:r w:rsidR="00C82C23">
        <w:rPr>
          <w:b/>
          <w:szCs w:val="24"/>
          <w:lang w:eastAsia="en-US"/>
        </w:rPr>
        <w:t xml:space="preserve"> [Ændring 210]</w:t>
      </w:r>
    </w:p>
    <w:p w14:paraId="204B45FA" w14:textId="49963D04" w:rsidR="003E0486" w:rsidRPr="00C82C23"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EU-Toldmyndigheden opretter en kriseresponscelle, der er permanent tilgængelig under hele krisen.</w:t>
      </w:r>
      <w:r w:rsidRPr="003E0486">
        <w:rPr>
          <w:b/>
          <w:i/>
          <w:szCs w:val="24"/>
          <w:lang w:eastAsia="en-US"/>
        </w:rPr>
        <w:t xml:space="preserve"> Kommissionen kan støtte EU-Toldmyndigheden under planlægningsfasen og i forbindelse med oprettelse af en sådan kriseresponscelle. Kriseresponscellen finansieres af det budget, der er tildelt EU-Toldmyndigheden.</w:t>
      </w:r>
      <w:r w:rsidR="00C82C23">
        <w:rPr>
          <w:b/>
          <w:szCs w:val="24"/>
          <w:lang w:eastAsia="en-US"/>
        </w:rPr>
        <w:t xml:space="preserve"> [Ændring 211]</w:t>
      </w:r>
    </w:p>
    <w:p w14:paraId="64124C9E" w14:textId="77777777" w:rsidR="003263F7" w:rsidRDefault="003263F7">
      <w:pPr>
        <w:widowControl/>
        <w:rPr>
          <w:szCs w:val="24"/>
          <w:lang w:eastAsia="en-US"/>
        </w:rPr>
      </w:pPr>
      <w:r>
        <w:rPr>
          <w:szCs w:val="24"/>
          <w:lang w:eastAsia="en-US"/>
        </w:rPr>
        <w:br w:type="page"/>
      </w:r>
    </w:p>
    <w:p w14:paraId="02C8585F" w14:textId="3599B06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Toldmyndighederne gennemfører og anvender de foranstaltninger og ordninger, der vedtages i henhold til denne artikel, og aflægger rapport til EU-Toldmyndigheden om deres gennemførelse og anvendelse.</w:t>
      </w:r>
    </w:p>
    <w:p w14:paraId="5AF2F21A" w14:textId="18E0DC71" w:rsidR="003E0486" w:rsidRPr="00C57D87" w:rsidRDefault="003E0486" w:rsidP="003E0486">
      <w:pPr>
        <w:spacing w:before="120" w:after="120" w:line="360" w:lineRule="auto"/>
        <w:ind w:left="850" w:hanging="850"/>
        <w:rPr>
          <w:b/>
          <w:szCs w:val="24"/>
          <w:lang w:eastAsia="en-US"/>
        </w:rPr>
      </w:pPr>
      <w:r w:rsidRPr="003E0486">
        <w:rPr>
          <w:b/>
          <w:i/>
          <w:szCs w:val="24"/>
          <w:lang w:eastAsia="en-US"/>
        </w:rPr>
        <w:t>4a.</w:t>
      </w:r>
      <w:r w:rsidRPr="003E0486">
        <w:rPr>
          <w:szCs w:val="24"/>
          <w:lang w:eastAsia="en-US"/>
        </w:rPr>
        <w:tab/>
      </w:r>
      <w:r w:rsidRPr="003E0486">
        <w:rPr>
          <w:b/>
          <w:i/>
          <w:szCs w:val="24"/>
          <w:lang w:eastAsia="en-US"/>
        </w:rPr>
        <w:t>EU-Toldmyndigheden koordinerer og fører tilsyn med toldmyndighedernes gennemførelse af passende foranstaltninger og ordninger og aflægger rapport om resultaterne af deres gennemførelse til Kommissionen, Europa-Parlamentet og Rådet.</w:t>
      </w:r>
      <w:r w:rsidR="00C57D87">
        <w:rPr>
          <w:b/>
          <w:szCs w:val="24"/>
          <w:lang w:eastAsia="en-US"/>
        </w:rPr>
        <w:t xml:space="preserve"> [Ændring 212]</w:t>
      </w:r>
    </w:p>
    <w:p w14:paraId="353EB520"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Afsnit XII </w:t>
      </w:r>
      <w:r w:rsidRPr="003E0486">
        <w:rPr>
          <w:szCs w:val="24"/>
          <w:lang w:eastAsia="en-US"/>
        </w:rPr>
        <w:br/>
        <w:t>DEN EUROPÆISKE UNIONS TOLDMYNDIGHED</w:t>
      </w:r>
    </w:p>
    <w:p w14:paraId="41B769C3"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Principper</w:t>
      </w:r>
    </w:p>
    <w:p w14:paraId="34612F3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205</w:t>
      </w:r>
      <w:r w:rsidRPr="003E0486">
        <w:rPr>
          <w:szCs w:val="24"/>
          <w:lang w:eastAsia="en-US"/>
        </w:rPr>
        <w:br/>
        <w:t>Juridisk status</w:t>
      </w:r>
    </w:p>
    <w:p w14:paraId="0F5D0E8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er et EU-organ og har status som juridisk person.</w:t>
      </w:r>
    </w:p>
    <w:p w14:paraId="2DB057E2" w14:textId="77777777" w:rsidR="003263F7" w:rsidRDefault="003263F7">
      <w:pPr>
        <w:widowControl/>
        <w:rPr>
          <w:szCs w:val="24"/>
          <w:lang w:eastAsia="en-US"/>
        </w:rPr>
      </w:pPr>
      <w:r>
        <w:rPr>
          <w:szCs w:val="24"/>
          <w:lang w:eastAsia="en-US"/>
        </w:rPr>
        <w:br w:type="page"/>
      </w:r>
    </w:p>
    <w:p w14:paraId="0001FCDA" w14:textId="2D122F6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EU-Toldmyndigheden har i hver medlemsstat den videstgående rets- og handleevne, som den pågældende stats lovgivning tillægger juridiske personer. Den kan i særdeleshed erhverve og afhænde fast ejendom og løsøre og optræde som part i retssager.</w:t>
      </w:r>
    </w:p>
    <w:p w14:paraId="674DDB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repræsenteres af sin administrerende direktør.</w:t>
      </w:r>
    </w:p>
    <w:p w14:paraId="30DAB50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206</w:t>
      </w:r>
      <w:r w:rsidRPr="003E0486">
        <w:rPr>
          <w:szCs w:val="24"/>
          <w:lang w:eastAsia="en-US"/>
        </w:rPr>
        <w:br/>
        <w:t>Hjemsted</w:t>
      </w:r>
    </w:p>
    <w:p w14:paraId="5160CE86" w14:textId="77777777" w:rsidR="003E0486" w:rsidRPr="003E0486" w:rsidRDefault="003E0486" w:rsidP="003E0486">
      <w:pPr>
        <w:spacing w:before="120" w:after="120" w:line="360" w:lineRule="auto"/>
        <w:rPr>
          <w:szCs w:val="24"/>
          <w:lang w:eastAsia="en-US"/>
        </w:rPr>
      </w:pPr>
      <w:r w:rsidRPr="003E0486">
        <w:rPr>
          <w:szCs w:val="24"/>
          <w:lang w:eastAsia="en-US"/>
        </w:rPr>
        <w:t>EU-Toldmyndigheden har hjemsted i [...].</w:t>
      </w:r>
    </w:p>
    <w:p w14:paraId="09DFCEDD" w14:textId="77777777" w:rsidR="003E0486" w:rsidRPr="003E0486" w:rsidRDefault="003E0486" w:rsidP="003E0486">
      <w:pPr>
        <w:spacing w:before="120" w:after="120" w:line="360" w:lineRule="auto"/>
        <w:rPr>
          <w:szCs w:val="24"/>
          <w:lang w:eastAsia="en-US"/>
        </w:rPr>
      </w:pPr>
      <w:r w:rsidRPr="003E0486">
        <w:rPr>
          <w:b/>
          <w:i/>
          <w:szCs w:val="24"/>
          <w:lang w:eastAsia="en-US"/>
        </w:rPr>
        <w:t>Placeringen af EU-Toldmyndighedens hjemsted afgøres i overensstemmelse med den almindelige lovgivningsmæssige procedure på baggrund af følgende kriterier:</w:t>
      </w:r>
    </w:p>
    <w:p w14:paraId="6A0FA224" w14:textId="26EFEF13"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Den må ikke påvirke EU-Toldmyndighedens udførelse af sine opgaver og udøvelse af beføjelser, tilrettelæggelsen af dens forvaltningsstruktur, driften af dens primære organisation eller hovedfinansieringen af dens aktiviteter</w:t>
      </w:r>
      <w:r w:rsidR="009B0E83">
        <w:rPr>
          <w:b/>
          <w:i/>
          <w:szCs w:val="24"/>
          <w:lang w:eastAsia="en-US"/>
        </w:rPr>
        <w:t>.</w:t>
      </w:r>
    </w:p>
    <w:p w14:paraId="74CC1F35" w14:textId="1338D47F"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Det skal sikres, at EU-Toldmyndigheden er i stand til at rekruttere det højt kvalificerede og specialiserede personale, den skal bruge til at udføre de opgaver og udøve de beføjelser, der er fastsat i denne forordning</w:t>
      </w:r>
    </w:p>
    <w:p w14:paraId="60A154A3" w14:textId="77777777" w:rsidR="003263F7" w:rsidRDefault="003263F7">
      <w:pPr>
        <w:widowControl/>
        <w:rPr>
          <w:b/>
          <w:i/>
          <w:szCs w:val="24"/>
          <w:lang w:eastAsia="en-US"/>
        </w:rPr>
      </w:pPr>
      <w:r>
        <w:rPr>
          <w:b/>
          <w:i/>
          <w:szCs w:val="24"/>
          <w:lang w:eastAsia="en-US"/>
        </w:rPr>
        <w:br w:type="page"/>
      </w:r>
    </w:p>
    <w:p w14:paraId="55D6362E" w14:textId="5DB36419" w:rsidR="003E0486" w:rsidRPr="003E0486" w:rsidRDefault="00070EE3" w:rsidP="003E0486">
      <w:pPr>
        <w:spacing w:before="120" w:after="120" w:line="360" w:lineRule="auto"/>
        <w:ind w:left="850" w:hanging="850"/>
        <w:rPr>
          <w:szCs w:val="24"/>
          <w:lang w:eastAsia="en-US"/>
        </w:rPr>
      </w:pPr>
      <w:r>
        <w:rPr>
          <w:b/>
          <w:i/>
          <w:szCs w:val="24"/>
          <w:lang w:eastAsia="en-US"/>
        </w:rPr>
        <w:lastRenderedPageBreak/>
        <w:t>(</w:t>
      </w:r>
      <w:r w:rsidR="003E0486" w:rsidRPr="003E0486">
        <w:rPr>
          <w:b/>
          <w:i/>
          <w:szCs w:val="24"/>
          <w:lang w:eastAsia="en-US"/>
        </w:rPr>
        <w:t>c)</w:t>
      </w:r>
      <w:r w:rsidR="003E0486" w:rsidRPr="003E0486">
        <w:rPr>
          <w:szCs w:val="24"/>
          <w:lang w:eastAsia="en-US"/>
        </w:rPr>
        <w:tab/>
      </w:r>
      <w:r w:rsidR="003E0486" w:rsidRPr="003E0486">
        <w:rPr>
          <w:b/>
          <w:i/>
          <w:szCs w:val="24"/>
          <w:lang w:eastAsia="en-US"/>
        </w:rPr>
        <w:t>Det skal sikres, at EU-Toldmyndigheden kan oprettes på stedet efter denne forordnings ikrafttræden</w:t>
      </w:r>
      <w:r w:rsidR="009B0E83">
        <w:rPr>
          <w:b/>
          <w:i/>
          <w:szCs w:val="24"/>
          <w:lang w:eastAsia="en-US"/>
        </w:rPr>
        <w:t>.</w:t>
      </w:r>
    </w:p>
    <w:p w14:paraId="15E95B5B" w14:textId="4613F5C3"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d)</w:t>
      </w:r>
      <w:r w:rsidR="003E0486" w:rsidRPr="003E0486">
        <w:rPr>
          <w:szCs w:val="24"/>
          <w:lang w:eastAsia="en-US"/>
        </w:rPr>
        <w:tab/>
      </w:r>
      <w:r w:rsidR="003E0486" w:rsidRPr="003E0486">
        <w:rPr>
          <w:b/>
          <w:i/>
          <w:szCs w:val="24"/>
          <w:lang w:eastAsia="en-US"/>
        </w:rPr>
        <w:t>Det skal sikres, at der er behørig adgang til placeringen, og at der er tilstrækkelige uddannelsesmuligheder for personalets børn og behørig adgang til arbejdsmarkedet, social sikring og lægebehandling for både børn og ægtefæller</w:t>
      </w:r>
      <w:r w:rsidR="009B0E83">
        <w:rPr>
          <w:b/>
          <w:i/>
          <w:szCs w:val="24"/>
          <w:lang w:eastAsia="en-US"/>
        </w:rPr>
        <w:t>.</w:t>
      </w:r>
    </w:p>
    <w:p w14:paraId="346260F7" w14:textId="669329EC"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e)</w:t>
      </w:r>
      <w:r w:rsidR="003E0486" w:rsidRPr="003E0486">
        <w:rPr>
          <w:szCs w:val="24"/>
          <w:lang w:eastAsia="en-US"/>
        </w:rPr>
        <w:tab/>
      </w:r>
      <w:r w:rsidR="003E0486" w:rsidRPr="003E0486">
        <w:rPr>
          <w:b/>
          <w:i/>
          <w:szCs w:val="24"/>
          <w:lang w:eastAsia="en-US"/>
        </w:rPr>
        <w:t xml:space="preserve">Det skal sikres, at der er en afbalanceret geografisk fordeling af </w:t>
      </w:r>
      <w:r w:rsidR="009B0E83">
        <w:rPr>
          <w:b/>
          <w:i/>
          <w:szCs w:val="24"/>
          <w:lang w:eastAsia="en-US"/>
        </w:rPr>
        <w:t>EU-</w:t>
      </w:r>
      <w:r w:rsidR="003E0486" w:rsidRPr="003E0486">
        <w:rPr>
          <w:b/>
          <w:i/>
          <w:szCs w:val="24"/>
          <w:lang w:eastAsia="en-US"/>
        </w:rPr>
        <w:t xml:space="preserve">institutioner, </w:t>
      </w:r>
      <w:r w:rsidR="009B0E83">
        <w:rPr>
          <w:b/>
          <w:i/>
          <w:szCs w:val="24"/>
          <w:lang w:eastAsia="en-US"/>
        </w:rPr>
        <w:t>-</w:t>
      </w:r>
      <w:r w:rsidR="003E0486" w:rsidRPr="003E0486">
        <w:rPr>
          <w:b/>
          <w:i/>
          <w:szCs w:val="24"/>
          <w:lang w:eastAsia="en-US"/>
        </w:rPr>
        <w:t xml:space="preserve">organer og </w:t>
      </w:r>
      <w:r w:rsidR="009B0E83">
        <w:rPr>
          <w:b/>
          <w:i/>
          <w:szCs w:val="24"/>
          <w:lang w:eastAsia="en-US"/>
        </w:rPr>
        <w:t>-</w:t>
      </w:r>
      <w:r w:rsidR="003E0486" w:rsidRPr="003E0486">
        <w:rPr>
          <w:b/>
          <w:i/>
          <w:szCs w:val="24"/>
          <w:lang w:eastAsia="en-US"/>
        </w:rPr>
        <w:t>agenturer i hele Unionen</w:t>
      </w:r>
      <w:r w:rsidR="009B0E83">
        <w:rPr>
          <w:b/>
          <w:i/>
          <w:szCs w:val="24"/>
          <w:lang w:eastAsia="en-US"/>
        </w:rPr>
        <w:t>.</w:t>
      </w:r>
    </w:p>
    <w:p w14:paraId="3D2EB255" w14:textId="45EC9D45"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f)</w:t>
      </w:r>
      <w:r w:rsidR="003E0486" w:rsidRPr="003E0486">
        <w:rPr>
          <w:szCs w:val="24"/>
          <w:lang w:eastAsia="en-US"/>
        </w:rPr>
        <w:tab/>
      </w:r>
      <w:r w:rsidR="003E0486" w:rsidRPr="003E0486">
        <w:rPr>
          <w:b/>
          <w:i/>
          <w:szCs w:val="24"/>
          <w:lang w:eastAsia="en-US"/>
        </w:rPr>
        <w:t>Den skal muliggøre passende uddannelsesmuligheder</w:t>
      </w:r>
      <w:r w:rsidR="009B0E83">
        <w:rPr>
          <w:b/>
          <w:i/>
          <w:szCs w:val="24"/>
          <w:lang w:eastAsia="en-US"/>
        </w:rPr>
        <w:t>.</w:t>
      </w:r>
    </w:p>
    <w:p w14:paraId="437C2F1C" w14:textId="36BC1E39" w:rsidR="003E0486" w:rsidRPr="003E0486" w:rsidRDefault="00070EE3" w:rsidP="003E0486">
      <w:pPr>
        <w:spacing w:before="120" w:after="120" w:line="360" w:lineRule="auto"/>
        <w:ind w:left="850" w:hanging="850"/>
        <w:rPr>
          <w:szCs w:val="24"/>
          <w:lang w:eastAsia="en-US"/>
        </w:rPr>
      </w:pPr>
      <w:r>
        <w:rPr>
          <w:b/>
          <w:i/>
          <w:szCs w:val="24"/>
          <w:lang w:eastAsia="en-US"/>
        </w:rPr>
        <w:t>(</w:t>
      </w:r>
      <w:r w:rsidR="003E0486" w:rsidRPr="003E0486">
        <w:rPr>
          <w:b/>
          <w:i/>
          <w:szCs w:val="24"/>
          <w:lang w:eastAsia="en-US"/>
        </w:rPr>
        <w:t>g)</w:t>
      </w:r>
      <w:r w:rsidR="003E0486" w:rsidRPr="003E0486">
        <w:rPr>
          <w:szCs w:val="24"/>
          <w:lang w:eastAsia="en-US"/>
        </w:rPr>
        <w:tab/>
      </w:r>
      <w:r w:rsidR="003E0486" w:rsidRPr="003E0486">
        <w:rPr>
          <w:b/>
          <w:i/>
          <w:szCs w:val="24"/>
          <w:lang w:eastAsia="en-US"/>
        </w:rPr>
        <w:t xml:space="preserve">Den skal muliggøre et tæt samarbejde med </w:t>
      </w:r>
      <w:r w:rsidR="009B0E83">
        <w:rPr>
          <w:b/>
          <w:i/>
          <w:szCs w:val="24"/>
          <w:lang w:eastAsia="en-US"/>
        </w:rPr>
        <w:t>EU-</w:t>
      </w:r>
      <w:r w:rsidR="003E0486" w:rsidRPr="003E0486">
        <w:rPr>
          <w:b/>
          <w:i/>
          <w:szCs w:val="24"/>
          <w:lang w:eastAsia="en-US"/>
        </w:rPr>
        <w:t xml:space="preserve">institutioner, </w:t>
      </w:r>
      <w:r w:rsidR="009B0E83">
        <w:rPr>
          <w:b/>
          <w:i/>
          <w:szCs w:val="24"/>
          <w:lang w:eastAsia="en-US"/>
        </w:rPr>
        <w:t>-</w:t>
      </w:r>
      <w:r w:rsidR="003E0486" w:rsidRPr="003E0486">
        <w:rPr>
          <w:b/>
          <w:i/>
          <w:szCs w:val="24"/>
          <w:lang w:eastAsia="en-US"/>
        </w:rPr>
        <w:t xml:space="preserve">organer og </w:t>
      </w:r>
      <w:r w:rsidR="009B0E83">
        <w:rPr>
          <w:b/>
          <w:i/>
          <w:szCs w:val="24"/>
          <w:lang w:eastAsia="en-US"/>
        </w:rPr>
        <w:t>-</w:t>
      </w:r>
      <w:r w:rsidR="003E0486" w:rsidRPr="003E0486">
        <w:rPr>
          <w:b/>
          <w:i/>
          <w:szCs w:val="24"/>
          <w:lang w:eastAsia="en-US"/>
        </w:rPr>
        <w:t>agenturer.</w:t>
      </w:r>
    </w:p>
    <w:p w14:paraId="0E2822E9" w14:textId="21F701F0" w:rsidR="003E0486" w:rsidRPr="00C57D87" w:rsidRDefault="00070EE3"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h)</w:t>
      </w:r>
      <w:r w:rsidR="003E0486" w:rsidRPr="003E0486">
        <w:rPr>
          <w:szCs w:val="24"/>
          <w:lang w:eastAsia="en-US"/>
        </w:rPr>
        <w:tab/>
      </w:r>
      <w:r w:rsidR="003E0486" w:rsidRPr="003E0486">
        <w:rPr>
          <w:b/>
          <w:i/>
          <w:szCs w:val="24"/>
          <w:lang w:eastAsia="en-US"/>
        </w:rPr>
        <w:t>Den skal sikre bæredygtighed og digital sikkerhed og konnektivitet med hensyn til fysisk infrastruktur og IT-infrastruktur og arbejdsforhold.</w:t>
      </w:r>
      <w:r w:rsidR="00C57D87">
        <w:rPr>
          <w:b/>
          <w:szCs w:val="24"/>
          <w:lang w:eastAsia="en-US"/>
        </w:rPr>
        <w:t xml:space="preserve"> [Ændring 213]</w:t>
      </w:r>
    </w:p>
    <w:p w14:paraId="34D0010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207</w:t>
      </w:r>
      <w:r w:rsidRPr="003E0486">
        <w:rPr>
          <w:szCs w:val="24"/>
          <w:lang w:eastAsia="en-US"/>
        </w:rPr>
        <w:br/>
        <w:t>EU-Toldmyndighedens opgave og mål</w:t>
      </w:r>
    </w:p>
    <w:p w14:paraId="2AC49F8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bidrager til at opfylde toldmyndighedernes opgave som fastsat i artikel 2.</w:t>
      </w:r>
    </w:p>
    <w:p w14:paraId="54297934" w14:textId="69E0423A" w:rsidR="003E0486" w:rsidRPr="00C57D87" w:rsidRDefault="003E0486" w:rsidP="003E0486">
      <w:pPr>
        <w:spacing w:before="120" w:after="120" w:line="360" w:lineRule="auto"/>
        <w:ind w:left="850"/>
        <w:rPr>
          <w:b/>
          <w:szCs w:val="24"/>
          <w:lang w:eastAsia="en-US"/>
        </w:rPr>
      </w:pPr>
      <w:r w:rsidRPr="003E0486">
        <w:rPr>
          <w:b/>
          <w:i/>
          <w:szCs w:val="24"/>
          <w:lang w:eastAsia="en-US"/>
        </w:rPr>
        <w:t xml:space="preserve">EU-Toldmyndigheden driver og vedligeholder de informationsteknologisystemer, der anvendes til gennemførelsen af toldunionen, såsom EU's tolddatacenter, </w:t>
      </w:r>
      <w:r w:rsidR="009B0E83">
        <w:rPr>
          <w:b/>
          <w:i/>
          <w:szCs w:val="24"/>
          <w:lang w:eastAsia="en-US"/>
        </w:rPr>
        <w:t xml:space="preserve">som fastsat i </w:t>
      </w:r>
      <w:r w:rsidRPr="003E0486">
        <w:rPr>
          <w:b/>
          <w:i/>
          <w:szCs w:val="24"/>
          <w:lang w:eastAsia="en-US"/>
        </w:rPr>
        <w:t>afsnit III</w:t>
      </w:r>
      <w:r w:rsidR="00C57D87">
        <w:rPr>
          <w:b/>
          <w:szCs w:val="24"/>
          <w:lang w:eastAsia="en-US"/>
        </w:rPr>
        <w:t xml:space="preserve"> [Ændring 214]</w:t>
      </w:r>
    </w:p>
    <w:p w14:paraId="2A33B753" w14:textId="77777777" w:rsidR="003263F7" w:rsidRDefault="003263F7">
      <w:pPr>
        <w:widowControl/>
        <w:rPr>
          <w:szCs w:val="24"/>
          <w:lang w:eastAsia="en-US"/>
        </w:rPr>
      </w:pPr>
      <w:r>
        <w:rPr>
          <w:szCs w:val="24"/>
          <w:lang w:eastAsia="en-US"/>
        </w:rPr>
        <w:br w:type="page"/>
      </w:r>
    </w:p>
    <w:p w14:paraId="561B9455" w14:textId="2838E84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Uden at det berører Kommissionens, OLAF's og medlemsstaternes respektive ansvarsområder, forfølger EU-Toldmyndigheden følgende mål:</w:t>
      </w:r>
    </w:p>
    <w:p w14:paraId="7B1675E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EU-Toldmyndigheden bidrager til den operationelle forvaltning af toldunionen, og den koordinerer og overvåger i den forbindelse det operationelle samarbejde mellem toldmyndighederne og samler og yder teknisk ekspertise for at øge effektiviteten og levere resultater.</w:t>
      </w:r>
    </w:p>
    <w:p w14:paraId="27B6879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EU-Toldmyndigheden udvikler, driver og vedligeholder informationsteknologier til gennemførelse af de procedurer, der er fastsat i denne forordning, og bidrager til at gøre optimal brug af de tilgængelige data til toldtilsyn, kontrol og risikoforvaltning</w:t>
      </w:r>
    </w:p>
    <w:p w14:paraId="207BC5B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EU-Toldmyndigheden bistår toldmyndighederne med hensyn til at opnå en ensartet gennemførelse af toldlovgivningen, navnlig med henblik på at sikre, at toldkontrol og risikoforvaltning udføres på en ensartet måde</w:t>
      </w:r>
    </w:p>
    <w:p w14:paraId="475D5AAB" w14:textId="686C543F" w:rsidR="003E0486" w:rsidRPr="00C57D87" w:rsidRDefault="003E0486" w:rsidP="003E0486">
      <w:pPr>
        <w:spacing w:before="120" w:after="120" w:line="360" w:lineRule="auto"/>
        <w:ind w:left="1416" w:hanging="566"/>
        <w:rPr>
          <w:b/>
          <w:szCs w:val="24"/>
          <w:lang w:eastAsia="en-US"/>
        </w:rPr>
      </w:pPr>
      <w:r w:rsidRPr="003E0486">
        <w:rPr>
          <w:szCs w:val="24"/>
          <w:lang w:eastAsia="en-US"/>
        </w:rPr>
        <w:t>(d)</w:t>
      </w:r>
      <w:r w:rsidRPr="003E0486">
        <w:rPr>
          <w:szCs w:val="24"/>
          <w:lang w:eastAsia="en-US"/>
        </w:rPr>
        <w:tab/>
        <w:t>EU-Toldmyndigheden bidrager til håndhævelsen af anden EU-lovgivning, der anvendes af toldmyndighederne.</w:t>
      </w:r>
      <w:r w:rsidR="00C57D87">
        <w:rPr>
          <w:b/>
          <w:szCs w:val="24"/>
          <w:lang w:eastAsia="en-US"/>
        </w:rPr>
        <w:t xml:space="preserve"> [Ændring 215</w:t>
      </w:r>
      <w:r w:rsidR="00C64A91">
        <w:rPr>
          <w:b/>
          <w:szCs w:val="24"/>
          <w:lang w:eastAsia="en-US"/>
        </w:rPr>
        <w:t xml:space="preserve"> - </w:t>
      </w:r>
      <w:r w:rsidR="00C64A91" w:rsidRPr="00C64A91">
        <w:rPr>
          <w:b/>
          <w:i/>
          <w:szCs w:val="24"/>
          <w:lang w:eastAsia="en-US"/>
        </w:rPr>
        <w:t>vedrører ikke den danske tekst</w:t>
      </w:r>
      <w:r w:rsidR="00C57D87">
        <w:rPr>
          <w:b/>
          <w:szCs w:val="24"/>
          <w:lang w:eastAsia="en-US"/>
        </w:rPr>
        <w:t>]</w:t>
      </w:r>
    </w:p>
    <w:p w14:paraId="08B851F5" w14:textId="77777777" w:rsidR="003263F7" w:rsidRDefault="003263F7">
      <w:pPr>
        <w:widowControl/>
        <w:rPr>
          <w:b/>
          <w:i/>
          <w:szCs w:val="24"/>
          <w:lang w:eastAsia="en-US"/>
        </w:rPr>
      </w:pPr>
      <w:r>
        <w:rPr>
          <w:b/>
          <w:i/>
          <w:szCs w:val="24"/>
          <w:lang w:eastAsia="en-US"/>
        </w:rPr>
        <w:br w:type="page"/>
      </w:r>
    </w:p>
    <w:p w14:paraId="636C33C0" w14:textId="0544C195" w:rsidR="003E0486" w:rsidRPr="00C57D87" w:rsidRDefault="00070EE3" w:rsidP="003E0486">
      <w:pPr>
        <w:spacing w:before="120" w:after="120" w:line="360" w:lineRule="auto"/>
        <w:ind w:left="1416" w:hanging="566"/>
        <w:rPr>
          <w:b/>
          <w:szCs w:val="24"/>
          <w:lang w:eastAsia="en-US"/>
        </w:rPr>
      </w:pPr>
      <w:r>
        <w:rPr>
          <w:b/>
          <w:i/>
          <w:szCs w:val="24"/>
          <w:lang w:eastAsia="en-US"/>
        </w:rPr>
        <w:lastRenderedPageBreak/>
        <w:t>(</w:t>
      </w:r>
      <w:r w:rsidR="003E0486" w:rsidRPr="003E0486">
        <w:rPr>
          <w:b/>
          <w:i/>
          <w:szCs w:val="24"/>
          <w:lang w:eastAsia="en-US"/>
        </w:rPr>
        <w:t>da)</w:t>
      </w:r>
      <w:r w:rsidR="003E0486" w:rsidRPr="003E0486">
        <w:rPr>
          <w:szCs w:val="24"/>
          <w:lang w:eastAsia="en-US"/>
        </w:rPr>
        <w:tab/>
      </w:r>
      <w:r w:rsidR="003E0486" w:rsidRPr="003E0486">
        <w:rPr>
          <w:b/>
          <w:i/>
          <w:szCs w:val="24"/>
          <w:lang w:eastAsia="en-US"/>
        </w:rPr>
        <w:t xml:space="preserve">EU-Toldmyndigheden samarbejder med andre EU-institutioner, </w:t>
      </w:r>
      <w:r w:rsidR="009B0E83">
        <w:rPr>
          <w:b/>
          <w:i/>
          <w:szCs w:val="24"/>
          <w:lang w:eastAsia="en-US"/>
        </w:rPr>
        <w:t>-</w:t>
      </w:r>
      <w:r w:rsidR="003E0486" w:rsidRPr="003E0486">
        <w:rPr>
          <w:b/>
          <w:i/>
          <w:szCs w:val="24"/>
          <w:lang w:eastAsia="en-US"/>
        </w:rPr>
        <w:t xml:space="preserve">organer, </w:t>
      </w:r>
      <w:r w:rsidR="009B0E83">
        <w:rPr>
          <w:b/>
          <w:i/>
          <w:szCs w:val="24"/>
          <w:lang w:eastAsia="en-US"/>
        </w:rPr>
        <w:t>-</w:t>
      </w:r>
      <w:r w:rsidR="003E0486" w:rsidRPr="003E0486">
        <w:rPr>
          <w:b/>
          <w:i/>
          <w:szCs w:val="24"/>
          <w:lang w:eastAsia="en-US"/>
        </w:rPr>
        <w:t xml:space="preserve">kontorer og </w:t>
      </w:r>
      <w:r w:rsidR="009B0E83">
        <w:rPr>
          <w:b/>
          <w:i/>
          <w:szCs w:val="24"/>
          <w:lang w:eastAsia="en-US"/>
        </w:rPr>
        <w:t>-</w:t>
      </w:r>
      <w:r w:rsidR="003E0486" w:rsidRPr="003E0486">
        <w:rPr>
          <w:b/>
          <w:i/>
          <w:szCs w:val="24"/>
          <w:lang w:eastAsia="en-US"/>
        </w:rPr>
        <w:t>agenturer på områder, hvor deres aktiviteter vedrører forvaltningen af varer, der krydser de ydre grænser</w:t>
      </w:r>
      <w:r w:rsidR="00C57D87">
        <w:rPr>
          <w:b/>
          <w:szCs w:val="24"/>
          <w:lang w:eastAsia="en-US"/>
        </w:rPr>
        <w:t xml:space="preserve"> [Ændring 216]</w:t>
      </w:r>
    </w:p>
    <w:p w14:paraId="490A4097" w14:textId="746690C7" w:rsidR="003E0486" w:rsidRPr="00C57D87"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db)</w:t>
      </w:r>
      <w:r w:rsidR="003E0486" w:rsidRPr="003E0486">
        <w:rPr>
          <w:szCs w:val="24"/>
          <w:lang w:eastAsia="en-US"/>
        </w:rPr>
        <w:tab/>
      </w:r>
      <w:r w:rsidR="003E0486" w:rsidRPr="003E0486">
        <w:rPr>
          <w:b/>
          <w:i/>
          <w:szCs w:val="24"/>
          <w:lang w:eastAsia="en-US"/>
        </w:rPr>
        <w:t>EU-Toldmyndigheden indfører en obligatorisk særordning for opkrævning af told på fjernsalg af varer importeret fra tredjelandsområder eller tredjelande. Denne obligatoriske særordning afstemmes efter den særordning, der er fastsat artikel 369l-369x i direktiv 2006/112/EF.</w:t>
      </w:r>
      <w:r w:rsidR="00C57D87">
        <w:rPr>
          <w:b/>
          <w:szCs w:val="24"/>
          <w:lang w:eastAsia="en-US"/>
        </w:rPr>
        <w:t xml:space="preserve"> [Ændring 217]</w:t>
      </w:r>
    </w:p>
    <w:p w14:paraId="295CB3A7"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Opgaver</w:t>
      </w:r>
    </w:p>
    <w:p w14:paraId="6464DC7E"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208</w:t>
      </w:r>
      <w:r w:rsidRPr="003E0486">
        <w:rPr>
          <w:szCs w:val="24"/>
          <w:lang w:eastAsia="en-US"/>
        </w:rPr>
        <w:br/>
        <w:t>Kerneopgaver</w:t>
      </w:r>
    </w:p>
    <w:p w14:paraId="0C6BAAE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udfører risikoforvaltningsopgaver i overensstemmelse med afsnit IV, kapitel 3.</w:t>
      </w:r>
    </w:p>
    <w:p w14:paraId="19887E0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EU-Toldmyndigheden udfører Kommissionens opgaver i forbindelse med restriktive foranstaltninger og krisestyringsmekanismen i overensstemmelse med afsnit XI</w:t>
      </w:r>
    </w:p>
    <w:p w14:paraId="2C5C267B" w14:textId="77777777" w:rsidR="003263F7" w:rsidRDefault="003263F7">
      <w:pPr>
        <w:widowControl/>
        <w:rPr>
          <w:b/>
          <w:i/>
          <w:szCs w:val="24"/>
          <w:lang w:eastAsia="en-US"/>
        </w:rPr>
      </w:pPr>
      <w:r>
        <w:rPr>
          <w:b/>
          <w:i/>
          <w:szCs w:val="24"/>
          <w:lang w:eastAsia="en-US"/>
        </w:rPr>
        <w:br w:type="page"/>
      </w:r>
    </w:p>
    <w:p w14:paraId="24574356" w14:textId="0A6C6306" w:rsidR="003E0486" w:rsidRPr="00C57D87" w:rsidRDefault="003E0486" w:rsidP="003E0486">
      <w:pPr>
        <w:spacing w:before="120" w:after="120" w:line="360" w:lineRule="auto"/>
        <w:ind w:left="850" w:hanging="850"/>
        <w:rPr>
          <w:b/>
          <w:szCs w:val="24"/>
          <w:lang w:eastAsia="en-US"/>
        </w:rPr>
      </w:pPr>
      <w:r w:rsidRPr="003E0486">
        <w:rPr>
          <w:b/>
          <w:i/>
          <w:szCs w:val="24"/>
          <w:lang w:eastAsia="en-US"/>
        </w:rPr>
        <w:lastRenderedPageBreak/>
        <w:t>2a.</w:t>
      </w:r>
      <w:r w:rsidRPr="003E0486">
        <w:rPr>
          <w:szCs w:val="24"/>
          <w:lang w:eastAsia="en-US"/>
        </w:rPr>
        <w:tab/>
      </w:r>
      <w:r w:rsidRPr="003E0486">
        <w:rPr>
          <w:b/>
          <w:i/>
          <w:szCs w:val="24"/>
          <w:lang w:eastAsia="en-US"/>
        </w:rPr>
        <w:t>EU-Toldmyndigheden støtter Kommissionen og medlemsstaterne for at gøre det muligt for dem at føre mere effektivt tilsyn med gennemførelsen af de restriktive foranstaltninger, som Rådet kan vedtage i overensstemmelse med artikel 215, stk. 2, i TEUF vedrørende varestrømmen, for at sikre, at disse foranstaltninger ikke omgås.</w:t>
      </w:r>
      <w:r w:rsidR="00C57D87">
        <w:rPr>
          <w:b/>
          <w:szCs w:val="24"/>
          <w:lang w:eastAsia="en-US"/>
        </w:rPr>
        <w:t xml:space="preserve"> [Ændring 218]</w:t>
      </w:r>
    </w:p>
    <w:p w14:paraId="42BEF297" w14:textId="6C311A8D" w:rsidR="003E0486" w:rsidRPr="00C57D87"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 xml:space="preserve">EU-Toldmyndigheden udfører kapacitetsopbyggende aktiviteter og yder toldmyndighederne </w:t>
      </w:r>
      <w:r w:rsidRPr="003E0486">
        <w:rPr>
          <w:b/>
          <w:i/>
          <w:szCs w:val="24"/>
          <w:lang w:eastAsia="en-US"/>
        </w:rPr>
        <w:t xml:space="preserve">og Kommissionen </w:t>
      </w:r>
      <w:r w:rsidRPr="003E0486">
        <w:rPr>
          <w:szCs w:val="24"/>
          <w:lang w:eastAsia="en-US"/>
        </w:rPr>
        <w:t>operationel støtte og bistår dem med koordinering. Den skal navnlig:</w:t>
      </w:r>
      <w:r w:rsidR="00C57D87">
        <w:rPr>
          <w:b/>
          <w:szCs w:val="24"/>
          <w:lang w:eastAsia="en-US"/>
        </w:rPr>
        <w:t xml:space="preserve"> [Ændring 219]</w:t>
      </w:r>
    </w:p>
    <w:p w14:paraId="326D551C" w14:textId="03C50079" w:rsidR="003E0486" w:rsidRPr="00C57D87"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foretage diagnosticering og overvågning med hensyn til grænseovergangssteder og andre kontrolsteder</w:t>
      </w:r>
      <w:r w:rsidRPr="003E0486">
        <w:rPr>
          <w:strike/>
          <w:szCs w:val="24"/>
          <w:lang w:eastAsia="en-US"/>
        </w:rPr>
        <w:t>, udvikle fælles standarder og udstede anbefalinger til bedste praksis</w:t>
      </w:r>
      <w:r w:rsidR="00C57D87">
        <w:rPr>
          <w:b/>
          <w:szCs w:val="24"/>
          <w:lang w:eastAsia="en-US"/>
        </w:rPr>
        <w:t xml:space="preserve"> [Ændring 220]</w:t>
      </w:r>
    </w:p>
    <w:p w14:paraId="2766ED3D" w14:textId="1F56AC52" w:rsidR="003E0486" w:rsidRPr="00C57D87"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aa)</w:t>
      </w:r>
      <w:r w:rsidR="003E0486" w:rsidRPr="003E0486">
        <w:rPr>
          <w:szCs w:val="24"/>
          <w:lang w:eastAsia="en-US"/>
        </w:rPr>
        <w:tab/>
      </w:r>
      <w:r w:rsidR="003E0486" w:rsidRPr="003E0486">
        <w:rPr>
          <w:b/>
          <w:i/>
          <w:szCs w:val="24"/>
          <w:lang w:eastAsia="en-US"/>
        </w:rPr>
        <w:t>udvikle fælles standarder og udstede anbefalinger til bedste praksis samt overvåge deres gennemførelse, især med hensyn til gennemførelsen af EU-toldkodeksen</w:t>
      </w:r>
      <w:r w:rsidR="00C57D87">
        <w:rPr>
          <w:b/>
          <w:szCs w:val="24"/>
          <w:lang w:eastAsia="en-US"/>
        </w:rPr>
        <w:t xml:space="preserve"> [Ændring 221]</w:t>
      </w:r>
    </w:p>
    <w:p w14:paraId="32A7FD60" w14:textId="02CBF7F5" w:rsidR="003E0486" w:rsidRPr="00C57D87"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foretage målinger af toldunionens resultater og støtte Kommissionen i dens evaluering af toldunionens resultater</w:t>
      </w:r>
      <w:r w:rsidRPr="003E0486">
        <w:rPr>
          <w:b/>
          <w:i/>
          <w:szCs w:val="24"/>
          <w:lang w:eastAsia="en-US"/>
        </w:rPr>
        <w:t>, herunder målingen af de driftsomkostninger, som toldmyndighederne har afholdt i forbindelse med udførelsen af deres aktiviteter,</w:t>
      </w:r>
      <w:r w:rsidRPr="003E0486">
        <w:rPr>
          <w:szCs w:val="24"/>
          <w:lang w:eastAsia="en-US"/>
        </w:rPr>
        <w:t xml:space="preserve"> i overensstemmelse med afsnit XV, kapitel 1</w:t>
      </w:r>
      <w:r w:rsidR="00C57D87">
        <w:rPr>
          <w:b/>
          <w:szCs w:val="24"/>
          <w:lang w:eastAsia="en-US"/>
        </w:rPr>
        <w:t xml:space="preserve"> [Ændring 222]</w:t>
      </w:r>
    </w:p>
    <w:p w14:paraId="4C239790" w14:textId="77777777" w:rsidR="003263F7" w:rsidRDefault="003263F7">
      <w:pPr>
        <w:widowControl/>
        <w:rPr>
          <w:szCs w:val="24"/>
          <w:lang w:eastAsia="en-US"/>
        </w:rPr>
      </w:pPr>
      <w:r>
        <w:rPr>
          <w:szCs w:val="24"/>
          <w:lang w:eastAsia="en-US"/>
        </w:rPr>
        <w:br w:type="page"/>
      </w:r>
    </w:p>
    <w:p w14:paraId="71B018E6" w14:textId="5B599CE3" w:rsidR="003E0486" w:rsidRPr="00C57D87" w:rsidRDefault="003E0486" w:rsidP="003E0486">
      <w:pPr>
        <w:spacing w:before="120" w:after="120" w:line="360" w:lineRule="auto"/>
        <w:ind w:left="1416" w:hanging="566"/>
        <w:rPr>
          <w:b/>
          <w:szCs w:val="24"/>
          <w:lang w:eastAsia="en-US"/>
        </w:rPr>
      </w:pPr>
      <w:r w:rsidRPr="003E0486">
        <w:rPr>
          <w:szCs w:val="24"/>
          <w:lang w:eastAsia="en-US"/>
        </w:rPr>
        <w:lastRenderedPageBreak/>
        <w:t>(c)</w:t>
      </w:r>
      <w:r w:rsidRPr="003E0486">
        <w:rPr>
          <w:szCs w:val="24"/>
          <w:lang w:eastAsia="en-US"/>
        </w:rPr>
        <w:tab/>
        <w:t>udarbejde det fælles minimumsuddannelsesindhold for toldembedsmænd i Unionen og overvåge toldmyndighedernes anvendelse heraf</w:t>
      </w:r>
      <w:r w:rsidRPr="003E0486">
        <w:rPr>
          <w:b/>
          <w:i/>
          <w:szCs w:val="24"/>
          <w:lang w:eastAsia="en-US"/>
        </w:rPr>
        <w:t xml:space="preserve">, herunder indholdet af uddannelsen </w:t>
      </w:r>
      <w:r w:rsidR="009B0E83">
        <w:rPr>
          <w:b/>
          <w:i/>
          <w:szCs w:val="24"/>
          <w:lang w:eastAsia="en-US"/>
        </w:rPr>
        <w:t xml:space="preserve">omhandlet i </w:t>
      </w:r>
      <w:r w:rsidRPr="003E0486">
        <w:rPr>
          <w:b/>
          <w:i/>
          <w:szCs w:val="24"/>
          <w:lang w:eastAsia="en-US"/>
        </w:rPr>
        <w:t>artikel 25, stk. 3, som skal harmoniseres, og om teknologi til analyse af big data og afsløring og kontrol</w:t>
      </w:r>
      <w:r w:rsidR="00C57D87">
        <w:rPr>
          <w:b/>
          <w:szCs w:val="24"/>
          <w:lang w:eastAsia="en-US"/>
        </w:rPr>
        <w:t xml:space="preserve"> [Ændring 223]</w:t>
      </w:r>
    </w:p>
    <w:p w14:paraId="0BB8254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bidrage til et</w:t>
      </w:r>
      <w:r w:rsidRPr="003E0486">
        <w:rPr>
          <w:szCs w:val="24"/>
          <w:lang w:eastAsia="en-US"/>
        </w:rPr>
        <w:tab/>
        <w:t xml:space="preserve"> EU-anerkendelsessystem for universiteter og andre uddannelsesinstitutioner, der tilbyder og uddannelsesprogrammer på toldområdet</w:t>
      </w:r>
    </w:p>
    <w:p w14:paraId="327A895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koordinere og støtte medlemsstaternes oprettelse af specialiserede ekspertisecentre til EU-dækkende formål på relevante toldområder, navnlig uddannelse og toldlaboratorier</w:t>
      </w:r>
    </w:p>
    <w:p w14:paraId="21F33D60" w14:textId="5BC19408" w:rsidR="003E0486" w:rsidRPr="00C57D87" w:rsidRDefault="003E0486" w:rsidP="003E0486">
      <w:pPr>
        <w:spacing w:before="120" w:after="120" w:line="360" w:lineRule="auto"/>
        <w:ind w:left="1416" w:hanging="566"/>
        <w:rPr>
          <w:b/>
          <w:szCs w:val="24"/>
          <w:lang w:eastAsia="en-US"/>
        </w:rPr>
      </w:pPr>
      <w:r w:rsidRPr="003E0486">
        <w:rPr>
          <w:szCs w:val="24"/>
          <w:lang w:eastAsia="en-US"/>
        </w:rPr>
        <w:t>(f)</w:t>
      </w:r>
      <w:r w:rsidRPr="003E0486">
        <w:rPr>
          <w:szCs w:val="24"/>
          <w:lang w:eastAsia="en-US"/>
        </w:rPr>
        <w:tab/>
        <w:t>lette og koordinere forsknings- og innovationsaktiviteter på toldområdet</w:t>
      </w:r>
      <w:r w:rsidRPr="003E0486">
        <w:rPr>
          <w:b/>
          <w:i/>
          <w:szCs w:val="24"/>
          <w:lang w:eastAsia="en-US"/>
        </w:rPr>
        <w:t xml:space="preserve"> og regelmæssigt informere EU's innovationscenter for intern sikkerhed om dets aktiviteter</w:t>
      </w:r>
      <w:r w:rsidR="00C57D87">
        <w:rPr>
          <w:b/>
          <w:szCs w:val="24"/>
          <w:lang w:eastAsia="en-US"/>
        </w:rPr>
        <w:t xml:space="preserve"> [Ændring 224]</w:t>
      </w:r>
    </w:p>
    <w:p w14:paraId="0B8647E5" w14:textId="1577D088" w:rsidR="003E0486" w:rsidRPr="00C57D87" w:rsidRDefault="003E0486" w:rsidP="003E0486">
      <w:pPr>
        <w:spacing w:before="120" w:after="120" w:line="360" w:lineRule="auto"/>
        <w:ind w:left="1416" w:hanging="566"/>
        <w:rPr>
          <w:b/>
          <w:szCs w:val="24"/>
          <w:lang w:eastAsia="en-US"/>
        </w:rPr>
      </w:pPr>
      <w:r w:rsidRPr="003E0486">
        <w:rPr>
          <w:szCs w:val="24"/>
          <w:lang w:eastAsia="en-US"/>
        </w:rPr>
        <w:t>(g)</w:t>
      </w:r>
      <w:r w:rsidRPr="003E0486">
        <w:rPr>
          <w:szCs w:val="24"/>
          <w:lang w:eastAsia="en-US"/>
        </w:rPr>
        <w:tab/>
        <w:t>udarbejde og formidle driftshåndbøger for den praktiske anvendelse af toldmæssige processer og arbejdsmetoder og udvikle fælles standarder i denne henseende</w:t>
      </w:r>
      <w:r w:rsidRPr="003E0486">
        <w:rPr>
          <w:b/>
          <w:i/>
          <w:szCs w:val="24"/>
          <w:lang w:eastAsia="en-US"/>
        </w:rPr>
        <w:t>, herunder fælles retningslinjer for håndhævelse</w:t>
      </w:r>
      <w:r w:rsidR="00C57D87">
        <w:rPr>
          <w:b/>
          <w:szCs w:val="24"/>
          <w:lang w:eastAsia="en-US"/>
        </w:rPr>
        <w:t xml:space="preserve"> [Ændring 225]</w:t>
      </w:r>
    </w:p>
    <w:p w14:paraId="4D5D4BEC" w14:textId="77777777" w:rsidR="003263F7" w:rsidRDefault="003263F7">
      <w:pPr>
        <w:widowControl/>
        <w:rPr>
          <w:b/>
          <w:i/>
          <w:szCs w:val="24"/>
          <w:lang w:eastAsia="en-US"/>
        </w:rPr>
      </w:pPr>
      <w:r>
        <w:rPr>
          <w:b/>
          <w:i/>
          <w:szCs w:val="24"/>
          <w:lang w:eastAsia="en-US"/>
        </w:rPr>
        <w:br w:type="page"/>
      </w:r>
    </w:p>
    <w:p w14:paraId="3980E2A0" w14:textId="7BF804F2" w:rsidR="003E0486" w:rsidRPr="00C57D87" w:rsidRDefault="00070EE3" w:rsidP="003E0486">
      <w:pPr>
        <w:spacing w:before="120" w:after="120" w:line="360" w:lineRule="auto"/>
        <w:ind w:left="1416" w:hanging="566"/>
        <w:rPr>
          <w:b/>
          <w:szCs w:val="24"/>
          <w:lang w:eastAsia="en-US"/>
        </w:rPr>
      </w:pPr>
      <w:r>
        <w:rPr>
          <w:b/>
          <w:i/>
          <w:szCs w:val="24"/>
          <w:lang w:eastAsia="en-US"/>
        </w:rPr>
        <w:lastRenderedPageBreak/>
        <w:t>(</w:t>
      </w:r>
      <w:r w:rsidR="003E0486" w:rsidRPr="003E0486">
        <w:rPr>
          <w:b/>
          <w:i/>
          <w:szCs w:val="24"/>
          <w:lang w:eastAsia="en-US"/>
        </w:rPr>
        <w:t>ga)</w:t>
      </w:r>
      <w:r w:rsidR="003E0486" w:rsidRPr="003E0486">
        <w:rPr>
          <w:szCs w:val="24"/>
          <w:lang w:eastAsia="en-US"/>
        </w:rPr>
        <w:tab/>
      </w:r>
      <w:r w:rsidR="003E0486" w:rsidRPr="003E0486">
        <w:rPr>
          <w:b/>
          <w:i/>
          <w:szCs w:val="24"/>
          <w:lang w:eastAsia="en-US"/>
        </w:rPr>
        <w:t>udstede henstillinger rettet mod toldmyndighederne med henblik på anvendelse af afsnit IV</w:t>
      </w:r>
      <w:r w:rsidR="00C57D87">
        <w:rPr>
          <w:b/>
          <w:szCs w:val="24"/>
          <w:lang w:eastAsia="en-US"/>
        </w:rPr>
        <w:t xml:space="preserve"> [Ændring 226]</w:t>
      </w:r>
    </w:p>
    <w:p w14:paraId="2082E4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afgive udtalelse om, hvorvidt indrømmelse af en bevilling til særlige procedurer vil berøre EU-producenternes væsentlige interesser negativt i overensstemmelse med artikel 102, stk. 3, 4 og 5</w:t>
      </w:r>
    </w:p>
    <w:p w14:paraId="58747F7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(i)</w:t>
      </w:r>
      <w:r w:rsidRPr="003E0486">
        <w:rPr>
          <w:szCs w:val="24"/>
          <w:lang w:eastAsia="en-US"/>
        </w:rPr>
        <w:tab/>
        <w:t>samarbejde med andre EU-organer og nationale myndigheder end toldmyndighederne i overensstemmelse med artikel 240, stk. 9</w:t>
      </w:r>
    </w:p>
    <w:p w14:paraId="084B253E" w14:textId="67B82A7D" w:rsidR="003E0486" w:rsidRPr="00C57D87"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ia)</w:t>
      </w:r>
      <w:r w:rsidR="003E0486" w:rsidRPr="003E0486">
        <w:rPr>
          <w:szCs w:val="24"/>
          <w:lang w:eastAsia="en-US"/>
        </w:rPr>
        <w:tab/>
      </w:r>
      <w:r w:rsidR="003E0486" w:rsidRPr="003E0486">
        <w:rPr>
          <w:b/>
          <w:i/>
          <w:szCs w:val="24"/>
          <w:lang w:eastAsia="en-US"/>
        </w:rPr>
        <w:t>støtte til Kommissionen til udvikling og gennemførelse af en operationel strategi for aktiviteter vedrørende tildeling, finansiering og indkøb af kontroludstyr, herunder vurdering af behov, fælles indkøb og fælles brug af udstyr</w:t>
      </w:r>
      <w:r w:rsidR="00C57D87">
        <w:rPr>
          <w:b/>
          <w:szCs w:val="24"/>
          <w:lang w:eastAsia="en-US"/>
        </w:rPr>
        <w:t xml:space="preserve"> [Ændring 227]</w:t>
      </w:r>
    </w:p>
    <w:p w14:paraId="45E07EA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koordinere og støtte det operationelle samarbejde mellem toldmyndighederne og mellem toldmyndighederne og andre myndigheder på nationalt plan i overensstemmelse med afsnit XIII</w:t>
      </w:r>
    </w:p>
    <w:p w14:paraId="5067E9A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(k)</w:t>
      </w:r>
      <w:r w:rsidRPr="003E0486">
        <w:rPr>
          <w:szCs w:val="24"/>
          <w:lang w:eastAsia="en-US"/>
        </w:rPr>
        <w:tab/>
        <w:t>tilrettelægge og koordinere den fælles kontrol, der er omhandlet i artikel 241</w:t>
      </w:r>
    </w:p>
    <w:p w14:paraId="3758B81C" w14:textId="77777777" w:rsidR="003263F7" w:rsidRDefault="003263F7">
      <w:pPr>
        <w:widowControl/>
        <w:rPr>
          <w:szCs w:val="24"/>
          <w:lang w:eastAsia="en-US"/>
        </w:rPr>
      </w:pPr>
      <w:r>
        <w:rPr>
          <w:szCs w:val="24"/>
          <w:lang w:eastAsia="en-US"/>
        </w:rPr>
        <w:br w:type="page"/>
      </w:r>
    </w:p>
    <w:p w14:paraId="3D7B2706" w14:textId="0F3675FA"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(l)</w:t>
      </w:r>
      <w:r w:rsidRPr="003E0486">
        <w:rPr>
          <w:szCs w:val="24"/>
          <w:lang w:eastAsia="en-US"/>
        </w:rPr>
        <w:tab/>
        <w:t>yde støtte og ekspertise til Kommissionen med henblik på løsning af komplekse tariferings-, værdiansættelses- og oprindelsessager og overvågning af afgørelser og anvendelsen af afgørelserne i denne henseende.</w:t>
      </w:r>
    </w:p>
    <w:p w14:paraId="3894E0FB" w14:textId="17E486EF" w:rsidR="003E0486" w:rsidRPr="00D6254A"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la)</w:t>
      </w:r>
      <w:r w:rsidR="003E0486" w:rsidRPr="003E0486">
        <w:rPr>
          <w:szCs w:val="24"/>
          <w:lang w:eastAsia="en-US"/>
        </w:rPr>
        <w:tab/>
      </w:r>
      <w:r w:rsidR="003E0486" w:rsidRPr="003E0486">
        <w:rPr>
          <w:b/>
          <w:i/>
          <w:szCs w:val="24"/>
          <w:lang w:eastAsia="en-US"/>
        </w:rPr>
        <w:t xml:space="preserve">udarbejde forenklede retningslinjer og manualer til mikrovirksomheder og små virksomheder og støtte deres forståelse med hensyn til </w:t>
      </w:r>
      <w:r w:rsidR="00BB6E07">
        <w:rPr>
          <w:b/>
          <w:i/>
          <w:szCs w:val="24"/>
          <w:lang w:eastAsia="en-US"/>
        </w:rPr>
        <w:t xml:space="preserve">Unionens </w:t>
      </w:r>
      <w:r w:rsidR="003E0486" w:rsidRPr="003E0486">
        <w:rPr>
          <w:b/>
          <w:i/>
          <w:szCs w:val="24"/>
          <w:lang w:eastAsia="en-US"/>
        </w:rPr>
        <w:t>toldlovgivning og -formaliteter.</w:t>
      </w:r>
      <w:r w:rsidR="00D6254A">
        <w:rPr>
          <w:b/>
          <w:szCs w:val="24"/>
          <w:lang w:eastAsia="en-US"/>
        </w:rPr>
        <w:t xml:space="preserve"> [Ændring 228]</w:t>
      </w:r>
    </w:p>
    <w:p w14:paraId="4287C1D1" w14:textId="70D8B864" w:rsidR="003E0486" w:rsidRPr="00D6254A" w:rsidRDefault="003E0486" w:rsidP="003E0486">
      <w:pPr>
        <w:spacing w:before="120" w:after="120" w:line="360" w:lineRule="auto"/>
        <w:ind w:left="850"/>
        <w:rPr>
          <w:b/>
          <w:szCs w:val="24"/>
          <w:lang w:eastAsia="en-US"/>
        </w:rPr>
      </w:pPr>
      <w:r w:rsidRPr="003E0486">
        <w:rPr>
          <w:b/>
          <w:i/>
          <w:szCs w:val="24"/>
          <w:lang w:eastAsia="en-US"/>
        </w:rPr>
        <w:t>EU-Toldmyndigheden bistår Kommissionen, på dennes anmodning, med Kommissionens forvaltning af forbindelser med tredjelande og internationale organisationer på områder, der er omfattet af denne forordning.</w:t>
      </w:r>
      <w:r w:rsidR="00D6254A">
        <w:rPr>
          <w:b/>
          <w:szCs w:val="24"/>
          <w:lang w:eastAsia="en-US"/>
        </w:rPr>
        <w:t xml:space="preserve"> [Ændring 229]</w:t>
      </w:r>
    </w:p>
    <w:p w14:paraId="6D2357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EU-Toldmyndigheden udfører de dataforvaltnings- og databehandlingsaktiviteter, der er nødvendige for, at den kan varetage sine opgaver og udvikle de nationale applikationer, der er omhandlet i artikel 30.</w:t>
      </w:r>
    </w:p>
    <w:p w14:paraId="7FDEBF86" w14:textId="62746E5B" w:rsidR="003E0486" w:rsidRPr="00D6254A" w:rsidRDefault="003E0486" w:rsidP="003E0486">
      <w:pPr>
        <w:spacing w:before="120" w:after="120" w:line="360" w:lineRule="auto"/>
        <w:jc w:val="center"/>
        <w:rPr>
          <w:b/>
          <w:szCs w:val="24"/>
          <w:lang w:eastAsia="en-US"/>
        </w:rPr>
      </w:pPr>
      <w:r w:rsidRPr="003E0486">
        <w:rPr>
          <w:strike/>
          <w:szCs w:val="24"/>
          <w:lang w:eastAsia="en-US"/>
        </w:rPr>
        <w:t>Artikel 209</w:t>
      </w:r>
      <w:r w:rsidRPr="003E0486">
        <w:rPr>
          <w:szCs w:val="24"/>
          <w:lang w:eastAsia="en-US"/>
        </w:rPr>
        <w:br/>
      </w:r>
      <w:r w:rsidRPr="003E0486">
        <w:rPr>
          <w:strike/>
          <w:szCs w:val="24"/>
          <w:lang w:eastAsia="en-US"/>
        </w:rPr>
        <w:t>Andre opgaver</w:t>
      </w:r>
      <w:r w:rsidR="00D6254A">
        <w:rPr>
          <w:b/>
          <w:szCs w:val="24"/>
          <w:lang w:eastAsia="en-US"/>
        </w:rPr>
        <w:t xml:space="preserve"> [Ændring 230]</w:t>
      </w:r>
    </w:p>
    <w:p w14:paraId="1F66757D" w14:textId="41C5DBFF" w:rsidR="003E0486" w:rsidRPr="003E0486" w:rsidRDefault="003E0486" w:rsidP="003E0486">
      <w:pPr>
        <w:spacing w:before="120" w:after="120" w:line="360" w:lineRule="auto"/>
        <w:rPr>
          <w:szCs w:val="24"/>
          <w:lang w:eastAsia="en-US"/>
        </w:rPr>
      </w:pPr>
      <w:r w:rsidRPr="003E0486">
        <w:rPr>
          <w:strike/>
          <w:szCs w:val="24"/>
          <w:lang w:eastAsia="en-US"/>
        </w:rPr>
        <w:t>Kommissionen kan overdrage EU-Toldmyndigheden følgende opgaver i forbindelse med gennemførelsen af de toldrelaterede finansieringsprogrammer:</w:t>
      </w:r>
      <w:r w:rsidR="00D6254A" w:rsidRPr="00D6254A">
        <w:rPr>
          <w:szCs w:val="24"/>
          <w:lang w:eastAsia="en-US"/>
        </w:rPr>
        <w:t xml:space="preserve"> </w:t>
      </w:r>
      <w:r w:rsidR="00D6254A">
        <w:rPr>
          <w:b/>
          <w:szCs w:val="24"/>
          <w:lang w:eastAsia="en-US"/>
        </w:rPr>
        <w:t>[Ændring 231]</w:t>
      </w:r>
    </w:p>
    <w:p w14:paraId="38B5EEFD" w14:textId="2F94E027" w:rsidR="003E0486" w:rsidRPr="003E0486" w:rsidRDefault="003E0486" w:rsidP="003E0486">
      <w:pPr>
        <w:spacing w:before="120" w:after="120" w:line="360" w:lineRule="auto"/>
        <w:ind w:left="850" w:hanging="850"/>
        <w:rPr>
          <w:szCs w:val="24"/>
          <w:lang w:eastAsia="en-US"/>
        </w:rPr>
      </w:pPr>
      <w:r w:rsidRPr="003E0486">
        <w:rPr>
          <w:strike/>
          <w:szCs w:val="24"/>
          <w:lang w:eastAsia="en-US"/>
        </w:rPr>
        <w:t>(a)</w:t>
      </w:r>
      <w:r w:rsidRPr="003740C4">
        <w:rPr>
          <w:strike/>
          <w:szCs w:val="24"/>
          <w:lang w:eastAsia="en-US"/>
        </w:rPr>
        <w:tab/>
      </w:r>
      <w:r w:rsidRPr="003E0486">
        <w:rPr>
          <w:strike/>
          <w:szCs w:val="24"/>
          <w:lang w:eastAsia="en-US"/>
        </w:rPr>
        <w:t>aktiviteter i forbindelse med udvikling, drift og vedligeholdelse af de informationsteknologisystemer, der anvendes til gennemførelsen af toldunionen, såsom EU's tolddatacenter, jf. afsnit III</w:t>
      </w:r>
      <w:r w:rsidR="00D6254A" w:rsidRPr="00D6254A">
        <w:rPr>
          <w:szCs w:val="24"/>
          <w:lang w:eastAsia="en-US"/>
        </w:rPr>
        <w:t xml:space="preserve"> </w:t>
      </w:r>
      <w:r w:rsidR="00D6254A">
        <w:rPr>
          <w:b/>
          <w:szCs w:val="24"/>
          <w:lang w:eastAsia="en-US"/>
        </w:rPr>
        <w:t>[Ændring 232]</w:t>
      </w:r>
    </w:p>
    <w:p w14:paraId="369E2AB1" w14:textId="1CB88634" w:rsidR="003E0486" w:rsidRPr="003E0486" w:rsidRDefault="003E0486" w:rsidP="003E0486">
      <w:pPr>
        <w:spacing w:before="120" w:after="120" w:line="360" w:lineRule="auto"/>
        <w:ind w:left="850" w:hanging="850"/>
        <w:rPr>
          <w:szCs w:val="24"/>
          <w:lang w:eastAsia="en-US"/>
        </w:rPr>
      </w:pPr>
      <w:r w:rsidRPr="003E0486">
        <w:rPr>
          <w:strike/>
          <w:szCs w:val="24"/>
          <w:lang w:eastAsia="en-US"/>
        </w:rPr>
        <w:t>(b)</w:t>
      </w:r>
      <w:r w:rsidRPr="003740C4">
        <w:rPr>
          <w:strike/>
          <w:szCs w:val="24"/>
          <w:lang w:eastAsia="en-US"/>
        </w:rPr>
        <w:tab/>
      </w:r>
      <w:r w:rsidRPr="003E0486">
        <w:rPr>
          <w:strike/>
          <w:szCs w:val="24"/>
          <w:lang w:eastAsia="en-US"/>
        </w:rPr>
        <w:t>støtte til Kommissionen til udvikling og gennemførelse af en operationel strategi for aktiviteter vedrørende tildeling, finansiering og indkøb af kontroludstyr, herunder vurdering af behov, fælles indkøb og fælles brug af udstyr.</w:t>
      </w:r>
      <w:r w:rsidR="00D6254A" w:rsidRPr="00D6254A">
        <w:rPr>
          <w:szCs w:val="24"/>
          <w:lang w:eastAsia="en-US"/>
        </w:rPr>
        <w:t xml:space="preserve"> </w:t>
      </w:r>
      <w:r w:rsidR="00D6254A">
        <w:rPr>
          <w:b/>
          <w:szCs w:val="24"/>
          <w:lang w:eastAsia="en-US"/>
        </w:rPr>
        <w:t>[Ændring 233]</w:t>
      </w:r>
    </w:p>
    <w:p w14:paraId="33A6E2DA" w14:textId="77777777" w:rsidR="003263F7" w:rsidRDefault="003263F7">
      <w:pPr>
        <w:widowControl/>
        <w:rPr>
          <w:szCs w:val="24"/>
          <w:lang w:eastAsia="en-US"/>
        </w:rPr>
      </w:pPr>
      <w:r>
        <w:rPr>
          <w:szCs w:val="24"/>
          <w:lang w:eastAsia="en-US"/>
        </w:rPr>
        <w:br w:type="page"/>
      </w:r>
    </w:p>
    <w:p w14:paraId="6CD8866A" w14:textId="619BDE2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210</w:t>
      </w:r>
      <w:r w:rsidRPr="003E0486">
        <w:rPr>
          <w:szCs w:val="24"/>
          <w:lang w:eastAsia="en-US"/>
        </w:rPr>
        <w:br/>
        <w:t>Yderligere opgaver</w:t>
      </w:r>
    </w:p>
    <w:p w14:paraId="49A9809A" w14:textId="77777777" w:rsidR="003E0486" w:rsidRPr="003E0486" w:rsidRDefault="003E0486" w:rsidP="003E0486">
      <w:pPr>
        <w:spacing w:before="120" w:after="120" w:line="360" w:lineRule="auto"/>
        <w:rPr>
          <w:szCs w:val="24"/>
          <w:lang w:eastAsia="en-US"/>
        </w:rPr>
      </w:pPr>
      <w:r w:rsidRPr="003E0486">
        <w:rPr>
          <w:szCs w:val="24"/>
          <w:lang w:eastAsia="en-US"/>
        </w:rPr>
        <w:t>EU-Toldmyndigheden kan tildeles yderligere opgaver inden for området fri bevægelighed og vedrørende import og eksport af varer fra tredjelande, hvis det er fastsat i relevante EU-retsakter. Når sådanne opgaver tildeles eller overdrages til EU-Toldmyndigheden, skal der sikres tilstrækkelige finansielle og menneskelige ressourcer til deres gennemførelse.</w:t>
      </w:r>
    </w:p>
    <w:p w14:paraId="06B76399"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3 </w:t>
      </w:r>
      <w:r w:rsidRPr="003E0486">
        <w:rPr>
          <w:szCs w:val="24"/>
          <w:lang w:eastAsia="en-US"/>
        </w:rPr>
        <w:br/>
        <w:t>EU-Toldmyndighedens organisation</w:t>
      </w:r>
    </w:p>
    <w:p w14:paraId="44749B4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211</w:t>
      </w:r>
      <w:r w:rsidRPr="003E0486">
        <w:rPr>
          <w:szCs w:val="24"/>
          <w:lang w:eastAsia="en-US"/>
        </w:rPr>
        <w:br/>
        <w:t>Forvaltnings- og ledelsesstruktur</w:t>
      </w:r>
    </w:p>
    <w:p w14:paraId="4875E38F" w14:textId="77777777" w:rsidR="003E0486" w:rsidRPr="003E0486" w:rsidRDefault="003E0486" w:rsidP="003E0486">
      <w:pPr>
        <w:spacing w:before="120" w:after="120" w:line="360" w:lineRule="auto"/>
        <w:rPr>
          <w:szCs w:val="24"/>
          <w:lang w:eastAsia="en-US"/>
        </w:rPr>
      </w:pPr>
      <w:r w:rsidRPr="003E0486">
        <w:rPr>
          <w:szCs w:val="24"/>
          <w:lang w:eastAsia="en-US"/>
        </w:rPr>
        <w:t>EU-Toldmyndighedens forvaltnings- og ledelsesmæssige struktur omfatter:</w:t>
      </w:r>
    </w:p>
    <w:p w14:paraId="6DA7CCF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en bestyrelse, der varetager de i artikel 215 fastsatte funktioner</w:t>
      </w:r>
    </w:p>
    <w:p w14:paraId="596E649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(b)</w:t>
      </w:r>
      <w:r w:rsidRPr="003E0486">
        <w:rPr>
          <w:szCs w:val="24"/>
          <w:lang w:eastAsia="en-US"/>
        </w:rPr>
        <w:tab/>
        <w:t>et forretningsudvalg, der varetager de i artikel 217 fastsatte opgaver</w:t>
      </w:r>
    </w:p>
    <w:p w14:paraId="7B16A8E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en administrerende direktør, der varetager de i artikel 219 fastsatte opgaver</w:t>
      </w:r>
    </w:p>
    <w:p w14:paraId="2F59DBBE" w14:textId="351949D4" w:rsidR="003E0486" w:rsidRPr="003E0486" w:rsidRDefault="003E0486" w:rsidP="003E0486">
      <w:pPr>
        <w:spacing w:before="120" w:after="120" w:line="360" w:lineRule="auto"/>
        <w:ind w:left="850" w:hanging="850"/>
        <w:rPr>
          <w:szCs w:val="24"/>
          <w:lang w:eastAsia="en-US"/>
        </w:rPr>
      </w:pPr>
      <w:r w:rsidRPr="003E0486">
        <w:rPr>
          <w:szCs w:val="24"/>
          <w:lang w:eastAsia="en-US"/>
        </w:rPr>
        <w:t>(d)</w:t>
      </w:r>
      <w:r w:rsidRPr="003E0486">
        <w:rPr>
          <w:szCs w:val="24"/>
          <w:lang w:eastAsia="en-US"/>
        </w:rPr>
        <w:tab/>
        <w:t>en viceadministrerende direktør, der varetager de i artikel 221 fastsatte opgaver, hvis bestyrelsen beslutter at oprette en sådan funktion</w:t>
      </w:r>
    </w:p>
    <w:p w14:paraId="254FC265" w14:textId="36B20857" w:rsidR="003E0486" w:rsidRPr="00D6254A" w:rsidRDefault="00070EE3" w:rsidP="003E0486">
      <w:pPr>
        <w:spacing w:before="120" w:after="120" w:line="360" w:lineRule="auto"/>
        <w:ind w:left="850" w:hanging="850"/>
        <w:rPr>
          <w:b/>
          <w:szCs w:val="24"/>
          <w:lang w:eastAsia="en-US"/>
        </w:rPr>
      </w:pPr>
      <w:r>
        <w:rPr>
          <w:b/>
          <w:i/>
          <w:szCs w:val="24"/>
          <w:lang w:eastAsia="en-US"/>
        </w:rPr>
        <w:t>(</w:t>
      </w:r>
      <w:r w:rsidR="003E0486" w:rsidRPr="003E0486">
        <w:rPr>
          <w:b/>
          <w:i/>
          <w:szCs w:val="24"/>
          <w:lang w:eastAsia="en-US"/>
        </w:rPr>
        <w:t>da)</w:t>
      </w:r>
      <w:r w:rsidR="003E0486" w:rsidRPr="003E0486">
        <w:rPr>
          <w:szCs w:val="24"/>
          <w:lang w:eastAsia="en-US"/>
        </w:rPr>
        <w:tab/>
      </w:r>
      <w:r w:rsidR="003E0486" w:rsidRPr="003E0486">
        <w:rPr>
          <w:b/>
          <w:i/>
          <w:szCs w:val="24"/>
          <w:lang w:eastAsia="en-US"/>
        </w:rPr>
        <w:t>et rådgivende udvalg om told, der varetager funktionerne i artikel 221a.</w:t>
      </w:r>
      <w:r w:rsidR="00D6254A">
        <w:rPr>
          <w:b/>
          <w:szCs w:val="24"/>
          <w:lang w:eastAsia="en-US"/>
        </w:rPr>
        <w:t xml:space="preserve"> [Ændring 234]</w:t>
      </w:r>
    </w:p>
    <w:p w14:paraId="199397D8" w14:textId="77777777" w:rsidR="003263F7" w:rsidRDefault="003263F7">
      <w:pPr>
        <w:widowControl/>
        <w:rPr>
          <w:szCs w:val="24"/>
          <w:lang w:eastAsia="en-US"/>
        </w:rPr>
      </w:pPr>
      <w:r>
        <w:rPr>
          <w:szCs w:val="24"/>
          <w:lang w:eastAsia="en-US"/>
        </w:rPr>
        <w:br w:type="page"/>
      </w:r>
    </w:p>
    <w:p w14:paraId="7FE16345" w14:textId="245986C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Afdeling 1 </w:t>
      </w:r>
      <w:r w:rsidRPr="003E0486">
        <w:rPr>
          <w:szCs w:val="24"/>
          <w:lang w:eastAsia="en-US"/>
        </w:rPr>
        <w:br/>
        <w:t>Bestyrelsen</w:t>
      </w:r>
    </w:p>
    <w:p w14:paraId="04AA525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212</w:t>
      </w:r>
      <w:r w:rsidRPr="003E0486">
        <w:rPr>
          <w:szCs w:val="24"/>
          <w:lang w:eastAsia="en-US"/>
        </w:rPr>
        <w:br/>
        <w:t>Bestyrelsens sammensætning</w:t>
      </w:r>
    </w:p>
    <w:p w14:paraId="1524B7D5" w14:textId="17BE67EE" w:rsidR="003E0486" w:rsidRPr="00D6254A"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Bestyrelsen består af en repræsentant for hver medlemsstat</w:t>
      </w:r>
      <w:r w:rsidRPr="003E0486">
        <w:rPr>
          <w:strike/>
          <w:szCs w:val="24"/>
          <w:lang w:eastAsia="en-US"/>
        </w:rPr>
        <w:t xml:space="preserve"> og</w:t>
      </w:r>
      <w:r w:rsidRPr="003E0486">
        <w:rPr>
          <w:b/>
          <w:i/>
          <w:szCs w:val="24"/>
          <w:lang w:eastAsia="en-US"/>
        </w:rPr>
        <w:t>,</w:t>
      </w:r>
      <w:r w:rsidRPr="003E0486">
        <w:rPr>
          <w:szCs w:val="24"/>
          <w:lang w:eastAsia="en-US"/>
        </w:rPr>
        <w:t xml:space="preserve"> to repræsentanter for Kommissionen</w:t>
      </w:r>
      <w:r w:rsidRPr="003E0486">
        <w:rPr>
          <w:b/>
          <w:i/>
          <w:szCs w:val="24"/>
          <w:lang w:eastAsia="en-US"/>
        </w:rPr>
        <w:t xml:space="preserve"> og én ekspert udpeget af Europa-Parlamentet</w:t>
      </w:r>
      <w:r w:rsidRPr="003E0486">
        <w:rPr>
          <w:szCs w:val="24"/>
          <w:lang w:eastAsia="en-US"/>
        </w:rPr>
        <w:t>, som alle har stemmeret.</w:t>
      </w:r>
      <w:r w:rsidR="00D6254A">
        <w:rPr>
          <w:b/>
          <w:szCs w:val="24"/>
          <w:lang w:eastAsia="en-US"/>
        </w:rPr>
        <w:t xml:space="preserve"> [Ændring 235]</w:t>
      </w:r>
    </w:p>
    <w:p w14:paraId="3CAD2804" w14:textId="3762A037" w:rsidR="003E0486" w:rsidRPr="003E0486" w:rsidRDefault="003E0486" w:rsidP="003E0486">
      <w:pPr>
        <w:spacing w:before="120" w:after="120" w:line="360" w:lineRule="auto"/>
        <w:ind w:left="850" w:hanging="850"/>
        <w:rPr>
          <w:szCs w:val="24"/>
          <w:lang w:eastAsia="en-US"/>
        </w:rPr>
      </w:pPr>
      <w:r w:rsidRPr="003E0486">
        <w:rPr>
          <w:strike/>
          <w:szCs w:val="24"/>
          <w:lang w:eastAsia="en-US"/>
        </w:rPr>
        <w:t>2.</w:t>
      </w:r>
      <w:r w:rsidRPr="003740C4">
        <w:rPr>
          <w:strike/>
          <w:szCs w:val="24"/>
          <w:lang w:eastAsia="en-US"/>
        </w:rPr>
        <w:tab/>
      </w:r>
      <w:r w:rsidRPr="003E0486">
        <w:rPr>
          <w:strike/>
          <w:szCs w:val="24"/>
          <w:lang w:eastAsia="en-US"/>
        </w:rPr>
        <w:t>Bestyrelsen omfatter også et medlem, som udpeges af Europa-Parlamentet, som ikke har stemmeret.</w:t>
      </w:r>
      <w:r w:rsidR="00D6254A" w:rsidRPr="00D6254A">
        <w:rPr>
          <w:szCs w:val="24"/>
          <w:lang w:eastAsia="en-US"/>
        </w:rPr>
        <w:t xml:space="preserve"> </w:t>
      </w:r>
      <w:r w:rsidR="00D6254A">
        <w:rPr>
          <w:b/>
          <w:szCs w:val="24"/>
          <w:lang w:eastAsia="en-US"/>
        </w:rPr>
        <w:t>[Ændring 236]</w:t>
      </w:r>
    </w:p>
    <w:p w14:paraId="59E4FFC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Hvert bestyrelsesmedlem har en suppleant. Suppleanten er medlemmets stedfortræder i vedkommendes fravær.</w:t>
      </w:r>
    </w:p>
    <w:p w14:paraId="4135B629" w14:textId="1C1A8F82" w:rsidR="003E0486" w:rsidRPr="00D6254A"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 xml:space="preserve">Medlemmerne af bestyrelsen og deres suppleanter udpeges på grundlag af deres viden på toldområdet og under hensyntagen til </w:t>
      </w:r>
      <w:r w:rsidRPr="003E0486">
        <w:rPr>
          <w:b/>
          <w:i/>
          <w:szCs w:val="24"/>
          <w:lang w:eastAsia="en-US"/>
        </w:rPr>
        <w:t xml:space="preserve">deres </w:t>
      </w:r>
      <w:r w:rsidRPr="003E0486">
        <w:rPr>
          <w:szCs w:val="24"/>
          <w:lang w:eastAsia="en-US"/>
        </w:rPr>
        <w:t>relevante ledelsesmæssige, administrative og budgetmæssige kompetencer</w:t>
      </w:r>
      <w:r w:rsidRPr="003E0486">
        <w:rPr>
          <w:b/>
          <w:i/>
          <w:szCs w:val="24"/>
          <w:lang w:eastAsia="en-US"/>
        </w:rPr>
        <w:t xml:space="preserve"> og erfaringer med toldunionens politikker</w:t>
      </w:r>
      <w:r w:rsidRPr="003E0486">
        <w:rPr>
          <w:szCs w:val="24"/>
          <w:lang w:eastAsia="en-US"/>
        </w:rPr>
        <w:t xml:space="preserve">. Alle parter, der er repræsenteret i bestyrelsen, bestræber sig på at begrænse udskiftningen af deres repræsentanter med henblik på at sikre kontinuiteten i dens arbejde. Alle parter </w:t>
      </w:r>
      <w:r w:rsidRPr="003E0486">
        <w:rPr>
          <w:strike/>
          <w:szCs w:val="24"/>
          <w:lang w:eastAsia="en-US"/>
        </w:rPr>
        <w:t>tilstræber at opnå</w:t>
      </w:r>
      <w:r w:rsidRPr="003E0486">
        <w:rPr>
          <w:b/>
          <w:i/>
          <w:szCs w:val="24"/>
          <w:lang w:eastAsia="en-US"/>
        </w:rPr>
        <w:t>sikrer at, der opnås</w:t>
      </w:r>
      <w:r w:rsidRPr="003E0486">
        <w:rPr>
          <w:szCs w:val="24"/>
          <w:lang w:eastAsia="en-US"/>
        </w:rPr>
        <w:t xml:space="preserve"> en ligelig kønsfordeling i bestyrelsen.</w:t>
      </w:r>
      <w:r w:rsidR="00D6254A">
        <w:rPr>
          <w:b/>
          <w:szCs w:val="24"/>
          <w:lang w:eastAsia="en-US"/>
        </w:rPr>
        <w:t xml:space="preserve"> [Ændring 237]</w:t>
      </w:r>
    </w:p>
    <w:p w14:paraId="6401DD14" w14:textId="77777777" w:rsidR="003263F7" w:rsidRDefault="003263F7">
      <w:pPr>
        <w:widowControl/>
        <w:rPr>
          <w:szCs w:val="24"/>
          <w:lang w:eastAsia="en-US"/>
        </w:rPr>
      </w:pPr>
      <w:r>
        <w:rPr>
          <w:szCs w:val="24"/>
          <w:lang w:eastAsia="en-US"/>
        </w:rPr>
        <w:br w:type="page"/>
      </w:r>
    </w:p>
    <w:p w14:paraId="449A0B33" w14:textId="1ED5CDBA" w:rsidR="003E0486" w:rsidRPr="00D6254A" w:rsidRDefault="003E0486" w:rsidP="003E0486">
      <w:pPr>
        <w:spacing w:before="120" w:after="120" w:line="360" w:lineRule="auto"/>
        <w:ind w:left="850" w:hanging="850"/>
        <w:rPr>
          <w:b/>
          <w:szCs w:val="24"/>
          <w:lang w:eastAsia="en-US"/>
        </w:rPr>
      </w:pPr>
      <w:r w:rsidRPr="003E0486">
        <w:rPr>
          <w:szCs w:val="24"/>
          <w:lang w:eastAsia="en-US"/>
        </w:rPr>
        <w:lastRenderedPageBreak/>
        <w:t>5.</w:t>
      </w:r>
      <w:r w:rsidRPr="003E0486">
        <w:rPr>
          <w:szCs w:val="24"/>
          <w:lang w:eastAsia="en-US"/>
        </w:rPr>
        <w:tab/>
        <w:t>Medlemmer og deres suppleanter udpeges for fire år ad gangen. Perioden kan forlænges</w:t>
      </w:r>
      <w:r w:rsidRPr="003E0486">
        <w:rPr>
          <w:b/>
          <w:i/>
          <w:szCs w:val="24"/>
          <w:lang w:eastAsia="en-US"/>
        </w:rPr>
        <w:t xml:space="preserve"> med samme periode</w:t>
      </w:r>
      <w:r w:rsidRPr="003E0486">
        <w:rPr>
          <w:szCs w:val="24"/>
          <w:lang w:eastAsia="en-US"/>
        </w:rPr>
        <w:t>.</w:t>
      </w:r>
      <w:r w:rsidR="00D6254A">
        <w:rPr>
          <w:b/>
          <w:szCs w:val="24"/>
          <w:lang w:eastAsia="en-US"/>
        </w:rPr>
        <w:t xml:space="preserve"> [Ændring 238]</w:t>
      </w:r>
    </w:p>
    <w:p w14:paraId="64AC883B" w14:textId="2F3E0B1E" w:rsidR="003E0486" w:rsidRPr="00D6254A" w:rsidRDefault="003E0486" w:rsidP="003E0486">
      <w:pPr>
        <w:spacing w:before="120" w:after="120" w:line="360" w:lineRule="auto"/>
        <w:ind w:left="850" w:hanging="850"/>
        <w:rPr>
          <w:b/>
          <w:szCs w:val="24"/>
          <w:lang w:eastAsia="en-US"/>
        </w:rPr>
      </w:pPr>
      <w:r w:rsidRPr="003E0486">
        <w:rPr>
          <w:b/>
          <w:i/>
          <w:szCs w:val="24"/>
          <w:lang w:eastAsia="en-US"/>
        </w:rPr>
        <w:t>5a.</w:t>
      </w:r>
      <w:r w:rsidRPr="003E0486">
        <w:rPr>
          <w:szCs w:val="24"/>
          <w:lang w:eastAsia="en-US"/>
        </w:rPr>
        <w:tab/>
      </w:r>
      <w:r w:rsidRPr="003E0486">
        <w:rPr>
          <w:b/>
          <w:i/>
          <w:szCs w:val="24"/>
          <w:lang w:eastAsia="en-US"/>
        </w:rPr>
        <w:t>Når et medlem af bestyrelsen eller dennes suppleant har til hensigt at bringe sin mandatperiode til ophør før tid, underretter det pågældende medlem eller vedkommendes suppleant formanden og næstformanden for bestyrelsen herom og om dennes stedfortræder.</w:t>
      </w:r>
      <w:r w:rsidR="00D6254A">
        <w:rPr>
          <w:b/>
          <w:szCs w:val="24"/>
          <w:lang w:eastAsia="en-US"/>
        </w:rPr>
        <w:t xml:space="preserve"> [Ændring 239]</w:t>
      </w:r>
    </w:p>
    <w:p w14:paraId="49F31E11" w14:textId="02C91362" w:rsidR="003E0486" w:rsidRPr="00D6254A" w:rsidRDefault="003E0486" w:rsidP="003E0486">
      <w:pPr>
        <w:spacing w:before="120" w:after="120" w:line="360" w:lineRule="auto"/>
        <w:ind w:left="850" w:hanging="850"/>
        <w:rPr>
          <w:b/>
          <w:szCs w:val="24"/>
          <w:lang w:eastAsia="en-US"/>
        </w:rPr>
      </w:pPr>
      <w:r w:rsidRPr="003E0486">
        <w:rPr>
          <w:b/>
          <w:i/>
          <w:szCs w:val="24"/>
          <w:lang w:eastAsia="en-US"/>
        </w:rPr>
        <w:t>5b.</w:t>
      </w:r>
      <w:r w:rsidRPr="003E0486">
        <w:rPr>
          <w:szCs w:val="24"/>
          <w:lang w:eastAsia="en-US"/>
        </w:rPr>
        <w:tab/>
      </w:r>
      <w:r w:rsidRPr="003E0486">
        <w:rPr>
          <w:b/>
          <w:i/>
          <w:szCs w:val="24"/>
          <w:lang w:eastAsia="en-US"/>
        </w:rPr>
        <w:t>Hvert medlem og hver suppleant underskriver på tidspunktet for tiltrædelsen en skriftlig erklæring om, at vedkommende ikke befinder sig i en interessekonflikt. Hvert medlem og hver suppleant ajourfører sin erklæring, når der sker en ændring i omstændighederne med hensyn til interessekonflikter, eller mindst én gang om året. Myndigheden offentliggør erklæringerne og ajourføringerne på sit websted.</w:t>
      </w:r>
      <w:r w:rsidR="00D6254A">
        <w:rPr>
          <w:b/>
          <w:szCs w:val="24"/>
          <w:lang w:eastAsia="en-US"/>
        </w:rPr>
        <w:t xml:space="preserve"> [Ændring 240]</w:t>
      </w:r>
    </w:p>
    <w:p w14:paraId="0ED55BD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213</w:t>
      </w:r>
      <w:r w:rsidRPr="003E0486">
        <w:rPr>
          <w:szCs w:val="24"/>
          <w:lang w:eastAsia="en-US"/>
        </w:rPr>
        <w:br/>
        <w:t>Bestyrelsens formand</w:t>
      </w:r>
    </w:p>
    <w:p w14:paraId="2A308BD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Bestyrelsen vælger en formand blandt Kommissionens repræsentanter og en næstformand blandt sine øvrige stemmeberettigede medlemmer.</w:t>
      </w:r>
    </w:p>
    <w:p w14:paraId="14D01EA7" w14:textId="77777777" w:rsidR="003263F7" w:rsidRDefault="003263F7">
      <w:pPr>
        <w:widowControl/>
        <w:rPr>
          <w:szCs w:val="24"/>
          <w:lang w:eastAsia="en-US"/>
        </w:rPr>
      </w:pPr>
      <w:r>
        <w:rPr>
          <w:szCs w:val="24"/>
          <w:lang w:eastAsia="en-US"/>
        </w:rPr>
        <w:br w:type="page"/>
      </w:r>
    </w:p>
    <w:p w14:paraId="237176F2" w14:textId="368B307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Næstformanden afløser automatisk formanden, når denne er forhindret i at udføre sit hverv.</w:t>
      </w:r>
    </w:p>
    <w:p w14:paraId="52ECF27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Formandens og næstformandens mandat er på fire år. Deres mandatperioder kan forlænges én gang. Hvis formanden eller næstformanden imidlertid ophører med at være medlem af bestyrelsen under sin mandatperiode, ophører vedkommendes mandat automatisk samtidig.</w:t>
      </w:r>
    </w:p>
    <w:p w14:paraId="671E7CD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214</w:t>
      </w:r>
      <w:r w:rsidRPr="003E0486">
        <w:rPr>
          <w:szCs w:val="24"/>
          <w:lang w:eastAsia="en-US"/>
        </w:rPr>
        <w:br/>
        <w:t>Bestyrelsesmøder</w:t>
      </w:r>
    </w:p>
    <w:p w14:paraId="17A769F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Bestyrelsesformanden indkalder til bestyrelsesmøder.</w:t>
      </w:r>
    </w:p>
    <w:p w14:paraId="0C99153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administrerende direktør deltager i drøftelserne, men har ikke stemmeret.</w:t>
      </w:r>
    </w:p>
    <w:p w14:paraId="67D02C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Bestyrelsen afholder mindst to ordinære møder om året. Bestyrelsen mødes desuden på initiativ af bestyrelsesformanden, på anmodning af Kommissionen eller af mindst en tredjedel af bestyrelsesmedlemmerne.</w:t>
      </w:r>
    </w:p>
    <w:p w14:paraId="38485A4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Bestyrelsen kan invitere enhver person, hvis synspunkter kan være af interesse, til at deltage i sine møder som observatør.</w:t>
      </w:r>
    </w:p>
    <w:p w14:paraId="7307250E" w14:textId="77777777" w:rsidR="003263F7" w:rsidRDefault="003263F7">
      <w:pPr>
        <w:widowControl/>
        <w:rPr>
          <w:szCs w:val="24"/>
          <w:lang w:eastAsia="en-US"/>
        </w:rPr>
      </w:pPr>
      <w:r>
        <w:rPr>
          <w:szCs w:val="24"/>
          <w:lang w:eastAsia="en-US"/>
        </w:rPr>
        <w:br w:type="page"/>
      </w:r>
    </w:p>
    <w:p w14:paraId="4ABC5AF1" w14:textId="0F34AE1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Bestyrelsesmedlemmerne og deres suppleanter kan under møderne, såfremt forretningsordenen tillader det, bistås af rådgivere eller eksperter.</w:t>
      </w:r>
    </w:p>
    <w:p w14:paraId="36F9A0C6" w14:textId="702A5451" w:rsidR="003E0486" w:rsidRPr="00D6254A"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 xml:space="preserve">Når dagsordenen indeholder spørgsmål, der vedrører fortrolighed eller interessekonflikt, drøfter og træffer bestyrelsen afgørelse om dette spørgsmål uden det berørte medlems tilstedeværelse. </w:t>
      </w:r>
      <w:r w:rsidRPr="003E0486">
        <w:rPr>
          <w:b/>
          <w:i/>
          <w:szCs w:val="24"/>
          <w:lang w:eastAsia="en-US"/>
        </w:rPr>
        <w:t xml:space="preserve">Dette berører ikke medlemsstaternes, Europa-Parlamentets eller Kommissionens ret til at lade sig repræsentere af en suppleant. </w:t>
      </w:r>
      <w:r w:rsidRPr="003E0486">
        <w:rPr>
          <w:szCs w:val="24"/>
          <w:lang w:eastAsia="en-US"/>
        </w:rPr>
        <w:t>Nærmere regler for anvendelsen af denne bestemmelse kan fastlægges i forretningsordenen.</w:t>
      </w:r>
      <w:r w:rsidR="00D6254A">
        <w:rPr>
          <w:b/>
          <w:szCs w:val="24"/>
          <w:lang w:eastAsia="en-US"/>
        </w:rPr>
        <w:t xml:space="preserve"> [Ændring 241]</w:t>
      </w:r>
    </w:p>
    <w:p w14:paraId="2199A1E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EU-Toldmyndigheden varetager sekretariatsopgaverne for bestyrelsen.</w:t>
      </w:r>
    </w:p>
    <w:p w14:paraId="1DE3CEF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215</w:t>
      </w:r>
      <w:r w:rsidRPr="003E0486">
        <w:rPr>
          <w:szCs w:val="24"/>
          <w:lang w:eastAsia="en-US"/>
        </w:rPr>
        <w:br/>
        <w:t>Bestyrelsens funktioner</w:t>
      </w:r>
    </w:p>
    <w:p w14:paraId="4787A33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Bestyrelsen skal:</w:t>
      </w:r>
    </w:p>
    <w:p w14:paraId="398E15E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udstikke de overordnede retningslinjer for EU-Toldmyndighedens aktiviteter</w:t>
      </w:r>
    </w:p>
    <w:p w14:paraId="1AEB285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med et flertal på to tredjedele af de stemmeberettigede medlemmer vedtage EU-Toldmyndighedens årsbudget og varetage andre funktioner i relation til EU-Toldmyndighedens budget i henhold til kapitel 4</w:t>
      </w:r>
    </w:p>
    <w:p w14:paraId="5F428A1C" w14:textId="77777777" w:rsidR="003263F7" w:rsidRDefault="003263F7">
      <w:pPr>
        <w:widowControl/>
        <w:rPr>
          <w:szCs w:val="24"/>
          <w:lang w:eastAsia="en-US"/>
        </w:rPr>
      </w:pPr>
      <w:r>
        <w:rPr>
          <w:szCs w:val="24"/>
          <w:lang w:eastAsia="en-US"/>
        </w:rPr>
        <w:br w:type="page"/>
      </w:r>
    </w:p>
    <w:p w14:paraId="4A778140" w14:textId="74258A96"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vurdere og vedtage den konsoliderede årlige aktivitetsrapport om EU-Toldmyndighedens aktiviteter, herunder en oversigt over udførelsen af dens opgaver og dens overordnede resultater med hensyn til at nå toldpolitikkens mål, og forelægge både rapporten og sin vurdering senest den 1. juli hvert år til Europa-Parlamentet, Rådet, Kommissionen og Revisionsretten. Den konsoliderede årsrapport offentliggøres</w:t>
      </w:r>
    </w:p>
    <w:p w14:paraId="65A6407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vedtage de finansielle bestemmelser for EU-Toldmyndigheden i overensstemmelse med artikel 222</w:t>
      </w:r>
    </w:p>
    <w:p w14:paraId="3603719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vedtage en strategi til bekæmpelse af svig, som står i et rimeligt forhold til de relevante risici for svig, hvori der tages højde for omkostningerne og fordelene ved de foranstaltninger, der skal gennemføres</w:t>
      </w:r>
    </w:p>
    <w:p w14:paraId="3D288FD5" w14:textId="0DA54839" w:rsidR="003E0486" w:rsidRPr="00D6254A" w:rsidRDefault="003E0486" w:rsidP="003E0486">
      <w:pPr>
        <w:spacing w:before="120" w:after="120" w:line="360" w:lineRule="auto"/>
        <w:ind w:left="1416" w:hanging="566"/>
        <w:rPr>
          <w:b/>
          <w:szCs w:val="24"/>
          <w:lang w:eastAsia="en-US"/>
        </w:rPr>
      </w:pPr>
      <w:r w:rsidRPr="003E0486">
        <w:rPr>
          <w:szCs w:val="24"/>
          <w:lang w:eastAsia="en-US"/>
        </w:rPr>
        <w:t>(f)</w:t>
      </w:r>
      <w:r w:rsidRPr="003E0486">
        <w:rPr>
          <w:szCs w:val="24"/>
          <w:lang w:eastAsia="en-US"/>
        </w:rPr>
        <w:tab/>
        <w:t xml:space="preserve">vedtage </w:t>
      </w:r>
      <w:r w:rsidRPr="003E0486">
        <w:rPr>
          <w:strike/>
          <w:szCs w:val="24"/>
          <w:lang w:eastAsia="en-US"/>
        </w:rPr>
        <w:t>regler</w:t>
      </w:r>
      <w:r w:rsidRPr="003E0486">
        <w:rPr>
          <w:b/>
          <w:i/>
          <w:szCs w:val="24"/>
          <w:lang w:eastAsia="en-US"/>
        </w:rPr>
        <w:t>og offentliggøre reglerne</w:t>
      </w:r>
      <w:r w:rsidRPr="003E0486">
        <w:rPr>
          <w:szCs w:val="24"/>
          <w:lang w:eastAsia="en-US"/>
        </w:rPr>
        <w:t xml:space="preserve"> til forebyggelse og håndtering af interessekonflikter blandt medlemmerne og hvert år på sit websted offentliggøre bestyrelsesmedlemmernes interesseerklæring</w:t>
      </w:r>
      <w:r w:rsidR="00D6254A">
        <w:rPr>
          <w:b/>
          <w:szCs w:val="24"/>
          <w:lang w:eastAsia="en-US"/>
        </w:rPr>
        <w:t xml:space="preserve"> [Ændring 242]</w:t>
      </w:r>
    </w:p>
    <w:p w14:paraId="5822B52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vedtage og regelmæssigt ajourføre de kommunikations- og formidlingsplaner, der er nævnt i artikel 232, baseret på en behovsanalyse</w:t>
      </w:r>
    </w:p>
    <w:p w14:paraId="468C3351" w14:textId="148A53CC" w:rsidR="003E0486" w:rsidRPr="00D6254A" w:rsidRDefault="003E0486" w:rsidP="003E0486">
      <w:pPr>
        <w:spacing w:before="120" w:after="120" w:line="360" w:lineRule="auto"/>
        <w:ind w:left="1416" w:hanging="566"/>
        <w:rPr>
          <w:b/>
          <w:szCs w:val="24"/>
          <w:lang w:eastAsia="en-US"/>
        </w:rPr>
      </w:pPr>
      <w:r w:rsidRPr="003E0486">
        <w:rPr>
          <w:szCs w:val="24"/>
          <w:lang w:eastAsia="en-US"/>
        </w:rPr>
        <w:t>(h)</w:t>
      </w:r>
      <w:r w:rsidRPr="003E0486">
        <w:rPr>
          <w:szCs w:val="24"/>
          <w:lang w:eastAsia="en-US"/>
        </w:rPr>
        <w:tab/>
        <w:t>vedtage</w:t>
      </w:r>
      <w:r w:rsidRPr="003E0486">
        <w:rPr>
          <w:b/>
          <w:i/>
          <w:szCs w:val="24"/>
          <w:lang w:eastAsia="en-US"/>
        </w:rPr>
        <w:t xml:space="preserve"> og offentliggøre</w:t>
      </w:r>
      <w:r w:rsidRPr="003E0486">
        <w:rPr>
          <w:szCs w:val="24"/>
          <w:lang w:eastAsia="en-US"/>
        </w:rPr>
        <w:t xml:space="preserve"> sin forretningsorden</w:t>
      </w:r>
      <w:r w:rsidR="00D6254A">
        <w:rPr>
          <w:b/>
          <w:szCs w:val="24"/>
          <w:lang w:eastAsia="en-US"/>
        </w:rPr>
        <w:t xml:space="preserve"> [Ændring 243]</w:t>
      </w:r>
    </w:p>
    <w:p w14:paraId="5D6B499E" w14:textId="77777777" w:rsidR="003263F7" w:rsidRDefault="003263F7">
      <w:pPr>
        <w:widowControl/>
        <w:rPr>
          <w:szCs w:val="24"/>
          <w:lang w:eastAsia="en-US"/>
        </w:rPr>
      </w:pPr>
      <w:r>
        <w:rPr>
          <w:szCs w:val="24"/>
          <w:lang w:eastAsia="en-US"/>
        </w:rPr>
        <w:br w:type="page"/>
      </w:r>
    </w:p>
    <w:p w14:paraId="0B999354" w14:textId="16B94A7D"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(i)</w:t>
      </w:r>
      <w:r w:rsidRPr="003E0486">
        <w:rPr>
          <w:szCs w:val="24"/>
          <w:lang w:eastAsia="en-US"/>
        </w:rPr>
        <w:tab/>
        <w:t>i overensstemmelse med stk. 2, med hensyn til EU-Toldmyndighedens personale udøve de beføjelser, som personalevedtægten tillægger ansættelsesmyndigheden, og som ansættelsesvilkårene for de øvrige ansatte tillægger den myndighed, der har kompetence til at indgå ansættelseskontrakter</w:t>
      </w:r>
      <w:r w:rsidRPr="003E0486">
        <w:rPr>
          <w:szCs w:val="24"/>
          <w:vertAlign w:val="superscript"/>
          <w:lang w:val="en-GB" w:eastAsia="en-US"/>
        </w:rPr>
        <w:footnoteReference w:id="45"/>
      </w:r>
      <w:r w:rsidRPr="003E0486">
        <w:rPr>
          <w:szCs w:val="24"/>
          <w:lang w:eastAsia="en-US"/>
        </w:rPr>
        <w:t xml:space="preserve"> ("ansættelsesmyndighedsbeføjelser")</w:t>
      </w:r>
    </w:p>
    <w:p w14:paraId="1DB5BC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vedtage passende gennemførelsesbestemmelser til personalevedtægten og ansættelsesvilkårene for de øvrige ansatte i overensstemmelse med personalevedtægtens artikel 110, stk. 2</w:t>
      </w:r>
    </w:p>
    <w:p w14:paraId="6008BE4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(k)</w:t>
      </w:r>
      <w:r w:rsidRPr="003E0486">
        <w:rPr>
          <w:szCs w:val="24"/>
          <w:lang w:eastAsia="en-US"/>
        </w:rPr>
        <w:tab/>
        <w:t>etablere en intern revisionsfunktion, hvor det er hensigtsmæssigt</w:t>
      </w:r>
    </w:p>
    <w:p w14:paraId="4A78E9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(l)</w:t>
      </w:r>
      <w:r w:rsidRPr="003E0486">
        <w:rPr>
          <w:szCs w:val="24"/>
          <w:lang w:eastAsia="en-US"/>
        </w:rPr>
        <w:tab/>
        <w:t>vedtage EU-Toldmyndighedens sikkerhedsregler, jf. artikel 233</w:t>
      </w:r>
    </w:p>
    <w:p w14:paraId="1BA9BF6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(m)</w:t>
      </w:r>
      <w:r w:rsidRPr="003E0486">
        <w:rPr>
          <w:szCs w:val="24"/>
          <w:lang w:eastAsia="en-US"/>
        </w:rPr>
        <w:tab/>
        <w:t>udnævne den administrerende direktør og den viceadministrerende direktør, hvis der oprettes en sådan stilling, og, hvor det er relevant, forlænge deres embedsperiode eller afskedige dem i overensstemmelse med artikel 217</w:t>
      </w:r>
    </w:p>
    <w:p w14:paraId="5A1FE02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(n)</w:t>
      </w:r>
      <w:r w:rsidRPr="003E0486">
        <w:rPr>
          <w:szCs w:val="24"/>
          <w:lang w:eastAsia="en-US"/>
        </w:rPr>
        <w:tab/>
        <w:t>udnævne en regnskabsfører, der kan være Kommissionens regnskabsfører, som personalevedtægten og ansættelsesvilkårene for de øvrige ansatte skal finde anvendelse på, og som skal være fuldstændig uafhængig i udøvelsen af sit hverv</w:t>
      </w:r>
    </w:p>
    <w:p w14:paraId="697D86B5" w14:textId="77777777" w:rsidR="003263F7" w:rsidRDefault="003263F7">
      <w:pPr>
        <w:widowControl/>
        <w:rPr>
          <w:szCs w:val="24"/>
          <w:lang w:eastAsia="en-US"/>
        </w:rPr>
      </w:pPr>
      <w:r>
        <w:rPr>
          <w:szCs w:val="24"/>
          <w:lang w:eastAsia="en-US"/>
        </w:rPr>
        <w:br w:type="page"/>
      </w:r>
    </w:p>
    <w:p w14:paraId="13E711EF" w14:textId="26321D0A"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(o)</w:t>
      </w:r>
      <w:r w:rsidRPr="003E0486">
        <w:rPr>
          <w:szCs w:val="24"/>
          <w:lang w:eastAsia="en-US"/>
        </w:rPr>
        <w:tab/>
        <w:t>træffe alle afgørelser vedrørende etablering af EU-Toldmyndighedens interne strukturer og om nødvendigt ændring heraf under hensyntagen til EU-Toldmyndighedens aktivitetsbehov og forsvarlig budgetforvaltning</w:t>
      </w:r>
    </w:p>
    <w:p w14:paraId="22A7C888" w14:textId="6B90C5FF" w:rsidR="003E0486" w:rsidRPr="003E0486" w:rsidRDefault="003E0486" w:rsidP="003E0486">
      <w:pPr>
        <w:spacing w:before="120" w:after="120" w:line="360" w:lineRule="auto"/>
        <w:ind w:left="1416" w:hanging="566"/>
        <w:rPr>
          <w:szCs w:val="24"/>
          <w:lang w:eastAsia="en-US"/>
        </w:rPr>
      </w:pPr>
      <w:r w:rsidRPr="003E0486">
        <w:rPr>
          <w:szCs w:val="24"/>
          <w:lang w:eastAsia="en-US"/>
        </w:rPr>
        <w:t>(p)</w:t>
      </w:r>
      <w:r w:rsidRPr="003E0486">
        <w:rPr>
          <w:szCs w:val="24"/>
          <w:lang w:eastAsia="en-US"/>
        </w:rPr>
        <w:tab/>
        <w:t>bemyndige indgåelsen af samarbejdsaftaler i overensstemmelse med artikel 240, stk. 9</w:t>
      </w:r>
    </w:p>
    <w:p w14:paraId="19C4C08E" w14:textId="71F46E68" w:rsidR="003E0486" w:rsidRPr="00D6254A" w:rsidRDefault="00070EE3"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pa)</w:t>
      </w:r>
      <w:r w:rsidR="003E0486" w:rsidRPr="003E0486">
        <w:rPr>
          <w:szCs w:val="24"/>
          <w:lang w:eastAsia="en-US"/>
        </w:rPr>
        <w:tab/>
      </w:r>
      <w:r w:rsidR="003E0486" w:rsidRPr="003E0486">
        <w:rPr>
          <w:b/>
          <w:i/>
          <w:szCs w:val="24"/>
          <w:lang w:eastAsia="en-US"/>
        </w:rPr>
        <w:t>fastlægge og vedtage det rådgivende toldudvalgs forretningsorden</w:t>
      </w:r>
      <w:r w:rsidR="00D6254A">
        <w:rPr>
          <w:b/>
          <w:szCs w:val="24"/>
          <w:lang w:eastAsia="en-US"/>
        </w:rPr>
        <w:t xml:space="preserve"> [Ændring 244]</w:t>
      </w:r>
    </w:p>
    <w:p w14:paraId="2C1BD57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(q)</w:t>
      </w:r>
      <w:r w:rsidRPr="003E0486">
        <w:rPr>
          <w:szCs w:val="24"/>
          <w:lang w:eastAsia="en-US"/>
        </w:rPr>
        <w:tab/>
        <w:t>nedsætte arbejdsgrupper og ekspertpaneler og vedtage deres forretningsorden</w:t>
      </w:r>
    </w:p>
    <w:p w14:paraId="42D7F8F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(r)</w:t>
      </w:r>
      <w:r w:rsidRPr="003E0486">
        <w:rPr>
          <w:szCs w:val="24"/>
          <w:lang w:eastAsia="en-US"/>
        </w:rPr>
        <w:tab/>
        <w:t>vedtage udkastet til det samlede programmeringsdokument, der er omhandlet i artikel 223, før det forelægges for Kommissionen med henblik på udtalelse</w:t>
      </w:r>
    </w:p>
    <w:p w14:paraId="7276D5F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(s)</w:t>
      </w:r>
      <w:r w:rsidRPr="003E0486">
        <w:rPr>
          <w:szCs w:val="24"/>
          <w:lang w:eastAsia="en-US"/>
        </w:rPr>
        <w:tab/>
        <w:t>under hensyntagen til Kommissionens udtalelse vedtage EU-Toldmyndighedens samlede programmeringsdokument med et flertal på to tredjedele af de stemmeberettigede medlemmer og i overensstemmelse med artikel 216</w:t>
      </w:r>
    </w:p>
    <w:p w14:paraId="53FAAA4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(t)</w:t>
      </w:r>
      <w:r w:rsidRPr="003E0486">
        <w:rPr>
          <w:szCs w:val="24"/>
          <w:lang w:eastAsia="en-US"/>
        </w:rPr>
        <w:tab/>
        <w:t>vedtage en strategi for effektivitetsgevinster og synergier</w:t>
      </w:r>
    </w:p>
    <w:p w14:paraId="656B123A" w14:textId="77777777" w:rsidR="003263F7" w:rsidRDefault="003263F7">
      <w:pPr>
        <w:widowControl/>
        <w:rPr>
          <w:szCs w:val="24"/>
          <w:lang w:eastAsia="en-US"/>
        </w:rPr>
      </w:pPr>
      <w:r>
        <w:rPr>
          <w:szCs w:val="24"/>
          <w:lang w:eastAsia="en-US"/>
        </w:rPr>
        <w:br w:type="page"/>
      </w:r>
    </w:p>
    <w:p w14:paraId="526398A5" w14:textId="0FA5C45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(u)</w:t>
      </w:r>
      <w:r w:rsidRPr="003E0486">
        <w:rPr>
          <w:szCs w:val="24"/>
          <w:lang w:eastAsia="en-US"/>
        </w:rPr>
        <w:tab/>
        <w:t>vedtage en strategi for samarbejde med tredjelande og/eller internationale organisationer</w:t>
      </w:r>
    </w:p>
    <w:p w14:paraId="51E3E1E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(v)</w:t>
      </w:r>
      <w:r w:rsidRPr="003E0486">
        <w:rPr>
          <w:szCs w:val="24"/>
          <w:lang w:eastAsia="en-US"/>
        </w:rPr>
        <w:tab/>
        <w:t>vedtage en strategi for systemerne for organisatorisk styring og intern kontrol.</w:t>
      </w:r>
    </w:p>
    <w:p w14:paraId="2E5D832E" w14:textId="7DA0599B" w:rsidR="003E0486" w:rsidRPr="00D6254A" w:rsidRDefault="003E0486" w:rsidP="003E0486">
      <w:pPr>
        <w:spacing w:before="120" w:after="120" w:line="360" w:lineRule="auto"/>
        <w:ind w:left="850" w:hanging="850"/>
        <w:rPr>
          <w:b/>
          <w:szCs w:val="24"/>
          <w:lang w:eastAsia="en-US"/>
        </w:rPr>
      </w:pPr>
      <w:r w:rsidRPr="003E0486">
        <w:rPr>
          <w:b/>
          <w:i/>
          <w:szCs w:val="24"/>
          <w:lang w:eastAsia="en-US"/>
        </w:rPr>
        <w:t>1a.</w:t>
      </w:r>
      <w:r w:rsidRPr="003E0486">
        <w:rPr>
          <w:szCs w:val="24"/>
          <w:lang w:eastAsia="en-US"/>
        </w:rPr>
        <w:tab/>
      </w:r>
      <w:r w:rsidRPr="003E0486">
        <w:rPr>
          <w:b/>
          <w:i/>
          <w:szCs w:val="24"/>
          <w:lang w:eastAsia="en-US"/>
        </w:rPr>
        <w:t>Bestyrelsen kan nedsætte arbejdsgrupper og ekspertpaneler til at bistå den i udførelsen af sine opgaver, herunder udarbejdelse af afgørelser og overvågning af gennemførelsen deraf.</w:t>
      </w:r>
      <w:r w:rsidR="00D6254A">
        <w:rPr>
          <w:b/>
          <w:szCs w:val="24"/>
          <w:lang w:eastAsia="en-US"/>
        </w:rPr>
        <w:t xml:space="preserve"> [Ændring 245]</w:t>
      </w:r>
    </w:p>
    <w:p w14:paraId="547E3AA6" w14:textId="1169E2A8"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I overensstemmelse med personalevedtægtens artikel 110 vedtager bestyrelsen i medfør af artikel 2, stk. 1, i personalevedtægten og artikel 6 i ansættelsesvilkårene for de øvrige ansatte en afgørelse om delegering af relevante ansættelsesmyndighedsbeføjelser til den administrerende direktør og fastlæggelse af betingelserne for at suspendere denne delegation af beføjelser. Den administrerende direktør bemyndiges til at uddelegere disse beføjelser.</w:t>
      </w:r>
    </w:p>
    <w:p w14:paraId="099CE25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Under helt særlige omstændigheder kan bestyrelsen ved en afgørelse midlertidigt suspendere de ansættelsesmyndighedsbeføjelser, der er delegeret til den administrerende direktør, og de beføjelser, som den administrerende direktør måtte have videredelegeret, og selv udøve dem eller delegere dem til et af sine medlemmer eller en anden ansat end den administrerende direktør.</w:t>
      </w:r>
    </w:p>
    <w:p w14:paraId="7CC7F716" w14:textId="77777777" w:rsidR="003263F7" w:rsidRDefault="003263F7">
      <w:pPr>
        <w:widowControl/>
        <w:rPr>
          <w:szCs w:val="24"/>
          <w:lang w:eastAsia="en-US"/>
        </w:rPr>
      </w:pPr>
      <w:r>
        <w:rPr>
          <w:szCs w:val="24"/>
          <w:lang w:eastAsia="en-US"/>
        </w:rPr>
        <w:br w:type="page"/>
      </w:r>
    </w:p>
    <w:p w14:paraId="62A352D5" w14:textId="1C44218E"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216</w:t>
      </w:r>
      <w:r w:rsidRPr="003E0486">
        <w:rPr>
          <w:szCs w:val="24"/>
          <w:lang w:eastAsia="en-US"/>
        </w:rPr>
        <w:br/>
        <w:t>Bestyrelsens afstemningsregler</w:t>
      </w:r>
    </w:p>
    <w:p w14:paraId="2EAD969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artikel 215, stk. 1, litra b), m) og s), træffer bestyrelsen afgørelser med absolut flertal blandt sine stemmeberettigede medlemmer.</w:t>
      </w:r>
    </w:p>
    <w:p w14:paraId="5475DC57" w14:textId="7601CE9E" w:rsidR="003E0486" w:rsidRPr="00D6254A" w:rsidRDefault="003E0486" w:rsidP="003E0486">
      <w:pPr>
        <w:spacing w:before="120" w:after="120" w:line="360" w:lineRule="auto"/>
        <w:ind w:left="850" w:hanging="850"/>
        <w:rPr>
          <w:b/>
          <w:szCs w:val="24"/>
          <w:lang w:eastAsia="en-US"/>
        </w:rPr>
      </w:pPr>
      <w:r w:rsidRPr="003E0486">
        <w:rPr>
          <w:strike/>
          <w:szCs w:val="24"/>
          <w:lang w:eastAsia="en-US"/>
        </w:rPr>
        <w:t>2.</w:t>
      </w:r>
      <w:r w:rsidRPr="003740C4">
        <w:rPr>
          <w:strike/>
          <w:szCs w:val="24"/>
          <w:lang w:eastAsia="en-US"/>
        </w:rPr>
        <w:tab/>
      </w:r>
      <w:r w:rsidRPr="003E0486">
        <w:rPr>
          <w:strike/>
          <w:szCs w:val="24"/>
          <w:lang w:eastAsia="en-US"/>
        </w:rPr>
        <w:t>De afgørelser, der er omhandlet i artikel 215, stk. 1, litra b), c), e), f), j), m), n), o) og s), kan kun træffes, hvis Kommissionens repræsentanter stemmer for. Med henblik på at træffe den afgørelse, der er omhandlet i artikel 215, stk. 1, litra s), kræves der kun samtykke fra Kommissionens repræsentanter vedrørende de elementer i afgørelsen, der ikke vedrører EU-Toldmyndighedens årlige og flerårige arbejdsprogram.</w:t>
      </w:r>
      <w:r w:rsidR="00D6254A">
        <w:rPr>
          <w:b/>
          <w:szCs w:val="24"/>
          <w:lang w:eastAsia="en-US"/>
        </w:rPr>
        <w:t xml:space="preserve"> [Ændring 246]</w:t>
      </w:r>
    </w:p>
    <w:p w14:paraId="4892E12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Hvert stemmeberettiget medlem har én stemme. Hvis et stemmeberettiget medlem ikke er til stede, har dennes suppleant stemmeret.</w:t>
      </w:r>
    </w:p>
    <w:p w14:paraId="45D37B9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Formanden deltager i afstemninger.</w:t>
      </w:r>
    </w:p>
    <w:p w14:paraId="5D38359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Den administrerende direktør deltager ikke i afstemninger.</w:t>
      </w:r>
    </w:p>
    <w:p w14:paraId="3B56C0EF" w14:textId="77777777" w:rsidR="003263F7" w:rsidRDefault="003263F7">
      <w:pPr>
        <w:widowControl/>
        <w:rPr>
          <w:szCs w:val="24"/>
          <w:lang w:eastAsia="en-US"/>
        </w:rPr>
      </w:pPr>
      <w:r>
        <w:rPr>
          <w:szCs w:val="24"/>
          <w:lang w:eastAsia="en-US"/>
        </w:rPr>
        <w:br w:type="page"/>
      </w:r>
    </w:p>
    <w:p w14:paraId="506C48AE" w14:textId="1E5EF12B"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I bestyrelsens forretningsorden fastsættes mere detaljerede afstemningsregler, navnlig regler om, hvornår et medlem kan handle på et andet medlems vegne.</w:t>
      </w:r>
    </w:p>
    <w:p w14:paraId="652D13D9"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2 </w:t>
      </w:r>
      <w:r w:rsidRPr="003E0486">
        <w:rPr>
          <w:szCs w:val="24"/>
          <w:lang w:eastAsia="en-US"/>
        </w:rPr>
        <w:br/>
        <w:t>Forretningsudvalget</w:t>
      </w:r>
    </w:p>
    <w:p w14:paraId="0D5F677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217</w:t>
      </w:r>
      <w:r w:rsidRPr="003E0486">
        <w:rPr>
          <w:szCs w:val="24"/>
          <w:lang w:eastAsia="en-US"/>
        </w:rPr>
        <w:br/>
        <w:t>Forretningsudvalg</w:t>
      </w:r>
    </w:p>
    <w:p w14:paraId="20110ED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Bestyrelsen bistås af et forretningsudvalg.</w:t>
      </w:r>
    </w:p>
    <w:p w14:paraId="4972C99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Forretningsudvalget skal:</w:t>
      </w:r>
    </w:p>
    <w:p w14:paraId="53AD436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føre tilsyn med det forberedende arbejde med henblik på afgørelser, der skal vedtages af bestyrelsen</w:t>
      </w:r>
    </w:p>
    <w:p w14:paraId="38FFCF8A" w14:textId="437028CA" w:rsidR="003E0486" w:rsidRPr="00D6254A" w:rsidRDefault="003E0486" w:rsidP="003E0486">
      <w:pPr>
        <w:spacing w:before="120" w:after="120" w:line="360" w:lineRule="auto"/>
        <w:ind w:left="1416" w:hanging="566"/>
        <w:rPr>
          <w:b/>
          <w:szCs w:val="24"/>
          <w:lang w:eastAsia="en-US"/>
        </w:rPr>
      </w:pPr>
      <w:r w:rsidRPr="003E0486">
        <w:rPr>
          <w:szCs w:val="24"/>
          <w:lang w:eastAsia="en-US"/>
        </w:rPr>
        <w:t>(b)</w:t>
      </w:r>
      <w:r w:rsidRPr="003E0486">
        <w:rPr>
          <w:szCs w:val="24"/>
          <w:lang w:eastAsia="en-US"/>
        </w:rPr>
        <w:tab/>
        <w:t>sammen med bestyrelsen sikre passende opfølgning på resultaterne og henstillingerne fra de interne eller eksterne revisionsberetninger og evalueringer samt fra undersøgelser eller efterforskning, der foretages af OLAF og EPPO</w:t>
      </w:r>
      <w:r w:rsidRPr="003E0486">
        <w:rPr>
          <w:b/>
          <w:i/>
          <w:szCs w:val="24"/>
          <w:lang w:eastAsia="en-US"/>
        </w:rPr>
        <w:t>, og gennemføre passende procedurer til indberetning af mistanker om strafbar adfærd til sidstnævnte</w:t>
      </w:r>
      <w:r w:rsidR="00D6254A">
        <w:rPr>
          <w:b/>
          <w:szCs w:val="24"/>
          <w:lang w:eastAsia="en-US"/>
        </w:rPr>
        <w:t xml:space="preserve"> [Ændring 247]</w:t>
      </w:r>
    </w:p>
    <w:p w14:paraId="167FBDDB" w14:textId="77777777" w:rsidR="003263F7" w:rsidRDefault="003263F7">
      <w:pPr>
        <w:widowControl/>
        <w:rPr>
          <w:szCs w:val="24"/>
          <w:lang w:eastAsia="en-US"/>
        </w:rPr>
      </w:pPr>
      <w:r>
        <w:rPr>
          <w:szCs w:val="24"/>
          <w:lang w:eastAsia="en-US"/>
        </w:rPr>
        <w:br w:type="page"/>
      </w:r>
    </w:p>
    <w:p w14:paraId="48C9A40B" w14:textId="0A34612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føre tilsyn med gennemførelsen af bestyrelsens afgørelser med henblik på at styrke tilsynet med den administrative styring og budgetforvaltningen.</w:t>
      </w:r>
    </w:p>
    <w:p w14:paraId="7AA71BB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Hvis det er nødvendigt i hastende tilfælde, kan forretningsudvalget vedtage visse midlertidige afgørelser på bestyrelsens vegne, navnlig vedrørende følgende spørgsmål:</w:t>
      </w:r>
    </w:p>
    <w:p w14:paraId="77DE9CD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vedrørende den administrative styring, herunder suspension af delegationen af ansættelsesmyndighedsbeføjelser og budgetspørgsmål</w:t>
      </w:r>
    </w:p>
    <w:p w14:paraId="32338C7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når der er konstateret en krisesituation som omhandlet i afsnit XI, som kræver øjeblikkelig handling eller tilpasning af EU-Toldmyndighedens aktiviteter.</w:t>
      </w:r>
    </w:p>
    <w:p w14:paraId="7EA19403" w14:textId="41C84164" w:rsidR="003E0486" w:rsidRPr="00D6254A"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Forretningsudvalget skal bestå af Kommissionens to repræsentanter i bestyrelsen og tre andre medlemmer, som udpeges af bestyrelsen blandt dens medlemmer med stemmeret</w:t>
      </w:r>
      <w:r w:rsidRPr="003E0486">
        <w:rPr>
          <w:b/>
          <w:i/>
          <w:szCs w:val="24"/>
          <w:lang w:eastAsia="en-US"/>
        </w:rPr>
        <w:t xml:space="preserve"> og med det formål at sikre en ligelig kønsfordeling</w:t>
      </w:r>
      <w:r w:rsidRPr="003E0486">
        <w:rPr>
          <w:szCs w:val="24"/>
          <w:lang w:eastAsia="en-US"/>
        </w:rPr>
        <w:t>. Bestyrelsens formand er også formand for forretningsudvalget. Den administrerende direktør deltager i forretningsudvalgets møder, men har ikke stemmeret. Forretningsudvalgets afgørelser træffes ved simpelt flertal.</w:t>
      </w:r>
      <w:r w:rsidRPr="003E0486">
        <w:rPr>
          <w:strike/>
          <w:szCs w:val="24"/>
          <w:lang w:eastAsia="en-US"/>
        </w:rPr>
        <w:t xml:space="preserve"> De afgørelser, der er omhandlet i stk. 2, litra b), kan kun træffes, hvis en af Kommissionens repræsentanter stemmer for.</w:t>
      </w:r>
      <w:r w:rsidR="00D6254A">
        <w:rPr>
          <w:b/>
          <w:szCs w:val="24"/>
          <w:lang w:eastAsia="en-US"/>
        </w:rPr>
        <w:t xml:space="preserve"> [Ændring 248]</w:t>
      </w:r>
    </w:p>
    <w:p w14:paraId="3BCA572B" w14:textId="77777777" w:rsidR="003263F7" w:rsidRDefault="003263F7">
      <w:pPr>
        <w:widowControl/>
        <w:rPr>
          <w:szCs w:val="24"/>
          <w:lang w:eastAsia="en-US"/>
        </w:rPr>
      </w:pPr>
      <w:r>
        <w:rPr>
          <w:szCs w:val="24"/>
          <w:lang w:eastAsia="en-US"/>
        </w:rPr>
        <w:br w:type="page"/>
      </w:r>
    </w:p>
    <w:p w14:paraId="17B839EB" w14:textId="3DA3463D"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Forretningsudvalgets medlemmer udpeges for fire år ad gangen, og genudnævnelse kan finde sted. Mandatperioden for forretningsudvalgets medlemmer udløber, når deres medlemskab af bestyrelsen ophører.</w:t>
      </w:r>
    </w:p>
    <w:p w14:paraId="1192A58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Forretningsudvalget holder mindst ét ordinært møde hver tredje måned. Det træder desuden sammen på formandens initiativ eller efter anmodning fra sine medlemmer.</w:t>
      </w:r>
    </w:p>
    <w:p w14:paraId="41E58FA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Bestyrelsen vedtager forretningsudvalgets forretningsorden.</w:t>
      </w:r>
    </w:p>
    <w:p w14:paraId="1EC5B2F2"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Afdeling 3 </w:t>
      </w:r>
      <w:r w:rsidRPr="003E0486">
        <w:rPr>
          <w:szCs w:val="24"/>
          <w:lang w:eastAsia="en-US"/>
        </w:rPr>
        <w:br/>
        <w:t>Den administrerende direktør</w:t>
      </w:r>
    </w:p>
    <w:p w14:paraId="216EB24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218</w:t>
      </w:r>
      <w:r w:rsidRPr="003E0486">
        <w:rPr>
          <w:szCs w:val="24"/>
          <w:lang w:eastAsia="en-US"/>
        </w:rPr>
        <w:br/>
        <w:t>Udnævnelse, afskedigelse og forlængelse af embedsperioden</w:t>
      </w:r>
    </w:p>
    <w:p w14:paraId="2EB90D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administrerende direktør ansættes i en stilling som midlertidigt ansat ved EU-Toldmyndigheden i overensstemmelse med artikel 2, litra a), i ansættelsesvilkårene for de øvrige ansatte.</w:t>
      </w:r>
    </w:p>
    <w:p w14:paraId="0D085B46" w14:textId="77777777" w:rsidR="003263F7" w:rsidRDefault="003263F7">
      <w:pPr>
        <w:widowControl/>
        <w:rPr>
          <w:szCs w:val="24"/>
          <w:lang w:eastAsia="en-US"/>
        </w:rPr>
      </w:pPr>
      <w:r>
        <w:rPr>
          <w:szCs w:val="24"/>
          <w:lang w:eastAsia="en-US"/>
        </w:rPr>
        <w:br w:type="page"/>
      </w:r>
    </w:p>
    <w:p w14:paraId="0C5729CB" w14:textId="6BA31A1E" w:rsidR="003E0486" w:rsidRPr="00951CD0" w:rsidRDefault="003E0486" w:rsidP="003E0486">
      <w:pPr>
        <w:spacing w:before="120" w:after="120" w:line="360" w:lineRule="auto"/>
        <w:ind w:left="850"/>
        <w:rPr>
          <w:b/>
          <w:szCs w:val="24"/>
          <w:lang w:eastAsia="en-US"/>
        </w:rPr>
      </w:pPr>
      <w:r w:rsidRPr="003E0486">
        <w:rPr>
          <w:szCs w:val="24"/>
          <w:lang w:eastAsia="en-US"/>
        </w:rPr>
        <w:lastRenderedPageBreak/>
        <w:t xml:space="preserve">Den administrerende direktør udnævnes af bestyrelsen </w:t>
      </w:r>
      <w:r w:rsidRPr="003E0486">
        <w:rPr>
          <w:strike/>
          <w:szCs w:val="24"/>
          <w:lang w:eastAsia="en-US"/>
        </w:rPr>
        <w:t>på grundlag af kvalifikationer og dokumenterede administrative og ledelsesmæssige færdigheder samt relevant kompetence og erfaring fra en liste med mindst tre kandidater, som Kommissionen foreslår efter en åben og gennemsigtig udvælgelsesprocedure.</w:t>
      </w:r>
      <w:r w:rsidRPr="003E0486">
        <w:rPr>
          <w:b/>
          <w:i/>
          <w:szCs w:val="24"/>
          <w:lang w:eastAsia="en-US"/>
        </w:rPr>
        <w:t>i overensstemmelse med følgende procedure:</w:t>
      </w:r>
      <w:r w:rsidR="00951CD0">
        <w:rPr>
          <w:b/>
          <w:szCs w:val="24"/>
          <w:lang w:eastAsia="en-US"/>
        </w:rPr>
        <w:t xml:space="preserve"> [Ændring 249]</w:t>
      </w:r>
    </w:p>
    <w:p w14:paraId="06EB002E" w14:textId="028E0543" w:rsidR="003E0486" w:rsidRPr="00951CD0"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på grundlag af en endelig liste, som sikrer en ligelig kønsfordeling, og som udarbejdes og offentliggøres af Kommissionen efter et stillingsopslag og en gennemsigtig udvælgelsesprocedure, vil ansøgerne blive bedt om at henvende sig til det udvalg, der er ansvarligt, i Europa-Parlamentet og Rådet og om at besvare spørgsmål</w:t>
      </w:r>
      <w:r w:rsidR="00951CD0">
        <w:rPr>
          <w:b/>
          <w:szCs w:val="24"/>
          <w:lang w:eastAsia="en-US"/>
        </w:rPr>
        <w:t xml:space="preserve"> [Ændring 250]</w:t>
      </w:r>
    </w:p>
    <w:p w14:paraId="0072975E" w14:textId="7A30771E" w:rsidR="003E0486" w:rsidRPr="00951CD0"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w:t>
      </w:r>
      <w:r w:rsidR="003E0486" w:rsidRPr="003E0486">
        <w:rPr>
          <w:szCs w:val="24"/>
          <w:lang w:eastAsia="en-US"/>
        </w:rPr>
        <w:tab/>
      </w:r>
      <w:r w:rsidR="003E0486" w:rsidRPr="003E0486">
        <w:rPr>
          <w:b/>
          <w:i/>
          <w:szCs w:val="24"/>
          <w:lang w:eastAsia="en-US"/>
        </w:rPr>
        <w:t>Europa-Parlamentet og Rådet tilkendegiver derefter deres holdninger og præferencer</w:t>
      </w:r>
      <w:r w:rsidR="00951CD0">
        <w:rPr>
          <w:b/>
          <w:szCs w:val="24"/>
          <w:lang w:eastAsia="en-US"/>
        </w:rPr>
        <w:t xml:space="preserve"> [Ændring 251]</w:t>
      </w:r>
    </w:p>
    <w:p w14:paraId="47259C88" w14:textId="409FAB61" w:rsidR="003E0486" w:rsidRPr="00951CD0"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bestyrelsen udnævner den administrerende direktør under hensyntagen til disse holdninger.</w:t>
      </w:r>
      <w:r w:rsidR="00951CD0">
        <w:rPr>
          <w:b/>
          <w:szCs w:val="24"/>
          <w:lang w:eastAsia="en-US"/>
        </w:rPr>
        <w:t xml:space="preserve"> [Ændring 252]</w:t>
      </w:r>
    </w:p>
    <w:p w14:paraId="08F2EDC5" w14:textId="77777777" w:rsidR="003E0486" w:rsidRPr="003E0486" w:rsidRDefault="003E0486" w:rsidP="003E0486">
      <w:pPr>
        <w:spacing w:before="120" w:after="120" w:line="360" w:lineRule="auto"/>
        <w:ind w:left="850"/>
        <w:rPr>
          <w:szCs w:val="24"/>
          <w:lang w:eastAsia="en-US"/>
        </w:rPr>
      </w:pPr>
      <w:r w:rsidRPr="003E0486">
        <w:rPr>
          <w:szCs w:val="24"/>
          <w:lang w:eastAsia="en-US"/>
        </w:rPr>
        <w:t>Med henblik på indgåelsen af kontrakten med den administrerende direktør repræsenteres EU-Toldmyndigheden af formanden for bestyrelsen.</w:t>
      </w:r>
    </w:p>
    <w:p w14:paraId="2F609A1E" w14:textId="77777777" w:rsidR="003263F7" w:rsidRDefault="003263F7">
      <w:pPr>
        <w:widowControl/>
        <w:rPr>
          <w:szCs w:val="24"/>
          <w:lang w:eastAsia="en-US"/>
        </w:rPr>
      </w:pPr>
      <w:r>
        <w:rPr>
          <w:szCs w:val="24"/>
          <w:lang w:eastAsia="en-US"/>
        </w:rPr>
        <w:br w:type="page"/>
      </w:r>
    </w:p>
    <w:p w14:paraId="6A984DC5" w14:textId="14A23F3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Den administrerende direktørs ansættelsesperiode er på fem år. I god tid inden udløbet af denne periode foretager Kommissionen en vurdering, i hvilken en evaluering af den administrerende direktørs præstationer og EU-Toldmyndighedens fremtidige opgaver og udfordringer indgår.</w:t>
      </w:r>
    </w:p>
    <w:p w14:paraId="6FEC6909" w14:textId="059264A8" w:rsidR="003E0486" w:rsidRPr="00951CD0"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På forslag af Kommissionen, der tager hensyn til den i stk. 2 omhandlede vurdering, kan bestyrelsen forlænge den administrerende direktørs ansættelsesperiode én gang for en periode af højst fem år.</w:t>
      </w:r>
      <w:r w:rsidRPr="003E0486">
        <w:rPr>
          <w:b/>
          <w:i/>
          <w:szCs w:val="24"/>
          <w:lang w:eastAsia="en-US"/>
        </w:rPr>
        <w:t xml:space="preserve"> Bestyrelsen skal underrette Europa-Parlamentet og Rådet om, at den agter at forlænge den administrerende direktørs mandat. Inden bestyrelsen træffer afgørelse om at forlænge mandatet, kan den administrerende direktør anmodes om at afgive en erklæring til Europa-Parlamentets udvalg med ansvar herfor og besvare spørgsmål.</w:t>
      </w:r>
      <w:r w:rsidR="00951CD0">
        <w:rPr>
          <w:b/>
          <w:szCs w:val="24"/>
          <w:lang w:eastAsia="en-US"/>
        </w:rPr>
        <w:t xml:space="preserve"> [Ændring 253]</w:t>
      </w:r>
    </w:p>
    <w:p w14:paraId="5B8682B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En administrerende direktør, hvis ansættelsesperiode er blevet forlænget, kan ikke deltage i endnu en udvælgelsesprocedure til samme stilling ved udløbet af den samlede periode.</w:t>
      </w:r>
    </w:p>
    <w:p w14:paraId="52529242" w14:textId="05873E03" w:rsidR="003E0486" w:rsidRPr="00951CD0" w:rsidRDefault="003E0486" w:rsidP="003E0486">
      <w:pPr>
        <w:spacing w:before="120" w:after="120" w:line="360" w:lineRule="auto"/>
        <w:ind w:left="850" w:hanging="850"/>
        <w:rPr>
          <w:b/>
          <w:szCs w:val="24"/>
          <w:lang w:eastAsia="en-US"/>
        </w:rPr>
      </w:pPr>
      <w:r w:rsidRPr="003E0486">
        <w:rPr>
          <w:szCs w:val="24"/>
          <w:lang w:eastAsia="en-US"/>
        </w:rPr>
        <w:t>5.</w:t>
      </w:r>
      <w:r w:rsidRPr="003E0486">
        <w:rPr>
          <w:szCs w:val="24"/>
          <w:lang w:eastAsia="en-US"/>
        </w:rPr>
        <w:tab/>
        <w:t>Den administrerende direktør kan kun afskediges ved en afgørelse truffet af bestyrelsen på forslag af Kommissionen.</w:t>
      </w:r>
      <w:r w:rsidRPr="003E0486">
        <w:rPr>
          <w:b/>
          <w:i/>
          <w:szCs w:val="24"/>
          <w:lang w:eastAsia="en-US"/>
        </w:rPr>
        <w:t xml:space="preserve"> Europa-Parlamentet og Rådet underrettes om grundene hertil.</w:t>
      </w:r>
      <w:r w:rsidR="00951CD0">
        <w:rPr>
          <w:b/>
          <w:szCs w:val="24"/>
          <w:lang w:eastAsia="en-US"/>
        </w:rPr>
        <w:t xml:space="preserve"> [Ændring 254]</w:t>
      </w:r>
    </w:p>
    <w:p w14:paraId="6DCEE94E" w14:textId="77777777" w:rsidR="003263F7" w:rsidRDefault="003263F7">
      <w:pPr>
        <w:widowControl/>
        <w:rPr>
          <w:szCs w:val="24"/>
          <w:lang w:eastAsia="en-US"/>
        </w:rPr>
      </w:pPr>
      <w:r>
        <w:rPr>
          <w:szCs w:val="24"/>
          <w:lang w:eastAsia="en-US"/>
        </w:rPr>
        <w:br w:type="page"/>
      </w:r>
    </w:p>
    <w:p w14:paraId="44C1C2A5" w14:textId="2805490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Afgørelser om udnævnelse af den administrerende direktør og den viceadministrerende direktør, forlængelse af deres ansættelsesperiode eller deres afskedigelse træffes af bestyrelsen med et flertal på to tredjedele af de stemmeberettigede bestyrelsesmedlemmer.</w:t>
      </w:r>
    </w:p>
    <w:p w14:paraId="5855178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219</w:t>
      </w:r>
      <w:r w:rsidRPr="003E0486">
        <w:rPr>
          <w:szCs w:val="24"/>
          <w:lang w:eastAsia="en-US"/>
        </w:rPr>
        <w:br/>
        <w:t>Den administrerende direktørs opgaver og ansvarsområder</w:t>
      </w:r>
    </w:p>
    <w:p w14:paraId="5374328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administrerende direktør forestår ledelsen af EU-Toldmyndigheden. Den administrerende direktør står til ansvar over for bestyrelsen.</w:t>
      </w:r>
    </w:p>
    <w:p w14:paraId="2BC2CCB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Uden at det berører Kommissionens og bestyrelsens beføjelser er den administrerende direktør uafhængig i udførelsen af sine opgaver og må hverken søge eller modtage instrukser fra regeringer eller andre organer.</w:t>
      </w:r>
    </w:p>
    <w:p w14:paraId="6B337ADD" w14:textId="234C83D8" w:rsidR="003E0486" w:rsidRPr="00951CD0"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Den administrerende direktør aflægger rapport til Europa-Parlamentet og Rådet om udførelsen af sit hverv og EU-Toldmyndighedens samlede resultater, når vedkommende anmodes herom.</w:t>
      </w:r>
      <w:r w:rsidRPr="003E0486">
        <w:rPr>
          <w:b/>
          <w:i/>
          <w:szCs w:val="24"/>
          <w:lang w:eastAsia="en-US"/>
        </w:rPr>
        <w:t xml:space="preserve"> Europa-Parlamentet eller Rådet kan når som helst indkalde den administrerende direktør til en høring om et spørgsmål vedrørende myndighedens aktiviteter.</w:t>
      </w:r>
      <w:r w:rsidR="00951CD0">
        <w:rPr>
          <w:b/>
          <w:szCs w:val="24"/>
          <w:lang w:eastAsia="en-US"/>
        </w:rPr>
        <w:t xml:space="preserve"> [Ændring 255]</w:t>
      </w:r>
    </w:p>
    <w:p w14:paraId="30FD64F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Den administrerende direktør er EU-Toldmyndighedens retlige repræsentant.</w:t>
      </w:r>
    </w:p>
    <w:p w14:paraId="6A9724C7" w14:textId="77777777" w:rsidR="003263F7" w:rsidRDefault="003263F7">
      <w:pPr>
        <w:widowControl/>
        <w:rPr>
          <w:szCs w:val="24"/>
          <w:lang w:eastAsia="en-US"/>
        </w:rPr>
      </w:pPr>
      <w:r>
        <w:rPr>
          <w:szCs w:val="24"/>
          <w:lang w:eastAsia="en-US"/>
        </w:rPr>
        <w:br w:type="page"/>
      </w:r>
    </w:p>
    <w:p w14:paraId="04169114" w14:textId="35D940C9"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Den administrerende direktør er ansvarlig for udførelsen af de opgaver, der pålægges EU-Toldmyndigheden ved denne forordning. Den administrerende direktør skal navnlig:</w:t>
      </w:r>
    </w:p>
    <w:p w14:paraId="70C854B9" w14:textId="5AF68A8F" w:rsidR="003E0486" w:rsidRPr="00951CD0" w:rsidRDefault="003E0486" w:rsidP="003E0486">
      <w:pPr>
        <w:spacing w:before="120" w:after="120" w:line="360" w:lineRule="auto"/>
        <w:ind w:left="1416" w:hanging="566"/>
        <w:rPr>
          <w:b/>
          <w:szCs w:val="24"/>
          <w:lang w:eastAsia="en-US"/>
        </w:rPr>
      </w:pPr>
      <w:r w:rsidRPr="003E0486">
        <w:rPr>
          <w:szCs w:val="24"/>
          <w:lang w:eastAsia="en-US"/>
        </w:rPr>
        <w:t>(a)</w:t>
      </w:r>
      <w:r w:rsidRPr="003E0486">
        <w:rPr>
          <w:szCs w:val="24"/>
          <w:lang w:eastAsia="en-US"/>
        </w:rPr>
        <w:tab/>
        <w:t>sikre den</w:t>
      </w:r>
      <w:r w:rsidRPr="003E0486">
        <w:rPr>
          <w:b/>
          <w:i/>
          <w:szCs w:val="24"/>
          <w:lang w:eastAsia="en-US"/>
        </w:rPr>
        <w:t xml:space="preserve"> bæredygtige og effektive</w:t>
      </w:r>
      <w:r w:rsidRPr="003E0486">
        <w:rPr>
          <w:szCs w:val="24"/>
          <w:lang w:eastAsia="en-US"/>
        </w:rPr>
        <w:t xml:space="preserve"> daglige administration af EU-Toldmyndigheden</w:t>
      </w:r>
      <w:r w:rsidR="00951CD0">
        <w:rPr>
          <w:b/>
          <w:szCs w:val="24"/>
          <w:lang w:eastAsia="en-US"/>
        </w:rPr>
        <w:t xml:space="preserve"> [Ændring 256]</w:t>
      </w:r>
    </w:p>
    <w:p w14:paraId="506740B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gennemføre af bestyrelsens beslutninger</w:t>
      </w:r>
    </w:p>
    <w:p w14:paraId="242A313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udarbejde udkastet til det samlede programmeringsdokument, som er omhandlet i artikel 223, og forelægge det for bestyrelsen efter høring af Kommissionen</w:t>
      </w:r>
    </w:p>
    <w:p w14:paraId="01AE5C6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gennemføre det samlede programmeringsdokument, der er omhandlet i artikel 223, og aflægge rapport til forretningsudvalget og bestyrelsen om dets gennemførelse</w:t>
      </w:r>
    </w:p>
    <w:p w14:paraId="191AA97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udarbejde udkastet til den konsoliderede årlige rapport om EU-Toldmyndighedens aktiviteter og forelægge dette for bestyrelsen til vurdering og godkendelse</w:t>
      </w:r>
    </w:p>
    <w:p w14:paraId="71F7C2E8" w14:textId="77777777" w:rsidR="003263F7" w:rsidRDefault="003263F7">
      <w:pPr>
        <w:widowControl/>
        <w:rPr>
          <w:szCs w:val="24"/>
          <w:lang w:eastAsia="en-US"/>
        </w:rPr>
      </w:pPr>
      <w:r>
        <w:rPr>
          <w:szCs w:val="24"/>
          <w:lang w:eastAsia="en-US"/>
        </w:rPr>
        <w:br w:type="page"/>
      </w:r>
    </w:p>
    <w:p w14:paraId="2EE404DD" w14:textId="2629060C" w:rsidR="003E0486" w:rsidRPr="00951CD0" w:rsidRDefault="003E0486" w:rsidP="003E0486">
      <w:pPr>
        <w:spacing w:before="120" w:after="120" w:line="360" w:lineRule="auto"/>
        <w:ind w:left="1416" w:hanging="566"/>
        <w:rPr>
          <w:b/>
          <w:szCs w:val="24"/>
          <w:lang w:eastAsia="en-US"/>
        </w:rPr>
      </w:pPr>
      <w:r w:rsidRPr="003E0486">
        <w:rPr>
          <w:szCs w:val="24"/>
          <w:lang w:eastAsia="en-US"/>
        </w:rPr>
        <w:lastRenderedPageBreak/>
        <w:t>(f)</w:t>
      </w:r>
      <w:r w:rsidRPr="003E0486">
        <w:rPr>
          <w:szCs w:val="24"/>
          <w:lang w:eastAsia="en-US"/>
        </w:rPr>
        <w:tab/>
        <w:t>udarbejde</w:t>
      </w:r>
      <w:r w:rsidRPr="003E0486">
        <w:rPr>
          <w:strike/>
          <w:szCs w:val="24"/>
          <w:lang w:eastAsia="en-US"/>
        </w:rPr>
        <w:t xml:space="preserve"> af</w:t>
      </w:r>
      <w:r w:rsidRPr="003E0486">
        <w:rPr>
          <w:szCs w:val="24"/>
          <w:lang w:eastAsia="en-US"/>
        </w:rPr>
        <w:t xml:space="preserve"> en handlingsplan som opfølgning på konklusionerne i interne eller eksterne revisionsberetninger og evalueringer samt på undersøgelser foretaget af OLAF og efterforskninger foretaget af EPPO og aflægge en statusrapport to gange om året til Kommissionen og regelmæssigt til forretningsudvalget og bestyrelsen</w:t>
      </w:r>
      <w:r w:rsidRPr="003E0486">
        <w:rPr>
          <w:b/>
          <w:i/>
          <w:szCs w:val="24"/>
          <w:lang w:eastAsia="en-US"/>
        </w:rPr>
        <w:t>, samt</w:t>
      </w:r>
      <w:r w:rsidR="00BB6E07">
        <w:rPr>
          <w:b/>
          <w:i/>
          <w:szCs w:val="24"/>
          <w:lang w:eastAsia="en-US"/>
        </w:rPr>
        <w:t xml:space="preserve">, i givet fald, </w:t>
      </w:r>
      <w:r w:rsidRPr="003E0486">
        <w:rPr>
          <w:b/>
          <w:i/>
          <w:szCs w:val="24"/>
          <w:lang w:eastAsia="en-US"/>
        </w:rPr>
        <w:t>sikre indberetning af mistanker om strafbar adfærd til EPPO</w:t>
      </w:r>
      <w:r w:rsidR="00951CD0">
        <w:rPr>
          <w:b/>
          <w:szCs w:val="24"/>
          <w:lang w:eastAsia="en-US"/>
        </w:rPr>
        <w:t xml:space="preserve"> [Ændring 257]</w:t>
      </w:r>
    </w:p>
    <w:p w14:paraId="7C9B597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uden at det berører OLAF's undersøgelsesbeføjelser eller EPPO's efterforskningsbeføjelser, beskytte Unionens finansielle interesser ved anvendelse af foranstaltninger til forebyggelse af svig, korruption og andre ulovlige aktiviteter, gennem effektiv kontrol og, hvis der konstateres uregelmæssigheder, gennem tilbagesøgning af uretmæssigt udbetalte beløb og, hvor det er hensigtsmæssigt, ved pålæggelse af administrative og økonomiske, sanktioner, der er effektive, står i et rimeligt forhold til overtrædelsen og har afskrækkende virkning</w:t>
      </w:r>
    </w:p>
    <w:p w14:paraId="6EC4197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(h)</w:t>
      </w:r>
      <w:r w:rsidRPr="003E0486">
        <w:rPr>
          <w:szCs w:val="24"/>
          <w:lang w:eastAsia="en-US"/>
        </w:rPr>
        <w:tab/>
        <w:t>for EU-Toldmyndigheden udarbejde en intern strategi for bekæmpelse af svig, en strategi for effektivitetsgevinster og synergier, en strategi for samarbejde med tredjelande og/eller internationale organisationer og en strategi for systemerne for organisatorisk styring og intern kontrol og forelægge dette for bestyrelsen til godkendelse</w:t>
      </w:r>
    </w:p>
    <w:p w14:paraId="36C8C76B" w14:textId="77777777" w:rsidR="003263F7" w:rsidRDefault="003263F7">
      <w:pPr>
        <w:widowControl/>
        <w:rPr>
          <w:szCs w:val="24"/>
          <w:lang w:eastAsia="en-US"/>
        </w:rPr>
      </w:pPr>
      <w:r>
        <w:rPr>
          <w:szCs w:val="24"/>
          <w:lang w:eastAsia="en-US"/>
        </w:rPr>
        <w:br w:type="page"/>
      </w:r>
    </w:p>
    <w:p w14:paraId="7413134C" w14:textId="48FD418E"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(i)</w:t>
      </w:r>
      <w:r w:rsidRPr="003E0486">
        <w:rPr>
          <w:szCs w:val="24"/>
          <w:lang w:eastAsia="en-US"/>
        </w:rPr>
        <w:tab/>
        <w:t>udarbejde udkast til finansielle regler for EU-Toldmyndigheden og forelægge disse for bestyrelsen med henblik på vedtagelse efter høring af Kommissionen</w:t>
      </w:r>
    </w:p>
    <w:p w14:paraId="1AD835A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udarbejde foreløbige udkast til et overslag over EU-Toldmyndighedens indtægter og udgifter i overensstemmelse med artikel 224 og gennemføre dets budget</w:t>
      </w:r>
    </w:p>
    <w:p w14:paraId="739043C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(k)</w:t>
      </w:r>
      <w:r w:rsidRPr="003E0486">
        <w:rPr>
          <w:szCs w:val="24"/>
          <w:lang w:eastAsia="en-US"/>
        </w:rPr>
        <w:tab/>
        <w:t>for så vidt angår EU-Toldmyndighedens personale, udøve de beføjelser som ansættelsesmyndighed, der er omhandlet i artikel 215, stk. 1, litra i), i det omfang disse beføjelser er blevet delegeret til vedkommende i overensstemmelse med artikel 215, stk. 2</w:t>
      </w:r>
    </w:p>
    <w:p w14:paraId="008514E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(l)</w:t>
      </w:r>
      <w:r w:rsidRPr="003E0486">
        <w:rPr>
          <w:szCs w:val="24"/>
          <w:lang w:eastAsia="en-US"/>
        </w:rPr>
        <w:tab/>
        <w:t>træffe beslutninger vedrørende EU-Toldmyndighedens interne strukturer, herunder, hvor det er nødvendigt, stedfortræderfunktioner, der kan dække EU-Toldmyndighedens daglige ledelse, og om nødvendigt ændringer heraf, idet der tages hensyn til behovene i forbindelse med EU-Toldmyndighedens aktiviteter og forsvarlig budgetforvaltning</w:t>
      </w:r>
    </w:p>
    <w:p w14:paraId="735D2C55" w14:textId="77777777" w:rsidR="003263F7" w:rsidRDefault="003263F7">
      <w:pPr>
        <w:widowControl/>
        <w:rPr>
          <w:szCs w:val="24"/>
          <w:lang w:eastAsia="en-US"/>
        </w:rPr>
      </w:pPr>
      <w:r>
        <w:rPr>
          <w:szCs w:val="24"/>
          <w:lang w:eastAsia="en-US"/>
        </w:rPr>
        <w:br w:type="page"/>
      </w:r>
    </w:p>
    <w:p w14:paraId="0C7F4260" w14:textId="4F971DC0"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(m)</w:t>
      </w:r>
      <w:r w:rsidRPr="003E0486">
        <w:rPr>
          <w:szCs w:val="24"/>
          <w:lang w:eastAsia="en-US"/>
        </w:rPr>
        <w:tab/>
        <w:t>forhandle og efter bestyrelsens godkendelse undertegne en aftale om EU-Toldmyndighedens hjemsted og eventuelle lignende aftaler med de værtsmedlemsstater, hvor lokale kontorer er beliggende</w:t>
      </w:r>
    </w:p>
    <w:p w14:paraId="092224A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(n)</w:t>
      </w:r>
      <w:r w:rsidRPr="003E0486">
        <w:rPr>
          <w:szCs w:val="24"/>
          <w:lang w:eastAsia="en-US"/>
        </w:rPr>
        <w:tab/>
        <w:t>forberede de praktiske foranstaltninger til gennemførelse af Europa-Parlamentets og Rådets forordning (EF) nr. 1049/2001</w:t>
      </w:r>
      <w:r w:rsidRPr="003E0486">
        <w:rPr>
          <w:szCs w:val="24"/>
          <w:vertAlign w:val="superscript"/>
          <w:lang w:val="en-GB" w:eastAsia="en-US"/>
        </w:rPr>
        <w:footnoteReference w:id="46"/>
      </w:r>
      <w:r w:rsidRPr="003E0486">
        <w:rPr>
          <w:szCs w:val="24"/>
          <w:lang w:eastAsia="en-US"/>
        </w:rPr>
        <w:t xml:space="preserve"> og forelægge dem for bestyrelsen til vedtagelse</w:t>
      </w:r>
    </w:p>
    <w:p w14:paraId="7DE526D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(o)</w:t>
      </w:r>
      <w:r w:rsidRPr="003E0486">
        <w:rPr>
          <w:szCs w:val="24"/>
          <w:lang w:eastAsia="en-US"/>
        </w:rPr>
        <w:tab/>
        <w:t>fremme mangfoldighed og sigte mod at sikre en ligelig kønsfordeling for så vidt angår ansættelse af EU-Toldmyndighedens personale</w:t>
      </w:r>
    </w:p>
    <w:p w14:paraId="5B0F2A0E"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(p)</w:t>
      </w:r>
      <w:r w:rsidRPr="003E0486">
        <w:rPr>
          <w:szCs w:val="24"/>
          <w:lang w:eastAsia="en-US"/>
        </w:rPr>
        <w:tab/>
        <w:t>sigte mod at ansætte personale på det bredest mulige geografiske grundlag under hensyntagen til, at rekrutteringskriterierne udelukkende skal være meritbaserede.</w:t>
      </w:r>
    </w:p>
    <w:p w14:paraId="6FCD428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220</w:t>
      </w:r>
      <w:r w:rsidRPr="003E0486">
        <w:rPr>
          <w:szCs w:val="24"/>
          <w:lang w:eastAsia="en-US"/>
        </w:rPr>
        <w:br/>
        <w:t>Viceadministrerende direktør</w:t>
      </w:r>
    </w:p>
    <w:p w14:paraId="307F623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Bestyrelsen kan beslutte at oprette en stilling som viceadministrerende direktør til at bistå den administrerende direktør.</w:t>
      </w:r>
    </w:p>
    <w:p w14:paraId="765A94F6" w14:textId="77777777" w:rsidR="003263F7" w:rsidRDefault="003263F7">
      <w:pPr>
        <w:widowControl/>
        <w:rPr>
          <w:szCs w:val="24"/>
          <w:lang w:eastAsia="en-US"/>
        </w:rPr>
      </w:pPr>
      <w:r>
        <w:rPr>
          <w:szCs w:val="24"/>
          <w:lang w:eastAsia="en-US"/>
        </w:rPr>
        <w:br w:type="page"/>
      </w:r>
    </w:p>
    <w:p w14:paraId="21E85C0F" w14:textId="587AB40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Hvis bestyrelsen beslutter at oprette en stilling som viceadministrerende direktør, finder bestemmelserne i artikel 217 tilsvarende anvendelse på den viceadministrerende direktør.</w:t>
      </w:r>
    </w:p>
    <w:p w14:paraId="6A20712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221</w:t>
      </w:r>
      <w:r w:rsidRPr="003E0486">
        <w:rPr>
          <w:szCs w:val="24"/>
          <w:lang w:eastAsia="en-US"/>
        </w:rPr>
        <w:br/>
        <w:t>Den viceadministrerende direktørs opgaver og ansvarsområder</w:t>
      </w:r>
    </w:p>
    <w:p w14:paraId="79A0FC57" w14:textId="77777777" w:rsidR="003E0486" w:rsidRPr="003E0486" w:rsidRDefault="003E0486" w:rsidP="003E0486">
      <w:pPr>
        <w:spacing w:before="120" w:after="120" w:line="360" w:lineRule="auto"/>
        <w:rPr>
          <w:szCs w:val="24"/>
          <w:lang w:eastAsia="en-US"/>
        </w:rPr>
      </w:pPr>
      <w:r w:rsidRPr="003E0486">
        <w:rPr>
          <w:szCs w:val="24"/>
          <w:lang w:eastAsia="en-US"/>
        </w:rPr>
        <w:t>Hvis funktionen som viceadministrerende direktør oprettes, bistår den viceadministrerende direktør den administrerende direktør i EU-Toldmyndighedens ledelse og i udførelsen af de opgaver, der er omhandlet i artikel 218. I tilfælde af den administrerende direktørs forfald, eller dersom posten ikke er besat, varetages dennes opgaver af den viceadministrerende direktør.</w:t>
      </w:r>
    </w:p>
    <w:p w14:paraId="2FFD9163" w14:textId="38796021" w:rsidR="003E0486" w:rsidRPr="003E0486" w:rsidRDefault="00B50D11" w:rsidP="003E0486">
      <w:pPr>
        <w:spacing w:before="120" w:after="120" w:line="360" w:lineRule="auto"/>
        <w:jc w:val="center"/>
        <w:rPr>
          <w:szCs w:val="24"/>
          <w:lang w:eastAsia="en-US"/>
        </w:rPr>
      </w:pPr>
      <w:r>
        <w:rPr>
          <w:b/>
          <w:i/>
          <w:szCs w:val="24"/>
          <w:lang w:eastAsia="en-US"/>
        </w:rPr>
        <w:t>A</w:t>
      </w:r>
      <w:r w:rsidR="003E0486" w:rsidRPr="003E0486">
        <w:rPr>
          <w:b/>
          <w:i/>
          <w:szCs w:val="24"/>
          <w:lang w:eastAsia="en-US"/>
        </w:rPr>
        <w:t>rtikel 221a</w:t>
      </w:r>
      <w:r w:rsidR="003E0486" w:rsidRPr="003E0486">
        <w:rPr>
          <w:szCs w:val="24"/>
          <w:lang w:eastAsia="en-US"/>
        </w:rPr>
        <w:br/>
      </w:r>
      <w:r w:rsidR="003E0486" w:rsidRPr="003E0486">
        <w:rPr>
          <w:b/>
          <w:i/>
          <w:szCs w:val="24"/>
          <w:lang w:eastAsia="en-US"/>
        </w:rPr>
        <w:t>Det rådgivende udvalg om told</w:t>
      </w:r>
    </w:p>
    <w:p w14:paraId="2DBF5F81" w14:textId="0ED9CAFC"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EU-Toldmyndigheden nedsætter et rådgivende toldudvalg</w:t>
      </w:r>
      <w:r w:rsidR="00BB6E07">
        <w:rPr>
          <w:b/>
          <w:i/>
          <w:szCs w:val="24"/>
          <w:lang w:eastAsia="en-US"/>
        </w:rPr>
        <w:t xml:space="preserve"> til at </w:t>
      </w:r>
      <w:r w:rsidRPr="003E0486">
        <w:rPr>
          <w:b/>
          <w:i/>
          <w:szCs w:val="24"/>
          <w:lang w:eastAsia="en-US"/>
        </w:rPr>
        <w:t>bistå bestyrelsen</w:t>
      </w:r>
    </w:p>
    <w:p w14:paraId="21BF97DB"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Det rådgivende toldudvalg har til opgave at rådgive:</w:t>
      </w:r>
    </w:p>
    <w:p w14:paraId="4E3164AE" w14:textId="2369B558" w:rsidR="003E0486" w:rsidRPr="003E0486" w:rsidRDefault="00B50D11"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a)</w:t>
      </w:r>
      <w:r w:rsidR="003E0486" w:rsidRPr="003E0486">
        <w:rPr>
          <w:szCs w:val="24"/>
          <w:lang w:eastAsia="en-US"/>
        </w:rPr>
        <w:tab/>
      </w:r>
      <w:r w:rsidR="003E0486" w:rsidRPr="003E0486">
        <w:rPr>
          <w:b/>
          <w:i/>
          <w:szCs w:val="24"/>
          <w:lang w:eastAsia="en-US"/>
        </w:rPr>
        <w:t>om gennemførelsen af tekniske foranstaltninger og beslutninger, herunder risikostyring og prioriterede kontrolområder</w:t>
      </w:r>
    </w:p>
    <w:p w14:paraId="1C814394" w14:textId="77777777" w:rsidR="003263F7" w:rsidRDefault="003263F7">
      <w:pPr>
        <w:widowControl/>
        <w:rPr>
          <w:b/>
          <w:i/>
          <w:szCs w:val="24"/>
          <w:lang w:eastAsia="en-US"/>
        </w:rPr>
      </w:pPr>
      <w:r>
        <w:rPr>
          <w:b/>
          <w:i/>
          <w:szCs w:val="24"/>
          <w:lang w:eastAsia="en-US"/>
        </w:rPr>
        <w:br w:type="page"/>
      </w:r>
    </w:p>
    <w:p w14:paraId="57F042EC" w14:textId="41306391" w:rsidR="003E0486" w:rsidRPr="003E0486" w:rsidRDefault="00B50D11" w:rsidP="003E0486">
      <w:pPr>
        <w:spacing w:before="120" w:after="120" w:line="360" w:lineRule="auto"/>
        <w:ind w:left="1416" w:hanging="566"/>
        <w:rPr>
          <w:szCs w:val="24"/>
          <w:lang w:eastAsia="en-US"/>
        </w:rPr>
      </w:pPr>
      <w:r>
        <w:rPr>
          <w:b/>
          <w:i/>
          <w:szCs w:val="24"/>
          <w:lang w:eastAsia="en-US"/>
        </w:rPr>
        <w:lastRenderedPageBreak/>
        <w:t>(</w:t>
      </w:r>
      <w:r w:rsidR="003E0486" w:rsidRPr="003E0486">
        <w:rPr>
          <w:b/>
          <w:i/>
          <w:szCs w:val="24"/>
          <w:lang w:eastAsia="en-US"/>
        </w:rPr>
        <w:t>b)</w:t>
      </w:r>
      <w:r w:rsidR="003E0486" w:rsidRPr="003E0486">
        <w:rPr>
          <w:szCs w:val="24"/>
          <w:lang w:eastAsia="en-US"/>
        </w:rPr>
        <w:tab/>
      </w:r>
      <w:r w:rsidR="003E0486" w:rsidRPr="003E0486">
        <w:rPr>
          <w:b/>
          <w:i/>
          <w:szCs w:val="24"/>
          <w:lang w:eastAsia="en-US"/>
        </w:rPr>
        <w:t>om gennemførelses- og standardiseringsspørgsmål, herunder harmoniseringsaktiviteter eller behovet for tilpasning af reglerne</w:t>
      </w:r>
    </w:p>
    <w:p w14:paraId="37443E2A" w14:textId="430EEEF0" w:rsidR="003E0486" w:rsidRPr="003E0486" w:rsidRDefault="00B50D11"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c)</w:t>
      </w:r>
      <w:r w:rsidR="003E0486" w:rsidRPr="003E0486">
        <w:rPr>
          <w:szCs w:val="24"/>
          <w:lang w:eastAsia="en-US"/>
        </w:rPr>
        <w:tab/>
      </w:r>
      <w:r w:rsidR="003E0486" w:rsidRPr="003E0486">
        <w:rPr>
          <w:b/>
          <w:i/>
          <w:szCs w:val="24"/>
          <w:lang w:eastAsia="en-US"/>
        </w:rPr>
        <w:t>om de toldmæssige aspekter af anden lovgivning, der anvendes af toldmyndighederne</w:t>
      </w:r>
    </w:p>
    <w:p w14:paraId="50119059" w14:textId="37B8E430" w:rsidR="003E0486" w:rsidRPr="003E0486" w:rsidRDefault="00B50D11" w:rsidP="003E0486">
      <w:pPr>
        <w:spacing w:before="120" w:after="120" w:line="360" w:lineRule="auto"/>
        <w:ind w:left="1416" w:hanging="566"/>
        <w:rPr>
          <w:szCs w:val="24"/>
          <w:lang w:eastAsia="en-US"/>
        </w:rPr>
      </w:pPr>
      <w:r>
        <w:rPr>
          <w:b/>
          <w:i/>
          <w:szCs w:val="24"/>
          <w:lang w:eastAsia="en-US"/>
        </w:rPr>
        <w:t>(</w:t>
      </w:r>
      <w:r w:rsidR="003E0486" w:rsidRPr="003E0486">
        <w:rPr>
          <w:b/>
          <w:i/>
          <w:szCs w:val="24"/>
          <w:lang w:eastAsia="en-US"/>
        </w:rPr>
        <w:t>d)</w:t>
      </w:r>
      <w:r w:rsidR="003E0486" w:rsidRPr="003E0486">
        <w:rPr>
          <w:szCs w:val="24"/>
          <w:lang w:eastAsia="en-US"/>
        </w:rPr>
        <w:tab/>
      </w:r>
      <w:r w:rsidR="003E0486" w:rsidRPr="003E0486">
        <w:rPr>
          <w:b/>
          <w:i/>
          <w:szCs w:val="24"/>
          <w:lang w:eastAsia="en-US"/>
        </w:rPr>
        <w:t>efter behov i forbindelse med andre af myndighedens aktiviteter efter anmodning.</w:t>
      </w:r>
    </w:p>
    <w:p w14:paraId="4CDB7DEC"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3.</w:t>
      </w:r>
      <w:r w:rsidRPr="003E0486">
        <w:rPr>
          <w:szCs w:val="24"/>
          <w:lang w:eastAsia="en-US"/>
        </w:rPr>
        <w:tab/>
      </w:r>
      <w:r w:rsidRPr="003E0486">
        <w:rPr>
          <w:b/>
          <w:i/>
          <w:szCs w:val="24"/>
          <w:lang w:eastAsia="en-US"/>
        </w:rPr>
        <w:t>Det rådgivende toldudvalg består af repræsentanter og sammenslutninger for alle relevante interessenter med hensyn til EU-Toldmyndighedens arbejde. Udvalgets sammensætning vedtages af bestyrelsen.</w:t>
      </w:r>
    </w:p>
    <w:p w14:paraId="1B7AAD8A"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4.</w:t>
      </w:r>
      <w:r w:rsidRPr="003E0486">
        <w:rPr>
          <w:szCs w:val="24"/>
          <w:lang w:eastAsia="en-US"/>
        </w:rPr>
        <w:tab/>
      </w:r>
      <w:r w:rsidRPr="003E0486">
        <w:rPr>
          <w:b/>
          <w:i/>
          <w:szCs w:val="24"/>
          <w:lang w:eastAsia="en-US"/>
        </w:rPr>
        <w:t>Bestyrelsen udnævner fire medlemmer af det rådgivende toldudvalg, heraf formanden, til at deltage med observatørstatus i bestyrelsen. De skal i så høj grad som muligt repræsentere de forskellige synspunkter, der er repræsenteret i det rådgivende toldudvalg. Den indledende mandatperiode er 48 måneder og kan forlænges.</w:t>
      </w:r>
    </w:p>
    <w:p w14:paraId="71F40A7E" w14:textId="77777777" w:rsidR="003263F7" w:rsidRDefault="003263F7">
      <w:pPr>
        <w:widowControl/>
        <w:rPr>
          <w:b/>
          <w:i/>
          <w:szCs w:val="24"/>
          <w:lang w:eastAsia="en-US"/>
        </w:rPr>
      </w:pPr>
      <w:r>
        <w:rPr>
          <w:b/>
          <w:i/>
          <w:szCs w:val="24"/>
          <w:lang w:eastAsia="en-US"/>
        </w:rPr>
        <w:br w:type="page"/>
      </w:r>
    </w:p>
    <w:p w14:paraId="4C6042B3" w14:textId="544CEA1B" w:rsidR="003E0486" w:rsidRPr="003E0486" w:rsidRDefault="003E0486" w:rsidP="003E0486">
      <w:pPr>
        <w:spacing w:before="120" w:after="120" w:line="360" w:lineRule="auto"/>
        <w:ind w:left="850" w:hanging="850"/>
        <w:rPr>
          <w:szCs w:val="24"/>
          <w:lang w:eastAsia="en-US"/>
        </w:rPr>
      </w:pPr>
      <w:r w:rsidRPr="003E0486">
        <w:rPr>
          <w:b/>
          <w:i/>
          <w:szCs w:val="24"/>
          <w:lang w:eastAsia="en-US"/>
        </w:rPr>
        <w:lastRenderedPageBreak/>
        <w:t>5.</w:t>
      </w:r>
      <w:r w:rsidRPr="003E0486">
        <w:rPr>
          <w:szCs w:val="24"/>
          <w:lang w:eastAsia="en-US"/>
        </w:rPr>
        <w:tab/>
      </w:r>
      <w:r w:rsidRPr="003E0486">
        <w:rPr>
          <w:b/>
          <w:i/>
          <w:szCs w:val="24"/>
          <w:lang w:eastAsia="en-US"/>
        </w:rPr>
        <w:t xml:space="preserve">Det rådgivende toldudvalg høres regelmæssigt forud for bestyrelsens afgørelser. Dette kan ske ved hjælp af ad hoc-ekspertarbejdsgrupper. </w:t>
      </w:r>
      <w:r w:rsidR="00BB6E07">
        <w:rPr>
          <w:b/>
          <w:i/>
          <w:szCs w:val="24"/>
          <w:lang w:eastAsia="en-US"/>
        </w:rPr>
        <w:t>Bestyrelsen</w:t>
      </w:r>
      <w:r w:rsidR="00BB6E07" w:rsidRPr="003E0486">
        <w:rPr>
          <w:b/>
          <w:i/>
          <w:szCs w:val="24"/>
          <w:lang w:eastAsia="en-US"/>
        </w:rPr>
        <w:t xml:space="preserve"> </w:t>
      </w:r>
      <w:r w:rsidRPr="003E0486">
        <w:rPr>
          <w:b/>
          <w:i/>
          <w:szCs w:val="24"/>
          <w:lang w:eastAsia="en-US"/>
        </w:rPr>
        <w:t>er under ingen omstændigheder bundet af det rådgivende toldudvalgs udtalelser.</w:t>
      </w:r>
    </w:p>
    <w:p w14:paraId="23EBB661" w14:textId="4FFC48A9" w:rsidR="003E0486" w:rsidRPr="00951CD0" w:rsidRDefault="003E0486" w:rsidP="003E0486">
      <w:pPr>
        <w:spacing w:before="120" w:after="120" w:line="360" w:lineRule="auto"/>
        <w:ind w:left="850" w:hanging="850"/>
        <w:rPr>
          <w:b/>
          <w:szCs w:val="24"/>
          <w:lang w:eastAsia="en-US"/>
        </w:rPr>
      </w:pPr>
      <w:r w:rsidRPr="003E0486">
        <w:rPr>
          <w:b/>
          <w:i/>
          <w:szCs w:val="24"/>
          <w:lang w:eastAsia="en-US"/>
        </w:rPr>
        <w:t>6.</w:t>
      </w:r>
      <w:r w:rsidRPr="003E0486">
        <w:rPr>
          <w:szCs w:val="24"/>
          <w:lang w:eastAsia="en-US"/>
        </w:rPr>
        <w:tab/>
      </w:r>
      <w:r w:rsidRPr="003E0486">
        <w:rPr>
          <w:b/>
          <w:i/>
          <w:szCs w:val="24"/>
          <w:lang w:eastAsia="en-US"/>
        </w:rPr>
        <w:t>Det rådgivende toldudvalg holder mindst ét ordinært møde hver sjette måned. Desuden kan udvalget mødes på anmodning af EU-Toldmyndigheden eller bestyrelsen.</w:t>
      </w:r>
      <w:r w:rsidR="00951CD0">
        <w:rPr>
          <w:b/>
          <w:szCs w:val="24"/>
          <w:lang w:eastAsia="en-US"/>
        </w:rPr>
        <w:t xml:space="preserve"> [Ændring 258]</w:t>
      </w:r>
    </w:p>
    <w:p w14:paraId="24C0698D"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4 </w:t>
      </w:r>
      <w:r w:rsidRPr="003E0486">
        <w:rPr>
          <w:szCs w:val="24"/>
          <w:lang w:eastAsia="en-US"/>
        </w:rPr>
        <w:br/>
        <w:t>Fastlæggelse og struktur af EU-Toldmyndighedens budget</w:t>
      </w:r>
    </w:p>
    <w:p w14:paraId="049E168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222</w:t>
      </w:r>
      <w:r w:rsidRPr="003E0486">
        <w:rPr>
          <w:szCs w:val="24"/>
          <w:lang w:eastAsia="en-US"/>
        </w:rPr>
        <w:br/>
        <w:t>Almindelige bestemmelser</w:t>
      </w:r>
    </w:p>
    <w:p w14:paraId="3FD3C7E9" w14:textId="77777777" w:rsidR="003E0486" w:rsidRPr="003E0486" w:rsidRDefault="003E0486" w:rsidP="003E0486">
      <w:pPr>
        <w:spacing w:before="120" w:after="120" w:line="360" w:lineRule="auto"/>
        <w:rPr>
          <w:szCs w:val="24"/>
          <w:lang w:eastAsia="en-US"/>
        </w:rPr>
      </w:pPr>
      <w:r w:rsidRPr="003E0486">
        <w:rPr>
          <w:szCs w:val="24"/>
          <w:lang w:eastAsia="en-US"/>
        </w:rPr>
        <w:t>De finansielle bestemmelser for EU-Toldmyndigheden vedtages af bestyrelsen efter høring af Kommissionen. De må ikke afvige fra Kommissionens delegerede forordning (EU) 2019/715</w:t>
      </w:r>
      <w:r w:rsidRPr="003E0486">
        <w:rPr>
          <w:szCs w:val="24"/>
          <w:vertAlign w:val="superscript"/>
          <w:lang w:val="en-GB" w:eastAsia="en-US"/>
        </w:rPr>
        <w:footnoteReference w:id="47"/>
      </w:r>
      <w:r w:rsidRPr="003E0486">
        <w:rPr>
          <w:szCs w:val="24"/>
          <w:lang w:eastAsia="en-US"/>
        </w:rPr>
        <w:t>, medmindre dette er strengt nødvendigt for EU-Toldmyndighedens drift, og Kommissionen på forhånd har givet sit samtykke.</w:t>
      </w:r>
    </w:p>
    <w:p w14:paraId="4AC64405" w14:textId="77777777" w:rsidR="003263F7" w:rsidRDefault="003263F7">
      <w:pPr>
        <w:widowControl/>
        <w:rPr>
          <w:szCs w:val="24"/>
          <w:lang w:eastAsia="en-US"/>
        </w:rPr>
      </w:pPr>
      <w:r>
        <w:rPr>
          <w:szCs w:val="24"/>
          <w:lang w:eastAsia="en-US"/>
        </w:rPr>
        <w:br w:type="page"/>
      </w:r>
    </w:p>
    <w:p w14:paraId="3AA90153" w14:textId="3A43815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223</w:t>
      </w:r>
      <w:r w:rsidRPr="003E0486">
        <w:rPr>
          <w:szCs w:val="24"/>
          <w:lang w:eastAsia="en-US"/>
        </w:rPr>
        <w:br/>
        <w:t>Samlet programmeringsdokument</w:t>
      </w:r>
    </w:p>
    <w:p w14:paraId="00A4922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Hvert år udarbejder den administrerende direktør et udkast til et samlet programmeringsdokument, der tager hensyn til Kommissionens retningslinjer og navnlig indeholder den flerårige og årlige programmering i overensstemmelse med bestemmelserne i Kommissionens delegerede forordning (EU) 2019/715 og den relevante bestemmelse i EU-Toldmyndighedens finansielle bestemmelser, der er vedtaget i henhold til nærværende forordnings artikel 222 i forordning. Den årlige og flerårige programmering skal være i overensstemmelse med toldpolitikken og toldunionens overordnede prioriteter.</w:t>
      </w:r>
    </w:p>
    <w:p w14:paraId="448813E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Bestyrelsen fremsender udkastet til det samlede programmeringsdokument til Kommissionen, Europa-Parlamentet, Rådet og Den Europæiske Revisionsret senest den 31. januar året før programmeringsperioden.</w:t>
      </w:r>
    </w:p>
    <w:p w14:paraId="337032B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Bestyrelsen vedtager senest den 30. november hvert år det samlede programmeringsdokumentet. Den sender det samlede programmeringsdokument samt eventuelle senere ajourførte udgaver af dette dokument til Europa-Parlamentet, Rådet og Kommissionen. Det samlede programmeringsdokument bliver endeligt efter den endelige vedtagelse af Unionens almindelige budget, og om nødvendigt justeres det i overensstemmelse hermed.</w:t>
      </w:r>
    </w:p>
    <w:p w14:paraId="44392863" w14:textId="77777777" w:rsidR="003263F7" w:rsidRDefault="003263F7">
      <w:pPr>
        <w:widowControl/>
        <w:rPr>
          <w:szCs w:val="24"/>
          <w:lang w:eastAsia="en-US"/>
        </w:rPr>
      </w:pPr>
      <w:r>
        <w:rPr>
          <w:szCs w:val="24"/>
          <w:lang w:eastAsia="en-US"/>
        </w:rPr>
        <w:br w:type="page"/>
      </w:r>
    </w:p>
    <w:p w14:paraId="7255E1A7" w14:textId="332C43F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Det årlige arbejdsprogram indeholder detaljerede mål og forventede resultater, herunder resultatindikatorer. Det indeholder også en beskrivelse af de foranstaltninger, der skal finansieres, og oplysninger om de finansielle ressourcer og personaleressourcer, der afsættes til hver foranstaltning. Det årlige arbejdsprogram skal være i overensstemmelse med det i stk. 5 omhandlede flerårige arbejdsprogram. Det skal klart anføres i programmet, hvilke opgaver der er blevet tilføjet, ændret eller slettet i forhold til det foregående regnskabsår. Bestyrelsen ændrer det vedtagne årlige arbejdsprogram, når EU-Toldmyndigheden tillægges nye opgaver inden for denne forordnings anvendelsesområde. Væsentlige ændringer af det årlige arbejdsprogram vedtages efter samme procedure som det oprindelige årlige arbejdsprogram. Bestyrelsen kan delegere beføjelsen til at foretage ikkevæsentlige ændringer i det årlige arbejdsprogram til den administrerende direktør.</w:t>
      </w:r>
    </w:p>
    <w:p w14:paraId="63BEC1B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Det flerårige arbejdsprogram skal angive den overordnede strategiske programmering, herunder mål, forventede resultater og resultatindikatorer. For hver aktivitet skal det også fremgå, hvilke vejledende finansielle og menneskelige ressourcer der er nødvendige for at nå de opstillede mål. Den strategiske programmering ajourføres, såfremt det er relevant, og det skal fremgå, hvordan EU-Toldmyndighedens bidrag til at nå Unionens politiske prioriteter.</w:t>
      </w:r>
    </w:p>
    <w:p w14:paraId="2AB995BA" w14:textId="77777777" w:rsidR="003263F7" w:rsidRDefault="003263F7">
      <w:pPr>
        <w:widowControl/>
        <w:rPr>
          <w:szCs w:val="24"/>
          <w:lang w:eastAsia="en-US"/>
        </w:rPr>
      </w:pPr>
      <w:r>
        <w:rPr>
          <w:szCs w:val="24"/>
          <w:lang w:eastAsia="en-US"/>
        </w:rPr>
        <w:br w:type="page"/>
      </w:r>
    </w:p>
    <w:p w14:paraId="2819B796" w14:textId="5FCF31E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224</w:t>
      </w:r>
      <w:r w:rsidRPr="003E0486">
        <w:rPr>
          <w:szCs w:val="24"/>
          <w:lang w:eastAsia="en-US"/>
        </w:rPr>
        <w:br/>
        <w:t>Opstilling af budgettet</w:t>
      </w:r>
    </w:p>
    <w:p w14:paraId="7DA4BAD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Hvert år udarbejder den administrerende direktør et foreløbigt udkast til overslag over EU-Toldmyndighedens indtægter og udgifter for det følgende regnskabsår, der skal omfatte stillingsfortegnelsen, og sender det til bestyrelsen. Oplysningerne i det foreløbige udkast til overslaget skal være i overensstemmelse med udkastet til det samlede programmeringsdokument som omhandlet i artikel 223, stk. 1.</w:t>
      </w:r>
    </w:p>
    <w:p w14:paraId="33A204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Bestyrelsen vedtager på grundlag af det i stk. 1 omhandlede foreløbige udkast til overslag et udkast til overslag over EU-Toldmyndighedens indtægter og udgifter for det følgende regnskabsår.</w:t>
      </w:r>
    </w:p>
    <w:p w14:paraId="69A12B8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Bestyrelsen sender senest den 31. januar hvert år udkastet til overslaget over EU-Toldmyndighedens indtægter og udgifter til Kommissionen.</w:t>
      </w:r>
    </w:p>
    <w:p w14:paraId="671008C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sender udkastet til overslaget til budgetmyndigheden sammen med forslaget til Den Europæiske Unions almindelige budget.</w:t>
      </w:r>
    </w:p>
    <w:p w14:paraId="3B0F829B" w14:textId="77777777" w:rsidR="003263F7" w:rsidRDefault="003263F7">
      <w:pPr>
        <w:widowControl/>
        <w:rPr>
          <w:szCs w:val="24"/>
          <w:lang w:eastAsia="en-US"/>
        </w:rPr>
      </w:pPr>
      <w:r>
        <w:rPr>
          <w:szCs w:val="24"/>
          <w:lang w:eastAsia="en-US"/>
        </w:rPr>
        <w:br w:type="page"/>
      </w:r>
    </w:p>
    <w:p w14:paraId="6D2D843F" w14:textId="2CB1C64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På grundlag af udkastet til overslaget opfører Kommissionen de beløb, som den anser for nødvendige på baggrund af stillingsfortegnelsen, og det tilskud, der skal ydes over det almindelige budget, i forslaget til Unionens almindelige budget, som forelægges for budgetmyndigheden i overensstemmelse med artikel 313 og 314 i TEUF.</w:t>
      </w:r>
    </w:p>
    <w:p w14:paraId="0637497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Budgetmyndigheden godkender bevillingerne til bidraget fra Unionens almindelige budget til EU-Toldmyndigheden.</w:t>
      </w:r>
    </w:p>
    <w:p w14:paraId="120944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Budgetmyndigheden godkender EU-Toldmyndighedens stillingsfortegnelse.</w:t>
      </w:r>
    </w:p>
    <w:p w14:paraId="08A5050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Bestyrelsen vedtager EU-Toldmyndighedens budget. Dette budget bliver endeligt efter den endelige vedtagelse af Unionens almindelige budget. Hvis det er nødvendigt, justeres EU-Toldmyndighedens budget i overensstemmelse hermed.</w:t>
      </w:r>
    </w:p>
    <w:p w14:paraId="3DBE660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225</w:t>
      </w:r>
      <w:r w:rsidRPr="003E0486">
        <w:rPr>
          <w:szCs w:val="24"/>
          <w:lang w:eastAsia="en-US"/>
        </w:rPr>
        <w:br/>
        <w:t>Budgettets struktur</w:t>
      </w:r>
    </w:p>
    <w:p w14:paraId="4C5C48B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Der udarbejdes hvert regnskabsår overslag over alle EU-Toldmyndighedens indtægter og udgifter, og de opføres i EU-Toldmyndighedens budget. Regnskabsåret følger kalenderåret.</w:t>
      </w:r>
    </w:p>
    <w:p w14:paraId="21A3411C" w14:textId="77777777" w:rsidR="003263F7" w:rsidRDefault="003263F7">
      <w:pPr>
        <w:widowControl/>
        <w:rPr>
          <w:szCs w:val="24"/>
          <w:lang w:eastAsia="en-US"/>
        </w:rPr>
      </w:pPr>
      <w:r>
        <w:rPr>
          <w:szCs w:val="24"/>
          <w:lang w:eastAsia="en-US"/>
        </w:rPr>
        <w:br w:type="page"/>
      </w:r>
    </w:p>
    <w:p w14:paraId="0B5EAD90" w14:textId="5D1249B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Indtægterne og udgifterne på EU-Toldmyndighedens budget skal balancere.</w:t>
      </w:r>
    </w:p>
    <w:p w14:paraId="4A35244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Uden at det berører andre ressourcer, udgøres EU-Toldmyndighedens indtægter af:</w:t>
      </w:r>
    </w:p>
    <w:p w14:paraId="73BED0F9"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et bidrag fra Unionen, der opføres på Den Europæiske Unions almindelige budget</w:t>
      </w:r>
    </w:p>
    <w:p w14:paraId="7A63DE5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eventuelle frivillige finansielle bidrag fra medlemsstaterne</w:t>
      </w:r>
    </w:p>
    <w:p w14:paraId="6455691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EU-finansiering i form af bidragsaftaler eller tilskud i overensstemmelse med EU-Toldmyndighedens finansielle bestemmelser, der er omhandlet i artikel 222, og i overensstemmelse med bestemmelserne i de relevante retsakter til gennemførelse af Unionens politik</w:t>
      </w:r>
    </w:p>
    <w:p w14:paraId="3BACE40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beløb, der opkræves for publikationer og andre ydelser, som leveres af EU-Toldmyndigheden.</w:t>
      </w:r>
    </w:p>
    <w:p w14:paraId="72B4D07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EU-Toldmyndighedens udgifter omfatter bl.a. vederlag til personale, administrations- og infrastrukturudgifter samt driftsudgifter.</w:t>
      </w:r>
    </w:p>
    <w:p w14:paraId="1DAF0D2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Budgetforpligtelser for foranstaltninger vedrørende store projekter, der strækker sig over mere end et regnskabsår, kan opdeles i flere årlige trancher.</w:t>
      </w:r>
    </w:p>
    <w:p w14:paraId="6351F661" w14:textId="77777777" w:rsidR="003263F7" w:rsidRDefault="003263F7">
      <w:pPr>
        <w:widowControl/>
        <w:rPr>
          <w:szCs w:val="24"/>
          <w:lang w:eastAsia="en-US"/>
        </w:rPr>
      </w:pPr>
      <w:r>
        <w:rPr>
          <w:szCs w:val="24"/>
          <w:lang w:eastAsia="en-US"/>
        </w:rPr>
        <w:br w:type="page"/>
      </w:r>
    </w:p>
    <w:p w14:paraId="5F9743A3" w14:textId="0F058F2A"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226</w:t>
      </w:r>
      <w:r w:rsidRPr="003E0486">
        <w:rPr>
          <w:szCs w:val="24"/>
          <w:lang w:eastAsia="en-US"/>
        </w:rPr>
        <w:br/>
        <w:t>Gennemførelsen af EU-Toldmyndighedens budget</w:t>
      </w:r>
    </w:p>
    <w:p w14:paraId="490ABB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administrerende direktør gennemfører EU-Toldmyndighedens budget.</w:t>
      </w:r>
    </w:p>
    <w:p w14:paraId="3BBC7E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Hvert år sender den administrerende direktør budgetmyndigheden alle de oplysninger, som er nødvendige for udførelsen af budgetmyndighedens evalueringsopgaver.</w:t>
      </w:r>
    </w:p>
    <w:p w14:paraId="494BE35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227</w:t>
      </w:r>
      <w:r w:rsidRPr="003E0486">
        <w:rPr>
          <w:szCs w:val="24"/>
          <w:lang w:eastAsia="en-US"/>
        </w:rPr>
        <w:br/>
        <w:t>Regnskabsaflæggelse og decharge</w:t>
      </w:r>
    </w:p>
    <w:p w14:paraId="7F5D20B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EU-Toldmyndighedens regnskabsfører sender det foreløbige årsregnskab for regnskabsåret (år n) til Kommissionens regnskabsfører og Revisionsretten senest den 1. marts det følgende regnskabsår (år n+1).</w:t>
      </w:r>
    </w:p>
    <w:p w14:paraId="32BE3CA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Senest den 31. marts i år n+1 sender EU-Toldmyndigheden en beretning om den budgetmæssige og økonomiske forvaltning i år n til Europa-Parlamentet, Rådet og Revisionsretten.</w:t>
      </w:r>
    </w:p>
    <w:p w14:paraId="472A3A9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Kommissionens regnskabsfører sender senest den 31. marts i år n + 1 EU-Toldmyndighedens foreløbige årsregnskab konsolideret med Kommissionens årsregnskab til Revisionsretten.</w:t>
      </w:r>
    </w:p>
    <w:p w14:paraId="0CF4CAB5" w14:textId="77777777" w:rsidR="003263F7" w:rsidRDefault="003263F7">
      <w:pPr>
        <w:widowControl/>
        <w:rPr>
          <w:szCs w:val="24"/>
          <w:lang w:eastAsia="en-US"/>
        </w:rPr>
      </w:pPr>
      <w:r>
        <w:rPr>
          <w:szCs w:val="24"/>
          <w:lang w:eastAsia="en-US"/>
        </w:rPr>
        <w:br w:type="page"/>
      </w:r>
    </w:p>
    <w:p w14:paraId="3A15D3B2" w14:textId="5A65C2F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Ved modtagelsen af Revisionsrettens bemærkninger til EU-Toldmyndighedens foreløbige årsregnskab, jf. artikel 246 i Europa-Parlamentets og Rådets forordning (EU, Euratom) 2018/1046</w:t>
      </w:r>
      <w:r w:rsidRPr="003E0486">
        <w:rPr>
          <w:szCs w:val="24"/>
          <w:vertAlign w:val="superscript"/>
          <w:lang w:val="en-GB" w:eastAsia="en-US"/>
        </w:rPr>
        <w:footnoteReference w:id="48"/>
      </w:r>
      <w:r w:rsidRPr="003E0486">
        <w:rPr>
          <w:szCs w:val="24"/>
          <w:lang w:eastAsia="en-US"/>
        </w:rPr>
        <w:t>, udarbejder EU-Toldmyndighedens regnskabsfører EU-Toldmyndighedens endelige årsregnskab for dette år. Den administrerende direktør sender det til forretningsudvalget med henblik på en udtalelse. Denne udtalelse vedtages af bestyrelsen.</w:t>
      </w:r>
    </w:p>
    <w:p w14:paraId="726739A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EU-Toldmyndighedens regnskabsfører sender senest den 1. juli i år n+1 det endelige årsregnskab for år n til Europa-Parlamentet, Rådet, Kommissionen og Revisionsretten sammen med den af bestyrelsen vedtagne udtalelse.</w:t>
      </w:r>
    </w:p>
    <w:p w14:paraId="7D1B2A9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 xml:space="preserve">Det endelige årsregnskab for år n offentliggøres i </w:t>
      </w:r>
      <w:r w:rsidRPr="003740C4">
        <w:rPr>
          <w:i/>
          <w:szCs w:val="24"/>
          <w:lang w:eastAsia="en-US"/>
        </w:rPr>
        <w:t>Den Europæiske Unions Tidende</w:t>
      </w:r>
      <w:r w:rsidRPr="003E0486">
        <w:rPr>
          <w:szCs w:val="24"/>
          <w:lang w:eastAsia="en-US"/>
        </w:rPr>
        <w:t xml:space="preserve"> senest den 15. november i år n+1.</w:t>
      </w:r>
    </w:p>
    <w:p w14:paraId="163D86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7.</w:t>
      </w:r>
      <w:r w:rsidRPr="003E0486">
        <w:rPr>
          <w:szCs w:val="24"/>
          <w:lang w:eastAsia="en-US"/>
        </w:rPr>
        <w:tab/>
        <w:t>Senest den 30. september i år n+1 sender den administrerende direktør et svar på Revisionsrettens bemærkninger. Den administrerende direktør sender også dette svar til bestyrelsen.</w:t>
      </w:r>
    </w:p>
    <w:p w14:paraId="7EF1760E" w14:textId="77777777" w:rsidR="003263F7" w:rsidRDefault="003263F7">
      <w:pPr>
        <w:widowControl/>
        <w:rPr>
          <w:szCs w:val="24"/>
          <w:lang w:eastAsia="en-US"/>
        </w:rPr>
      </w:pPr>
      <w:r>
        <w:rPr>
          <w:szCs w:val="24"/>
          <w:lang w:eastAsia="en-US"/>
        </w:rPr>
        <w:br w:type="page"/>
      </w:r>
    </w:p>
    <w:p w14:paraId="515BA80B" w14:textId="261140D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8.</w:t>
      </w:r>
      <w:r w:rsidRPr="003E0486">
        <w:rPr>
          <w:szCs w:val="24"/>
          <w:lang w:eastAsia="en-US"/>
        </w:rPr>
        <w:tab/>
        <w:t>Hvis Europa-Parlamentet anmoder derom, forelægger den administrerende direktør alle de oplysninger, der er nødvendige for, at dechargeproceduren for regnskabsåret n kan forløbe tilfredsstillende, for Europa-Parlamentet, jf. artikel 261, stk. 3, i Europa-Parlamentets og Rådets forordning (EU, Euratom) 2018/1046.</w:t>
      </w:r>
    </w:p>
    <w:p w14:paraId="444A85A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Efter henstilling fra Rådet, der træffer afgørelse med kvalificeret flertal, meddeler Europa-Parlamentet inden den 15. maj i år n +2 den administrerende direktør decharge for gennemførelsen af budgettet for år n.</w:t>
      </w:r>
    </w:p>
    <w:p w14:paraId="79F6922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228</w:t>
      </w:r>
      <w:r w:rsidRPr="003E0486">
        <w:rPr>
          <w:szCs w:val="24"/>
          <w:lang w:eastAsia="en-US"/>
        </w:rPr>
        <w:br/>
        <w:t>Bekæmpelse af svig</w:t>
      </w:r>
    </w:p>
    <w:p w14:paraId="0352331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 henblik på bekæmpelse af svig, korruption og andre ulovlige aktiviteter inden for EU-Toldmyndigheden finder bestemmelserne i forordning (EU, Euratom) nr. 883/2013 ubegrænset anvendelse.</w:t>
      </w:r>
    </w:p>
    <w:p w14:paraId="037DFCE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EU-Toldmyndigheden tiltræder den interinstitutionelle aftale af 25. maj 1999 mellem Europa-Parlamentet, Rådet for Den Europæiske Union og Kommissionen for De Europæiske Fællesskaber om de interne undersøgelser, der foretages af OLAF</w:t>
      </w:r>
      <w:r w:rsidRPr="003E0486">
        <w:rPr>
          <w:szCs w:val="24"/>
          <w:vertAlign w:val="superscript"/>
          <w:lang w:val="en-GB" w:eastAsia="en-US"/>
        </w:rPr>
        <w:footnoteReference w:id="49"/>
      </w:r>
      <w:r w:rsidRPr="003E0486">
        <w:rPr>
          <w:szCs w:val="24"/>
          <w:lang w:eastAsia="en-US"/>
        </w:rPr>
        <w:t>, inden for seks måneder efter [XXX] og vedtager de tilsvarende bestemmelser, som finder anvendelse på agenturets personale, ved hjælp af skabelonen i bilag til aftalen.</w:t>
      </w:r>
    </w:p>
    <w:p w14:paraId="28EEED2F" w14:textId="77777777" w:rsidR="003263F7" w:rsidRDefault="003263F7">
      <w:pPr>
        <w:widowControl/>
        <w:rPr>
          <w:szCs w:val="24"/>
          <w:lang w:eastAsia="en-US"/>
        </w:rPr>
      </w:pPr>
      <w:r>
        <w:rPr>
          <w:szCs w:val="24"/>
          <w:lang w:eastAsia="en-US"/>
        </w:rPr>
        <w:br w:type="page"/>
      </w:r>
    </w:p>
    <w:p w14:paraId="135BE8B7" w14:textId="104B044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Den Europæiske Revisionsret har beføjelse til gennem bilagskontrol og kontrol på stedet at kontrollere alle tilskudsmodtagere, kontrahenter og underkontrahenter, der har modtaget EU-midler gennem EU-Toldmyndigheden.</w:t>
      </w:r>
    </w:p>
    <w:p w14:paraId="47FB60D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OLAF kan i overensstemmelse med bestemmelserne og procedurerne i forordning (EU, Euratom) nr. 883/2013 og Rådets forordning (Euratom, EF) nr. 2185/96</w:t>
      </w:r>
      <w:r w:rsidRPr="003E0486">
        <w:rPr>
          <w:szCs w:val="24"/>
          <w:vertAlign w:val="superscript"/>
          <w:lang w:val="en-GB" w:eastAsia="en-US"/>
        </w:rPr>
        <w:footnoteReference w:id="50"/>
      </w:r>
      <w:r w:rsidRPr="003E0486">
        <w:rPr>
          <w:szCs w:val="24"/>
          <w:lang w:eastAsia="en-US"/>
        </w:rPr>
        <w:t xml:space="preserve"> foretage undersøgelser, herunder kontrol og inspektion på stedet, for at klarlægge, om der er begået svig, bestikkelse eller andre ulovlige aktiviteter, der berører Unionens finansielle interesser, i forbindelse med tilskud eller kontrakter, der finansieres af EU-Toldmyndigheden.</w:t>
      </w:r>
    </w:p>
    <w:p w14:paraId="11BE83F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Uden at det berører stk. 1, 2, 3 og 4, skal EU-Toldmyndighedens kontrakter, aftaler og beslutninger udtrykkeligt indeholde bestemmelser om bemyndigelse af Den Europæiske Revisionsret og OLAF til at gennemføre revisioner og undersøgelser i overensstemmelse med deres respektive kompetencer. Samarbejdsordninger med kompetente myndigheder i tredjelande og internationale organisationer omfatter disse myndigheders og internationale organisationers bistand og samarbejde i forbindelse med revisioner og undersøgelser, der foretages af Revisionsretten og OLAF.</w:t>
      </w:r>
    </w:p>
    <w:p w14:paraId="3D661320" w14:textId="77777777" w:rsidR="003263F7" w:rsidRDefault="003263F7">
      <w:pPr>
        <w:widowControl/>
        <w:rPr>
          <w:szCs w:val="24"/>
          <w:lang w:eastAsia="en-US"/>
        </w:rPr>
      </w:pPr>
      <w:r>
        <w:rPr>
          <w:szCs w:val="24"/>
          <w:lang w:eastAsia="en-US"/>
        </w:rPr>
        <w:br w:type="page"/>
      </w:r>
    </w:p>
    <w:p w14:paraId="54DA5055" w14:textId="5B08F53B" w:rsidR="003E0486" w:rsidRPr="00951CD0" w:rsidRDefault="003E0486" w:rsidP="003E0486">
      <w:pPr>
        <w:spacing w:before="120" w:after="120" w:line="360" w:lineRule="auto"/>
        <w:ind w:left="850" w:hanging="850"/>
        <w:rPr>
          <w:b/>
          <w:szCs w:val="24"/>
          <w:lang w:eastAsia="en-US"/>
        </w:rPr>
      </w:pPr>
      <w:r w:rsidRPr="003E0486">
        <w:rPr>
          <w:szCs w:val="24"/>
          <w:lang w:eastAsia="en-US"/>
        </w:rPr>
        <w:lastRenderedPageBreak/>
        <w:t>6.</w:t>
      </w:r>
      <w:r w:rsidRPr="003E0486">
        <w:rPr>
          <w:szCs w:val="24"/>
          <w:lang w:eastAsia="en-US"/>
        </w:rPr>
        <w:tab/>
        <w:t xml:space="preserve">I overensstemmelse med forordning (EU) 2017/1939 </w:t>
      </w:r>
      <w:r w:rsidRPr="003E0486">
        <w:rPr>
          <w:strike/>
          <w:szCs w:val="24"/>
          <w:lang w:eastAsia="en-US"/>
        </w:rPr>
        <w:t>kan EPPO efterforske og retsforfølge</w:t>
      </w:r>
      <w:r w:rsidRPr="003E0486">
        <w:rPr>
          <w:b/>
          <w:i/>
          <w:szCs w:val="24"/>
          <w:lang w:eastAsia="en-US"/>
        </w:rPr>
        <w:t>er EPPO ansvarlig for efterforskning og retsforfølgning af</w:t>
      </w:r>
      <w:r w:rsidRPr="003E0486">
        <w:rPr>
          <w:szCs w:val="24"/>
          <w:lang w:eastAsia="en-US"/>
        </w:rPr>
        <w:t xml:space="preserve"> svig og andre ulovlige aktiviteter, der skader Unionens finansielle interesser, som fastsat i Europa-Parlamentets og Rådets direktiv (EU) 2017/1371</w:t>
      </w:r>
      <w:r w:rsidRPr="003E0486">
        <w:rPr>
          <w:szCs w:val="24"/>
          <w:vertAlign w:val="superscript"/>
          <w:lang w:val="en-GB" w:eastAsia="en-US"/>
        </w:rPr>
        <w:footnoteReference w:id="51"/>
      </w:r>
      <w:r w:rsidRPr="003E0486">
        <w:rPr>
          <w:szCs w:val="24"/>
          <w:lang w:eastAsia="en-US"/>
        </w:rPr>
        <w:t>.</w:t>
      </w:r>
      <w:r w:rsidRPr="003E0486">
        <w:rPr>
          <w:b/>
          <w:i/>
          <w:szCs w:val="24"/>
          <w:lang w:eastAsia="en-US"/>
        </w:rPr>
        <w:t xml:space="preserve"> EU-Toldmyndigheden eller den relevante kompetente nationale myndighed </w:t>
      </w:r>
      <w:r w:rsidR="00BB6E07">
        <w:rPr>
          <w:b/>
          <w:i/>
          <w:szCs w:val="24"/>
          <w:lang w:eastAsia="en-US"/>
        </w:rPr>
        <w:t>underretter</w:t>
      </w:r>
      <w:r w:rsidR="00BB6E07" w:rsidRPr="003E0486">
        <w:rPr>
          <w:b/>
          <w:i/>
          <w:szCs w:val="24"/>
          <w:lang w:eastAsia="en-US"/>
        </w:rPr>
        <w:t xml:space="preserve"> </w:t>
      </w:r>
      <w:r w:rsidRPr="003E0486">
        <w:rPr>
          <w:b/>
          <w:i/>
          <w:szCs w:val="24"/>
          <w:lang w:eastAsia="en-US"/>
        </w:rPr>
        <w:t>uden unødig</w:t>
      </w:r>
      <w:r w:rsidR="00AA7064">
        <w:rPr>
          <w:b/>
          <w:i/>
          <w:szCs w:val="24"/>
          <w:lang w:eastAsia="en-US"/>
        </w:rPr>
        <w:t>t ophold</w:t>
      </w:r>
      <w:r w:rsidRPr="003E0486">
        <w:rPr>
          <w:b/>
          <w:i/>
          <w:szCs w:val="24"/>
          <w:lang w:eastAsia="en-US"/>
        </w:rPr>
        <w:t xml:space="preserve"> EPPO om enhver strafbar adfærd, i forhold til hvilken den kan udøve sin kompetence i overensstemmelse med </w:t>
      </w:r>
      <w:r w:rsidR="00BB6E07" w:rsidRPr="003E0486">
        <w:rPr>
          <w:b/>
          <w:i/>
          <w:szCs w:val="24"/>
          <w:lang w:eastAsia="en-US"/>
        </w:rPr>
        <w:t>nævnte forordning</w:t>
      </w:r>
      <w:r w:rsidR="00BB6E07">
        <w:rPr>
          <w:b/>
          <w:i/>
          <w:szCs w:val="24"/>
          <w:lang w:eastAsia="en-US"/>
        </w:rPr>
        <w:t>s</w:t>
      </w:r>
      <w:r w:rsidR="00BB6E07" w:rsidRPr="003E0486">
        <w:rPr>
          <w:b/>
          <w:i/>
          <w:szCs w:val="24"/>
          <w:lang w:eastAsia="en-US"/>
        </w:rPr>
        <w:t xml:space="preserve"> </w:t>
      </w:r>
      <w:r w:rsidRPr="003E0486">
        <w:rPr>
          <w:b/>
          <w:i/>
          <w:szCs w:val="24"/>
          <w:lang w:eastAsia="en-US"/>
        </w:rPr>
        <w:t>artikel 22 og artikel 25, stk. 2 og 3.</w:t>
      </w:r>
      <w:r w:rsidR="00951CD0">
        <w:rPr>
          <w:b/>
          <w:szCs w:val="24"/>
          <w:lang w:eastAsia="en-US"/>
        </w:rPr>
        <w:t xml:space="preserve"> [Ændring 259]</w:t>
      </w:r>
    </w:p>
    <w:p w14:paraId="5648BB66"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5 </w:t>
      </w:r>
      <w:r w:rsidRPr="003E0486">
        <w:rPr>
          <w:szCs w:val="24"/>
          <w:lang w:eastAsia="en-US"/>
        </w:rPr>
        <w:br/>
        <w:t>Bestemmelser om personale</w:t>
      </w:r>
    </w:p>
    <w:p w14:paraId="3F4A0ED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229</w:t>
      </w:r>
      <w:r w:rsidRPr="003E0486">
        <w:rPr>
          <w:szCs w:val="24"/>
          <w:lang w:eastAsia="en-US"/>
        </w:rPr>
        <w:br/>
        <w:t>Almindelig bestemmelse</w:t>
      </w:r>
    </w:p>
    <w:p w14:paraId="1727752B" w14:textId="77777777" w:rsidR="003E0486" w:rsidRPr="003E0486" w:rsidRDefault="003E0486" w:rsidP="003E0486">
      <w:pPr>
        <w:spacing w:before="120" w:after="120" w:line="360" w:lineRule="auto"/>
        <w:rPr>
          <w:szCs w:val="24"/>
          <w:lang w:eastAsia="en-US"/>
        </w:rPr>
      </w:pPr>
      <w:r w:rsidRPr="003E0486">
        <w:rPr>
          <w:szCs w:val="24"/>
          <w:lang w:eastAsia="en-US"/>
        </w:rPr>
        <w:t>Personalevedtægten og ansættelsesvilkårene for de øvrige ansatte i Den Europæiske Union samt de regler, som EU-institutionerne i fællesskab har vedtaget for anvendelsen af personalevedtægten og ansættelsesvilkårene for de øvrige ansatte, gælder for EU-Toldmyndighedens personale.</w:t>
      </w:r>
    </w:p>
    <w:p w14:paraId="4BC75332" w14:textId="77777777" w:rsidR="003263F7" w:rsidRDefault="003263F7">
      <w:pPr>
        <w:widowControl/>
        <w:rPr>
          <w:szCs w:val="24"/>
          <w:lang w:eastAsia="en-US"/>
        </w:rPr>
      </w:pPr>
      <w:r>
        <w:rPr>
          <w:szCs w:val="24"/>
          <w:lang w:eastAsia="en-US"/>
        </w:rPr>
        <w:br w:type="page"/>
      </w:r>
    </w:p>
    <w:p w14:paraId="5FC6B528" w14:textId="0FF88307"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230</w:t>
      </w:r>
      <w:r w:rsidRPr="003E0486">
        <w:rPr>
          <w:szCs w:val="24"/>
          <w:lang w:eastAsia="en-US"/>
        </w:rPr>
        <w:br/>
        <w:t>Udstationerede nationale eksperter og andet personale</w:t>
      </w:r>
    </w:p>
    <w:p w14:paraId="6520A4C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kan gøre brug af udstationerede nationale eksperter eller andet personale, som ikke er ansat af EU-Toldmyndigheden.</w:t>
      </w:r>
    </w:p>
    <w:p w14:paraId="305D8F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Bestyrelsen vedtager en afgørelse, der fastsætter bestemmelser for udstationering af nationale eksperter til EU-Toldmyndigheden.</w:t>
      </w:r>
    </w:p>
    <w:p w14:paraId="1057FAD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231</w:t>
      </w:r>
      <w:r w:rsidRPr="003E0486">
        <w:rPr>
          <w:szCs w:val="24"/>
          <w:lang w:eastAsia="en-US"/>
        </w:rPr>
        <w:br/>
        <w:t>Privilegier og immuniteter</w:t>
      </w:r>
    </w:p>
    <w:p w14:paraId="1A3F1147" w14:textId="77777777" w:rsidR="003E0486" w:rsidRPr="003E0486" w:rsidRDefault="003E0486" w:rsidP="003E0486">
      <w:pPr>
        <w:spacing w:before="120" w:after="120" w:line="360" w:lineRule="auto"/>
        <w:rPr>
          <w:szCs w:val="24"/>
          <w:lang w:eastAsia="en-US"/>
        </w:rPr>
      </w:pPr>
      <w:r w:rsidRPr="003E0486">
        <w:rPr>
          <w:szCs w:val="24"/>
          <w:lang w:eastAsia="en-US"/>
        </w:rPr>
        <w:t>Protokol nr. 7 vedrørende Den Europæiske Unions privilegier og immuniteter, der er knyttet som bilag til traktaten om Den Europæiske Unions funktionsmåde, gælder for EU-Toldmyndigheden og dens personale.</w:t>
      </w:r>
    </w:p>
    <w:p w14:paraId="00869E59"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6 </w:t>
      </w:r>
      <w:r w:rsidRPr="003E0486">
        <w:rPr>
          <w:szCs w:val="24"/>
          <w:lang w:eastAsia="en-US"/>
        </w:rPr>
        <w:br/>
        <w:t>Almindelige og afsluttende bestemmelser</w:t>
      </w:r>
    </w:p>
    <w:p w14:paraId="47756FBC"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232</w:t>
      </w:r>
      <w:r w:rsidRPr="003E0486">
        <w:rPr>
          <w:szCs w:val="24"/>
          <w:lang w:eastAsia="en-US"/>
        </w:rPr>
        <w:br/>
        <w:t>Gennemsigtighed og kommunikation</w:t>
      </w:r>
    </w:p>
    <w:p w14:paraId="7F4C49F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Forordning (EF) nr. 1049/2001 finder anvendelse på dokumenter, der er i EU-Toldmyndighedens besiddelse. Bestyrelsen vedtager senest seks måneder efter sit første møde de nærmere regler for anvendelse af forordning (EF) nr. 1049/2001.</w:t>
      </w:r>
    </w:p>
    <w:p w14:paraId="0E4A7861" w14:textId="77777777" w:rsidR="003263F7" w:rsidRDefault="003263F7">
      <w:pPr>
        <w:widowControl/>
        <w:rPr>
          <w:szCs w:val="24"/>
          <w:lang w:eastAsia="en-US"/>
        </w:rPr>
      </w:pPr>
      <w:r>
        <w:rPr>
          <w:szCs w:val="24"/>
          <w:lang w:eastAsia="en-US"/>
        </w:rPr>
        <w:br w:type="page"/>
      </w:r>
    </w:p>
    <w:p w14:paraId="2CBFCAFA" w14:textId="38CF9316"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EU-Toldmyndighedens behandling af personoplysninger sker i overensstemmelse med forordning (EU) 2018/1725. Bestyrelsen fastsætter senest seks måneder efter datoen for sit første møde foranstaltninger vedrørende EU-Toldmyndighedens anvendelse af forordning (EU) 2018/1725, herunder foranstaltninger vedrørende udnævnelse af en databeskyttelsesrådgiver for EU-Toldmyndigheden. Disse foranstaltninger fastsættes efter høring af Den Europæiske Tilsynsførende for Databeskyttelse.</w:t>
      </w:r>
    </w:p>
    <w:p w14:paraId="54DA9E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kan deltage i kommunikationsaktiviteter på eget initiativ inden for sit kompetenceområde. Tildelingen af ressourcer til kommunikationsaktiviteter må ikke skade den effektive udførelse af EU-Toldmyndighedens opgaver. Kommunikationsaktiviteter skal gennemføres i overensstemmelse med de relevante kommunikations- og formidlingsplaner, som bestyrelsen har vedtaget.</w:t>
      </w:r>
    </w:p>
    <w:p w14:paraId="3B2A74F6" w14:textId="77777777" w:rsidR="003263F7" w:rsidRDefault="003263F7">
      <w:pPr>
        <w:widowControl/>
        <w:rPr>
          <w:szCs w:val="24"/>
          <w:lang w:eastAsia="en-US"/>
        </w:rPr>
      </w:pPr>
      <w:r>
        <w:rPr>
          <w:szCs w:val="24"/>
          <w:lang w:eastAsia="en-US"/>
        </w:rPr>
        <w:br w:type="page"/>
      </w:r>
    </w:p>
    <w:p w14:paraId="62083177" w14:textId="59F8DC5B"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233</w:t>
      </w:r>
      <w:r w:rsidRPr="003E0486">
        <w:rPr>
          <w:szCs w:val="24"/>
          <w:lang w:eastAsia="en-US"/>
        </w:rPr>
        <w:br/>
        <w:t>Sikkerhedsregler for beskyttelse af klassificerede oplysninger og ikkeklassificerede følsomme oplysninger</w:t>
      </w:r>
    </w:p>
    <w:p w14:paraId="6F5E91A5" w14:textId="16DA7640"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vedtager sine egne sikkerhedsregler på grundlag af de principper og regler, der er fastsat i Kommissionens sikkerhedsforskrifter til beskyttelse af EU's klassificerede informationer og følsomme ikkeklassificerede oplysninger, herunder bl.a. bestemmelser om udveksling af sådanne oplysninger med tredjelande og behandling og lagring af sådanne oplysninger som fastsat i Kommissionens afgørelse (EU, Euratom) 2015/443</w:t>
      </w:r>
      <w:r w:rsidRPr="003E0486">
        <w:rPr>
          <w:szCs w:val="24"/>
          <w:vertAlign w:val="superscript"/>
          <w:lang w:val="en-GB" w:eastAsia="en-US"/>
        </w:rPr>
        <w:footnoteReference w:id="52"/>
      </w:r>
      <w:r w:rsidRPr="003E0486">
        <w:rPr>
          <w:szCs w:val="24"/>
          <w:lang w:eastAsia="en-US"/>
        </w:rPr>
        <w:t xml:space="preserve"> og (EU, Euratom) 2015/444</w:t>
      </w:r>
      <w:r w:rsidRPr="003E0486">
        <w:rPr>
          <w:szCs w:val="24"/>
          <w:vertAlign w:val="superscript"/>
          <w:lang w:val="en-GB" w:eastAsia="en-US"/>
        </w:rPr>
        <w:footnoteReference w:id="53"/>
      </w:r>
      <w:r w:rsidRPr="003E0486">
        <w:rPr>
          <w:szCs w:val="24"/>
          <w:lang w:eastAsia="en-US"/>
        </w:rPr>
        <w:t>. Alle administrative ordninger om udveksling af klassificerede oplysninger med de relevante myndigheder i et tredjeland eller, i mangel af en sådan ordning, enhver ekstraordinær ad hoc-videregivelse af EU's klassificerede informationer til disse myndigheder kræver Kommissionens forhåndsgodkendelse.</w:t>
      </w:r>
    </w:p>
    <w:p w14:paraId="1A066AF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Bestyrelsen vedtager EU-Toldmyndighedens sikkerhedsregler, efter at Kommissionen har godkendt dem. Når Kommissionen vurderer de forslåede sikkerhedsregler, sikrer den, at de er forenelige med afgørelse (EU, Euratom) 2015/443 og (EU, Euratom) 2015/444.</w:t>
      </w:r>
    </w:p>
    <w:p w14:paraId="35754FDC" w14:textId="77777777" w:rsidR="003263F7" w:rsidRDefault="003263F7">
      <w:pPr>
        <w:widowControl/>
        <w:rPr>
          <w:szCs w:val="24"/>
          <w:lang w:eastAsia="en-US"/>
        </w:rPr>
      </w:pPr>
      <w:r>
        <w:rPr>
          <w:szCs w:val="24"/>
          <w:lang w:eastAsia="en-US"/>
        </w:rPr>
        <w:br w:type="page"/>
      </w:r>
    </w:p>
    <w:p w14:paraId="034261AC" w14:textId="66D5DC6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Medlemmerne af bestyrelsen, den administrerende direktør, eksterne eksperter, der deltager i ad hoc-arbejdsgrupper, og EU-Toldmyndighedens personale skal overholde fortrolighedskravene i henhold til artikel 339 i TEUF, selv efter at deres hverv er ophørt.</w:t>
      </w:r>
    </w:p>
    <w:p w14:paraId="24A9B2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EU-Toldmyndigheden kan træffe de nødvendige foranstaltninger for at lette udvekslingen af oplysninger, der er relevante for dens opgaver, med Kommissionen og medlemsstaterne og, hvor det er hensigtsmæssigt, de relevante EU-institutioner, -organer, -kontorer og -agenturer. Administrative ordninger, der indgås med henblik herpå angående udveksling af EU's klassificerede informationer, eller, i mangel af sådanne ordninger, ekstraordinær ad hoc-videregivelse af EU's klassificerede informationer skal forhåndsgodkendes af Kommissionen.</w:t>
      </w:r>
    </w:p>
    <w:p w14:paraId="1D21F57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234</w:t>
      </w:r>
      <w:r w:rsidRPr="003E0486">
        <w:rPr>
          <w:szCs w:val="24"/>
          <w:lang w:eastAsia="en-US"/>
        </w:rPr>
        <w:br/>
        <w:t>Sprogordning</w:t>
      </w:r>
    </w:p>
    <w:p w14:paraId="3AD2062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Bestemmelserne i Rådets forordning nr. 1</w:t>
      </w:r>
      <w:r w:rsidRPr="003E0486">
        <w:rPr>
          <w:szCs w:val="24"/>
          <w:vertAlign w:val="superscript"/>
          <w:lang w:val="en-GB" w:eastAsia="en-US"/>
        </w:rPr>
        <w:footnoteReference w:id="54"/>
      </w:r>
      <w:r w:rsidRPr="003E0486">
        <w:rPr>
          <w:szCs w:val="24"/>
          <w:lang w:eastAsia="en-US"/>
        </w:rPr>
        <w:t xml:space="preserve"> finder anvendelse på EU-Toldmyndigheden.</w:t>
      </w:r>
    </w:p>
    <w:p w14:paraId="264219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Bestyrelsen træffer afgørelse om EU-Toldmyndighedens interne sprogordning.</w:t>
      </w:r>
    </w:p>
    <w:p w14:paraId="490FEEE1" w14:textId="77777777" w:rsidR="003263F7" w:rsidRDefault="003263F7">
      <w:pPr>
        <w:widowControl/>
        <w:rPr>
          <w:szCs w:val="24"/>
          <w:lang w:eastAsia="en-US"/>
        </w:rPr>
      </w:pPr>
      <w:r>
        <w:rPr>
          <w:szCs w:val="24"/>
          <w:lang w:eastAsia="en-US"/>
        </w:rPr>
        <w:br w:type="page"/>
      </w:r>
    </w:p>
    <w:p w14:paraId="50D9F4FB" w14:textId="708568B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Oversættelser, der er nødvendige for EU-Toldmyndighedens virksomhed, foretages af Oversættelsescentret for Den Europæiske Unions Organer.</w:t>
      </w:r>
    </w:p>
    <w:p w14:paraId="5498301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235</w:t>
      </w:r>
      <w:r w:rsidRPr="003E0486">
        <w:rPr>
          <w:szCs w:val="24"/>
          <w:lang w:eastAsia="en-US"/>
        </w:rPr>
        <w:br/>
        <w:t>Evaluering</w:t>
      </w:r>
    </w:p>
    <w:p w14:paraId="6D79428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Senest den</w:t>
      </w:r>
      <w:r w:rsidRPr="003E0486">
        <w:rPr>
          <w:b/>
          <w:i/>
          <w:szCs w:val="24"/>
          <w:lang w:eastAsia="en-US"/>
        </w:rPr>
        <w:t xml:space="preserve"> ...</w:t>
      </w:r>
      <w:r w:rsidRPr="003E0486">
        <w:rPr>
          <w:szCs w:val="24"/>
          <w:lang w:eastAsia="en-US"/>
        </w:rPr>
        <w:t xml:space="preserve"> [Publikationskontoret bedes indsætte datoen = </w:t>
      </w:r>
      <w:r w:rsidRPr="003E0486">
        <w:rPr>
          <w:strike/>
          <w:szCs w:val="24"/>
          <w:lang w:eastAsia="en-US"/>
        </w:rPr>
        <w:t>5</w:t>
      </w:r>
      <w:r w:rsidRPr="003E0486">
        <w:rPr>
          <w:b/>
          <w:i/>
          <w:szCs w:val="24"/>
          <w:lang w:eastAsia="en-US"/>
        </w:rPr>
        <w:t>fire</w:t>
      </w:r>
      <w:r w:rsidRPr="003E0486">
        <w:rPr>
          <w:szCs w:val="24"/>
          <w:lang w:eastAsia="en-US"/>
        </w:rPr>
        <w:t xml:space="preserve"> år efter denne forordnings ikrafttræden] og herefter hvert </w:t>
      </w:r>
      <w:r w:rsidRPr="003E0486">
        <w:rPr>
          <w:strike/>
          <w:szCs w:val="24"/>
          <w:lang w:eastAsia="en-US"/>
        </w:rPr>
        <w:t>femte</w:t>
      </w:r>
      <w:r w:rsidRPr="003E0486">
        <w:rPr>
          <w:b/>
          <w:i/>
          <w:szCs w:val="24"/>
          <w:lang w:eastAsia="en-US"/>
        </w:rPr>
        <w:t>fjerde</w:t>
      </w:r>
      <w:r w:rsidRPr="003E0486">
        <w:rPr>
          <w:szCs w:val="24"/>
          <w:lang w:eastAsia="en-US"/>
        </w:rPr>
        <w:t xml:space="preserve"> år sikrer Kommissionen, at der foretages en evaluering i overensstemmelse med Kommissionens retningslinjer af EU-Toldmyndighedens resultater i forhold til dens mål, mandat, opgaver, forvaltning og beliggenhed(er).</w:t>
      </w:r>
    </w:p>
    <w:p w14:paraId="5FF96DD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Evalueringen skal navnlig dække det eventuelle behov for at ændre EU-Toldmyndighedens mandat og de finansielle følger af en sådan ændring.</w:t>
      </w:r>
    </w:p>
    <w:p w14:paraId="7EF87BD7" w14:textId="0C33356C" w:rsidR="003E0486" w:rsidRPr="00951CD0"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Ved hver anden evaluering som omhandlet i stk. 1 skal de resultater, som EU-Toldmyndigheden har opnået, vurderes i forhold til dens mål, mandat, opgaver og forvaltning</w:t>
      </w:r>
      <w:r w:rsidRPr="003E0486">
        <w:rPr>
          <w:strike/>
          <w:szCs w:val="24"/>
          <w:lang w:eastAsia="en-US"/>
        </w:rPr>
        <w:t>, herunder en vurdering af, hvorvidt EU-Toldmyndigheden fortsættelse stadig er berettiget med hensyn til disse mål, mandatet, forvaltningen og opgaverne</w:t>
      </w:r>
      <w:r w:rsidRPr="003E0486">
        <w:rPr>
          <w:szCs w:val="24"/>
          <w:lang w:eastAsia="en-US"/>
        </w:rPr>
        <w:t>.</w:t>
      </w:r>
      <w:r w:rsidR="00951CD0">
        <w:rPr>
          <w:b/>
          <w:strike/>
          <w:szCs w:val="24"/>
          <w:lang w:eastAsia="en-US"/>
        </w:rPr>
        <w:t xml:space="preserve"> </w:t>
      </w:r>
      <w:r w:rsidR="00951CD0" w:rsidRPr="00951CD0">
        <w:rPr>
          <w:b/>
          <w:szCs w:val="24"/>
          <w:lang w:eastAsia="en-US"/>
        </w:rPr>
        <w:t>[Ændring 261]</w:t>
      </w:r>
    </w:p>
    <w:p w14:paraId="17BCFF94" w14:textId="77777777" w:rsidR="003263F7" w:rsidRDefault="003263F7">
      <w:pPr>
        <w:widowControl/>
        <w:rPr>
          <w:szCs w:val="24"/>
          <w:lang w:eastAsia="en-US"/>
        </w:rPr>
      </w:pPr>
      <w:r>
        <w:rPr>
          <w:szCs w:val="24"/>
          <w:lang w:eastAsia="en-US"/>
        </w:rPr>
        <w:br w:type="page"/>
      </w:r>
    </w:p>
    <w:p w14:paraId="1DB3EF07" w14:textId="034C0DE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Kommissionen aflægger rapport til Europa-Parlamentet og Rådet om resultaterne af evalueringen i stk. 2. Resultaterne af evalueringen offentliggøres.</w:t>
      </w:r>
    </w:p>
    <w:p w14:paraId="1AE5A63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236</w:t>
      </w:r>
      <w:r w:rsidRPr="003E0486">
        <w:rPr>
          <w:szCs w:val="24"/>
          <w:lang w:eastAsia="en-US"/>
        </w:rPr>
        <w:br/>
        <w:t>EU-Toldmyndighedens ansvar</w:t>
      </w:r>
    </w:p>
    <w:p w14:paraId="7725D76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EU-Toldmyndighedens ansvar i kontraktforhold bestemmes efter den lovgivning, der finder anvendelse på den pågældende kontrakt.</w:t>
      </w:r>
    </w:p>
    <w:p w14:paraId="01C490D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Den Europæiske Unions Domstol har kompetence til at træffe afgørelse i henhold til en voldgiftsbestemmelse, som indeholdes i en af EU-Toldmyndigheden indgået kontrakt.</w:t>
      </w:r>
    </w:p>
    <w:p w14:paraId="6CF436A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I tilfælde af ansvar uden for kontraktforhold, erstatter EU-Toldmyndigheden i overensstemmelse med de almindelige retsgrundsætninger, der er fælles for medlemsstaternes retssystemer, skader forvoldt af myndigheden eller af dens ansatte under udøvelsen af deres hverv.</w:t>
      </w:r>
    </w:p>
    <w:p w14:paraId="6FE2971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Den Europæiske Unions Domstol har kompetence til at afgøre tvister vedrørende erstatning for de i stk. 3 omhandlede skader.</w:t>
      </w:r>
    </w:p>
    <w:p w14:paraId="109B6988" w14:textId="77777777" w:rsidR="003263F7" w:rsidRDefault="003263F7">
      <w:pPr>
        <w:widowControl/>
        <w:rPr>
          <w:szCs w:val="24"/>
          <w:lang w:eastAsia="en-US"/>
        </w:rPr>
      </w:pPr>
      <w:r>
        <w:rPr>
          <w:szCs w:val="24"/>
          <w:lang w:eastAsia="en-US"/>
        </w:rPr>
        <w:br w:type="page"/>
      </w:r>
    </w:p>
    <w:p w14:paraId="62CC25A6" w14:textId="48A582E5"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De ansattes personlige ansvar over for EU-Toldmyndigheden er underlagt de bestemmelser i personalevedtægten eller ansættelsesvilkårene for de øvrige ansatte, der gælder for dem.</w:t>
      </w:r>
    </w:p>
    <w:p w14:paraId="4CCD43B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Unionens og medlemsstaternes økonomiske ansvar for EU-Toldmyndighedens gæld er begrænset til de bidrag, de allerede har ydet til administrationsomkostninger.</w:t>
      </w:r>
    </w:p>
    <w:p w14:paraId="79ABD1B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237</w:t>
      </w:r>
      <w:r w:rsidRPr="003E0486">
        <w:rPr>
          <w:szCs w:val="24"/>
          <w:lang w:eastAsia="en-US"/>
        </w:rPr>
        <w:br/>
        <w:t>Hjemstedsaftale og driftsvilkår</w:t>
      </w:r>
    </w:p>
    <w:p w14:paraId="4F986A10" w14:textId="01B4B56C"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 xml:space="preserve">De nødvendige bestemmelser vedrørende de lokaler, der skal stilles til rådighed for EU-Toldmyndigheden i værtsmedlemsstaten, og de faciliteter, der skal stilles til rådighed af værtsmedlemsstaten, samt de særlige regler, der skal finde anvendelse på den administrerende direktør, bestyrelsesmedlemmerne, EU-Toldmyndighedens personale og deres familiemedlemmer i værtsmedlemsstaten, skal fastsættes i en hjemstedsaftale mellem EU-Toldmyndigheden og den medlemsstat, hvor hovedsædet er beliggende; aftalen skal indgås med bestyrelsens godkendelse senest den </w:t>
      </w:r>
      <w:r w:rsidR="003263F7">
        <w:rPr>
          <w:szCs w:val="24"/>
          <w:lang w:eastAsia="en-US"/>
        </w:rPr>
        <w:t xml:space="preserve">... </w:t>
      </w:r>
      <w:r w:rsidRPr="003E0486">
        <w:rPr>
          <w:szCs w:val="24"/>
          <w:lang w:eastAsia="en-US"/>
        </w:rPr>
        <w:t xml:space="preserve">[Publikationskontoret indsæt venligst den nøjagtige dato = to år efter </w:t>
      </w:r>
      <w:r w:rsidR="008C49F4">
        <w:rPr>
          <w:szCs w:val="24"/>
          <w:lang w:eastAsia="en-US"/>
        </w:rPr>
        <w:t xml:space="preserve">denne </w:t>
      </w:r>
      <w:r w:rsidRPr="003E0486">
        <w:rPr>
          <w:szCs w:val="24"/>
          <w:lang w:eastAsia="en-US"/>
        </w:rPr>
        <w:t>forordnings ikrafttræden].</w:t>
      </w:r>
    </w:p>
    <w:p w14:paraId="431E4F2A" w14:textId="77777777" w:rsidR="003263F7" w:rsidRDefault="003263F7">
      <w:pPr>
        <w:widowControl/>
        <w:rPr>
          <w:szCs w:val="24"/>
          <w:lang w:eastAsia="en-US"/>
        </w:rPr>
      </w:pPr>
      <w:r>
        <w:rPr>
          <w:szCs w:val="24"/>
          <w:lang w:eastAsia="en-US"/>
        </w:rPr>
        <w:br w:type="page"/>
      </w:r>
    </w:p>
    <w:p w14:paraId="2529BDE8" w14:textId="06D20BE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EU-Toldmyndighedens værtsmedlemsstat sikrer de bedst mulige vilkår for, at EU-Toldmyndigheden kan fungere, herunder tilbud om skoleundervisning på flere sprog med et europæisk indhold og hensigtsmæssige transportforbindelser.</w:t>
      </w:r>
    </w:p>
    <w:p w14:paraId="4D673BCE" w14:textId="2C966317" w:rsidR="003E0486" w:rsidRPr="00951CD0"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 xml:space="preserve">Under helt særlige omstændigheder kan den administrerende direktør beslutte at oprette </w:t>
      </w:r>
      <w:r w:rsidRPr="003E0486">
        <w:rPr>
          <w:strike/>
          <w:szCs w:val="24"/>
          <w:lang w:eastAsia="en-US"/>
        </w:rPr>
        <w:t>et lokalt kontor i en anden medlemsstat</w:t>
      </w:r>
      <w:r w:rsidRPr="003E0486">
        <w:rPr>
          <w:b/>
          <w:i/>
          <w:szCs w:val="24"/>
          <w:lang w:eastAsia="en-US"/>
        </w:rPr>
        <w:t>kontorer i andre medlemsstater</w:t>
      </w:r>
      <w:r w:rsidRPr="003E0486">
        <w:rPr>
          <w:szCs w:val="24"/>
          <w:lang w:eastAsia="en-US"/>
        </w:rPr>
        <w:t xml:space="preserve"> med henblik på at udføre EU-Toldmyndighedens opgaver på en mere effektiv, virkningsfuld og sammenhængende måde.</w:t>
      </w:r>
      <w:r w:rsidR="00951CD0">
        <w:rPr>
          <w:b/>
          <w:szCs w:val="24"/>
          <w:lang w:eastAsia="en-US"/>
        </w:rPr>
        <w:t xml:space="preserve"> [Ændring 262]</w:t>
      </w:r>
    </w:p>
    <w:p w14:paraId="0C6E3577" w14:textId="77777777" w:rsidR="003E0486" w:rsidRPr="003E0486" w:rsidRDefault="003E0486" w:rsidP="003E0486">
      <w:pPr>
        <w:spacing w:before="120" w:after="120" w:line="360" w:lineRule="auto"/>
        <w:ind w:left="850"/>
        <w:rPr>
          <w:szCs w:val="24"/>
          <w:lang w:eastAsia="en-US"/>
        </w:rPr>
      </w:pPr>
      <w:r w:rsidRPr="003E0486">
        <w:rPr>
          <w:szCs w:val="24"/>
          <w:lang w:eastAsia="en-US"/>
        </w:rPr>
        <w:t>Inden den administrerende direktør beslutter at oprette et lokalt kontor, indhenter han forudgående samtykke fra Kommissionen, bestyrelsen og den berørte medlemsstat. Beslutningen baseres på en passende cost-benefit-analyse, der navnlig påviser merværdien af en sådan beslutning. I beslutningen fastsættes omfanget af de aktiviteter, der skal udføres af det lokale kontor, således at der undgås unødige omkostninger og overlap af EU-Toldmyndigheden administrative funktioner.</w:t>
      </w:r>
    </w:p>
    <w:p w14:paraId="4DDE3A87" w14:textId="77777777" w:rsidR="003263F7" w:rsidRDefault="003263F7">
      <w:pPr>
        <w:widowControl/>
        <w:rPr>
          <w:szCs w:val="24"/>
          <w:lang w:eastAsia="en-US"/>
        </w:rPr>
      </w:pPr>
      <w:r>
        <w:rPr>
          <w:szCs w:val="24"/>
          <w:lang w:eastAsia="en-US"/>
        </w:rPr>
        <w:br w:type="page"/>
      </w:r>
    </w:p>
    <w:p w14:paraId="7B05D1B8" w14:textId="7CCFE056"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238</w:t>
      </w:r>
      <w:r w:rsidRPr="003E0486">
        <w:rPr>
          <w:szCs w:val="24"/>
          <w:lang w:eastAsia="en-US"/>
        </w:rPr>
        <w:br/>
        <w:t>Påbegyndelse af EU-Toldmyndighedens virksomhed</w:t>
      </w:r>
    </w:p>
    <w:p w14:paraId="294B8897" w14:textId="01F0FE01" w:rsidR="003E0486" w:rsidRPr="00951CD0"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EU-Toldmyndigheden oprettes fra 2026 og skal være fuldt operationel </w:t>
      </w:r>
      <w:r w:rsidRPr="003E0486">
        <w:rPr>
          <w:strike/>
          <w:szCs w:val="24"/>
          <w:lang w:eastAsia="en-US"/>
        </w:rPr>
        <w:t>senest i</w:t>
      </w:r>
      <w:r w:rsidRPr="003E0486">
        <w:rPr>
          <w:b/>
          <w:i/>
          <w:szCs w:val="24"/>
          <w:lang w:eastAsia="en-US"/>
        </w:rPr>
        <w:t>fra den 1. januar</w:t>
      </w:r>
      <w:r w:rsidRPr="003E0486">
        <w:rPr>
          <w:szCs w:val="24"/>
          <w:lang w:eastAsia="en-US"/>
        </w:rPr>
        <w:t xml:space="preserve"> 2028.</w:t>
      </w:r>
      <w:r w:rsidR="00951CD0">
        <w:rPr>
          <w:b/>
          <w:szCs w:val="24"/>
          <w:lang w:eastAsia="en-US"/>
        </w:rPr>
        <w:t xml:space="preserve"> [Ændring 263]</w:t>
      </w:r>
    </w:p>
    <w:p w14:paraId="51C3CF5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har ansvaret for oprettelsen og den indledende drift af EU-Toldmyndigheden, indtil EU-Toldmyndigheden har operationel kapacitet til at gennemføre sit eget budget. Med henblik herpå:</w:t>
      </w:r>
    </w:p>
    <w:p w14:paraId="5FF6F9B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kan Kommissionen, indtil den administrerende direktør tiltræder sin stilling efter at være blevet udnævnt af bestyrelsen i overensstemmelse med artikel 218, udpege en tjenestemand i Kommissionen, der skal fungere som midlertidig administrerende direktør og varetage de opgaver, der er tillagt den administrerende direktør</w:t>
      </w:r>
    </w:p>
    <w:p w14:paraId="20D63CD8"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udøver den midlertidige administrerende direktør, uanset artikel 215, stk. 1, litra i), og indtil den i artikel 215, stk. 2, nævnte afgørelse er truffet, ansættelsesmyndighedsbeføjelserne</w:t>
      </w:r>
    </w:p>
    <w:p w14:paraId="5A757264" w14:textId="77777777" w:rsidR="003263F7" w:rsidRDefault="003263F7">
      <w:pPr>
        <w:widowControl/>
        <w:rPr>
          <w:szCs w:val="24"/>
          <w:lang w:eastAsia="en-US"/>
        </w:rPr>
      </w:pPr>
      <w:r>
        <w:rPr>
          <w:szCs w:val="24"/>
          <w:lang w:eastAsia="en-US"/>
        </w:rPr>
        <w:br w:type="page"/>
      </w:r>
    </w:p>
    <w:p w14:paraId="55E8E4C3" w14:textId="61782D79"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(c)</w:t>
      </w:r>
      <w:r w:rsidRPr="003E0486">
        <w:rPr>
          <w:szCs w:val="24"/>
          <w:lang w:eastAsia="en-US"/>
        </w:rPr>
        <w:tab/>
        <w:t>kan Kommissionen tilbyde EU-Toldmyndigheden bistand, navnlig ved at udstationere tjenestemænd fra Kommissionen med henblik på at varetage EU-Toldmyndighedens opgaver under den midlertidige administrerende direktørs eller den administrerende direktørs ansvar</w:t>
      </w:r>
    </w:p>
    <w:p w14:paraId="629CF2D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kan den midlertidige administrerende direktør anvise alle betalinger, der er omfattet af bevillinger i EU-Toldmyndighedens budget, og indgå kontrakter, herunder ansættelseskontrakter, når EU-Toldmyndighedens stillingsfortegnelse er vedtaget.</w:t>
      </w:r>
    </w:p>
    <w:p w14:paraId="3A1C1DEF"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Afsnit XIII </w:t>
      </w:r>
      <w:r w:rsidRPr="003E0486">
        <w:rPr>
          <w:szCs w:val="24"/>
          <w:lang w:eastAsia="en-US"/>
        </w:rPr>
        <w:br/>
        <w:t>TOLDSAMARBEJDE</w:t>
      </w:r>
    </w:p>
    <w:p w14:paraId="63B523C7"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239</w:t>
      </w:r>
      <w:r w:rsidRPr="003E0486">
        <w:rPr>
          <w:szCs w:val="24"/>
          <w:lang w:eastAsia="en-US"/>
        </w:rPr>
        <w:br/>
        <w:t>Internt toldsamarbejde</w:t>
      </w:r>
    </w:p>
    <w:p w14:paraId="372A6DD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Uden at det berører bestemmelserne i forordning (EF) nr. 515/97 samarbejder toldmyndighederne med hinanden, med Kommissionen og med EU-Toldmyndigheden i overensstemmelse med toldlovgivningen og anden EU-lovgivning, der indeholder bestemmelser om et sådant samarbejde, med henblik på at sikre en korrekt og ensartet anvendelse af denne lovgivning og støtte opfyldelsen af deres opgaver, jf. artikel 2.</w:t>
      </w:r>
    </w:p>
    <w:p w14:paraId="62681FDB" w14:textId="77777777" w:rsidR="003263F7" w:rsidRDefault="003263F7">
      <w:pPr>
        <w:widowControl/>
        <w:rPr>
          <w:szCs w:val="24"/>
          <w:lang w:eastAsia="en-US"/>
        </w:rPr>
      </w:pPr>
      <w:r>
        <w:rPr>
          <w:szCs w:val="24"/>
          <w:lang w:eastAsia="en-US"/>
        </w:rPr>
        <w:br w:type="page"/>
      </w:r>
    </w:p>
    <w:p w14:paraId="71C4EE87" w14:textId="66B254B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Toldmyndighederne kan midlertidigt stille toldembedsmænd til rådighed med henblik på arbejde hos toldmyndighederne i en anden medlemsstat. EU-Toldmyndigheden underrettes og kan koordinere sådanne opgaver.</w:t>
      </w:r>
    </w:p>
    <w:p w14:paraId="2AFFA2F0" w14:textId="4B16E56C"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Toldmyndighederne kan foretage fælles kontroller ud over dem, der er fastsat i artikel 241. Toldmyndighederne underretter EU-Toldmyndigheden om en sådanne fælles kontroller.</w:t>
      </w:r>
    </w:p>
    <w:p w14:paraId="2C1A884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Kommissionen, OLAF og EU-Toldmyndigheden kan udveksle data, der er relevante for det samarbejde, der er omhandlet i dette afsnit, herunder risikooplysninger. EU-Toldmyndigheden sikrer effektiv anvendelse af sådanne oplysninger i sine risikoforvaltningsaktiviteter i overensstemmelse med dette afsnit og afsnit XII.</w:t>
      </w:r>
    </w:p>
    <w:p w14:paraId="08E8EC00" w14:textId="77777777" w:rsidR="003263F7" w:rsidRDefault="003263F7">
      <w:pPr>
        <w:widowControl/>
        <w:rPr>
          <w:b/>
          <w:i/>
          <w:szCs w:val="24"/>
          <w:lang w:eastAsia="en-US"/>
        </w:rPr>
      </w:pPr>
      <w:r>
        <w:rPr>
          <w:b/>
          <w:i/>
          <w:szCs w:val="24"/>
          <w:lang w:eastAsia="en-US"/>
        </w:rPr>
        <w:br w:type="page"/>
      </w:r>
    </w:p>
    <w:p w14:paraId="10EA393A" w14:textId="5D2E8D2D" w:rsidR="003E0486" w:rsidRPr="003E0486" w:rsidRDefault="003263F7" w:rsidP="003E0486">
      <w:pPr>
        <w:spacing w:before="120" w:after="120" w:line="360" w:lineRule="auto"/>
        <w:jc w:val="center"/>
        <w:rPr>
          <w:szCs w:val="24"/>
          <w:lang w:eastAsia="en-US"/>
        </w:rPr>
      </w:pPr>
      <w:r>
        <w:rPr>
          <w:b/>
          <w:i/>
          <w:szCs w:val="24"/>
          <w:lang w:eastAsia="en-US"/>
        </w:rPr>
        <w:lastRenderedPageBreak/>
        <w:t>A</w:t>
      </w:r>
      <w:r w:rsidR="003E0486" w:rsidRPr="003E0486">
        <w:rPr>
          <w:b/>
          <w:i/>
          <w:szCs w:val="24"/>
          <w:lang w:eastAsia="en-US"/>
        </w:rPr>
        <w:t>rtikel 239a</w:t>
      </w:r>
      <w:r w:rsidR="003E0486" w:rsidRPr="003E0486">
        <w:rPr>
          <w:szCs w:val="24"/>
          <w:lang w:eastAsia="en-US"/>
        </w:rPr>
        <w:br/>
      </w:r>
      <w:r w:rsidR="003E0486" w:rsidRPr="003E0486">
        <w:rPr>
          <w:b/>
          <w:i/>
          <w:szCs w:val="24"/>
          <w:lang w:eastAsia="en-US"/>
        </w:rPr>
        <w:t>Platform for indberetning af varer</w:t>
      </w:r>
    </w:p>
    <w:p w14:paraId="04A2131B"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1.</w:t>
      </w:r>
      <w:r w:rsidRPr="003E0486">
        <w:rPr>
          <w:szCs w:val="24"/>
          <w:lang w:eastAsia="en-US"/>
        </w:rPr>
        <w:tab/>
      </w:r>
      <w:r w:rsidRPr="003E0486">
        <w:rPr>
          <w:b/>
          <w:i/>
          <w:szCs w:val="24"/>
          <w:lang w:eastAsia="en-US"/>
        </w:rPr>
        <w:t>EU-Toldmyndigheden opretter en platform for indberetning af varer ("platformen") for at give myndigheder, virksomheder, forbrugere og borgere mulighed for at indberette varer, der indføres på det indre marked, og som ikke er i overensstemmelse med standarderne for overensstemmelse og/eller relevant EU-lovgivning.</w:t>
      </w:r>
    </w:p>
    <w:p w14:paraId="58C3ACA7" w14:textId="0CA0B3AC" w:rsidR="003E0486" w:rsidRPr="003E0486" w:rsidRDefault="003E0486" w:rsidP="003E0486">
      <w:pPr>
        <w:spacing w:before="120" w:after="120" w:line="360" w:lineRule="auto"/>
        <w:ind w:left="850" w:hanging="850"/>
        <w:rPr>
          <w:szCs w:val="24"/>
          <w:lang w:eastAsia="en-US"/>
        </w:rPr>
      </w:pPr>
      <w:r w:rsidRPr="003E0486">
        <w:rPr>
          <w:b/>
          <w:i/>
          <w:szCs w:val="24"/>
          <w:lang w:eastAsia="en-US"/>
        </w:rPr>
        <w:t>2.</w:t>
      </w:r>
      <w:r w:rsidRPr="003E0486">
        <w:rPr>
          <w:szCs w:val="24"/>
          <w:lang w:eastAsia="en-US"/>
        </w:rPr>
        <w:tab/>
      </w:r>
      <w:r w:rsidRPr="003E0486">
        <w:rPr>
          <w:b/>
          <w:i/>
          <w:szCs w:val="24"/>
          <w:lang w:eastAsia="en-US"/>
        </w:rPr>
        <w:t xml:space="preserve">Platformen skal oprettes som en online platform, være let tilgængelig, forståelig og være til rådighed på alle </w:t>
      </w:r>
      <w:r w:rsidR="00B27E53">
        <w:rPr>
          <w:b/>
          <w:i/>
          <w:szCs w:val="24"/>
          <w:lang w:eastAsia="en-US"/>
        </w:rPr>
        <w:t>Unionens</w:t>
      </w:r>
      <w:r w:rsidRPr="003E0486">
        <w:rPr>
          <w:b/>
          <w:i/>
          <w:szCs w:val="24"/>
          <w:lang w:eastAsia="en-US"/>
        </w:rPr>
        <w:t xml:space="preserve"> officielle sprog.</w:t>
      </w:r>
    </w:p>
    <w:p w14:paraId="65C36532" w14:textId="77777777" w:rsidR="003E0486" w:rsidRPr="003E0486" w:rsidRDefault="003E0486" w:rsidP="003E0486">
      <w:pPr>
        <w:spacing w:before="120" w:after="120" w:line="360" w:lineRule="auto"/>
        <w:ind w:left="850" w:hanging="850"/>
        <w:rPr>
          <w:szCs w:val="24"/>
          <w:lang w:eastAsia="en-US"/>
        </w:rPr>
      </w:pPr>
      <w:r w:rsidRPr="003E0486">
        <w:rPr>
          <w:b/>
          <w:i/>
          <w:szCs w:val="24"/>
          <w:lang w:eastAsia="en-US"/>
        </w:rPr>
        <w:t>3.</w:t>
      </w:r>
      <w:r w:rsidRPr="003E0486">
        <w:rPr>
          <w:szCs w:val="24"/>
          <w:lang w:eastAsia="en-US"/>
        </w:rPr>
        <w:tab/>
      </w:r>
      <w:r w:rsidRPr="003E0486">
        <w:rPr>
          <w:b/>
          <w:i/>
          <w:szCs w:val="24"/>
          <w:lang w:eastAsia="en-US"/>
        </w:rPr>
        <w:t>EU-Toldmyndigheden vurderer de oplysninger, der indhentes via platformen, og underretter, om nødvendigt, toldmyndighederne i en eller flere af de medlemsstater, hvor en indberettet vare er blevet henført. Toldmyndigheden vurderer kun de varer, der er blevet henført på det indre marked i en eller flere medlemsstater.</w:t>
      </w:r>
    </w:p>
    <w:p w14:paraId="140E29E6" w14:textId="0C199340" w:rsidR="003E0486" w:rsidRPr="003E0486" w:rsidRDefault="003E0486" w:rsidP="003E0486">
      <w:pPr>
        <w:spacing w:before="120" w:after="120" w:line="360" w:lineRule="auto"/>
        <w:ind w:left="850" w:hanging="850"/>
        <w:rPr>
          <w:szCs w:val="24"/>
          <w:lang w:eastAsia="en-US"/>
        </w:rPr>
      </w:pPr>
      <w:r w:rsidRPr="003E0486">
        <w:rPr>
          <w:b/>
          <w:i/>
          <w:szCs w:val="24"/>
          <w:lang w:eastAsia="en-US"/>
        </w:rPr>
        <w:t>4.</w:t>
      </w:r>
      <w:r w:rsidRPr="003E0486">
        <w:rPr>
          <w:szCs w:val="24"/>
          <w:lang w:eastAsia="en-US"/>
        </w:rPr>
        <w:tab/>
      </w:r>
      <w:r w:rsidRPr="003E0486">
        <w:rPr>
          <w:b/>
          <w:i/>
          <w:szCs w:val="24"/>
          <w:lang w:eastAsia="en-US"/>
        </w:rPr>
        <w:t>Den underrettede toldmyndighed</w:t>
      </w:r>
      <w:r w:rsidR="00BB6E07">
        <w:rPr>
          <w:b/>
          <w:i/>
          <w:szCs w:val="24"/>
          <w:lang w:eastAsia="en-US"/>
        </w:rPr>
        <w:t xml:space="preserve">, der er omhandlet i </w:t>
      </w:r>
      <w:r w:rsidRPr="003E0486">
        <w:rPr>
          <w:b/>
          <w:i/>
          <w:szCs w:val="24"/>
          <w:lang w:eastAsia="en-US"/>
        </w:rPr>
        <w:t>stk. 3, samarbejder med andre myndigheder på nationalt plan, herunder, men ikke begrænset til, markedsovervågningsmyndigheder, sundheds- og plantesundhedsmyndigheder, retshåndhævende myndigheder og skattemyndigheder om at gennemføre foranstaltninger for at fjerne en indberettet vare fra det indre marked. Den underrettede toldmyndighed indberetter disse foranstaltninger til EU-Toldmyndigheden senest 30 dage efter, at der er truffet en foranstaltning.</w:t>
      </w:r>
    </w:p>
    <w:p w14:paraId="7E6A2442" w14:textId="0374387C" w:rsidR="003E0486" w:rsidRPr="00200494" w:rsidRDefault="003E0486" w:rsidP="003E0486">
      <w:pPr>
        <w:spacing w:before="120" w:after="120" w:line="360" w:lineRule="auto"/>
        <w:ind w:left="850" w:hanging="850"/>
        <w:rPr>
          <w:b/>
          <w:szCs w:val="24"/>
          <w:lang w:eastAsia="en-US"/>
        </w:rPr>
      </w:pPr>
      <w:r w:rsidRPr="003E0486">
        <w:rPr>
          <w:b/>
          <w:i/>
          <w:szCs w:val="24"/>
          <w:lang w:eastAsia="en-US"/>
        </w:rPr>
        <w:t>5.</w:t>
      </w:r>
      <w:r w:rsidRPr="003E0486">
        <w:rPr>
          <w:szCs w:val="24"/>
          <w:lang w:eastAsia="en-US"/>
        </w:rPr>
        <w:tab/>
      </w:r>
      <w:r w:rsidRPr="003E0486">
        <w:rPr>
          <w:b/>
          <w:i/>
          <w:szCs w:val="24"/>
          <w:lang w:eastAsia="en-US"/>
        </w:rPr>
        <w:t>EU-Toldmyndigheden sikrer, at alle relevante data vedrørende indberettede varer er tilgængelige i EU's tolddatacenter. EU-Toldmyndigheden kan anmode toldmyndighederne om at indsende relevante data til dette formål.</w:t>
      </w:r>
      <w:r w:rsidR="00200494">
        <w:rPr>
          <w:b/>
          <w:szCs w:val="24"/>
          <w:lang w:eastAsia="en-US"/>
        </w:rPr>
        <w:t xml:space="preserve"> [Ændring 264]</w:t>
      </w:r>
    </w:p>
    <w:p w14:paraId="17A3CADE" w14:textId="77777777" w:rsidR="003263F7" w:rsidRDefault="003263F7">
      <w:pPr>
        <w:widowControl/>
        <w:rPr>
          <w:szCs w:val="24"/>
          <w:lang w:eastAsia="en-US"/>
        </w:rPr>
      </w:pPr>
      <w:r>
        <w:rPr>
          <w:szCs w:val="24"/>
          <w:lang w:eastAsia="en-US"/>
        </w:rPr>
        <w:br w:type="page"/>
      </w:r>
    </w:p>
    <w:p w14:paraId="48FDF1A9" w14:textId="5DEAE6C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240</w:t>
      </w:r>
      <w:r w:rsidRPr="003E0486">
        <w:rPr>
          <w:szCs w:val="24"/>
          <w:lang w:eastAsia="en-US"/>
        </w:rPr>
        <w:br/>
        <w:t>Ramme for samarbejde med andre myndigheder</w:t>
      </w:r>
    </w:p>
    <w:p w14:paraId="512CB9A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Toldmyndighederne samarbejder med andre myndigheder på nationalt plan, herunder, men ikke begrænset til, markedsovervågningsmyndigheder, sundheds- og plantesundhedsmyndigheder, retshåndhævende myndigheder og skattemyndigheder for så vidt angår anden lovgivning, der anvendes af toldmyndighederne, opkrævning af told og skatter og andre relevante samarbejdsområder. Hvor det er relevant, samarbejder toldmyndighederne også med relevante organer, ekspertgrupper, agenturer, kontorer eller netværk, der koordinerer andre myndigheders aktiviteter på EU-plan. Hvor det er relevant, samarbejder toldmyndighederne også med andre relevante parter på EU-plan, jf. stk. 9, og de involverede toldmyndigheder underretter EU-Toldmyndigheden herom.</w:t>
      </w:r>
    </w:p>
    <w:p w14:paraId="3BDA628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Det i stk. 1 omhandlede samarbejde skal finde sted regelmæssigt og på en struktureret måde. Det skal navnlig forfølge følgende mål:</w:t>
      </w:r>
    </w:p>
    <w:p w14:paraId="4401C2D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ydelse af bidrag til den lovgivningsmæssige udvikling på politikområder af relevans for toldvæsenet og at følge denne udvikling</w:t>
      </w:r>
    </w:p>
    <w:p w14:paraId="7F9B0BEE" w14:textId="77777777" w:rsidR="003263F7" w:rsidRDefault="003263F7">
      <w:pPr>
        <w:widowControl/>
        <w:rPr>
          <w:szCs w:val="24"/>
          <w:lang w:eastAsia="en-US"/>
        </w:rPr>
      </w:pPr>
      <w:r>
        <w:rPr>
          <w:szCs w:val="24"/>
          <w:lang w:eastAsia="en-US"/>
        </w:rPr>
        <w:br w:type="page"/>
      </w:r>
    </w:p>
    <w:p w14:paraId="129D3D27" w14:textId="01AA5C14"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udveksling af data, navnlig data, der er relevante for risikoforvaltning i overensstemmelse med afsnit IV, kapitel 3</w:t>
      </w:r>
    </w:p>
    <w:p w14:paraId="353FC2BB"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udvikling af sammenhængende og koordinerede tilsynsstrategier for risikoforvaltning med hensyn til varer under både toldmyndighedernes og andre myndigheders ansvarsområder i overensstemmelse med afsnit IV, kapitel 3</w:t>
      </w:r>
    </w:p>
    <w:p w14:paraId="6A1E574C" w14:textId="4C32A67A"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den operationelle gennemførelse, herunder gennemførelse af fælles kontroller i overensstemmelse med artikel 241</w:t>
      </w:r>
    </w:p>
    <w:p w14:paraId="2907F6DF" w14:textId="486C2DDC" w:rsidR="003E0486" w:rsidRPr="00200494"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da)</w:t>
      </w:r>
      <w:r w:rsidR="003E0486" w:rsidRPr="003E0486">
        <w:rPr>
          <w:szCs w:val="24"/>
          <w:lang w:eastAsia="en-US"/>
        </w:rPr>
        <w:tab/>
      </w:r>
      <w:r w:rsidR="003E0486" w:rsidRPr="003E0486">
        <w:rPr>
          <w:b/>
          <w:i/>
          <w:szCs w:val="24"/>
          <w:lang w:eastAsia="en-US"/>
        </w:rPr>
        <w:t>udveksling af færdigheder og bedste praksis via fælles uddannelse i, hvordan produkter, der ikke opfylder kravene, opdages, herunder at holde sig opdateret om anden EU-lovgivning, der fastsætter krav om overholdelse såsom dem, som vedrører produktsikkerhed og bæredygtighed.</w:t>
      </w:r>
      <w:r w:rsidR="00200494">
        <w:rPr>
          <w:b/>
          <w:szCs w:val="24"/>
          <w:lang w:eastAsia="en-US"/>
        </w:rPr>
        <w:t xml:space="preserve"> [Ændring 265]</w:t>
      </w:r>
    </w:p>
    <w:p w14:paraId="319690F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indgår, uden at dette berører Kommissionens beføjelser og med forbehold af dennes forudgående godkendelse, samarbejdsordninger med henblik på at udvikle og ajourføre en ramme for det samarbejde, der er omhandlet i stk. 1, med inddragelse af andre relevante parter som omhandlet i stk. 9, og EU-Toldmyndigheden udstikker retningslinjer for rammens praktiske gennemførelse, mål og centrale samarbejdsområder i overensstemmelse med denne artikels stk. 2 og denne forordnings afsnit III.</w:t>
      </w:r>
    </w:p>
    <w:p w14:paraId="130A2F1D" w14:textId="77777777" w:rsidR="003263F7" w:rsidRDefault="003263F7">
      <w:pPr>
        <w:widowControl/>
        <w:rPr>
          <w:b/>
          <w:i/>
          <w:szCs w:val="24"/>
          <w:lang w:eastAsia="en-US"/>
        </w:rPr>
      </w:pPr>
      <w:r>
        <w:rPr>
          <w:b/>
          <w:i/>
          <w:szCs w:val="24"/>
          <w:lang w:eastAsia="en-US"/>
        </w:rPr>
        <w:br w:type="page"/>
      </w:r>
    </w:p>
    <w:p w14:paraId="784355C6" w14:textId="4E2975A8" w:rsidR="003E0486" w:rsidRPr="00200494" w:rsidRDefault="003E0486" w:rsidP="003E0486">
      <w:pPr>
        <w:spacing w:before="120" w:after="120" w:line="360" w:lineRule="auto"/>
        <w:ind w:left="850" w:hanging="850"/>
        <w:rPr>
          <w:b/>
          <w:szCs w:val="24"/>
          <w:lang w:eastAsia="en-US"/>
        </w:rPr>
      </w:pPr>
      <w:r w:rsidRPr="003E0486">
        <w:rPr>
          <w:b/>
          <w:i/>
          <w:szCs w:val="24"/>
          <w:lang w:eastAsia="en-US"/>
        </w:rPr>
        <w:lastRenderedPageBreak/>
        <w:t>3a.</w:t>
      </w:r>
      <w:r w:rsidRPr="003E0486">
        <w:rPr>
          <w:szCs w:val="24"/>
          <w:lang w:eastAsia="en-US"/>
        </w:rPr>
        <w:tab/>
      </w:r>
      <w:r w:rsidRPr="003E0486">
        <w:rPr>
          <w:b/>
          <w:i/>
          <w:szCs w:val="24"/>
          <w:lang w:eastAsia="en-US"/>
        </w:rPr>
        <w:t xml:space="preserve">Toldmyndighederne underretter </w:t>
      </w:r>
      <w:r w:rsidR="00BB6E07">
        <w:rPr>
          <w:b/>
          <w:i/>
          <w:szCs w:val="24"/>
          <w:lang w:eastAsia="en-US"/>
        </w:rPr>
        <w:t>omgående</w:t>
      </w:r>
      <w:r w:rsidR="00BB6E07" w:rsidRPr="003E0486">
        <w:rPr>
          <w:b/>
          <w:i/>
          <w:szCs w:val="24"/>
          <w:lang w:eastAsia="en-US"/>
        </w:rPr>
        <w:t xml:space="preserve"> </w:t>
      </w:r>
      <w:r w:rsidRPr="003E0486">
        <w:rPr>
          <w:b/>
          <w:i/>
          <w:szCs w:val="24"/>
          <w:lang w:eastAsia="en-US"/>
        </w:rPr>
        <w:t>de kompetente EU- og nationale myndigheder om enhver formodet overtrædelse af EU-lovgivningen og sender en underretning til EU's tolddatacenter.</w:t>
      </w:r>
      <w:r w:rsidR="00200494">
        <w:rPr>
          <w:b/>
          <w:szCs w:val="24"/>
          <w:lang w:eastAsia="en-US"/>
        </w:rPr>
        <w:t xml:space="preserve"> [Ændring 266]</w:t>
      </w:r>
    </w:p>
    <w:p w14:paraId="4A3E802B"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Hvis en toldmyndighed samarbejder med en anden myndighed i en anden medlemsstat, underretter den toldmyndigheden i den pågældende medlemsstat herom. Hvis samarbejdet omfatter mere end to medlemsstater, underretter de involverede toldmyndigheder EU-Toldmyndigheden, som kan yde operationel og koordineringsmæssig bistand i overensstemmelse med artikel 208.</w:t>
      </w:r>
    </w:p>
    <w:p w14:paraId="5AC7D98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Medlemsstaterne aflægger hvert år rapport til EU-Toldmyndigheden om anvendelsen af rammen for samarbejdet. EU-Toldmyndigheden tager hensyn til resultaterne af denne rapportering i sine overvågningsaktiviteter, jf. artikel 208, stk. 3, litra a), og sine resultatmålingsopgaver, jf. artikel 208, stk. 3, litra b).</w:t>
      </w:r>
    </w:p>
    <w:p w14:paraId="3FF1A73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Indtil den dato, der er angivet i artikel 238, stk. 1, kan Kommissionen udføre EU-Toldmyndighedens opgaver som omhandlet i stk. 3.</w:t>
      </w:r>
    </w:p>
    <w:p w14:paraId="0308AD20" w14:textId="77777777" w:rsidR="003263F7" w:rsidRDefault="003263F7">
      <w:pPr>
        <w:widowControl/>
        <w:rPr>
          <w:szCs w:val="24"/>
          <w:lang w:eastAsia="en-US"/>
        </w:rPr>
      </w:pPr>
      <w:r>
        <w:rPr>
          <w:szCs w:val="24"/>
          <w:lang w:eastAsia="en-US"/>
        </w:rPr>
        <w:br w:type="page"/>
      </w:r>
    </w:p>
    <w:p w14:paraId="34A92DF8" w14:textId="08BE2E73"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7.</w:t>
      </w:r>
      <w:r w:rsidRPr="003E0486">
        <w:rPr>
          <w:szCs w:val="24"/>
          <w:lang w:eastAsia="en-US"/>
        </w:rPr>
        <w:tab/>
        <w:t>EU-Toldmyndigheden kan samarbejde med andre myndigheder på nationalt plan og med Kommissionen og andre EU-institutioner, -kontorer, -agenturer, -netværk og -organer med henblik på at bidrage til de mål, der er omhandlet i stk. 2, og til den ramme for samarbejde, der er omhandlet i stk. 3.</w:t>
      </w:r>
    </w:p>
    <w:p w14:paraId="59554B06" w14:textId="77777777" w:rsidR="003E0486" w:rsidRPr="003E0486" w:rsidRDefault="003E0486" w:rsidP="003E0486">
      <w:pPr>
        <w:spacing w:before="120" w:after="120" w:line="360" w:lineRule="auto"/>
        <w:ind w:left="850"/>
        <w:rPr>
          <w:szCs w:val="24"/>
          <w:lang w:eastAsia="en-US"/>
        </w:rPr>
      </w:pPr>
      <w:r w:rsidRPr="003E0486">
        <w:rPr>
          <w:szCs w:val="24"/>
          <w:lang w:eastAsia="en-US"/>
        </w:rPr>
        <w:t>Med henblik herpå kan EU-Toldmyndigheden på betingelse af bestyrelsens tilladelse og efter Kommissionens godkendelse indgå samarbejdsordninger med EU-organer eller andre myndigheder på nationalt plan. Disse administrative ordninger må ikke skabe retlige forpligtelser, og de skal fastlægge arten og omfanget af det påtænkte samarbejde og den måde, hvorpå det skal finde sted.</w:t>
      </w:r>
    </w:p>
    <w:p w14:paraId="382C0D68" w14:textId="06C2E9F0" w:rsidR="003E0486" w:rsidRPr="00200494" w:rsidRDefault="003E0486" w:rsidP="003E0486">
      <w:pPr>
        <w:spacing w:before="120" w:after="120" w:line="360" w:lineRule="auto"/>
        <w:ind w:left="850" w:hanging="850"/>
        <w:rPr>
          <w:b/>
          <w:szCs w:val="24"/>
          <w:lang w:eastAsia="en-US"/>
        </w:rPr>
      </w:pPr>
      <w:r w:rsidRPr="003E0486">
        <w:rPr>
          <w:szCs w:val="24"/>
          <w:lang w:eastAsia="en-US"/>
        </w:rPr>
        <w:t>8.</w:t>
      </w:r>
      <w:r w:rsidRPr="003E0486">
        <w:rPr>
          <w:szCs w:val="24"/>
          <w:lang w:eastAsia="en-US"/>
        </w:rPr>
        <w:tab/>
        <w:t>EU-Toldmyndigheden arbejder tæt sammen med OLAF</w:t>
      </w:r>
      <w:r w:rsidRPr="003E0486">
        <w:rPr>
          <w:b/>
          <w:i/>
          <w:szCs w:val="24"/>
          <w:lang w:eastAsia="en-US"/>
        </w:rPr>
        <w:t xml:space="preserve"> og EPPO</w:t>
      </w:r>
      <w:r w:rsidRPr="003E0486">
        <w:rPr>
          <w:szCs w:val="24"/>
          <w:lang w:eastAsia="en-US"/>
        </w:rPr>
        <w:t xml:space="preserve"> i tilfælde af svig eller mistanke om svig i forbindelse med dens samarbejdsaktiviteter.</w:t>
      </w:r>
      <w:r w:rsidR="00200494">
        <w:rPr>
          <w:b/>
          <w:szCs w:val="24"/>
          <w:lang w:eastAsia="en-US"/>
        </w:rPr>
        <w:t xml:space="preserve"> [Ændring 267]</w:t>
      </w:r>
    </w:p>
    <w:p w14:paraId="0D0B1BA9"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9.</w:t>
      </w:r>
      <w:r w:rsidRPr="003E0486">
        <w:rPr>
          <w:szCs w:val="24"/>
          <w:lang w:eastAsia="en-US"/>
        </w:rPr>
        <w:tab/>
        <w:t>EU-Toldmyndigheden kan udvikle en ramme for operationelt samarbejde med andre EU-organer, herunder Europol og Frontex, i overensstemmelse med stk. 2, 4 og 5, og kan deltage i og bidrage til strategiske analyser og trusselsvurderinger, politikcyklusser, innovationsprogrammer, uddannelsesaktiviteter, netværk og andre aktiviteter, der er relevante for gennemførelsen af dens opgaver, og som tilrettelægges af sådanne andre organer.</w:t>
      </w:r>
    </w:p>
    <w:p w14:paraId="64FFB86E" w14:textId="77777777" w:rsidR="003263F7" w:rsidRDefault="003263F7">
      <w:pPr>
        <w:widowControl/>
        <w:rPr>
          <w:szCs w:val="24"/>
          <w:lang w:eastAsia="en-US"/>
        </w:rPr>
      </w:pPr>
      <w:r>
        <w:rPr>
          <w:szCs w:val="24"/>
          <w:lang w:eastAsia="en-US"/>
        </w:rPr>
        <w:br w:type="page"/>
      </w:r>
    </w:p>
    <w:p w14:paraId="7E30E3CE" w14:textId="7EE652B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241</w:t>
      </w:r>
      <w:r w:rsidRPr="003E0486">
        <w:rPr>
          <w:szCs w:val="24"/>
          <w:lang w:eastAsia="en-US"/>
        </w:rPr>
        <w:br/>
        <w:t xml:space="preserve">Fælles kontroller </w:t>
      </w:r>
    </w:p>
    <w:p w14:paraId="34A045A1" w14:textId="13BF74DD" w:rsidR="003E0486" w:rsidRPr="00200494"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EU-Toldmyndigheden planlægger, tilrettelægger og koordinerer fælles kontroller, der udføres af toldmyndighederne, i givet fald i samarbejde med andre myndigheder, organer og agenturer</w:t>
      </w:r>
      <w:r w:rsidRPr="003E0486">
        <w:rPr>
          <w:b/>
          <w:i/>
          <w:szCs w:val="24"/>
          <w:lang w:eastAsia="en-US"/>
        </w:rPr>
        <w:t>, herunder Europol,</w:t>
      </w:r>
      <w:r w:rsidRPr="003E0486">
        <w:rPr>
          <w:szCs w:val="24"/>
          <w:lang w:eastAsia="en-US"/>
        </w:rPr>
        <w:t xml:space="preserve"> i overensstemmelse med artikel 240, stk. 9.</w:t>
      </w:r>
      <w:r w:rsidR="00200494">
        <w:rPr>
          <w:b/>
          <w:szCs w:val="24"/>
          <w:lang w:eastAsia="en-US"/>
        </w:rPr>
        <w:t xml:space="preserve"> [Ændring 268]</w:t>
      </w:r>
    </w:p>
    <w:p w14:paraId="039C0BA2" w14:textId="7DD0F8D4" w:rsidR="003E0486" w:rsidRPr="00200494"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Med henblik herpå følger EU-Toldmyndigheden de toldpolitiske prioriteter og sikrer de nødvendige forbindelser og den nødvendige koordinering med OLAF's </w:t>
      </w:r>
      <w:r w:rsidRPr="003E0486">
        <w:rPr>
          <w:strike/>
          <w:szCs w:val="24"/>
          <w:lang w:eastAsia="en-US"/>
        </w:rPr>
        <w:t xml:space="preserve">og EPPO's </w:t>
      </w:r>
      <w:r w:rsidRPr="003E0486">
        <w:rPr>
          <w:szCs w:val="24"/>
          <w:lang w:eastAsia="en-US"/>
        </w:rPr>
        <w:t>aktiviteter til bekæmpelse af svig</w:t>
      </w:r>
      <w:r w:rsidRPr="003E0486">
        <w:rPr>
          <w:b/>
          <w:i/>
          <w:szCs w:val="24"/>
          <w:lang w:eastAsia="en-US"/>
        </w:rPr>
        <w:t>, Europol</w:t>
      </w:r>
      <w:r w:rsidRPr="003E0486">
        <w:rPr>
          <w:szCs w:val="24"/>
          <w:lang w:eastAsia="en-US"/>
        </w:rPr>
        <w:t xml:space="preserve"> og nationale toldundersøgelser og national toldefterforskning</w:t>
      </w:r>
      <w:r w:rsidRPr="003E0486">
        <w:rPr>
          <w:b/>
          <w:i/>
          <w:szCs w:val="24"/>
          <w:lang w:eastAsia="en-US"/>
        </w:rPr>
        <w:t>, samt EPPO's eller andre kompetente nationale myndigheders strafferetlige efterforskning</w:t>
      </w:r>
      <w:r w:rsidRPr="003E0486">
        <w:rPr>
          <w:szCs w:val="24"/>
          <w:lang w:eastAsia="en-US"/>
        </w:rPr>
        <w:t>.</w:t>
      </w:r>
      <w:r w:rsidR="00200494">
        <w:rPr>
          <w:b/>
          <w:szCs w:val="24"/>
          <w:lang w:eastAsia="en-US"/>
        </w:rPr>
        <w:t xml:space="preserve"> [Ændring 269]</w:t>
      </w:r>
    </w:p>
    <w:p w14:paraId="1476E6A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For at gøre det muligt for EU-Toldmyndigheden at udarbejde en rapport og foretage en evaluering giver toldmyndighederne EU-Toldmyndigheden feedback om de aktiviteter og kontroller, de har udført i forbindelse med en fælles kontrol.</w:t>
      </w:r>
    </w:p>
    <w:p w14:paraId="30EE0DAD" w14:textId="77777777" w:rsidR="003263F7" w:rsidRDefault="003263F7">
      <w:pPr>
        <w:widowControl/>
        <w:rPr>
          <w:szCs w:val="24"/>
          <w:lang w:eastAsia="en-US"/>
        </w:rPr>
      </w:pPr>
      <w:r>
        <w:rPr>
          <w:szCs w:val="24"/>
          <w:lang w:eastAsia="en-US"/>
        </w:rPr>
        <w:br w:type="page"/>
      </w:r>
    </w:p>
    <w:p w14:paraId="307C1D64" w14:textId="41533A3D"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242</w:t>
      </w:r>
      <w:r w:rsidRPr="003E0486">
        <w:rPr>
          <w:szCs w:val="24"/>
          <w:lang w:eastAsia="en-US"/>
        </w:rPr>
        <w:br/>
        <w:t>Foranstaltninger, som skal træffes af toldmyndighederne</w:t>
      </w:r>
    </w:p>
    <w:p w14:paraId="2480550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I overensstemmelse med anden lovgivning, der anvendes af toldmyndighederne, kan toldmyndighederne iværksætte enhver af følgende foranstaltninger:</w:t>
      </w:r>
    </w:p>
    <w:p w14:paraId="6A4BB7C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indsamle specifikke data for alle forsendelser, herunder automatisk kontrol af ikketoldrelaterede EU-formaliteter, forudsat at de er lagret i et centralt EU-register</w:t>
      </w:r>
    </w:p>
    <w:p w14:paraId="75D52D65"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tilvejebringe statistikker og analyser og oplysninger om tendenser, navnlig på risikoområdet</w:t>
      </w:r>
    </w:p>
    <w:p w14:paraId="0E3B641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lette og koordinere andre myndigheders kontrol</w:t>
      </w:r>
    </w:p>
    <w:p w14:paraId="177ABB11"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foretage kontrol af bestemte forsendelser udvalgt på grundlag af risikoforvaltning i overensstemmelse med afsnit IV og under hensyntagen til den analyse, der er omhandlet i litra b)</w:t>
      </w:r>
    </w:p>
    <w:p w14:paraId="5A673B5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høre andre myndigheder, inden varer frigives i overensstemmelse med artikel 60</w:t>
      </w:r>
    </w:p>
    <w:p w14:paraId="455B587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træffe enhver nødvendig foranstaltning vedrørende varer, der ikke overholder reglerne, herunder konfiskering, salg eller tilintetgørelse af disse varer</w:t>
      </w:r>
    </w:p>
    <w:p w14:paraId="18084A44" w14:textId="77777777" w:rsidR="003263F7" w:rsidRDefault="003263F7">
      <w:pPr>
        <w:widowControl/>
        <w:rPr>
          <w:szCs w:val="24"/>
          <w:lang w:eastAsia="en-US"/>
        </w:rPr>
      </w:pPr>
      <w:r>
        <w:rPr>
          <w:szCs w:val="24"/>
          <w:lang w:eastAsia="en-US"/>
        </w:rPr>
        <w:br w:type="page"/>
      </w:r>
    </w:p>
    <w:p w14:paraId="5C5E6084" w14:textId="378F85AF"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(g)</w:t>
      </w:r>
      <w:r w:rsidRPr="003E0486">
        <w:rPr>
          <w:szCs w:val="24"/>
          <w:lang w:eastAsia="en-US"/>
        </w:rPr>
        <w:tab/>
        <w:t>gennemføre rammen for samarbejde, jf. artikel 240</w:t>
      </w:r>
    </w:p>
    <w:p w14:paraId="2BA98F22" w14:textId="11415F97" w:rsidR="003E0486" w:rsidRPr="00200494" w:rsidRDefault="003E0486" w:rsidP="003E0486">
      <w:pPr>
        <w:spacing w:before="120" w:after="120" w:line="360" w:lineRule="auto"/>
        <w:ind w:left="1416" w:hanging="566"/>
        <w:rPr>
          <w:b/>
          <w:szCs w:val="24"/>
          <w:lang w:eastAsia="en-US"/>
        </w:rPr>
      </w:pPr>
      <w:r w:rsidRPr="003E0486">
        <w:rPr>
          <w:szCs w:val="24"/>
          <w:lang w:eastAsia="en-US"/>
        </w:rPr>
        <w:t>(h)</w:t>
      </w:r>
      <w:r w:rsidRPr="003E0486">
        <w:rPr>
          <w:szCs w:val="24"/>
          <w:lang w:eastAsia="en-US"/>
        </w:rPr>
        <w:tab/>
        <w:t>advare andre myndigheder om risici, der er relevante for deres arbejde</w:t>
      </w:r>
      <w:r w:rsidRPr="003E0486">
        <w:rPr>
          <w:b/>
          <w:i/>
          <w:szCs w:val="24"/>
          <w:lang w:eastAsia="en-US"/>
        </w:rPr>
        <w:t>, samt indberette mistanker om svig og kriminalitet</w:t>
      </w:r>
      <w:r w:rsidR="00200494">
        <w:rPr>
          <w:b/>
          <w:szCs w:val="24"/>
          <w:lang w:eastAsia="en-US"/>
        </w:rPr>
        <w:t xml:space="preserve"> [Ændring 270]</w:t>
      </w:r>
    </w:p>
    <w:p w14:paraId="22E4C36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(i)</w:t>
      </w:r>
      <w:r w:rsidRPr="003E0486">
        <w:rPr>
          <w:szCs w:val="24"/>
          <w:lang w:eastAsia="en-US"/>
        </w:rPr>
        <w:tab/>
        <w:t>foretage opfølgning, når varebevægelserne er i strid med anden lovgivning, der anvendes af toldmyndighederne</w:t>
      </w:r>
    </w:p>
    <w:p w14:paraId="3D28F4C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(j)</w:t>
      </w:r>
      <w:r w:rsidRPr="003E0486">
        <w:rPr>
          <w:szCs w:val="24"/>
          <w:lang w:eastAsia="en-US"/>
        </w:rPr>
        <w:tab/>
        <w:t>træffe enhver anden supplerende foranstaltning.</w:t>
      </w:r>
    </w:p>
    <w:p w14:paraId="674420A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En medlemsstat kan udpege et specialiseret toldgrænseovergangssted i henhold til anden lovgivning, der anvendes af toldmyndighederne. De restriktioner, der følger af en sådan udpegelse med hensyn til at anvende et specialiseret toldgrænseovergangssted, må ikke være urimelige for de økonomiske operatører i forhold til det tilsigtede mål og de omstændigheder, der kan tale for en sådan forpligtelse.</w:t>
      </w:r>
    </w:p>
    <w:p w14:paraId="3BA5B21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Medlemsstaten underretter EU-Toldmyndigheden om den udpegelse, der er omhandlet i stk. 2, og EU-Toldmyndigheden ajourfører og offentliggør en liste over disse specialiserede toldgrænseovergangssteder.</w:t>
      </w:r>
    </w:p>
    <w:p w14:paraId="0DA54A43" w14:textId="77777777" w:rsidR="003263F7" w:rsidRDefault="003263F7">
      <w:pPr>
        <w:widowControl/>
        <w:rPr>
          <w:szCs w:val="24"/>
          <w:lang w:eastAsia="en-US"/>
        </w:rPr>
      </w:pPr>
      <w:r>
        <w:rPr>
          <w:szCs w:val="24"/>
          <w:lang w:eastAsia="en-US"/>
        </w:rPr>
        <w:br w:type="page"/>
      </w:r>
    </w:p>
    <w:p w14:paraId="5EAEB748" w14:textId="1115D55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4.</w:t>
      </w:r>
      <w:r w:rsidRPr="003E0486">
        <w:rPr>
          <w:szCs w:val="24"/>
          <w:lang w:eastAsia="en-US"/>
        </w:rPr>
        <w:tab/>
        <w:t>For at lette identifikation, anvendelse og håndhævelse af anden lovgivning, der anvendes af toldmyndighederne, udarbejder og ajourfører Kommissionen regelmæssigt en integreret liste over EU-lovgivning, der fastsætter krav til varer omfattet af toldkontrol, som har til formål at beskytte offentlige interesser, og offentliggør den på sit websted.</w:t>
      </w:r>
    </w:p>
    <w:p w14:paraId="6FBA409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tillægges beføjelser til at vedtage delegerede retsakter i overensstemmelse med artikel 261 med henblik på at supplere denne forordning ved at fastsætte enhver anden supplerende foranstaltning som omhandlet i stk. 1, litra j).</w:t>
      </w:r>
    </w:p>
    <w:p w14:paraId="574BB45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243</w:t>
      </w:r>
      <w:r w:rsidRPr="003E0486">
        <w:rPr>
          <w:szCs w:val="24"/>
          <w:lang w:eastAsia="en-US"/>
        </w:rPr>
        <w:br/>
        <w:t>Internt toldsamarbejde</w:t>
      </w:r>
    </w:p>
    <w:p w14:paraId="0E537542" w14:textId="521A9C99" w:rsidR="003E0486" w:rsidRPr="00200494" w:rsidRDefault="003E0486" w:rsidP="003E0486">
      <w:pPr>
        <w:spacing w:before="120" w:after="120" w:line="360" w:lineRule="auto"/>
        <w:rPr>
          <w:b/>
          <w:szCs w:val="24"/>
          <w:lang w:eastAsia="en-US"/>
        </w:rPr>
      </w:pPr>
      <w:r w:rsidRPr="003E0486">
        <w:rPr>
          <w:szCs w:val="24"/>
          <w:lang w:eastAsia="en-US"/>
        </w:rPr>
        <w:t xml:space="preserve">EU-Toldmyndigheden </w:t>
      </w:r>
      <w:r w:rsidRPr="003E0486">
        <w:rPr>
          <w:strike/>
          <w:szCs w:val="24"/>
          <w:lang w:eastAsia="en-US"/>
        </w:rPr>
        <w:t>kan</w:t>
      </w:r>
      <w:r w:rsidRPr="003E0486">
        <w:rPr>
          <w:b/>
          <w:i/>
          <w:szCs w:val="24"/>
          <w:lang w:eastAsia="en-US"/>
        </w:rPr>
        <w:t>skal</w:t>
      </w:r>
      <w:r w:rsidRPr="003E0486">
        <w:rPr>
          <w:szCs w:val="24"/>
          <w:lang w:eastAsia="en-US"/>
        </w:rPr>
        <w:t xml:space="preserve">, uden at det berører Kommissionens beføjelser og efter dennes forudgående godkendelse, indgå samarbejdsordninger med myndighederne i tredjelande og internationale organisationer. Disse ordninger </w:t>
      </w:r>
      <w:r w:rsidRPr="003E0486">
        <w:rPr>
          <w:b/>
          <w:i/>
          <w:szCs w:val="24"/>
          <w:lang w:eastAsia="en-US"/>
        </w:rPr>
        <w:t xml:space="preserve">skal bemyndige EU-Toldmyndigheden til at udveksle oplysninger med tredjelandes myndigheder og internationale organisationer, herunder bedste praksis, og udføre fælles aktiviteter. Disse ordninger </w:t>
      </w:r>
      <w:r w:rsidRPr="003E0486">
        <w:rPr>
          <w:szCs w:val="24"/>
          <w:lang w:eastAsia="en-US"/>
        </w:rPr>
        <w:t>må ikke skabe retlige forpligtelser for Unionen.</w:t>
      </w:r>
      <w:r w:rsidR="00200494">
        <w:rPr>
          <w:b/>
          <w:szCs w:val="24"/>
          <w:lang w:eastAsia="en-US"/>
        </w:rPr>
        <w:t xml:space="preserve"> [Ændring 271]</w:t>
      </w:r>
    </w:p>
    <w:p w14:paraId="488F5375" w14:textId="77777777" w:rsidR="003263F7" w:rsidRDefault="003263F7">
      <w:pPr>
        <w:widowControl/>
        <w:rPr>
          <w:szCs w:val="24"/>
          <w:lang w:eastAsia="en-US"/>
        </w:rPr>
      </w:pPr>
      <w:r>
        <w:rPr>
          <w:szCs w:val="24"/>
          <w:lang w:eastAsia="en-US"/>
        </w:rPr>
        <w:br w:type="page"/>
      </w:r>
    </w:p>
    <w:p w14:paraId="32C6292A" w14:textId="191EAAE8"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244</w:t>
      </w:r>
      <w:r w:rsidRPr="003E0486">
        <w:rPr>
          <w:szCs w:val="24"/>
          <w:lang w:eastAsia="en-US"/>
        </w:rPr>
        <w:br/>
        <w:t>Udveksling af data med tredjelande</w:t>
      </w:r>
    </w:p>
    <w:p w14:paraId="7725EEF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Kommissionen, toldmyndighederne og EU-Toldmyndigheden kan udveksle og dele data med toldmyndigheder og andre myndigheder i tredjelande med henblik på toldsamarbejde, hvis en af Unionens internationale aftaler, toldlovgivning, EU-lovgivning inden for den fælles handelspolitik eller den fælles udenrigs- og sikkerhedspolitik samt anden EU-lovgivning, der anvendes af toldmyndighederne, indeholder bestemmelser om en sådan udveksling, og det sikres, at overførslen af personoplysninger er i overensstemmelse med bestemmelserne i henholdsvis kapitel V i forordning (EU) 2018/1725 eller kapitel V i forordning (EU) 2016/679.</w:t>
      </w:r>
    </w:p>
    <w:p w14:paraId="054DA193" w14:textId="77777777" w:rsidR="003E0486" w:rsidRPr="003E0486" w:rsidRDefault="003E0486" w:rsidP="003E0486">
      <w:pPr>
        <w:spacing w:before="120" w:after="120" w:line="360" w:lineRule="auto"/>
        <w:ind w:left="850"/>
        <w:rPr>
          <w:szCs w:val="24"/>
          <w:lang w:eastAsia="en-US"/>
        </w:rPr>
      </w:pPr>
      <w:r w:rsidRPr="003E0486">
        <w:rPr>
          <w:szCs w:val="24"/>
          <w:lang w:eastAsia="en-US"/>
        </w:rPr>
        <w:t>Kommissionen underrettes om toldmyndighedernes og EU-Toldmyndighedens udveksling af data med tredjelandes toldmyndigheder og andre myndigheder.</w:t>
      </w:r>
    </w:p>
    <w:p w14:paraId="2E0300B1" w14:textId="77777777" w:rsidR="003263F7" w:rsidRDefault="003263F7">
      <w:pPr>
        <w:widowControl/>
        <w:rPr>
          <w:szCs w:val="24"/>
          <w:lang w:eastAsia="en-US"/>
        </w:rPr>
      </w:pPr>
      <w:r>
        <w:rPr>
          <w:szCs w:val="24"/>
          <w:lang w:eastAsia="en-US"/>
        </w:rPr>
        <w:br w:type="page"/>
      </w:r>
    </w:p>
    <w:p w14:paraId="0E3C3316" w14:textId="3D818CCA"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Den udveksling, der er omhandlet i stk. 1, kan navnlig vedrøre følgende kategorier af oplysninger:</w:t>
      </w:r>
    </w:p>
    <w:p w14:paraId="36808CB0"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dataelementer, der indgår i afgørelser truffet af toldmyndighederne eller lignende afgørelser truffet i tredjelande vedrørende bindende oplysninger, status som autoriseret økonomisk operatør, toldværdiansættelse, varers toldmæssig status eller særlige procedurer</w:t>
      </w:r>
    </w:p>
    <w:p w14:paraId="7CA2108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dataelementer, der indgår i angivelser, meddelelser og beviser for varers toldmæssige status og i dokumentation, som enten er indgivet til medlemsstaternes toldmyndigheder eller Kommissionen på den ene side eller til de myndigheder i tredjelande, der er kompetente med hensyn til toldspørgsmål, på den anden side, eller som er udstedt af disse myndigheder</w:t>
      </w:r>
    </w:p>
    <w:p w14:paraId="70610E0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data om identificerede risici, konstaterede forhold og resultater opnået af medlemsstaternes toldmyndigheder eller Kommissionen på den ene side, og de myndigheder i tredjelande, der er ansvarlige for toldspørgsmål, på den anden side, i forbindelse med udførelsen af deres risikoanalyse og kontrol.</w:t>
      </w:r>
    </w:p>
    <w:p w14:paraId="284013A6" w14:textId="77777777" w:rsidR="003263F7" w:rsidRDefault="003263F7">
      <w:pPr>
        <w:widowControl/>
        <w:rPr>
          <w:szCs w:val="24"/>
          <w:lang w:eastAsia="en-US"/>
        </w:rPr>
      </w:pPr>
      <w:r>
        <w:rPr>
          <w:szCs w:val="24"/>
          <w:lang w:eastAsia="en-US"/>
        </w:rPr>
        <w:br w:type="page"/>
      </w:r>
    </w:p>
    <w:p w14:paraId="56639CC6" w14:textId="443E61F0"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Den i stk. 1 omhandlede udveksling finder sted ved hjælp af passende sikre kommunikationsmidler, enten efter anmodning eller på eget initiativ, og den kræver respekt for fortrolige data og beskyttelse af personoplysninger i overensstemmelse med artikel 31 og 35 og denne artikels stk. 1</w:t>
      </w:r>
    </w:p>
    <w:p w14:paraId="4682325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Den i stk. 1 omhandlede udveksling berører ikke udveksling af oplysninger i henhold til bestemmelserne om gensidig administrativ bistand i aftaler mellem Unionen og tredjelande og bestemmelserne i forordning (EF) nr. 517/97.</w:t>
      </w:r>
    </w:p>
    <w:p w14:paraId="0BD3233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En medlemsstat kan i overensstemmelse med de procedurer og betingelser, der er fastsat i en delegeret retsakt vedtaget i overensstemmelse med stk. 6, bemyndiges til at indlede forhandlinger med et tredjeland med henblik på at indgå en bilateral aftale om den udveksling, der er omhandlet i stk. 1, eller at opretholde en eksisterende aftale. En sådan bilateral aftale ophører med at finde anvendelse ved ikrafttræden af en aftale om udveksling af toldoplysninger mellem Unionen og det pågældende tredjeland.</w:t>
      </w:r>
    </w:p>
    <w:p w14:paraId="2354C12C" w14:textId="77777777" w:rsidR="003263F7" w:rsidRDefault="003263F7">
      <w:pPr>
        <w:widowControl/>
        <w:rPr>
          <w:szCs w:val="24"/>
          <w:lang w:eastAsia="en-US"/>
        </w:rPr>
      </w:pPr>
      <w:r>
        <w:rPr>
          <w:szCs w:val="24"/>
          <w:lang w:eastAsia="en-US"/>
        </w:rPr>
        <w:br w:type="page"/>
      </w:r>
    </w:p>
    <w:p w14:paraId="3DFA60AD" w14:textId="3D3E8A8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6.</w:t>
      </w:r>
      <w:r w:rsidRPr="003E0486">
        <w:rPr>
          <w:szCs w:val="24"/>
          <w:lang w:eastAsia="en-US"/>
        </w:rPr>
        <w:tab/>
        <w:t>Kommissionen tillægges beføjelser til at vedtage delegerede retsakter i overensstemmelse med artikel 261 med henblik på at supplere denne forordning ved at fastsætte betingelserne og procedurerne for bemyndigelse af en medlemsstat til at indlede de i stk. 5 omhandlede forhandlinger. Disse omfatter en meddelelse fra den pågældende medlemsstat til Kommissionen og alle andre medlemsstater om det mulige indhold af den bilaterale aftale og en vurdering fra Kommissionen af dens indvirkning på EU-retten og fremtidige forhandlinger på EU-plan, herunder om dens indhold er begrænset til gennemførelse af forpligtelser i henhold til EU-retten eller folkeretten. Den delegerede retsakt skal også indeholde bestemmelser om overvågning af gennemførelsen af disse aftaler.</w:t>
      </w:r>
    </w:p>
    <w:p w14:paraId="495B9E12" w14:textId="6331D7C6" w:rsidR="003E0486" w:rsidRPr="00200494" w:rsidRDefault="003E0486" w:rsidP="003E0486">
      <w:pPr>
        <w:spacing w:before="120" w:after="120" w:line="360" w:lineRule="auto"/>
        <w:ind w:left="850" w:hanging="850"/>
        <w:rPr>
          <w:b/>
          <w:szCs w:val="24"/>
          <w:lang w:eastAsia="en-US"/>
        </w:rPr>
      </w:pPr>
      <w:r w:rsidRPr="003E0486">
        <w:rPr>
          <w:szCs w:val="24"/>
          <w:lang w:eastAsia="en-US"/>
        </w:rPr>
        <w:t>7.</w:t>
      </w:r>
      <w:r w:rsidRPr="003E0486">
        <w:rPr>
          <w:szCs w:val="24"/>
          <w:lang w:eastAsia="en-US"/>
        </w:rPr>
        <w:tab/>
        <w:t xml:space="preserve">Kommissionen </w:t>
      </w:r>
      <w:r w:rsidRPr="003E0486">
        <w:rPr>
          <w:strike/>
          <w:szCs w:val="24"/>
          <w:lang w:eastAsia="en-US"/>
        </w:rPr>
        <w:t>træffer</w:t>
      </w:r>
      <w:r w:rsidRPr="003E0486">
        <w:rPr>
          <w:b/>
          <w:i/>
          <w:szCs w:val="24"/>
          <w:lang w:eastAsia="en-US"/>
        </w:rPr>
        <w:t>tillægges gennemførelsesbeføjelser</w:t>
      </w:r>
      <w:r w:rsidR="00F354E7">
        <w:rPr>
          <w:b/>
          <w:i/>
          <w:szCs w:val="24"/>
          <w:lang w:eastAsia="en-US"/>
        </w:rPr>
        <w:t xml:space="preserve"> til</w:t>
      </w:r>
      <w:r w:rsidRPr="003E0486">
        <w:rPr>
          <w:szCs w:val="24"/>
          <w:lang w:eastAsia="en-US"/>
        </w:rPr>
        <w:t xml:space="preserve"> senest </w:t>
      </w:r>
      <w:r w:rsidRPr="003E0486">
        <w:rPr>
          <w:strike/>
          <w:szCs w:val="24"/>
          <w:lang w:eastAsia="en-US"/>
        </w:rPr>
        <w:t>90</w:t>
      </w:r>
      <w:r w:rsidRPr="003E0486">
        <w:rPr>
          <w:b/>
          <w:i/>
          <w:szCs w:val="24"/>
          <w:lang w:eastAsia="en-US"/>
        </w:rPr>
        <w:t>60</w:t>
      </w:r>
      <w:r w:rsidRPr="003E0486">
        <w:rPr>
          <w:szCs w:val="24"/>
          <w:lang w:eastAsia="en-US"/>
        </w:rPr>
        <w:t xml:space="preserve"> dage efter modtagelsen af meddelelsen ved hjælp af en gennemførelsesretsakt</w:t>
      </w:r>
      <w:r w:rsidRPr="003E0486">
        <w:rPr>
          <w:b/>
          <w:i/>
          <w:szCs w:val="24"/>
          <w:lang w:eastAsia="en-US"/>
        </w:rPr>
        <w:t xml:space="preserve"> </w:t>
      </w:r>
      <w:r w:rsidR="00F354E7">
        <w:rPr>
          <w:b/>
          <w:i/>
          <w:szCs w:val="24"/>
          <w:lang w:eastAsia="en-US"/>
        </w:rPr>
        <w:t xml:space="preserve">at </w:t>
      </w:r>
      <w:r w:rsidRPr="003E0486">
        <w:rPr>
          <w:b/>
          <w:i/>
          <w:szCs w:val="24"/>
          <w:lang w:eastAsia="en-US"/>
        </w:rPr>
        <w:t>træffe</w:t>
      </w:r>
      <w:r w:rsidRPr="003E0486">
        <w:rPr>
          <w:szCs w:val="24"/>
          <w:lang w:eastAsia="en-US"/>
        </w:rPr>
        <w:t xml:space="preserve"> afgørelse om, hvorvidt medlemsstaten skal bemyndiges til at indgå den bilaterale aftale. Disse gennemførelsesretsakter vedtages efter rådgivningsproceduren i artikel 262, stk. 2.</w:t>
      </w:r>
      <w:r w:rsidR="00200494">
        <w:rPr>
          <w:b/>
          <w:szCs w:val="24"/>
          <w:lang w:eastAsia="en-US"/>
        </w:rPr>
        <w:t xml:space="preserve"> [Ændring 272]</w:t>
      </w:r>
    </w:p>
    <w:p w14:paraId="5ACBEE7B" w14:textId="77777777" w:rsidR="003E0486" w:rsidRPr="003E0486" w:rsidRDefault="003E0486" w:rsidP="003E0486">
      <w:pPr>
        <w:spacing w:before="120" w:after="120" w:line="360" w:lineRule="auto"/>
        <w:ind w:left="850"/>
        <w:rPr>
          <w:szCs w:val="24"/>
          <w:lang w:eastAsia="en-US"/>
        </w:rPr>
      </w:pPr>
      <w:r w:rsidRPr="003E0486">
        <w:rPr>
          <w:szCs w:val="24"/>
          <w:lang w:eastAsia="en-US"/>
        </w:rPr>
        <w:t>I særligt hastende tilfælde, der vedrører den pågældende bemyndigelse, hvor det er behørigt begrundet i behovet for hurtigt at tillade den udveksling, der anmodes om, vedtager Kommissionen gennemførelsesretsakter efter proceduren i artikel 262, stk. 5, og disse finder anvendelse straks.</w:t>
      </w:r>
    </w:p>
    <w:p w14:paraId="1FC3AC17" w14:textId="77777777" w:rsidR="003263F7" w:rsidRDefault="003263F7">
      <w:pPr>
        <w:widowControl/>
        <w:rPr>
          <w:szCs w:val="24"/>
          <w:lang w:eastAsia="en-US"/>
        </w:rPr>
      </w:pPr>
      <w:r>
        <w:rPr>
          <w:szCs w:val="24"/>
          <w:lang w:eastAsia="en-US"/>
        </w:rPr>
        <w:br w:type="page"/>
      </w:r>
    </w:p>
    <w:p w14:paraId="5C88CBA2" w14:textId="058378F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XIV </w:t>
      </w:r>
      <w:r w:rsidRPr="003E0486">
        <w:rPr>
          <w:szCs w:val="24"/>
          <w:lang w:eastAsia="en-US"/>
        </w:rPr>
        <w:br/>
        <w:t>FÆLLES BESTEMMELSER OM TOLDOVERTRÆDELSER OG OM IKKESTRAFFERETLIGE SANKTIONER</w:t>
      </w:r>
    </w:p>
    <w:p w14:paraId="06F8F5B9"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Almindelige bestemmelser</w:t>
      </w:r>
    </w:p>
    <w:p w14:paraId="17F774F4"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245</w:t>
      </w:r>
      <w:r w:rsidRPr="003E0486">
        <w:rPr>
          <w:szCs w:val="24"/>
          <w:lang w:eastAsia="en-US"/>
        </w:rPr>
        <w:br/>
        <w:t>Genstand</w:t>
      </w:r>
    </w:p>
    <w:p w14:paraId="0B4E77B4" w14:textId="77777777" w:rsidR="003E0486" w:rsidRPr="003E0486" w:rsidRDefault="003E0486" w:rsidP="003E0486">
      <w:pPr>
        <w:spacing w:before="120" w:after="120" w:line="360" w:lineRule="auto"/>
        <w:rPr>
          <w:szCs w:val="24"/>
          <w:lang w:eastAsia="en-US"/>
        </w:rPr>
      </w:pPr>
      <w:r w:rsidRPr="003E0486">
        <w:rPr>
          <w:szCs w:val="24"/>
          <w:lang w:eastAsia="en-US"/>
        </w:rPr>
        <w:t>I dette afsnit fastlægges en liste over toldovertrædelser og ikkestrafferetlige sanktioner for disse overtrædelser.  Dette forhindrer ikke medlemsstaterne i at træffe strengere foranstaltninger ved at fastsætte administrative eller strafferetlige sanktioner i overensstemmelse med deres nationale lovgivning.  Det berører heller ikke andre overtrædelser, der er fastsat i EU-lovgivningen.</w:t>
      </w:r>
    </w:p>
    <w:p w14:paraId="5C52FDA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246</w:t>
      </w:r>
      <w:r w:rsidRPr="003E0486">
        <w:rPr>
          <w:szCs w:val="24"/>
          <w:lang w:eastAsia="en-US"/>
        </w:rPr>
        <w:br/>
        <w:t>Generelle krav</w:t>
      </w:r>
    </w:p>
    <w:p w14:paraId="76DA7BA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Handlinger eller undladelser som omhandlet i artikel 252 udgør toldovertrædelser.</w:t>
      </w:r>
    </w:p>
    <w:p w14:paraId="36C7DE5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Anstiftelse eller medvirken til en handling eller undladelse som omhandlet i artikel 252 udgør en toldovertrædelse.</w:t>
      </w:r>
    </w:p>
    <w:p w14:paraId="2CAA5DF1" w14:textId="77777777" w:rsidR="003E0486" w:rsidRPr="003E0486" w:rsidRDefault="003E0486" w:rsidP="003E0486">
      <w:pPr>
        <w:spacing w:before="120" w:after="120" w:line="360" w:lineRule="auto"/>
        <w:ind w:left="850"/>
        <w:rPr>
          <w:szCs w:val="24"/>
          <w:lang w:eastAsia="en-US"/>
        </w:rPr>
      </w:pPr>
      <w:r w:rsidRPr="003E0486">
        <w:rPr>
          <w:szCs w:val="24"/>
          <w:lang w:eastAsia="en-US"/>
        </w:rPr>
        <w:t>Et forsøg på en handling eller undladelse som omhandlet i artikel 252 udgør en toldovertrædelse.</w:t>
      </w:r>
    </w:p>
    <w:p w14:paraId="12316284" w14:textId="77777777" w:rsidR="003263F7" w:rsidRDefault="003263F7">
      <w:pPr>
        <w:widowControl/>
        <w:rPr>
          <w:szCs w:val="24"/>
          <w:lang w:eastAsia="en-US"/>
        </w:rPr>
      </w:pPr>
      <w:r>
        <w:rPr>
          <w:szCs w:val="24"/>
          <w:lang w:eastAsia="en-US"/>
        </w:rPr>
        <w:br w:type="page"/>
      </w:r>
    </w:p>
    <w:p w14:paraId="1EE2BD52" w14:textId="30ADAF7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Medlemsstaterne afgør, om de i artikel 252 omhandlede overtrædelser er begået forsætligt eller ved åbenbar forsømmelighed eller åbenlys fejl.</w:t>
      </w:r>
    </w:p>
    <w:p w14:paraId="7B85B34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Skrivefejl eller mindre fejl udgør ikke en toldovertrædelse, medmindre toldmyndigheden kan fastslå, at de er begået forsætligt eller som følge af åbenbar forsømmelighed eller åbenlys fejl.</w:t>
      </w:r>
    </w:p>
    <w:p w14:paraId="533C79D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Hvis der er tale om en handling eller undladelse, der fører til en toldovertrædelse som omhandlet i artikel 252, og denne overtrædelse er begået som reaktion på usædvanlige og uforudseelige omstændigheder, som den pågældende ikke har nogen indflydelse på, og hvis følger ikke kunne have været undgået trods den størst mulige påpasselighed, ifaldes der ikke ansvar for overtrædelsen.</w:t>
      </w:r>
    </w:p>
    <w:p w14:paraId="521C453D"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247</w:t>
      </w:r>
      <w:r w:rsidRPr="003E0486">
        <w:rPr>
          <w:szCs w:val="24"/>
          <w:lang w:eastAsia="en-US"/>
        </w:rPr>
        <w:br/>
        <w:t>Formildende omstændigheder</w:t>
      </w:r>
    </w:p>
    <w:p w14:paraId="21991E3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den person, der er ansvarlig for en handling eller en undladelse, der medfører en toldovertrædelse som omhandlet i artikel 252, fremlægger bevis for at have handlet i god tro, tages dette i betragtning ved fastsættelsen af den sanktion, der er omhandlet i artikel 254.</w:t>
      </w:r>
    </w:p>
    <w:p w14:paraId="01BBBD1F" w14:textId="77777777" w:rsidR="00E3386D" w:rsidRDefault="00E3386D">
      <w:pPr>
        <w:widowControl/>
        <w:rPr>
          <w:szCs w:val="24"/>
          <w:lang w:eastAsia="en-US"/>
        </w:rPr>
      </w:pPr>
      <w:r>
        <w:rPr>
          <w:szCs w:val="24"/>
          <w:lang w:eastAsia="en-US"/>
        </w:rPr>
        <w:br w:type="page"/>
      </w:r>
    </w:p>
    <w:p w14:paraId="0A28CA6C" w14:textId="5FBD719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Følgende omstændigheder tages i betragtning med henblik på nedsættelse af den sanktion, der skal pålægges for toldovertrædelsen:</w:t>
      </w:r>
    </w:p>
    <w:p w14:paraId="59EA4BA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de involverede varer er ikke omfattet af anden lovgivning, der anvendes af toldmyndighederne</w:t>
      </w:r>
    </w:p>
    <w:p w14:paraId="0C661FC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toldovertrædelsen har ingen indvirkning på fastsættelsen af størrelsen af skyldig told og andre skyldige afgifter</w:t>
      </w:r>
    </w:p>
    <w:p w14:paraId="44DD559B" w14:textId="0A2FBE85"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den person, der er ansvarlig for toldovertrædelsen, samarbejder effektivt med toldmyndigheden</w:t>
      </w:r>
    </w:p>
    <w:p w14:paraId="7A29E602" w14:textId="792831A7" w:rsidR="003E0486" w:rsidRPr="00517EDF"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ca)</w:t>
      </w:r>
      <w:r w:rsidR="003E0486" w:rsidRPr="003E0486">
        <w:rPr>
          <w:szCs w:val="24"/>
          <w:lang w:eastAsia="en-US"/>
        </w:rPr>
        <w:tab/>
      </w:r>
      <w:r w:rsidR="003E0486" w:rsidRPr="003E0486">
        <w:rPr>
          <w:b/>
          <w:i/>
          <w:szCs w:val="24"/>
          <w:lang w:eastAsia="en-US"/>
        </w:rPr>
        <w:t>kompleksiteten af den underliggende transaktion, antallet af lignende transaktioner.</w:t>
      </w:r>
      <w:r w:rsidR="00517EDF">
        <w:rPr>
          <w:b/>
          <w:szCs w:val="24"/>
          <w:lang w:eastAsia="en-US"/>
        </w:rPr>
        <w:t xml:space="preserve"> [Ændring 273]</w:t>
      </w:r>
    </w:p>
    <w:p w14:paraId="3469DE9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248</w:t>
      </w:r>
      <w:r w:rsidRPr="003E0486">
        <w:rPr>
          <w:szCs w:val="24"/>
          <w:lang w:eastAsia="en-US"/>
        </w:rPr>
        <w:br/>
        <w:t>Skærpende omstændigheder</w:t>
      </w:r>
    </w:p>
    <w:p w14:paraId="5C8D87CB" w14:textId="77777777" w:rsidR="003E0486" w:rsidRPr="003E0486" w:rsidRDefault="003E0486" w:rsidP="003E0486">
      <w:pPr>
        <w:spacing w:before="120" w:after="120" w:line="360" w:lineRule="auto"/>
        <w:rPr>
          <w:szCs w:val="24"/>
          <w:lang w:eastAsia="en-US"/>
        </w:rPr>
      </w:pPr>
      <w:r w:rsidRPr="003E0486">
        <w:rPr>
          <w:szCs w:val="24"/>
          <w:lang w:eastAsia="en-US"/>
        </w:rPr>
        <w:t>Følgende omstændigheder tages i betragtning med henblik på skærpelse af den i artikel 254 omhandlede sanktion, der skal pålægges for toldovertrædelser:</w:t>
      </w:r>
    </w:p>
    <w:p w14:paraId="3C9F6C6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den person, der er ansvarlig for toldovertrædelsen, er tidligere er blevet pålagt en sanktion for en toldovertrædelse eller har begået vedvarende og gentagne toldovertrædelser</w:t>
      </w:r>
    </w:p>
    <w:p w14:paraId="7F2B6DAC" w14:textId="77777777" w:rsidR="00E3386D" w:rsidRDefault="00E3386D">
      <w:pPr>
        <w:widowControl/>
        <w:rPr>
          <w:szCs w:val="24"/>
          <w:lang w:eastAsia="en-US"/>
        </w:rPr>
      </w:pPr>
      <w:r>
        <w:rPr>
          <w:szCs w:val="24"/>
          <w:lang w:eastAsia="en-US"/>
        </w:rPr>
        <w:br w:type="page"/>
      </w:r>
    </w:p>
    <w:p w14:paraId="4B0DCC2F" w14:textId="1A530D21"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(b)</w:t>
      </w:r>
      <w:r w:rsidRPr="003E0486">
        <w:rPr>
          <w:szCs w:val="24"/>
          <w:lang w:eastAsia="en-US"/>
        </w:rPr>
        <w:tab/>
        <w:t>toldovertrædelsen har en betydelig indvirkning på anden lovgivning, der anvendes af toldmyndighederne</w:t>
      </w:r>
    </w:p>
    <w:p w14:paraId="6B5F061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toldovertrædelsen har en betydelig finansiel indvirkning på opkrævningen af told eller andre afgifter</w:t>
      </w:r>
    </w:p>
    <w:p w14:paraId="377939C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(d)</w:t>
      </w:r>
      <w:r w:rsidRPr="003E0486">
        <w:rPr>
          <w:szCs w:val="24"/>
          <w:lang w:eastAsia="en-US"/>
        </w:rPr>
        <w:tab/>
        <w:t>toldovertrædelsen udgør en trussel mod Unionens og dens borgeres sikkerhed.</w:t>
      </w:r>
    </w:p>
    <w:p w14:paraId="40A99122"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249</w:t>
      </w:r>
      <w:r w:rsidRPr="003E0486">
        <w:rPr>
          <w:szCs w:val="24"/>
          <w:lang w:eastAsia="en-US"/>
        </w:rPr>
        <w:br/>
        <w:t>Forældelse</w:t>
      </w:r>
    </w:p>
    <w:p w14:paraId="44318E08"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Medlemsstaterne fastsætter forældelsesfristen for at indlede retsforfølgning vedrørende en toldovertrædelse som omhandlet i artikel 252 til mellem fem og ti år fra den dato, hvor handlingen eller undladelsen fandt sted.</w:t>
      </w:r>
    </w:p>
    <w:p w14:paraId="3C22AA1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Medlemsstaterne sikrer i tilfælde af fortsatte eller gentagne toldovertrædelser, at forældelsesfristen løber fra den dag, hvor den handling eller undladelse, som udgør toldovertrædelsen, ophører.</w:t>
      </w:r>
    </w:p>
    <w:p w14:paraId="76B10368" w14:textId="77777777" w:rsidR="00E3386D" w:rsidRDefault="00E3386D">
      <w:pPr>
        <w:widowControl/>
        <w:rPr>
          <w:szCs w:val="24"/>
          <w:lang w:eastAsia="en-US"/>
        </w:rPr>
      </w:pPr>
      <w:r>
        <w:rPr>
          <w:szCs w:val="24"/>
          <w:lang w:eastAsia="en-US"/>
        </w:rPr>
        <w:br w:type="page"/>
      </w:r>
    </w:p>
    <w:p w14:paraId="18E3FE63" w14:textId="401B69A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Medlemsstaterne sikrer, at forældelsesfristen afbrydes af enhver handling fra den kompetente myndigheds side, som den pågældende person gøres bekendt med, og som vedrører undersøgelse eller retsforfølgning i forbindelse med den samme toldovertrædelse. Forældelsesfristen løber fra den dag, hvor afbrydelsen finder sted.</w:t>
      </w:r>
    </w:p>
    <w:p w14:paraId="7DA2E11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Medlemsstaterne sikrer, at anlæggelse eller videreførelse af sager vedrørende de toldovertrædelser, der omhandles i artikel 252, ikke er mulig efter en periode på otte år regnet fra den dag, som omhandles i stk. 1 eller 2.</w:t>
      </w:r>
    </w:p>
    <w:p w14:paraId="6CA3553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Medlemsstaterne sikrer, at forældelsesfristen for håndhævelsen af en afgørelse om pålæggelse af en sanktion er tre år. Denne periode løber fra den dag, hvor denne afgørelse bliver endelig.</w:t>
      </w:r>
    </w:p>
    <w:p w14:paraId="510877F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Medlemsstaterne fastlægger de sager, hvor de i stk. 1, 4 og 5 fastlagte forældelsesfrister suspenderes.</w:t>
      </w:r>
    </w:p>
    <w:p w14:paraId="4CEE407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250</w:t>
      </w:r>
      <w:r w:rsidRPr="003E0486">
        <w:rPr>
          <w:szCs w:val="24"/>
          <w:lang w:eastAsia="en-US"/>
        </w:rPr>
        <w:br/>
        <w:t>Kompetence</w:t>
      </w:r>
    </w:p>
    <w:p w14:paraId="6B2C5FAF" w14:textId="77777777" w:rsidR="003E0486" w:rsidRPr="003E0486" w:rsidRDefault="003E0486" w:rsidP="003E0486">
      <w:pPr>
        <w:spacing w:before="120" w:after="120" w:line="360" w:lineRule="auto"/>
        <w:rPr>
          <w:szCs w:val="24"/>
          <w:lang w:eastAsia="en-US"/>
        </w:rPr>
      </w:pPr>
      <w:r w:rsidRPr="003E0486">
        <w:rPr>
          <w:szCs w:val="24"/>
          <w:lang w:eastAsia="en-US"/>
        </w:rPr>
        <w:t>En medlemsstat udøver kompetence med hensyn til de toldovertrædelser, der er omhandlet i artikel 252, i overensstemmelse med national ret, og hvis overtrædelsen helt eller delvis er begået på den pågældende medlemsstats område.</w:t>
      </w:r>
    </w:p>
    <w:p w14:paraId="4E2D4528" w14:textId="77777777" w:rsidR="00E3386D" w:rsidRDefault="00E3386D">
      <w:pPr>
        <w:widowControl/>
        <w:rPr>
          <w:szCs w:val="24"/>
          <w:lang w:eastAsia="en-US"/>
        </w:rPr>
      </w:pPr>
      <w:r>
        <w:rPr>
          <w:szCs w:val="24"/>
          <w:lang w:eastAsia="en-US"/>
        </w:rPr>
        <w:br w:type="page"/>
      </w:r>
    </w:p>
    <w:p w14:paraId="205FB4D6" w14:textId="7FDCA184"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251</w:t>
      </w:r>
      <w:r w:rsidRPr="003E0486">
        <w:rPr>
          <w:szCs w:val="24"/>
          <w:lang w:eastAsia="en-US"/>
        </w:rPr>
        <w:br/>
        <w:t>Samarbejde mellem medlemsstaterne</w:t>
      </w:r>
    </w:p>
    <w:p w14:paraId="12A93DC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Hvis toldovertrædelser som omhandlet i artikel 252 finder sted i mere end én medlemsstat, og en kompetent myndighed i en medlemsstat først indleder en procedure vedrørende denne overtrædelse, samarbejder denne kompetente myndighed med de kompetente myndigheder i de medlemsstater, der er berørt af den samme toldovertrædelse begået af den samme person vedrørende de samme forhold.</w:t>
      </w:r>
    </w:p>
    <w:p w14:paraId="01B2B79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Kommissionen overvåger det i stk. 1 omhandlede samarbejde mellem medlemsstaterne.</w:t>
      </w:r>
    </w:p>
    <w:p w14:paraId="403997E2"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2 </w:t>
      </w:r>
      <w:r w:rsidRPr="003E0486">
        <w:rPr>
          <w:szCs w:val="24"/>
          <w:lang w:eastAsia="en-US"/>
        </w:rPr>
        <w:br/>
        <w:t>EU-toldovertrædelser og ikke ikkestrafferetlige sanktioner</w:t>
      </w:r>
    </w:p>
    <w:p w14:paraId="7C84A140"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252</w:t>
      </w:r>
      <w:r w:rsidRPr="003E0486">
        <w:rPr>
          <w:szCs w:val="24"/>
          <w:lang w:eastAsia="en-US"/>
        </w:rPr>
        <w:br/>
        <w:t>EU-toldovertrædelser</w:t>
      </w:r>
    </w:p>
    <w:p w14:paraId="072B17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Følgende handlinger eller undladelser betragtes som toldovertrædelser:</w:t>
      </w:r>
    </w:p>
    <w:p w14:paraId="1B325283"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når indehaveren af en afgørelse om anvendelse af toldlovgivningen ikke overholder de forpligtelser, der følger af afgørelsen, og ikke straks underretter toldmyndighederne om alle forhold, der opstår, efter afgørelsen er truffet af disse myndigheder, såfremt disse forhold påvirker videreførelsen eller indholdet af afgørelsen, jf. afsnit I og II</w:t>
      </w:r>
    </w:p>
    <w:p w14:paraId="04494128" w14:textId="77777777" w:rsidR="00E3386D" w:rsidRDefault="00E3386D">
      <w:pPr>
        <w:widowControl/>
        <w:rPr>
          <w:szCs w:val="24"/>
          <w:lang w:eastAsia="en-US"/>
        </w:rPr>
      </w:pPr>
      <w:r>
        <w:rPr>
          <w:szCs w:val="24"/>
          <w:lang w:eastAsia="en-US"/>
        </w:rPr>
        <w:br w:type="page"/>
      </w:r>
    </w:p>
    <w:p w14:paraId="74943577" w14:textId="39C2E147"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når forpligtelsen til at give toldmyndighederne oplysninger i henhold til denne forordning ikke overholdes, herunder manglende indgivelse af en toldangivelse</w:t>
      </w:r>
    </w:p>
    <w:p w14:paraId="74D41A2D"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når ufuldstændige, unøjagtige, ugyldige, uægte, falske eller forfalskede oplysninger eller dokumenter forelægges toldmyndighederne</w:t>
      </w:r>
    </w:p>
    <w:p w14:paraId="07FD2B9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(d)</w:t>
      </w:r>
      <w:r w:rsidRPr="003E0486">
        <w:rPr>
          <w:szCs w:val="24"/>
          <w:lang w:eastAsia="en-US"/>
        </w:rPr>
        <w:tab/>
        <w:t>når den ansvarlige person undlader at opbevare dokumenter og oplysninger vedrørende opfyldelsen af toldformaliteter</w:t>
      </w:r>
    </w:p>
    <w:p w14:paraId="167EAB8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(e)</w:t>
      </w:r>
      <w:r w:rsidRPr="003E0486">
        <w:rPr>
          <w:szCs w:val="24"/>
          <w:lang w:eastAsia="en-US"/>
        </w:rPr>
        <w:tab/>
        <w:t>når varer fjernes fra toldtilsyn</w:t>
      </w:r>
    </w:p>
    <w:p w14:paraId="148657AC"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(f)</w:t>
      </w:r>
      <w:r w:rsidRPr="003E0486">
        <w:rPr>
          <w:szCs w:val="24"/>
          <w:lang w:eastAsia="en-US"/>
        </w:rPr>
        <w:tab/>
        <w:t>når den ansvarlige person ikke overholder forpligtelserne i forbindelse med toldprocedurer</w:t>
      </w:r>
    </w:p>
    <w:p w14:paraId="00DE12DE" w14:textId="64ACA3E5" w:rsidR="003E0486" w:rsidRPr="003E0486" w:rsidRDefault="003E0486" w:rsidP="003E0486">
      <w:pPr>
        <w:spacing w:before="120" w:after="120" w:line="360" w:lineRule="auto"/>
        <w:ind w:left="1416" w:hanging="566"/>
        <w:rPr>
          <w:szCs w:val="24"/>
          <w:lang w:eastAsia="en-US"/>
        </w:rPr>
      </w:pPr>
      <w:r w:rsidRPr="003E0486">
        <w:rPr>
          <w:szCs w:val="24"/>
          <w:lang w:eastAsia="en-US"/>
        </w:rPr>
        <w:t>(g)</w:t>
      </w:r>
      <w:r w:rsidRPr="003E0486">
        <w:rPr>
          <w:szCs w:val="24"/>
          <w:lang w:eastAsia="en-US"/>
        </w:rPr>
        <w:tab/>
        <w:t>når den person, der skylder et import- eller eksportafgiftsbeløb, undlader at betale dette inden for den fastsatte frist, jf. afsnit X, kapitel 3</w:t>
      </w:r>
    </w:p>
    <w:p w14:paraId="628676A9" w14:textId="1605C09E" w:rsidR="003E0486" w:rsidRPr="00517EDF" w:rsidRDefault="00B50D11"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ga)</w:t>
      </w:r>
      <w:r w:rsidR="003E0486" w:rsidRPr="003E0486">
        <w:rPr>
          <w:szCs w:val="24"/>
          <w:lang w:eastAsia="en-US"/>
        </w:rPr>
        <w:tab/>
      </w:r>
      <w:r w:rsidR="003E0486" w:rsidRPr="003E0486">
        <w:rPr>
          <w:b/>
          <w:i/>
          <w:szCs w:val="24"/>
          <w:lang w:eastAsia="en-US"/>
        </w:rPr>
        <w:t>manglende overholdelse af importørforpligtelser og forpligtelser, der anses for at være importørforpligtelser, i henhold til artikel 20 og 21.</w:t>
      </w:r>
      <w:r w:rsidR="00517EDF">
        <w:rPr>
          <w:b/>
          <w:szCs w:val="24"/>
          <w:lang w:eastAsia="en-US"/>
        </w:rPr>
        <w:t xml:space="preserve"> [Ændring 274]</w:t>
      </w:r>
    </w:p>
    <w:p w14:paraId="26692C8F" w14:textId="77777777" w:rsidR="00E3386D" w:rsidRDefault="00E3386D">
      <w:pPr>
        <w:widowControl/>
        <w:rPr>
          <w:szCs w:val="24"/>
          <w:lang w:eastAsia="en-US"/>
        </w:rPr>
      </w:pPr>
      <w:r>
        <w:rPr>
          <w:szCs w:val="24"/>
          <w:lang w:eastAsia="en-US"/>
        </w:rPr>
        <w:br w:type="page"/>
      </w:r>
    </w:p>
    <w:p w14:paraId="5B830B15" w14:textId="09553F47"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Uden at det berører stk. 1 kan medlemsstaterne fastsætte, at yderligere handlinger og undladelser udgør toldovertrædelser.</w:t>
      </w:r>
    </w:p>
    <w:p w14:paraId="4D4D1A3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Medlemsstaterne giver senest 180 dage efter denne artikels anvendelsesdato Kommissionen meddelelse om gældende nationale bestemmelser som omhandlet i denne artikels stk. 2 og underretter den hurtigst muligt om senere ændringer, som påvirker disse bestemmelser.</w:t>
      </w:r>
    </w:p>
    <w:p w14:paraId="21F2A36B"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253</w:t>
      </w:r>
      <w:r w:rsidRPr="003E0486">
        <w:rPr>
          <w:szCs w:val="24"/>
          <w:lang w:eastAsia="en-US"/>
        </w:rPr>
        <w:br/>
        <w:t>Almindelige krav til sanktioner</w:t>
      </w:r>
    </w:p>
    <w:p w14:paraId="7473FCA3" w14:textId="04375A72" w:rsidR="003E0486" w:rsidRPr="00517EDF"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Uden at det berører sanktionerne i artikel 254, kan medlemsstaterne fastsætte yderligere sanktioner for de toldovertrædelser, der er omhandlet i artikel 252, og alle foranstaltninger, der er nødvendige for at sikre, at sådanne sanktioner gennemføres. Sanktionerne skal være effektive, stå i rimeligt forhold til overtrædelsen og have afskrækkende virkning.</w:t>
      </w:r>
      <w:r w:rsidRPr="003E0486">
        <w:rPr>
          <w:b/>
          <w:i/>
          <w:szCs w:val="24"/>
          <w:lang w:eastAsia="en-US"/>
        </w:rPr>
        <w:t xml:space="preserve"> Kommissionen, medlemsstaterne og EU-Toldmyndigheden udveksler regelmæssigt bedste praksis og metoder, der kan anvendes til revision og sanktionsberegning, med henblik på at forbedre ensartetheden og sammenhængen af sanktioner i Unionen. Kommissionen vurderer regelmæssigt sanktionernes effektivitet med hensyn til at nå de mål for toldmyndighederne, der er fastsat i artikel 2, og om det er nødvendigt at gribe ind.</w:t>
      </w:r>
      <w:r w:rsidR="00517EDF">
        <w:rPr>
          <w:b/>
          <w:szCs w:val="24"/>
          <w:lang w:eastAsia="en-US"/>
        </w:rPr>
        <w:t xml:space="preserve"> [Ændring 275]</w:t>
      </w:r>
    </w:p>
    <w:p w14:paraId="2C9D8C0F" w14:textId="77777777" w:rsidR="00E3386D" w:rsidRDefault="00E3386D">
      <w:pPr>
        <w:widowControl/>
        <w:rPr>
          <w:szCs w:val="24"/>
          <w:lang w:eastAsia="en-US"/>
        </w:rPr>
      </w:pPr>
      <w:r>
        <w:rPr>
          <w:szCs w:val="24"/>
          <w:lang w:eastAsia="en-US"/>
        </w:rPr>
        <w:br w:type="page"/>
      </w:r>
    </w:p>
    <w:p w14:paraId="20AFDEF8" w14:textId="2BDF326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Medlemsstaterne giver senest 180 dage efter denne artikels anvendelsesdato Kommissionen meddelelse om gældende nationale bestemmelser som omhandlet i denne artikels stk. 1 og underretter den hurtigst muligt om senere ændringer, som påvirker disse bestemmelser.</w:t>
      </w:r>
    </w:p>
    <w:p w14:paraId="16099D59"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254</w:t>
      </w:r>
      <w:r w:rsidRPr="003E0486">
        <w:rPr>
          <w:szCs w:val="24"/>
          <w:lang w:eastAsia="en-US"/>
        </w:rPr>
        <w:br/>
        <w:t>Ikkestrafferetlige minimumssanktioner</w:t>
      </w:r>
    </w:p>
    <w:p w14:paraId="09E61D3A" w14:textId="4D3CCCC4" w:rsidR="003E0486" w:rsidRPr="00517EDF" w:rsidRDefault="003E0486" w:rsidP="003E0486">
      <w:pPr>
        <w:spacing w:before="120" w:after="120" w:line="360" w:lineRule="auto"/>
        <w:rPr>
          <w:b/>
          <w:szCs w:val="24"/>
          <w:lang w:eastAsia="en-US"/>
        </w:rPr>
      </w:pPr>
      <w:r w:rsidRPr="003E0486">
        <w:rPr>
          <w:szCs w:val="24"/>
          <w:lang w:eastAsia="en-US"/>
        </w:rPr>
        <w:t xml:space="preserve">Når der pålægges sanktioner for toldovertrædelser som omhandlet i artikel 252, </w:t>
      </w:r>
      <w:r w:rsidRPr="003E0486">
        <w:rPr>
          <w:strike/>
          <w:szCs w:val="24"/>
          <w:lang w:eastAsia="en-US"/>
        </w:rPr>
        <w:t>skal de antage mindst en eller flere af følgende former, samtidig med at det sikres, at sanktionerne</w:t>
      </w:r>
      <w:r w:rsidRPr="003E0486">
        <w:rPr>
          <w:b/>
          <w:i/>
          <w:szCs w:val="24"/>
          <w:lang w:eastAsia="en-US"/>
        </w:rPr>
        <w:t>iværksætter hver medlemsstat sanktioner, der</w:t>
      </w:r>
      <w:r w:rsidRPr="003E0486">
        <w:rPr>
          <w:szCs w:val="24"/>
          <w:lang w:eastAsia="en-US"/>
        </w:rPr>
        <w:t xml:space="preserve"> er effektive, står i et rimeligt forhold til overtrædelsen og har afskrækkende virkning, og under hensyntagen til formildende omstændigheder som omhandlet i artikel 247 og skærpende omstændigheder som omhandlet i artikel 248:</w:t>
      </w:r>
      <w:r w:rsidR="00517EDF">
        <w:rPr>
          <w:b/>
          <w:szCs w:val="24"/>
          <w:lang w:eastAsia="en-US"/>
        </w:rPr>
        <w:t xml:space="preserve"> [Ændring 276]</w:t>
      </w:r>
    </w:p>
    <w:p w14:paraId="5BFBEEE5"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(a)</w:t>
      </w:r>
      <w:r w:rsidRPr="003E0486">
        <w:rPr>
          <w:szCs w:val="24"/>
          <w:lang w:eastAsia="en-US"/>
        </w:rPr>
        <w:tab/>
        <w:t>et pengekrav fra toldmyndighederne, herunder eventuelt et forlig i stedet for en strafferetlig sanktion, der beregnes på grundlag af følgende minimumsbeløb eller procentsatser:</w:t>
      </w:r>
    </w:p>
    <w:p w14:paraId="6B08A333" w14:textId="75BB2511" w:rsidR="003E0486" w:rsidRPr="003E0486" w:rsidRDefault="00B50D11" w:rsidP="003E0486">
      <w:pPr>
        <w:spacing w:before="120" w:after="120" w:line="360" w:lineRule="auto"/>
        <w:ind w:left="1416" w:hanging="566"/>
        <w:rPr>
          <w:szCs w:val="24"/>
          <w:lang w:eastAsia="en-US"/>
        </w:rPr>
      </w:pPr>
      <w:r>
        <w:rPr>
          <w:szCs w:val="24"/>
          <w:lang w:eastAsia="en-US"/>
        </w:rPr>
        <w:t>(</w:t>
      </w:r>
      <w:r w:rsidR="003E0486" w:rsidRPr="003E0486">
        <w:rPr>
          <w:szCs w:val="24"/>
          <w:lang w:eastAsia="en-US"/>
        </w:rPr>
        <w:t>i)</w:t>
      </w:r>
      <w:r w:rsidR="003E0486" w:rsidRPr="003E0486">
        <w:rPr>
          <w:szCs w:val="24"/>
          <w:lang w:eastAsia="en-US"/>
        </w:rPr>
        <w:tab/>
        <w:t>når toldovertrædelsen har indvirkning på told og andre afgifter, beregnes pengekravet som følger på grundlag af det unddragne told- og afgiftsbeløb:</w:t>
      </w:r>
    </w:p>
    <w:p w14:paraId="78D4AF80" w14:textId="77777777" w:rsidR="00E3386D" w:rsidRDefault="00E3386D">
      <w:pPr>
        <w:widowControl/>
        <w:rPr>
          <w:szCs w:val="24"/>
          <w:lang w:eastAsia="en-US"/>
        </w:rPr>
      </w:pPr>
      <w:r>
        <w:rPr>
          <w:szCs w:val="24"/>
          <w:lang w:eastAsia="en-US"/>
        </w:rPr>
        <w:br w:type="page"/>
      </w:r>
    </w:p>
    <w:p w14:paraId="4569DDD4" w14:textId="3312F1D8" w:rsidR="003E0486" w:rsidRPr="003E0486" w:rsidRDefault="003E0486" w:rsidP="003E0486">
      <w:pPr>
        <w:spacing w:before="120" w:after="120" w:line="360" w:lineRule="auto"/>
        <w:ind w:left="1982" w:hanging="566"/>
        <w:rPr>
          <w:szCs w:val="24"/>
          <w:lang w:eastAsia="en-US"/>
        </w:rPr>
      </w:pPr>
      <w:r w:rsidRPr="003E0486">
        <w:rPr>
          <w:szCs w:val="24"/>
          <w:lang w:eastAsia="en-US"/>
        </w:rPr>
        <w:lastRenderedPageBreak/>
        <w:t>(1)</w:t>
      </w:r>
      <w:r w:rsidRPr="003E0486">
        <w:rPr>
          <w:szCs w:val="24"/>
          <w:lang w:eastAsia="en-US"/>
        </w:rPr>
        <w:tab/>
        <w:t>er toldovertrædelsen begået forsætligt, skal pengekravet udgøre et beløb svarende til mellem 100 % og 200 % af det unddragne told- og afgiftsbeløb</w:t>
      </w:r>
    </w:p>
    <w:p w14:paraId="096FE310" w14:textId="77777777" w:rsidR="003E0486" w:rsidRPr="003E0486" w:rsidRDefault="003E0486" w:rsidP="003E0486">
      <w:pPr>
        <w:spacing w:before="120" w:after="120" w:line="360" w:lineRule="auto"/>
        <w:ind w:left="1982" w:hanging="566"/>
        <w:rPr>
          <w:szCs w:val="24"/>
          <w:lang w:eastAsia="en-US"/>
        </w:rPr>
      </w:pPr>
      <w:r w:rsidRPr="003E0486">
        <w:rPr>
          <w:szCs w:val="24"/>
          <w:lang w:eastAsia="en-US"/>
        </w:rPr>
        <w:t>(2)</w:t>
      </w:r>
      <w:r w:rsidRPr="003E0486">
        <w:rPr>
          <w:szCs w:val="24"/>
          <w:lang w:eastAsia="en-US"/>
        </w:rPr>
        <w:tab/>
        <w:t>i andre tilfælde skal pengekravet udgøre et beløb svarende til mellem 30 % og 100 % af det unddragne told- og afgiftsbeløb</w:t>
      </w:r>
    </w:p>
    <w:p w14:paraId="24669682" w14:textId="2087C94B" w:rsidR="003E0486" w:rsidRPr="003E0486" w:rsidRDefault="00B50D11" w:rsidP="003E0486">
      <w:pPr>
        <w:spacing w:before="120" w:after="120" w:line="360" w:lineRule="auto"/>
        <w:ind w:left="1416" w:hanging="566"/>
        <w:rPr>
          <w:szCs w:val="24"/>
          <w:lang w:eastAsia="en-US"/>
        </w:rPr>
      </w:pPr>
      <w:r>
        <w:rPr>
          <w:szCs w:val="24"/>
          <w:lang w:eastAsia="en-US"/>
        </w:rPr>
        <w:t>(</w:t>
      </w:r>
      <w:r w:rsidR="003E0486" w:rsidRPr="003E0486">
        <w:rPr>
          <w:szCs w:val="24"/>
          <w:lang w:eastAsia="en-US"/>
        </w:rPr>
        <w:t>ii)</w:t>
      </w:r>
      <w:r w:rsidR="003E0486" w:rsidRPr="003E0486">
        <w:rPr>
          <w:szCs w:val="24"/>
          <w:lang w:eastAsia="en-US"/>
        </w:rPr>
        <w:tab/>
        <w:t>når det ikke er muligt at beregne pengekravet i overensstemmelse med nr. i), beregnes pengekravet som følger på grundlag af varernes toldværdi:</w:t>
      </w:r>
    </w:p>
    <w:p w14:paraId="0EA8CDD3" w14:textId="77777777" w:rsidR="003E0486" w:rsidRPr="003E0486" w:rsidRDefault="003E0486" w:rsidP="003E0486">
      <w:pPr>
        <w:spacing w:before="120" w:after="120" w:line="360" w:lineRule="auto"/>
        <w:ind w:left="1982" w:hanging="566"/>
        <w:rPr>
          <w:szCs w:val="24"/>
          <w:lang w:eastAsia="en-US"/>
        </w:rPr>
      </w:pPr>
      <w:r w:rsidRPr="003E0486">
        <w:rPr>
          <w:szCs w:val="24"/>
          <w:lang w:eastAsia="en-US"/>
        </w:rPr>
        <w:t>(1)</w:t>
      </w:r>
      <w:r w:rsidRPr="003E0486">
        <w:rPr>
          <w:szCs w:val="24"/>
          <w:lang w:eastAsia="en-US"/>
        </w:rPr>
        <w:tab/>
        <w:t>er toldovertrædelsen begået forsætligt, skal pengekravet udgøre et beløb svarende til mellem 100 % og 200 % af beløbet for varernes toldværdi</w:t>
      </w:r>
    </w:p>
    <w:p w14:paraId="7CECCDE6" w14:textId="77777777" w:rsidR="003E0486" w:rsidRPr="003E0486" w:rsidRDefault="003E0486" w:rsidP="003E0486">
      <w:pPr>
        <w:spacing w:before="120" w:after="120" w:line="360" w:lineRule="auto"/>
        <w:ind w:left="1982" w:hanging="566"/>
        <w:rPr>
          <w:szCs w:val="24"/>
          <w:lang w:eastAsia="en-US"/>
        </w:rPr>
      </w:pPr>
      <w:r w:rsidRPr="003E0486">
        <w:rPr>
          <w:szCs w:val="24"/>
          <w:lang w:eastAsia="en-US"/>
        </w:rPr>
        <w:t>(2)</w:t>
      </w:r>
      <w:r w:rsidRPr="003E0486">
        <w:rPr>
          <w:szCs w:val="24"/>
          <w:lang w:eastAsia="en-US"/>
        </w:rPr>
        <w:tab/>
        <w:t>i andre tilfælde skal pengekravet udgøre et beløb svarende til mellem 30 % og 100 % af beløbet for varernes toldværdi</w:t>
      </w:r>
    </w:p>
    <w:p w14:paraId="23A3DDE1" w14:textId="08CA2752" w:rsidR="003E0486" w:rsidRPr="003E0486" w:rsidRDefault="00B50D11" w:rsidP="003E0486">
      <w:pPr>
        <w:spacing w:before="120" w:after="120" w:line="360" w:lineRule="auto"/>
        <w:ind w:left="1416" w:hanging="566"/>
        <w:rPr>
          <w:szCs w:val="24"/>
          <w:lang w:eastAsia="en-US"/>
        </w:rPr>
      </w:pPr>
      <w:r>
        <w:rPr>
          <w:szCs w:val="24"/>
          <w:lang w:eastAsia="en-US"/>
        </w:rPr>
        <w:t>(</w:t>
      </w:r>
      <w:r w:rsidR="003E0486" w:rsidRPr="003E0486">
        <w:rPr>
          <w:szCs w:val="24"/>
          <w:lang w:eastAsia="en-US"/>
        </w:rPr>
        <w:t>iii)</w:t>
      </w:r>
      <w:r w:rsidR="003E0486" w:rsidRPr="003E0486">
        <w:rPr>
          <w:szCs w:val="24"/>
          <w:lang w:eastAsia="en-US"/>
        </w:rPr>
        <w:tab/>
        <w:t>når toldovertrædelsen ikke vedrører specifikke varer, skal pengekravet udgøre et beløb på mellem 150 EUR og 150 000 EUR</w:t>
      </w:r>
    </w:p>
    <w:p w14:paraId="31756CCB" w14:textId="77777777" w:rsidR="00E3386D" w:rsidRDefault="00E3386D">
      <w:pPr>
        <w:widowControl/>
        <w:rPr>
          <w:szCs w:val="24"/>
          <w:lang w:eastAsia="en-US"/>
        </w:rPr>
      </w:pPr>
      <w:r>
        <w:rPr>
          <w:szCs w:val="24"/>
          <w:lang w:eastAsia="en-US"/>
        </w:rPr>
        <w:br w:type="page"/>
      </w:r>
    </w:p>
    <w:p w14:paraId="6083B4D0" w14:textId="125DBF02"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(b)</w:t>
      </w:r>
      <w:r w:rsidRPr="003E0486">
        <w:rPr>
          <w:szCs w:val="24"/>
          <w:lang w:eastAsia="en-US"/>
        </w:rPr>
        <w:tab/>
        <w:t>tilbagekaldelse, suspension eller ændring af toldafgørelser, som den berørte person er i besiddelse af, når en sådan afgørelse er berørt af overtrædelsen</w:t>
      </w:r>
    </w:p>
    <w:p w14:paraId="37BC729E"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(c)</w:t>
      </w:r>
      <w:r w:rsidRPr="003E0486">
        <w:rPr>
          <w:szCs w:val="24"/>
          <w:lang w:eastAsia="en-US"/>
        </w:rPr>
        <w:tab/>
        <w:t>konfiskering af varerne og transportmidlet.</w:t>
      </w:r>
    </w:p>
    <w:p w14:paraId="5385F62F" w14:textId="7141976A" w:rsidR="003E0486" w:rsidRPr="00517EDF" w:rsidRDefault="003E0486" w:rsidP="003E0486">
      <w:pPr>
        <w:spacing w:before="120" w:after="120" w:line="360" w:lineRule="auto"/>
        <w:rPr>
          <w:b/>
          <w:szCs w:val="24"/>
          <w:lang w:eastAsia="en-US"/>
        </w:rPr>
      </w:pPr>
      <w:r w:rsidRPr="003E0486">
        <w:rPr>
          <w:b/>
          <w:i/>
          <w:szCs w:val="24"/>
          <w:lang w:eastAsia="en-US"/>
        </w:rPr>
        <w:t>Medlemsstaterne træffer afgørelse om, hvorledes provenu, der hidrører fra anvendelsen af ikkestrafferetlige sanktioner, skal bruges, undtagen når provenuet er fastsat som en egen indtægt i overensstemmelse med artikel 311, tredje afsnit, i TEUF.</w:t>
      </w:r>
      <w:r w:rsidR="00517EDF">
        <w:rPr>
          <w:b/>
          <w:szCs w:val="24"/>
          <w:lang w:eastAsia="en-US"/>
        </w:rPr>
        <w:t xml:space="preserve"> [Ændring 277]</w:t>
      </w:r>
    </w:p>
    <w:p w14:paraId="55423A4C" w14:textId="77777777" w:rsidR="003E0486" w:rsidRPr="003E0486" w:rsidRDefault="003E0486" w:rsidP="003E0486">
      <w:pPr>
        <w:spacing w:before="120" w:after="120" w:line="360" w:lineRule="auto"/>
        <w:rPr>
          <w:szCs w:val="24"/>
          <w:lang w:eastAsia="en-US"/>
        </w:rPr>
      </w:pPr>
      <w:r w:rsidRPr="003E0486">
        <w:rPr>
          <w:szCs w:val="24"/>
          <w:lang w:eastAsia="en-US"/>
        </w:rPr>
        <w:t>De retsakter eller afgørelser om sanktioner, der anvendes for enhver toldovertrædelse, registreres i EU's tolddatacenter sammen med resultatet af toldkontrollen.</w:t>
      </w:r>
    </w:p>
    <w:p w14:paraId="003DC6B6" w14:textId="77777777" w:rsidR="00E3386D" w:rsidRDefault="00E3386D">
      <w:pPr>
        <w:widowControl/>
        <w:rPr>
          <w:szCs w:val="24"/>
          <w:lang w:eastAsia="en-US"/>
        </w:rPr>
      </w:pPr>
      <w:r>
        <w:rPr>
          <w:szCs w:val="24"/>
          <w:lang w:eastAsia="en-US"/>
        </w:rPr>
        <w:br w:type="page"/>
      </w:r>
    </w:p>
    <w:p w14:paraId="68C34B8D" w14:textId="00DB830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Afsnit XV </w:t>
      </w:r>
      <w:r w:rsidRPr="003E0486">
        <w:rPr>
          <w:szCs w:val="24"/>
          <w:lang w:eastAsia="en-US"/>
        </w:rPr>
        <w:br/>
        <w:t>AFSLUTTENDE BESTEMMELSER</w:t>
      </w:r>
    </w:p>
    <w:p w14:paraId="2736472D"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1 </w:t>
      </w:r>
      <w:r w:rsidRPr="003E0486">
        <w:rPr>
          <w:szCs w:val="24"/>
          <w:lang w:eastAsia="en-US"/>
        </w:rPr>
        <w:br/>
        <w:t>Måling af toldunionens resultater</w:t>
      </w:r>
    </w:p>
    <w:p w14:paraId="685552DA"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255</w:t>
      </w:r>
      <w:r w:rsidRPr="003E0486">
        <w:rPr>
          <w:szCs w:val="24"/>
          <w:lang w:eastAsia="en-US"/>
        </w:rPr>
        <w:br/>
        <w:t>Anvendelsesområde og mål</w:t>
      </w:r>
    </w:p>
    <w:p w14:paraId="2C58564E" w14:textId="7EEB06B5" w:rsidR="003E0486" w:rsidRPr="003B1B2E"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Kommissionen vurderer og evaluerer toldunionens resultater mindst en gang om året. Dette omfatter måling af de toldaktiviteter, der udføres af medlemsstaternes toldmyndigheder og, hvor det er muligt, kandidatlandene, på nationalt niveau og for grænseovergangsstederne</w:t>
      </w:r>
      <w:r w:rsidRPr="003E0486">
        <w:rPr>
          <w:b/>
          <w:i/>
          <w:szCs w:val="24"/>
          <w:lang w:eastAsia="en-US"/>
        </w:rPr>
        <w:t>, samt regelmæssig overvågning af omfanget af de udgifter, som de nationale toldmyndigheder har afholdt i forbindelse med udførelsen af deres aktiviteter</w:t>
      </w:r>
      <w:r w:rsidRPr="003E0486">
        <w:rPr>
          <w:szCs w:val="24"/>
          <w:lang w:eastAsia="en-US"/>
        </w:rPr>
        <w:t>. Sådanne målinger kan bygge på eksisterende værktøjer, som Kommissionen og medlemsstaterne har udviklet til dette formål.</w:t>
      </w:r>
      <w:r w:rsidR="003B1B2E">
        <w:rPr>
          <w:b/>
          <w:szCs w:val="24"/>
          <w:lang w:eastAsia="en-US"/>
        </w:rPr>
        <w:t xml:space="preserve"> [Ændring 278]</w:t>
      </w:r>
    </w:p>
    <w:p w14:paraId="53F3B165" w14:textId="51F628FE" w:rsidR="003E0486" w:rsidRPr="003B1B2E"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EU-Toldmyndigheden bistår Kommissionen </w:t>
      </w:r>
      <w:r w:rsidRPr="003E0486">
        <w:rPr>
          <w:b/>
          <w:i/>
          <w:szCs w:val="24"/>
          <w:lang w:eastAsia="en-US"/>
        </w:rPr>
        <w:t xml:space="preserve">i forbindelse </w:t>
      </w:r>
      <w:r w:rsidRPr="003E0486">
        <w:rPr>
          <w:szCs w:val="24"/>
          <w:lang w:eastAsia="en-US"/>
        </w:rPr>
        <w:t>med</w:t>
      </w:r>
      <w:r w:rsidRPr="003E0486">
        <w:rPr>
          <w:strike/>
          <w:szCs w:val="24"/>
          <w:lang w:eastAsia="en-US"/>
        </w:rPr>
        <w:t xml:space="preserve"> denne opgave. For at støtte Kommissionen i</w:t>
      </w:r>
      <w:r w:rsidRPr="003E0486">
        <w:rPr>
          <w:szCs w:val="24"/>
          <w:lang w:eastAsia="en-US"/>
        </w:rPr>
        <w:t xml:space="preserve"> dens evaluering af toldunionens resultater</w:t>
      </w:r>
      <w:r w:rsidRPr="003E0486">
        <w:rPr>
          <w:b/>
          <w:i/>
          <w:szCs w:val="24"/>
          <w:lang w:eastAsia="en-US"/>
        </w:rPr>
        <w:t>. Til dette formål</w:t>
      </w:r>
      <w:r w:rsidRPr="003E0486">
        <w:rPr>
          <w:szCs w:val="24"/>
          <w:lang w:eastAsia="en-US"/>
        </w:rPr>
        <w:t xml:space="preserve"> identificerer EU-Toldmyndigheden, hvordan toldaktiviteter og -aktioner understøtter opfyldelsen af toldunionens strategiske mål og prioriteter og bidrager til toldmyndighedernes opgave som fastsat i artikel 2. EU-Toldmyndigheden skal navnlig identificere de vigtigste tendenser, styrker, svagheder, mangler og potentielle risici</w:t>
      </w:r>
      <w:r w:rsidRPr="003E0486">
        <w:rPr>
          <w:b/>
          <w:i/>
          <w:szCs w:val="24"/>
          <w:lang w:eastAsia="en-US"/>
        </w:rPr>
        <w:t>, bistå Kommissionen med at indsamle relevante data om omfanget af de udgifter, som de nationale toldmyndigheder har afholdt for at sikre deres funktion,</w:t>
      </w:r>
      <w:r w:rsidRPr="003E0486">
        <w:rPr>
          <w:szCs w:val="24"/>
          <w:lang w:eastAsia="en-US"/>
        </w:rPr>
        <w:t xml:space="preserve"> og give anbefalinger til forbedringer til Kommissionen.</w:t>
      </w:r>
      <w:r w:rsidR="003B1B2E">
        <w:rPr>
          <w:b/>
          <w:szCs w:val="24"/>
          <w:lang w:eastAsia="en-US"/>
        </w:rPr>
        <w:t xml:space="preserve"> [Ændring 279]</w:t>
      </w:r>
    </w:p>
    <w:p w14:paraId="6CFFF2E1" w14:textId="77777777" w:rsidR="00E3386D" w:rsidRDefault="00E3386D">
      <w:pPr>
        <w:widowControl/>
        <w:rPr>
          <w:szCs w:val="24"/>
          <w:lang w:eastAsia="en-US"/>
        </w:rPr>
      </w:pPr>
      <w:r>
        <w:rPr>
          <w:szCs w:val="24"/>
          <w:lang w:eastAsia="en-US"/>
        </w:rPr>
        <w:br w:type="page"/>
      </w:r>
    </w:p>
    <w:p w14:paraId="46E95F56" w14:textId="5CFCE592" w:rsidR="003E0486" w:rsidRPr="003E0486" w:rsidRDefault="003E0486" w:rsidP="003E0486">
      <w:pPr>
        <w:spacing w:before="120" w:after="120" w:line="360" w:lineRule="auto"/>
        <w:jc w:val="center"/>
        <w:rPr>
          <w:szCs w:val="24"/>
          <w:lang w:eastAsia="en-US"/>
        </w:rPr>
      </w:pPr>
      <w:r w:rsidRPr="003E0486">
        <w:rPr>
          <w:szCs w:val="24"/>
          <w:lang w:eastAsia="en-US"/>
        </w:rPr>
        <w:lastRenderedPageBreak/>
        <w:t>Artikel 256</w:t>
      </w:r>
      <w:r w:rsidRPr="003E0486">
        <w:rPr>
          <w:szCs w:val="24"/>
          <w:lang w:eastAsia="en-US"/>
        </w:rPr>
        <w:br/>
        <w:t>Rammedefinition og årlig rapportering</w:t>
      </w:r>
    </w:p>
    <w:p w14:paraId="01FB3273"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EU-Toldmyndigheden udarbejder i samarbejde med toldmyndighederne rapporter og andre typer dokumenter med henblik på at opfylde målene i artikel 255.</w:t>
      </w:r>
    </w:p>
    <w:p w14:paraId="1CCB0ED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Medlemsstaterne fremsender data til EU-Toldmyndigheden med oplysninger vedrørende både det nationale niveau og for grænseovergangsstederne. På grundlag af de data, der modtages fra toldmyndighederne, udarbejder EU-Toldmyndigheden en årsrapport med fakta og tal for det forløbne år for hver toldmyndighed på nationalt niveau og for grænseovergangsstederne.</w:t>
      </w:r>
    </w:p>
    <w:p w14:paraId="35051644"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EU-Toldmyndigheden fremsender udkastet til årsrapporten til Kommissionen til godkendelse.</w:t>
      </w:r>
    </w:p>
    <w:p w14:paraId="1F33F61D" w14:textId="57170D1A" w:rsidR="003E0486" w:rsidRPr="003B1B2E"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 xml:space="preserve">Kommissionen kontrollerer rapporten og sender den derefter til </w:t>
      </w:r>
      <w:r w:rsidRPr="003E0486">
        <w:rPr>
          <w:strike/>
          <w:szCs w:val="24"/>
          <w:lang w:eastAsia="en-US"/>
        </w:rPr>
        <w:t>medlemsstaterne</w:t>
      </w:r>
      <w:r w:rsidRPr="003E0486">
        <w:rPr>
          <w:b/>
          <w:i/>
          <w:szCs w:val="24"/>
          <w:lang w:eastAsia="en-US"/>
        </w:rPr>
        <w:t>Europa-Parlamentet og Rådet</w:t>
      </w:r>
      <w:r w:rsidRPr="003E0486">
        <w:rPr>
          <w:szCs w:val="24"/>
          <w:lang w:eastAsia="en-US"/>
        </w:rPr>
        <w:t xml:space="preserve"> til orientering.</w:t>
      </w:r>
      <w:r w:rsidR="003B1B2E">
        <w:rPr>
          <w:b/>
          <w:szCs w:val="24"/>
          <w:lang w:eastAsia="en-US"/>
        </w:rPr>
        <w:t xml:space="preserve"> [Ændring 280]</w:t>
      </w:r>
    </w:p>
    <w:p w14:paraId="27756DF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Kommissionen præciserer ved hjælp af gennemførelsesretsakter de data, der er omhandlet i stk. 2, samt deres fortrolighedsgrad og udformningen af rammen for resultatmåling. Disse gennemførelsesretsakter vedtages efter undersøgelsesproceduren i artikel 262, stk. 4.</w:t>
      </w:r>
    </w:p>
    <w:p w14:paraId="017CBD1D" w14:textId="77777777" w:rsidR="00E3386D" w:rsidRDefault="00E3386D">
      <w:pPr>
        <w:widowControl/>
        <w:rPr>
          <w:szCs w:val="24"/>
          <w:lang w:eastAsia="en-US"/>
        </w:rPr>
      </w:pPr>
      <w:r>
        <w:rPr>
          <w:szCs w:val="24"/>
          <w:lang w:eastAsia="en-US"/>
        </w:rPr>
        <w:br w:type="page"/>
      </w:r>
    </w:p>
    <w:p w14:paraId="5F091FE8" w14:textId="32159833"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2 </w:t>
      </w:r>
      <w:r w:rsidRPr="003E0486">
        <w:rPr>
          <w:szCs w:val="24"/>
          <w:lang w:eastAsia="en-US"/>
        </w:rPr>
        <w:br/>
        <w:t>Overvågning, evaluering og rapportering</w:t>
      </w:r>
    </w:p>
    <w:p w14:paraId="7C19EC6E"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257</w:t>
      </w:r>
      <w:r w:rsidRPr="003E0486">
        <w:rPr>
          <w:szCs w:val="24"/>
          <w:lang w:eastAsia="en-US"/>
        </w:rPr>
        <w:br/>
        <w:t>Overvågning</w:t>
      </w:r>
    </w:p>
    <w:p w14:paraId="09904069" w14:textId="77777777" w:rsidR="003E0486" w:rsidRPr="003E0486" w:rsidRDefault="003E0486" w:rsidP="003E0486">
      <w:pPr>
        <w:spacing w:before="120" w:after="120" w:line="360" w:lineRule="auto"/>
        <w:rPr>
          <w:szCs w:val="24"/>
          <w:lang w:eastAsia="en-US"/>
        </w:rPr>
      </w:pPr>
      <w:r w:rsidRPr="003E0486">
        <w:rPr>
          <w:szCs w:val="24"/>
          <w:lang w:eastAsia="en-US"/>
        </w:rPr>
        <w:t>Kommissionen overvåger regelmæssigt gennemførelsen af denne forordning under hensyntagen til bl.a. oplysninger og analyser, der er relevante for overvågningen, og som meddeles eller gøres tilgængelige af toldmyndighederne og EU-Toldmyndigheden i EU's tolddatacenter.</w:t>
      </w:r>
    </w:p>
    <w:p w14:paraId="7E03A6C6"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258</w:t>
      </w:r>
      <w:r w:rsidRPr="003E0486">
        <w:rPr>
          <w:szCs w:val="24"/>
          <w:lang w:eastAsia="en-US"/>
        </w:rPr>
        <w:br/>
        <w:t>Evaluering og rapportering</w:t>
      </w:r>
    </w:p>
    <w:p w14:paraId="6D2207B1" w14:textId="456A7484" w:rsidR="003E0486" w:rsidRPr="003B1B2E"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Senest</w:t>
      </w:r>
      <w:r w:rsidRPr="003E0486">
        <w:rPr>
          <w:b/>
          <w:i/>
          <w:szCs w:val="24"/>
          <w:lang w:eastAsia="en-US"/>
        </w:rPr>
        <w:t xml:space="preserve"> </w:t>
      </w:r>
      <w:r w:rsidRPr="00FA19B1">
        <w:rPr>
          <w:szCs w:val="24"/>
          <w:lang w:eastAsia="en-US"/>
        </w:rPr>
        <w:t>…</w:t>
      </w:r>
      <w:r w:rsidRPr="003E0486">
        <w:rPr>
          <w:szCs w:val="24"/>
          <w:lang w:eastAsia="en-US"/>
        </w:rPr>
        <w:t xml:space="preserve"> [Publikationskontoret bedes indsætte datoen = </w:t>
      </w:r>
      <w:r w:rsidRPr="003E0486">
        <w:rPr>
          <w:strike/>
          <w:szCs w:val="24"/>
          <w:lang w:eastAsia="en-US"/>
        </w:rPr>
        <w:t>fem</w:t>
      </w:r>
      <w:r w:rsidRPr="003E0486">
        <w:rPr>
          <w:b/>
          <w:i/>
          <w:szCs w:val="24"/>
          <w:lang w:eastAsia="en-US"/>
        </w:rPr>
        <w:t>tre</w:t>
      </w:r>
      <w:r w:rsidRPr="003E0486">
        <w:rPr>
          <w:szCs w:val="24"/>
          <w:lang w:eastAsia="en-US"/>
        </w:rPr>
        <w:t xml:space="preserve"> år efter ikrafttræden] og hver femte år derefter foretager Kommissionen en evaluering af denne forordning i lyset af de mål, den forfølger, og forelægger Europa-Parlamentet, Rådet og Det Europæiske Økonomiske og Sociale Udvalg en rapport derom.</w:t>
      </w:r>
      <w:r w:rsidR="003B1B2E">
        <w:rPr>
          <w:b/>
          <w:szCs w:val="24"/>
          <w:lang w:eastAsia="en-US"/>
        </w:rPr>
        <w:t xml:space="preserve"> [Ændring 281]</w:t>
      </w:r>
    </w:p>
    <w:p w14:paraId="3E465CD7" w14:textId="77777777" w:rsidR="00E3386D" w:rsidRDefault="00E3386D">
      <w:pPr>
        <w:widowControl/>
        <w:rPr>
          <w:szCs w:val="24"/>
          <w:lang w:eastAsia="en-US"/>
        </w:rPr>
      </w:pPr>
      <w:r>
        <w:rPr>
          <w:szCs w:val="24"/>
          <w:lang w:eastAsia="en-US"/>
        </w:rPr>
        <w:br w:type="page"/>
      </w:r>
    </w:p>
    <w:p w14:paraId="4D8E049D" w14:textId="296FBA2F" w:rsidR="003E0486" w:rsidRPr="003E0486" w:rsidRDefault="003E0486" w:rsidP="003E0486">
      <w:pPr>
        <w:spacing w:before="120" w:after="120" w:line="360" w:lineRule="auto"/>
        <w:ind w:left="850"/>
        <w:rPr>
          <w:szCs w:val="24"/>
          <w:lang w:eastAsia="en-US"/>
        </w:rPr>
      </w:pPr>
      <w:r w:rsidRPr="003E0486">
        <w:rPr>
          <w:szCs w:val="24"/>
          <w:lang w:eastAsia="en-US"/>
        </w:rPr>
        <w:lastRenderedPageBreak/>
        <w:t>Rapporten skal indeholde:</w:t>
      </w:r>
    </w:p>
    <w:p w14:paraId="5C53E9DA"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en oversigt over, hvor langt medlemsstaterne er nået med gennemførelsen af denne forordning</w:t>
      </w:r>
    </w:p>
    <w:p w14:paraId="1A3F42D7" w14:textId="4E186F24"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en vurdering af denne forordnings virkningsfuldhed, effektivitet, sammenhæng, relevans og EU-merværdi, navnlig med hensyn til de mål, der er omhandlet i artikel 2</w:t>
      </w:r>
    </w:p>
    <w:p w14:paraId="07F3E223" w14:textId="1A6CA7F3" w:rsidR="003E0486" w:rsidRPr="00C4622D" w:rsidRDefault="009247F4" w:rsidP="003E0486">
      <w:pPr>
        <w:spacing w:before="120" w:after="120" w:line="360" w:lineRule="auto"/>
        <w:ind w:left="1416" w:hanging="566"/>
        <w:rPr>
          <w:b/>
          <w:szCs w:val="24"/>
          <w:lang w:eastAsia="en-US"/>
        </w:rPr>
      </w:pPr>
      <w:r>
        <w:rPr>
          <w:b/>
          <w:i/>
          <w:szCs w:val="24"/>
          <w:lang w:eastAsia="en-US"/>
        </w:rPr>
        <w:t>(</w:t>
      </w:r>
      <w:r w:rsidR="003E0486" w:rsidRPr="003E0486">
        <w:rPr>
          <w:b/>
          <w:i/>
          <w:szCs w:val="24"/>
          <w:lang w:eastAsia="en-US"/>
        </w:rPr>
        <w:t>ba)</w:t>
      </w:r>
      <w:r w:rsidR="003E0486" w:rsidRPr="003E0486">
        <w:rPr>
          <w:szCs w:val="24"/>
          <w:lang w:eastAsia="en-US"/>
        </w:rPr>
        <w:tab/>
      </w:r>
      <w:r w:rsidR="003E0486" w:rsidRPr="003E0486">
        <w:rPr>
          <w:b/>
          <w:i/>
          <w:szCs w:val="24"/>
          <w:lang w:eastAsia="en-US"/>
        </w:rPr>
        <w:t xml:space="preserve">en oversigt over de opdelte omkostninger, som Unionen og medlemsstaterne har afholdt i forbindelse med gennemførelsen af denne forordning, herunder sammenholdt med de omkostninger, der er afholdt på datoen for </w:t>
      </w:r>
      <w:r w:rsidR="00F354E7">
        <w:rPr>
          <w:b/>
          <w:i/>
          <w:szCs w:val="24"/>
          <w:lang w:eastAsia="en-US"/>
        </w:rPr>
        <w:t>denne</w:t>
      </w:r>
      <w:r w:rsidR="00F354E7" w:rsidRPr="003E0486">
        <w:rPr>
          <w:b/>
          <w:i/>
          <w:szCs w:val="24"/>
          <w:lang w:eastAsia="en-US"/>
        </w:rPr>
        <w:t xml:space="preserve"> </w:t>
      </w:r>
      <w:r w:rsidR="003E0486" w:rsidRPr="003E0486">
        <w:rPr>
          <w:b/>
          <w:i/>
          <w:szCs w:val="24"/>
          <w:lang w:eastAsia="en-US"/>
        </w:rPr>
        <w:t>forordnings ikrafttræden.</w:t>
      </w:r>
      <w:r w:rsidR="00C4622D">
        <w:rPr>
          <w:b/>
          <w:szCs w:val="24"/>
          <w:lang w:eastAsia="en-US"/>
        </w:rPr>
        <w:t xml:space="preserve"> [Ændring 282]</w:t>
      </w:r>
    </w:p>
    <w:p w14:paraId="32371CC0"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Efter anmodning fra Kommissionen og i overensstemmelse med dette afsnits kapitel 1 forelægger medlemsstaterne de oplysninger om gennemførelsen af denne forordning, som er nødvendige for udarbejdelsen af den rapport, der er omhandlet i stk. 2.</w:t>
      </w:r>
    </w:p>
    <w:p w14:paraId="2589F6C3" w14:textId="77777777" w:rsidR="00E3386D" w:rsidRDefault="00E3386D">
      <w:pPr>
        <w:widowControl/>
        <w:rPr>
          <w:szCs w:val="24"/>
          <w:lang w:eastAsia="en-US"/>
        </w:rPr>
      </w:pPr>
      <w:r>
        <w:rPr>
          <w:szCs w:val="24"/>
          <w:lang w:eastAsia="en-US"/>
        </w:rPr>
        <w:br w:type="page"/>
      </w:r>
    </w:p>
    <w:p w14:paraId="0756C8E5" w14:textId="2C647930" w:rsidR="003E0486" w:rsidRPr="003E0486" w:rsidRDefault="003E0486" w:rsidP="003E0486">
      <w:pPr>
        <w:spacing w:before="120" w:after="120" w:line="360" w:lineRule="auto"/>
        <w:jc w:val="center"/>
        <w:rPr>
          <w:szCs w:val="24"/>
          <w:lang w:eastAsia="en-US"/>
        </w:rPr>
      </w:pPr>
      <w:r w:rsidRPr="003E0486">
        <w:rPr>
          <w:szCs w:val="24"/>
          <w:lang w:eastAsia="en-US"/>
        </w:rPr>
        <w:lastRenderedPageBreak/>
        <w:t xml:space="preserve">Kapitel 3 </w:t>
      </w:r>
      <w:r w:rsidRPr="003E0486">
        <w:rPr>
          <w:szCs w:val="24"/>
          <w:lang w:eastAsia="en-US"/>
        </w:rPr>
        <w:br/>
        <w:t>Valutaomregning og tidsfrister</w:t>
      </w:r>
    </w:p>
    <w:p w14:paraId="2765B62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259</w:t>
      </w:r>
      <w:r w:rsidRPr="003E0486">
        <w:rPr>
          <w:szCs w:val="24"/>
          <w:lang w:eastAsia="en-US"/>
        </w:rPr>
        <w:br/>
        <w:t>Valutaomregning</w:t>
      </w:r>
    </w:p>
    <w:p w14:paraId="040AFD5F"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Den kurs, der benyttes, skal offentliggøres og/eller gøres tilgængelig på internettet af de kompetente myndigheder, når det er nødvendigt at omregne en valuta af en af følgende årsager:</w:t>
      </w:r>
    </w:p>
    <w:p w14:paraId="34A6E640" w14:textId="5700393D"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r>
      <w:r w:rsidR="001321CF">
        <w:rPr>
          <w:szCs w:val="24"/>
          <w:lang w:eastAsia="en-US"/>
        </w:rPr>
        <w:t>d</w:t>
      </w:r>
      <w:r w:rsidRPr="003E0486">
        <w:rPr>
          <w:szCs w:val="24"/>
          <w:lang w:eastAsia="en-US"/>
        </w:rPr>
        <w:t>e faktorer, der benyttes til at ansætte toldværdien af en vare, er angivet i en anden valuta end valutaen i den medlemsstat, hvor toldværdien ansættes</w:t>
      </w:r>
    </w:p>
    <w:p w14:paraId="01DBFCB2" w14:textId="3EA0C8CE"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r>
      <w:r w:rsidR="001321CF">
        <w:rPr>
          <w:szCs w:val="24"/>
          <w:lang w:eastAsia="en-US"/>
        </w:rPr>
        <w:t>m</w:t>
      </w:r>
      <w:r w:rsidRPr="003E0486">
        <w:rPr>
          <w:szCs w:val="24"/>
          <w:lang w:eastAsia="en-US"/>
        </w:rPr>
        <w:t>odværdien af euroen i national valuta er nødvendig for at fastlægge tariferingen af varer samt import- og eksportafgiftsbeløbet, herunder tærskelværdier i den fælles toldtarif.</w:t>
      </w:r>
    </w:p>
    <w:p w14:paraId="6F79EB2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Hvis det er nødvendigt at omregne valutaen af andre årsager end de i stk. 1 nævnte, fastsættes den modværdi af euroen i national valuta, der skal anvendes som led i toldlovgivningen, mindst en gang om året.</w:t>
      </w:r>
    </w:p>
    <w:p w14:paraId="146DA782" w14:textId="77777777" w:rsidR="00E3386D" w:rsidRDefault="00E3386D">
      <w:pPr>
        <w:widowControl/>
        <w:rPr>
          <w:szCs w:val="24"/>
          <w:lang w:eastAsia="en-US"/>
        </w:rPr>
      </w:pPr>
      <w:r>
        <w:rPr>
          <w:szCs w:val="24"/>
          <w:lang w:eastAsia="en-US"/>
        </w:rPr>
        <w:br w:type="page"/>
      </w:r>
    </w:p>
    <w:p w14:paraId="333F946F" w14:textId="38CC65E4"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Kommissionen fastsætter ved gennemførelsesretsakter regler for valutaomregning med henblik på de i stk. 1 og 2 omhandlede formål. Disse gennemførelsesretsakter vedtages efter undersøgelsesproceduren i artikel 262, stk. 4.</w:t>
      </w:r>
    </w:p>
    <w:p w14:paraId="292E3F91"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260</w:t>
      </w:r>
      <w:r w:rsidRPr="003E0486">
        <w:rPr>
          <w:szCs w:val="24"/>
          <w:lang w:eastAsia="en-US"/>
        </w:rPr>
        <w:br/>
        <w:t>Perioder, datoer og frister</w:t>
      </w:r>
    </w:p>
    <w:p w14:paraId="6E495DF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Når der fastsættes en periode, dato eller frist i toldlovgivningen, kan en sådan periode ikke forlænges eller forkortes og en dato eller frist ikke udskydes eller rykkes frem, medmindre andet er fastsat.</w:t>
      </w:r>
    </w:p>
    <w:p w14:paraId="0FA6A0BA"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De regler for perioder, datoer og frister, der er fastsat i Rådets forordning (EØF, Euratom) nr. 1182/71</w:t>
      </w:r>
      <w:r w:rsidRPr="003E0486">
        <w:rPr>
          <w:szCs w:val="24"/>
          <w:vertAlign w:val="superscript"/>
          <w:lang w:val="en-GB" w:eastAsia="en-US"/>
        </w:rPr>
        <w:footnoteReference w:id="55"/>
      </w:r>
      <w:r w:rsidRPr="003E0486">
        <w:rPr>
          <w:szCs w:val="24"/>
          <w:lang w:eastAsia="en-US"/>
        </w:rPr>
        <w:t>, finder anvendelse, undtagen hvor toldlovgivningen indeholder andre bestemmelser.</w:t>
      </w:r>
    </w:p>
    <w:p w14:paraId="0670CAE1"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4 </w:t>
      </w:r>
      <w:r w:rsidRPr="003E0486">
        <w:rPr>
          <w:szCs w:val="24"/>
          <w:lang w:eastAsia="en-US"/>
        </w:rPr>
        <w:br/>
        <w:t>Delegation af beføjelser og udvalgsprocedure</w:t>
      </w:r>
    </w:p>
    <w:p w14:paraId="3023BBE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261</w:t>
      </w:r>
      <w:r w:rsidRPr="003E0486">
        <w:rPr>
          <w:szCs w:val="24"/>
          <w:lang w:eastAsia="en-US"/>
        </w:rPr>
        <w:br/>
        <w:t>Udøvelse af de delegerede beføjelser</w:t>
      </w:r>
    </w:p>
    <w:p w14:paraId="65EC8686"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Beføjelsen til at vedtage delegerede retsakter tillægges Kommissionen på de i denne artikel fastlagte betingelser.</w:t>
      </w:r>
    </w:p>
    <w:p w14:paraId="56B041CD" w14:textId="77777777" w:rsidR="00E3386D" w:rsidRDefault="00E3386D">
      <w:pPr>
        <w:widowControl/>
        <w:rPr>
          <w:szCs w:val="24"/>
          <w:lang w:eastAsia="en-US"/>
        </w:rPr>
      </w:pPr>
      <w:r>
        <w:rPr>
          <w:szCs w:val="24"/>
          <w:lang w:eastAsia="en-US"/>
        </w:rPr>
        <w:br w:type="page"/>
      </w:r>
    </w:p>
    <w:p w14:paraId="3DF1BB51" w14:textId="4DBFEB3C"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 xml:space="preserve">Beføjelsen til at vedtage delegerede retsakter, jf. artikel </w:t>
      </w:r>
      <w:r w:rsidRPr="003E0486">
        <w:rPr>
          <w:strike/>
          <w:szCs w:val="24"/>
          <w:lang w:eastAsia="en-US"/>
        </w:rPr>
        <w:t xml:space="preserve">4, </w:t>
      </w:r>
      <w:r w:rsidRPr="003E0486">
        <w:rPr>
          <w:szCs w:val="24"/>
          <w:lang w:eastAsia="en-US"/>
        </w:rPr>
        <w:t>6, 7, 10, 14, 19, 23</w:t>
      </w:r>
      <w:r w:rsidRPr="003E0486">
        <w:rPr>
          <w:b/>
          <w:i/>
          <w:szCs w:val="24"/>
          <w:lang w:eastAsia="en-US"/>
        </w:rPr>
        <w:t>, 24</w:t>
      </w:r>
      <w:r w:rsidRPr="003E0486">
        <w:rPr>
          <w:szCs w:val="24"/>
          <w:lang w:eastAsia="en-US"/>
        </w:rPr>
        <w:t xml:space="preserve">, 25, 27, 28, 29, 31, 32, </w:t>
      </w:r>
      <w:r w:rsidRPr="003E0486">
        <w:rPr>
          <w:b/>
          <w:i/>
          <w:szCs w:val="24"/>
          <w:lang w:eastAsia="en-US"/>
        </w:rPr>
        <w:t xml:space="preserve">40a, 40b, 51, </w:t>
      </w:r>
      <w:r w:rsidRPr="003E0486">
        <w:rPr>
          <w:szCs w:val="24"/>
          <w:lang w:eastAsia="en-US"/>
        </w:rPr>
        <w:t>56, 58, 59</w:t>
      </w:r>
      <w:r w:rsidRPr="003E0486">
        <w:rPr>
          <w:strike/>
          <w:szCs w:val="24"/>
          <w:lang w:eastAsia="en-US"/>
        </w:rPr>
        <w:t>, 60</w:t>
      </w:r>
      <w:r w:rsidRPr="003E0486">
        <w:rPr>
          <w:szCs w:val="24"/>
          <w:lang w:eastAsia="en-US"/>
        </w:rPr>
        <w:t>, 63, 65, 66, 71, 72, 73, 77, 80, 81, 83, 85, 86, 88, 90, 91, 95, 97, 99, 101, 102, 105, 107, 108, 109, 111, 115, 116, 119, 123, 132, 148, 150, 156, 167, 168, 169, 170, 173, 175, 176, 179, 181, 186, 193, 199, 242, 244 og 265, tillægges Kommissionen.</w:t>
      </w:r>
    </w:p>
    <w:p w14:paraId="7DABD6D5" w14:textId="15F90F0B" w:rsidR="003E0486" w:rsidRPr="00C4622D"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De i artikel</w:t>
      </w:r>
      <w:r w:rsidRPr="003E0486">
        <w:rPr>
          <w:strike/>
          <w:szCs w:val="24"/>
          <w:lang w:eastAsia="en-US"/>
        </w:rPr>
        <w:t xml:space="preserve"> 4,</w:t>
      </w:r>
      <w:r w:rsidRPr="003E0486">
        <w:rPr>
          <w:szCs w:val="24"/>
          <w:lang w:eastAsia="en-US"/>
        </w:rPr>
        <w:t xml:space="preserve"> 6, 7, 10, 14, 19, 23</w:t>
      </w:r>
      <w:r w:rsidRPr="003E0486">
        <w:rPr>
          <w:b/>
          <w:i/>
          <w:szCs w:val="24"/>
          <w:lang w:eastAsia="en-US"/>
        </w:rPr>
        <w:t>, 24</w:t>
      </w:r>
      <w:r w:rsidRPr="003E0486">
        <w:rPr>
          <w:szCs w:val="24"/>
          <w:lang w:eastAsia="en-US"/>
        </w:rPr>
        <w:t xml:space="preserve">, 25, 27, 28, 29, 31, 32, </w:t>
      </w:r>
      <w:r w:rsidRPr="003E0486">
        <w:rPr>
          <w:b/>
          <w:i/>
          <w:szCs w:val="24"/>
          <w:lang w:eastAsia="en-US"/>
        </w:rPr>
        <w:t xml:space="preserve">40a, 40b, 51, </w:t>
      </w:r>
      <w:r w:rsidRPr="003E0486">
        <w:rPr>
          <w:szCs w:val="24"/>
          <w:lang w:eastAsia="en-US"/>
        </w:rPr>
        <w:t>56, 58, 59</w:t>
      </w:r>
      <w:r w:rsidRPr="003E0486">
        <w:rPr>
          <w:strike/>
          <w:szCs w:val="24"/>
          <w:lang w:eastAsia="en-US"/>
        </w:rPr>
        <w:t>, 60</w:t>
      </w:r>
      <w:r w:rsidRPr="003E0486">
        <w:rPr>
          <w:szCs w:val="24"/>
          <w:lang w:eastAsia="en-US"/>
        </w:rPr>
        <w:t xml:space="preserve">, 63, 65, 66, 71, 72, 73, 77, 80, 81, 83, 85, 86, 88, 90, 91, 95, 97, 99, 101, 102, 105, 107, 108, 109, 111, 115, 116, 119, 123, 132, 148, 150, 156, 167, 168, 169, 170, 173, 175, 176, 179, 181, 186, 193, 199, 242, 244 og 265 omhandlede delegationer af beføjelser kan til enhver tid tilbagekaldes af Europa-Parlamentet eller Rådet. En afgørelse om tilbagekaldelse bringer delegationen af de beføjelser, der er angivet i den pågældende afgørelse, til ophør. Den får virkning fra dagen efter offentliggørelsen af afgørelsen i </w:t>
      </w:r>
      <w:r w:rsidRPr="003740C4">
        <w:rPr>
          <w:i/>
          <w:szCs w:val="24"/>
          <w:lang w:eastAsia="en-US"/>
        </w:rPr>
        <w:t>Den Europæiske Unions Tidende</w:t>
      </w:r>
      <w:r w:rsidRPr="003E0486">
        <w:rPr>
          <w:szCs w:val="24"/>
          <w:lang w:eastAsia="en-US"/>
        </w:rPr>
        <w:t xml:space="preserve"> eller på et senere tidspunkt, der angives i afgørelsen. Den berører ikke gyldigheden af delegerede retsakter, der allerede er i kraft.</w:t>
      </w:r>
      <w:r w:rsidR="00C4622D">
        <w:rPr>
          <w:b/>
          <w:szCs w:val="24"/>
          <w:lang w:eastAsia="en-US"/>
        </w:rPr>
        <w:t xml:space="preserve"> [Ændring 283]</w:t>
      </w:r>
    </w:p>
    <w:p w14:paraId="445DA35D" w14:textId="0D32760F"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 xml:space="preserve">Inden vedtagelsen af en delegeret retsakt hører Kommissionen eksperter, som er udpeget af hver enkelt medlemsstat, i overensstemmelse med principperne i den interinstitutionelle aftale </w:t>
      </w:r>
      <w:r w:rsidR="001321CF" w:rsidRPr="003E0486">
        <w:rPr>
          <w:szCs w:val="24"/>
          <w:lang w:eastAsia="en-US"/>
        </w:rPr>
        <w:t>af 13. april 2016</w:t>
      </w:r>
      <w:r w:rsidR="001321CF">
        <w:rPr>
          <w:szCs w:val="24"/>
          <w:lang w:eastAsia="en-US"/>
        </w:rPr>
        <w:t xml:space="preserve"> </w:t>
      </w:r>
      <w:r w:rsidRPr="003E0486">
        <w:rPr>
          <w:szCs w:val="24"/>
          <w:lang w:eastAsia="en-US"/>
        </w:rPr>
        <w:t>om bedre lovgivning.</w:t>
      </w:r>
    </w:p>
    <w:p w14:paraId="201E6B91" w14:textId="77777777" w:rsidR="00E3386D" w:rsidRDefault="00E3386D">
      <w:pPr>
        <w:widowControl/>
        <w:rPr>
          <w:szCs w:val="24"/>
          <w:lang w:eastAsia="en-US"/>
        </w:rPr>
      </w:pPr>
      <w:r>
        <w:rPr>
          <w:szCs w:val="24"/>
          <w:lang w:eastAsia="en-US"/>
        </w:rPr>
        <w:br w:type="page"/>
      </w:r>
    </w:p>
    <w:p w14:paraId="5750F589" w14:textId="42D9299E"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5.</w:t>
      </w:r>
      <w:r w:rsidRPr="003E0486">
        <w:rPr>
          <w:szCs w:val="24"/>
          <w:lang w:eastAsia="en-US"/>
        </w:rPr>
        <w:tab/>
        <w:t>Så snart Kommissionen vedtager en delegeret retsakt, giver den samtidigt Europa-Parlamentet og Rådet meddelelse herom.</w:t>
      </w:r>
    </w:p>
    <w:p w14:paraId="57E85EF0" w14:textId="68ED6BD8" w:rsidR="003E0486" w:rsidRPr="00C4622D"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 xml:space="preserve">En delegeret retsakt vedtaget i henhold til artikel </w:t>
      </w:r>
      <w:r w:rsidRPr="003E0486">
        <w:rPr>
          <w:strike/>
          <w:szCs w:val="24"/>
          <w:lang w:eastAsia="en-US"/>
        </w:rPr>
        <w:t xml:space="preserve">4, </w:t>
      </w:r>
      <w:r w:rsidRPr="003E0486">
        <w:rPr>
          <w:szCs w:val="24"/>
          <w:lang w:eastAsia="en-US"/>
        </w:rPr>
        <w:t>6, 7, 10, 14, 19, 23</w:t>
      </w:r>
      <w:r w:rsidRPr="003E0486">
        <w:rPr>
          <w:b/>
          <w:i/>
          <w:szCs w:val="24"/>
          <w:lang w:eastAsia="en-US"/>
        </w:rPr>
        <w:t>, 24</w:t>
      </w:r>
      <w:r w:rsidRPr="003E0486">
        <w:rPr>
          <w:szCs w:val="24"/>
          <w:lang w:eastAsia="en-US"/>
        </w:rPr>
        <w:t xml:space="preserve">, 25, 27, 28, 29, 31, 32, </w:t>
      </w:r>
      <w:r w:rsidRPr="003E0486">
        <w:rPr>
          <w:b/>
          <w:i/>
          <w:szCs w:val="24"/>
          <w:lang w:eastAsia="en-US"/>
        </w:rPr>
        <w:t xml:space="preserve">40a, 40b, 51, </w:t>
      </w:r>
      <w:r w:rsidRPr="003E0486">
        <w:rPr>
          <w:szCs w:val="24"/>
          <w:lang w:eastAsia="en-US"/>
        </w:rPr>
        <w:t>56, 58, 59</w:t>
      </w:r>
      <w:r w:rsidRPr="003E0486">
        <w:rPr>
          <w:strike/>
          <w:szCs w:val="24"/>
          <w:lang w:eastAsia="en-US"/>
        </w:rPr>
        <w:t>, 60</w:t>
      </w:r>
      <w:r w:rsidRPr="003E0486">
        <w:rPr>
          <w:szCs w:val="24"/>
          <w:lang w:eastAsia="en-US"/>
        </w:rPr>
        <w:t>, 63, 65, 66, 71, 72, 73, 77, 80, 81, 83, 85, 86, 88, 90, 91, 95, 97, 99, 101, 102, 105, 107, 108, 109, 111, 115, 116, 119, 123, 132, 148, 150, 156, 167, 168, 169, 170, 173, 175, 176, 179, 181, 186, 193, 199, 242, 244 eller 265 træder kun i kraft, hvis hverken Europa-Parlamentet eller Rådet har gjort indsigelse inden for en frist på to måneder fra meddelelsen af den pågældende retsakt til Europa-Parlamentet eller Rådet, eller hvis Europa-Parlamentet og Rådet inden udløbet af denne frist begge har informeret Kommissionen om, at de ikke agter at gøre indsigelse. Fristen forlænges med to måneder på Europa-Parlamentets eller Rådets initiativ.</w:t>
      </w:r>
      <w:r w:rsidR="00C4622D">
        <w:rPr>
          <w:b/>
          <w:szCs w:val="24"/>
          <w:lang w:eastAsia="en-US"/>
        </w:rPr>
        <w:t xml:space="preserve"> [Ændring 284]</w:t>
      </w:r>
    </w:p>
    <w:p w14:paraId="088EF2AF"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262</w:t>
      </w:r>
      <w:r w:rsidRPr="003E0486">
        <w:rPr>
          <w:szCs w:val="24"/>
          <w:lang w:eastAsia="en-US"/>
        </w:rPr>
        <w:br/>
        <w:t>Udvalgsprocedure</w:t>
      </w:r>
    </w:p>
    <w:p w14:paraId="6F00E0B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1.</w:t>
      </w:r>
      <w:r w:rsidRPr="003E0486">
        <w:rPr>
          <w:szCs w:val="24"/>
          <w:lang w:eastAsia="en-US"/>
        </w:rPr>
        <w:tab/>
        <w:t>Kommissionen bistås af Toldkodeksudvalget. Dette udvalg er et udvalg som omhandlet i forordning (EU) nr. 182/2011.</w:t>
      </w:r>
    </w:p>
    <w:p w14:paraId="0FB9AEB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2.</w:t>
      </w:r>
      <w:r w:rsidRPr="003E0486">
        <w:rPr>
          <w:szCs w:val="24"/>
          <w:lang w:eastAsia="en-US"/>
        </w:rPr>
        <w:tab/>
        <w:t>Når der henvises til dette stykke, anvendes artikel 4 i forordning (EU) nr. 182/2011.</w:t>
      </w:r>
    </w:p>
    <w:p w14:paraId="15A9D8C1" w14:textId="77777777" w:rsidR="00E3386D" w:rsidRDefault="00E3386D">
      <w:pPr>
        <w:widowControl/>
        <w:rPr>
          <w:szCs w:val="24"/>
          <w:lang w:eastAsia="en-US"/>
        </w:rPr>
      </w:pPr>
      <w:r>
        <w:rPr>
          <w:szCs w:val="24"/>
          <w:lang w:eastAsia="en-US"/>
        </w:rPr>
        <w:br w:type="page"/>
      </w:r>
    </w:p>
    <w:p w14:paraId="61705B0D" w14:textId="4A1152FF"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3.</w:t>
      </w:r>
      <w:r w:rsidRPr="003E0486">
        <w:rPr>
          <w:szCs w:val="24"/>
          <w:lang w:eastAsia="en-US"/>
        </w:rPr>
        <w:tab/>
        <w:t>Når der henvises til dette stykke, anvendes artikel 8 i forordning (EU) nr. 182/2011 sammenholdt med dennes artikel 4.</w:t>
      </w:r>
    </w:p>
    <w:p w14:paraId="2E61E0E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Når der henvises til dette stykke, anvendes artikel 5 i forordning (EU) nr. 182/2011.</w:t>
      </w:r>
    </w:p>
    <w:p w14:paraId="7BFD0BC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Når der henvises til dette stykke, anvendes artikel 8 i forordning (EU) nr. 182/2011 sammenholdt med dennes artikel 5.</w:t>
      </w:r>
    </w:p>
    <w:p w14:paraId="35BA9F2D"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6.</w:t>
      </w:r>
      <w:r w:rsidRPr="003E0486">
        <w:rPr>
          <w:szCs w:val="24"/>
          <w:lang w:eastAsia="en-US"/>
        </w:rPr>
        <w:tab/>
        <w:t>Når udvalgets udtalelse skal indhentes ved skriftlig procedure, og der henvises til dette stykke, afsluttes denne procedure kun uden resultat, når udvalgets formandskab inden for fristen for afgivelse af udtalelsen beslutter dette.</w:t>
      </w:r>
    </w:p>
    <w:p w14:paraId="537943CF" w14:textId="77777777" w:rsidR="003E0486" w:rsidRPr="003E0486" w:rsidRDefault="003E0486" w:rsidP="003E0486">
      <w:pPr>
        <w:spacing w:before="120" w:after="120" w:line="360" w:lineRule="auto"/>
        <w:jc w:val="center"/>
        <w:rPr>
          <w:szCs w:val="24"/>
          <w:lang w:eastAsia="en-US"/>
        </w:rPr>
      </w:pPr>
      <w:r w:rsidRPr="003E0486">
        <w:rPr>
          <w:szCs w:val="24"/>
          <w:lang w:eastAsia="en-US"/>
        </w:rPr>
        <w:t xml:space="preserve">Kapitel 5 </w:t>
      </w:r>
      <w:r w:rsidRPr="003E0486">
        <w:rPr>
          <w:szCs w:val="24"/>
          <w:lang w:eastAsia="en-US"/>
        </w:rPr>
        <w:br/>
        <w:t>Afsluttende bestemmelser</w:t>
      </w:r>
    </w:p>
    <w:p w14:paraId="6E2B3A75"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263</w:t>
      </w:r>
      <w:r w:rsidRPr="003E0486">
        <w:rPr>
          <w:szCs w:val="24"/>
          <w:lang w:eastAsia="en-US"/>
        </w:rPr>
        <w:br/>
        <w:t xml:space="preserve">Ophævelse </w:t>
      </w:r>
    </w:p>
    <w:p w14:paraId="0B6E87AE" w14:textId="7221A348" w:rsidR="003E0486" w:rsidRPr="00C4622D"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Forordning (EU) nr. 952/2013 </w:t>
      </w:r>
      <w:r w:rsidRPr="003E0486">
        <w:rPr>
          <w:b/>
          <w:i/>
          <w:szCs w:val="24"/>
          <w:lang w:eastAsia="en-US"/>
        </w:rPr>
        <w:t xml:space="preserve">og forordning (EU) 2022/2399 </w:t>
      </w:r>
      <w:r w:rsidRPr="003E0486">
        <w:rPr>
          <w:szCs w:val="24"/>
          <w:lang w:eastAsia="en-US"/>
        </w:rPr>
        <w:t>ophæves.</w:t>
      </w:r>
      <w:r w:rsidR="00C4622D">
        <w:rPr>
          <w:b/>
          <w:szCs w:val="24"/>
          <w:lang w:eastAsia="en-US"/>
        </w:rPr>
        <w:t xml:space="preserve"> [Ændring 285]</w:t>
      </w:r>
    </w:p>
    <w:p w14:paraId="392FA52E" w14:textId="77777777" w:rsidR="00E3386D" w:rsidRDefault="00E3386D">
      <w:pPr>
        <w:widowControl/>
        <w:rPr>
          <w:szCs w:val="24"/>
          <w:lang w:eastAsia="en-US"/>
        </w:rPr>
      </w:pPr>
      <w:r>
        <w:rPr>
          <w:szCs w:val="24"/>
          <w:lang w:eastAsia="en-US"/>
        </w:rPr>
        <w:br w:type="page"/>
      </w:r>
    </w:p>
    <w:p w14:paraId="2A57C45A" w14:textId="2FED2EF8" w:rsidR="003E0486" w:rsidRPr="003E0486" w:rsidRDefault="003E0486" w:rsidP="003E0486">
      <w:pPr>
        <w:spacing w:before="120" w:after="120" w:line="360" w:lineRule="auto"/>
        <w:ind w:left="850" w:hanging="850"/>
        <w:rPr>
          <w:szCs w:val="24"/>
          <w:lang w:eastAsia="en-US"/>
        </w:rPr>
      </w:pPr>
      <w:r w:rsidRPr="003E0486">
        <w:rPr>
          <w:szCs w:val="24"/>
          <w:lang w:eastAsia="en-US"/>
        </w:rPr>
        <w:lastRenderedPageBreak/>
        <w:t>2.</w:t>
      </w:r>
      <w:r w:rsidRPr="003E0486">
        <w:rPr>
          <w:szCs w:val="24"/>
          <w:lang w:eastAsia="en-US"/>
        </w:rPr>
        <w:tab/>
        <w:t>Henvisninger til forordning (EU) nr. 952/2013 gælder som henvisninger til nærværende forordning og læses efter sammenligningstabellen i bilaget.</w:t>
      </w:r>
    </w:p>
    <w:p w14:paraId="041475A2"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3.</w:t>
      </w:r>
      <w:r w:rsidRPr="003E0486">
        <w:rPr>
          <w:szCs w:val="24"/>
          <w:lang w:eastAsia="en-US"/>
        </w:rPr>
        <w:tab/>
        <w:t>Fra den dato, der er fastsat i artikel 265, stk. 4, skal henvisninger til toldangivelsen anses for at omfatte meddelelse af de data, der er nødvendige for at henføre varer under en toldprocedure ved udnyttelse af funktionerne i EU's tolddatacenter.</w:t>
      </w:r>
    </w:p>
    <w:p w14:paraId="1FF17F87"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4.</w:t>
      </w:r>
      <w:r w:rsidRPr="003E0486">
        <w:rPr>
          <w:szCs w:val="24"/>
          <w:lang w:eastAsia="en-US"/>
        </w:rPr>
        <w:tab/>
        <w:t>Fra den dato, der er fastsat i artikel 265, stk. 4, anses henvisninger til klarereren for at omfatte transportøren, importøren, eksportøren eller den ansvarlige for forsendelsesproceduren, alt efter hvad der er relevant.</w:t>
      </w:r>
    </w:p>
    <w:p w14:paraId="0EB60FF3"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264</w:t>
      </w:r>
      <w:r w:rsidRPr="003E0486">
        <w:rPr>
          <w:szCs w:val="24"/>
          <w:lang w:eastAsia="en-US"/>
        </w:rPr>
        <w:br/>
        <w:t>Ikrafttræden</w:t>
      </w:r>
    </w:p>
    <w:p w14:paraId="798E8FB3" w14:textId="77777777" w:rsidR="003E0486" w:rsidRPr="003E0486" w:rsidRDefault="003E0486" w:rsidP="003E0486">
      <w:pPr>
        <w:spacing w:before="120" w:after="120" w:line="360" w:lineRule="auto"/>
        <w:rPr>
          <w:szCs w:val="24"/>
          <w:lang w:eastAsia="en-US"/>
        </w:rPr>
      </w:pPr>
      <w:r w:rsidRPr="003E0486">
        <w:rPr>
          <w:szCs w:val="24"/>
          <w:lang w:eastAsia="en-US"/>
        </w:rPr>
        <w:t xml:space="preserve">Denne forordning træder i kraft på tyvendedagen efter offentliggørelsen i </w:t>
      </w:r>
      <w:r w:rsidRPr="003740C4">
        <w:rPr>
          <w:i/>
          <w:szCs w:val="24"/>
          <w:lang w:eastAsia="en-US"/>
        </w:rPr>
        <w:t>Den Europæiske Unions Tidende</w:t>
      </w:r>
      <w:r w:rsidRPr="003E0486">
        <w:rPr>
          <w:szCs w:val="24"/>
          <w:lang w:eastAsia="en-US"/>
        </w:rPr>
        <w:t>.</w:t>
      </w:r>
    </w:p>
    <w:p w14:paraId="6D2BCF98" w14:textId="77777777" w:rsidR="003E0486" w:rsidRPr="003E0486" w:rsidRDefault="003E0486" w:rsidP="003E0486">
      <w:pPr>
        <w:spacing w:before="120" w:after="120" w:line="360" w:lineRule="auto"/>
        <w:jc w:val="center"/>
        <w:rPr>
          <w:szCs w:val="24"/>
          <w:lang w:eastAsia="en-US"/>
        </w:rPr>
      </w:pPr>
      <w:r w:rsidRPr="003E0486">
        <w:rPr>
          <w:szCs w:val="24"/>
          <w:lang w:eastAsia="en-US"/>
        </w:rPr>
        <w:t>Artikel 265</w:t>
      </w:r>
      <w:r w:rsidRPr="003E0486">
        <w:rPr>
          <w:szCs w:val="24"/>
          <w:lang w:eastAsia="en-US"/>
        </w:rPr>
        <w:br/>
        <w:t>Anvendelse</w:t>
      </w:r>
    </w:p>
    <w:p w14:paraId="44C7E6F1" w14:textId="25D6C051" w:rsidR="003E0486" w:rsidRPr="00C4622D" w:rsidRDefault="003E0486" w:rsidP="003E0486">
      <w:pPr>
        <w:spacing w:before="120" w:after="120" w:line="360" w:lineRule="auto"/>
        <w:ind w:left="850" w:hanging="850"/>
        <w:rPr>
          <w:b/>
          <w:szCs w:val="24"/>
          <w:lang w:eastAsia="en-US"/>
        </w:rPr>
      </w:pPr>
      <w:r w:rsidRPr="003E0486">
        <w:rPr>
          <w:szCs w:val="24"/>
          <w:lang w:eastAsia="en-US"/>
        </w:rPr>
        <w:t>1.</w:t>
      </w:r>
      <w:r w:rsidRPr="003E0486">
        <w:rPr>
          <w:szCs w:val="24"/>
          <w:lang w:eastAsia="en-US"/>
        </w:rPr>
        <w:tab/>
        <w:t xml:space="preserve">Artikel 205-237 finder anvendelse fra den 1. januar </w:t>
      </w:r>
      <w:r w:rsidRPr="003E0486">
        <w:rPr>
          <w:strike/>
          <w:szCs w:val="24"/>
          <w:lang w:eastAsia="en-US"/>
        </w:rPr>
        <w:t>2028</w:t>
      </w:r>
      <w:r w:rsidRPr="003E0486">
        <w:rPr>
          <w:b/>
          <w:i/>
          <w:szCs w:val="24"/>
          <w:lang w:eastAsia="en-US"/>
        </w:rPr>
        <w:t>2026</w:t>
      </w:r>
      <w:r w:rsidRPr="003E0486">
        <w:rPr>
          <w:szCs w:val="24"/>
          <w:lang w:eastAsia="en-US"/>
        </w:rPr>
        <w:t>.</w:t>
      </w:r>
      <w:r w:rsidR="00C4622D">
        <w:rPr>
          <w:b/>
          <w:szCs w:val="24"/>
          <w:lang w:eastAsia="en-US"/>
        </w:rPr>
        <w:t xml:space="preserve"> [Ændring 286]</w:t>
      </w:r>
    </w:p>
    <w:p w14:paraId="43F3749B" w14:textId="0CBB579A" w:rsidR="003E0486" w:rsidRPr="00C4622D" w:rsidRDefault="003E0486" w:rsidP="003E0486">
      <w:pPr>
        <w:spacing w:before="120" w:after="120" w:line="360" w:lineRule="auto"/>
        <w:ind w:left="850" w:hanging="850"/>
        <w:rPr>
          <w:b/>
          <w:szCs w:val="24"/>
          <w:lang w:eastAsia="en-US"/>
        </w:rPr>
      </w:pPr>
      <w:r w:rsidRPr="003E0486">
        <w:rPr>
          <w:szCs w:val="24"/>
          <w:lang w:eastAsia="en-US"/>
        </w:rPr>
        <w:t>2.</w:t>
      </w:r>
      <w:r w:rsidRPr="003E0486">
        <w:rPr>
          <w:szCs w:val="24"/>
          <w:lang w:eastAsia="en-US"/>
        </w:rPr>
        <w:tab/>
        <w:t xml:space="preserve">Følgende bestemmelser finder anvendelse fra den 1. marts </w:t>
      </w:r>
      <w:r w:rsidRPr="003E0486">
        <w:rPr>
          <w:strike/>
          <w:szCs w:val="24"/>
          <w:lang w:eastAsia="en-US"/>
        </w:rPr>
        <w:t>2028</w:t>
      </w:r>
      <w:r w:rsidRPr="003E0486">
        <w:rPr>
          <w:b/>
          <w:i/>
          <w:szCs w:val="24"/>
          <w:lang w:eastAsia="en-US"/>
        </w:rPr>
        <w:t>2026</w:t>
      </w:r>
      <w:r w:rsidRPr="003E0486">
        <w:rPr>
          <w:szCs w:val="24"/>
          <w:lang w:eastAsia="en-US"/>
        </w:rPr>
        <w:t>.</w:t>
      </w:r>
      <w:r w:rsidR="00C4622D">
        <w:rPr>
          <w:b/>
          <w:szCs w:val="24"/>
          <w:lang w:eastAsia="en-US"/>
        </w:rPr>
        <w:t xml:space="preserve"> [Ændring 287]</w:t>
      </w:r>
    </w:p>
    <w:p w14:paraId="6DCD3BF7"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bestemmelserne om forenklet toldbehandling i artikel 145, stk. 5, 6 og 7, og artikel 147,litra a), nr. ii)</w:t>
      </w:r>
    </w:p>
    <w:p w14:paraId="0AB368D1" w14:textId="77777777" w:rsidR="00E3386D" w:rsidRDefault="00E3386D">
      <w:pPr>
        <w:widowControl/>
        <w:rPr>
          <w:szCs w:val="24"/>
          <w:lang w:eastAsia="en-US"/>
        </w:rPr>
      </w:pPr>
      <w:r>
        <w:rPr>
          <w:szCs w:val="24"/>
          <w:lang w:eastAsia="en-US"/>
        </w:rPr>
        <w:br w:type="page"/>
      </w:r>
    </w:p>
    <w:p w14:paraId="758274E1" w14:textId="73E09B51" w:rsidR="003E0486" w:rsidRPr="003E0486" w:rsidRDefault="003E0486" w:rsidP="003E0486">
      <w:pPr>
        <w:spacing w:before="120" w:after="120" w:line="360" w:lineRule="auto"/>
        <w:ind w:left="1416" w:hanging="566"/>
        <w:rPr>
          <w:szCs w:val="24"/>
          <w:lang w:eastAsia="en-US"/>
        </w:rPr>
      </w:pPr>
      <w:r w:rsidRPr="003E0486">
        <w:rPr>
          <w:szCs w:val="24"/>
          <w:lang w:eastAsia="en-US"/>
        </w:rPr>
        <w:lastRenderedPageBreak/>
        <w:t>(b)</w:t>
      </w:r>
      <w:r w:rsidRPr="003E0486">
        <w:rPr>
          <w:szCs w:val="24"/>
          <w:lang w:eastAsia="en-US"/>
        </w:rPr>
        <w:tab/>
        <w:t>bestemmelserne om den forenklede toldbehandling ved fjernsalg i artikel 149, stk. 4, artikel 150, stk. 10, og artikel 156, stk. 2</w:t>
      </w:r>
    </w:p>
    <w:p w14:paraId="28CAC936"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bestemmelserne om formelle importører i artikel 20, stk. 3, litra e), artikel 21, artikel 59, stk. 2, artikel 60, stk. 6, litra a), artikel 67, stk. 2, artikel 67, stk. 4, litra d), artikel 159, stk. 2, artikel 181, stk. 5, og artikel 184, stk. 3.</w:t>
      </w:r>
    </w:p>
    <w:p w14:paraId="0695DEA2" w14:textId="1F000074" w:rsidR="003E0486" w:rsidRPr="00C4622D" w:rsidRDefault="003E0486" w:rsidP="003E0486">
      <w:pPr>
        <w:spacing w:before="120" w:after="120" w:line="360" w:lineRule="auto"/>
        <w:ind w:left="850" w:hanging="850"/>
        <w:rPr>
          <w:b/>
          <w:szCs w:val="24"/>
          <w:lang w:eastAsia="en-US"/>
        </w:rPr>
      </w:pPr>
      <w:r w:rsidRPr="003E0486">
        <w:rPr>
          <w:szCs w:val="24"/>
          <w:lang w:eastAsia="en-US"/>
        </w:rPr>
        <w:t>3.</w:t>
      </w:r>
      <w:r w:rsidRPr="003E0486">
        <w:rPr>
          <w:szCs w:val="24"/>
          <w:lang w:eastAsia="en-US"/>
        </w:rPr>
        <w:tab/>
        <w:t xml:space="preserve">De i artikel 29 fastsatte funktioner i EU's tolddatacenter skal være fuldt operationelle senest den 31. december </w:t>
      </w:r>
      <w:r w:rsidRPr="003E0486">
        <w:rPr>
          <w:strike/>
          <w:szCs w:val="24"/>
          <w:lang w:eastAsia="en-US"/>
        </w:rPr>
        <w:t>2037</w:t>
      </w:r>
      <w:r w:rsidRPr="003E0486">
        <w:rPr>
          <w:b/>
          <w:i/>
          <w:szCs w:val="24"/>
          <w:lang w:eastAsia="en-US"/>
        </w:rPr>
        <w:t>2032</w:t>
      </w:r>
      <w:r w:rsidRPr="003E0486">
        <w:rPr>
          <w:szCs w:val="24"/>
          <w:lang w:eastAsia="en-US"/>
        </w:rPr>
        <w:t>.</w:t>
      </w:r>
      <w:r w:rsidR="00C4622D">
        <w:rPr>
          <w:b/>
          <w:szCs w:val="24"/>
          <w:lang w:eastAsia="en-US"/>
        </w:rPr>
        <w:t xml:space="preserve"> [Ændring 288]</w:t>
      </w:r>
    </w:p>
    <w:p w14:paraId="3E8AA14D" w14:textId="1852C97B" w:rsidR="003E0486" w:rsidRPr="00C4622D" w:rsidRDefault="003E0486" w:rsidP="003E0486">
      <w:pPr>
        <w:spacing w:before="120" w:after="120" w:line="360" w:lineRule="auto"/>
        <w:ind w:left="850" w:hanging="850"/>
        <w:rPr>
          <w:b/>
          <w:szCs w:val="24"/>
          <w:lang w:eastAsia="en-US"/>
        </w:rPr>
      </w:pPr>
      <w:r w:rsidRPr="003E0486">
        <w:rPr>
          <w:szCs w:val="24"/>
          <w:lang w:eastAsia="en-US"/>
        </w:rPr>
        <w:t>4.</w:t>
      </w:r>
      <w:r w:rsidRPr="003E0486">
        <w:rPr>
          <w:szCs w:val="24"/>
          <w:lang w:eastAsia="en-US"/>
        </w:rPr>
        <w:tab/>
        <w:t xml:space="preserve">De økonomiske operatører kan begynde at opfylde deres rapporteringsforpligtelser i henhold til denne forordning via EU's tolddatacenter fra den 1. </w:t>
      </w:r>
      <w:r w:rsidRPr="003E0486">
        <w:rPr>
          <w:strike/>
          <w:szCs w:val="24"/>
          <w:lang w:eastAsia="en-US"/>
        </w:rPr>
        <w:t>marts 2032</w:t>
      </w:r>
      <w:r w:rsidRPr="003E0486">
        <w:rPr>
          <w:b/>
          <w:i/>
          <w:szCs w:val="24"/>
          <w:lang w:eastAsia="en-US"/>
        </w:rPr>
        <w:t>januar 2029</w:t>
      </w:r>
      <w:r w:rsidRPr="003E0486">
        <w:rPr>
          <w:szCs w:val="24"/>
          <w:lang w:eastAsia="en-US"/>
        </w:rPr>
        <w:t>.</w:t>
      </w:r>
      <w:r w:rsidR="00C4622D">
        <w:rPr>
          <w:b/>
          <w:szCs w:val="24"/>
          <w:lang w:eastAsia="en-US"/>
        </w:rPr>
        <w:t xml:space="preserve"> [Ændring 289]</w:t>
      </w:r>
    </w:p>
    <w:p w14:paraId="675AE681"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5.</w:t>
      </w:r>
      <w:r w:rsidRPr="003E0486">
        <w:rPr>
          <w:szCs w:val="24"/>
          <w:lang w:eastAsia="en-US"/>
        </w:rPr>
        <w:tab/>
        <w:t>Toldmyndighederne foretager en fornyet vurdering af de bevillinger, der er indrømmet i henhold til forordning (EU) nr. 952/2013, fra den 1. januar 2035 til den 31. december 2037.</w:t>
      </w:r>
    </w:p>
    <w:p w14:paraId="2549D368" w14:textId="2203B9C9" w:rsidR="003E0486" w:rsidRPr="00C4622D" w:rsidRDefault="003E0486" w:rsidP="003E0486">
      <w:pPr>
        <w:spacing w:before="120" w:after="120" w:line="360" w:lineRule="auto"/>
        <w:ind w:left="850" w:hanging="850"/>
        <w:rPr>
          <w:b/>
          <w:szCs w:val="24"/>
          <w:lang w:eastAsia="en-US"/>
        </w:rPr>
      </w:pPr>
      <w:r w:rsidRPr="003E0486">
        <w:rPr>
          <w:szCs w:val="24"/>
          <w:lang w:eastAsia="en-US"/>
        </w:rPr>
        <w:t>6.</w:t>
      </w:r>
      <w:r w:rsidRPr="003E0486">
        <w:rPr>
          <w:szCs w:val="24"/>
          <w:lang w:eastAsia="en-US"/>
        </w:rPr>
        <w:tab/>
        <w:t>Kommissionen forelægger inden den 31. december 2027 Europa-Parlamentet og Rådet en rapport med en vurdering af den centraliserede toldbehandling, som er omhandlet i artikel 72. Kommissionen kan, såfremt det er hensigtsmæssigt, fremsætte et lovgivningsforslag med henblik på at sikre en retfærdig fordeling af medlemsstaternes rettigheder og forpligtelser i forbindelse med vurderingen af og hæftelsen for toldskylden ved import.</w:t>
      </w:r>
      <w:r w:rsidRPr="003E0486">
        <w:rPr>
          <w:b/>
          <w:i/>
          <w:szCs w:val="24"/>
          <w:lang w:eastAsia="en-US"/>
        </w:rPr>
        <w:t xml:space="preserve"> Denne rapport skal være offentligt tilgængelig.</w:t>
      </w:r>
      <w:r w:rsidR="00C4622D">
        <w:rPr>
          <w:b/>
          <w:szCs w:val="24"/>
          <w:lang w:eastAsia="en-US"/>
        </w:rPr>
        <w:t xml:space="preserve"> [Ændring 290]</w:t>
      </w:r>
    </w:p>
    <w:p w14:paraId="75713A9B" w14:textId="77777777" w:rsidR="00E3386D" w:rsidRDefault="00E3386D">
      <w:pPr>
        <w:widowControl/>
        <w:rPr>
          <w:szCs w:val="24"/>
          <w:lang w:eastAsia="en-US"/>
        </w:rPr>
      </w:pPr>
      <w:r>
        <w:rPr>
          <w:szCs w:val="24"/>
          <w:lang w:eastAsia="en-US"/>
        </w:rPr>
        <w:br w:type="page"/>
      </w:r>
    </w:p>
    <w:p w14:paraId="1C400FE1" w14:textId="2504F1CD" w:rsidR="003E0486" w:rsidRPr="00C4622D" w:rsidRDefault="003E0486" w:rsidP="003E0486">
      <w:pPr>
        <w:spacing w:before="120" w:after="120" w:line="360" w:lineRule="auto"/>
        <w:ind w:left="850" w:hanging="850"/>
        <w:rPr>
          <w:b/>
          <w:szCs w:val="24"/>
          <w:lang w:eastAsia="en-US"/>
        </w:rPr>
      </w:pPr>
      <w:r w:rsidRPr="003E0486">
        <w:rPr>
          <w:szCs w:val="24"/>
          <w:lang w:eastAsia="en-US"/>
        </w:rPr>
        <w:lastRenderedPageBreak/>
        <w:t>7.</w:t>
      </w:r>
      <w:r w:rsidRPr="003E0486">
        <w:rPr>
          <w:szCs w:val="24"/>
          <w:lang w:eastAsia="en-US"/>
        </w:rPr>
        <w:tab/>
        <w:t xml:space="preserve">Kommissionen aflægger senest den 31. december </w:t>
      </w:r>
      <w:r w:rsidRPr="003E0486">
        <w:rPr>
          <w:strike/>
          <w:szCs w:val="24"/>
          <w:lang w:eastAsia="en-US"/>
        </w:rPr>
        <w:t>2035</w:t>
      </w:r>
      <w:r w:rsidRPr="003E0486">
        <w:rPr>
          <w:b/>
          <w:i/>
          <w:szCs w:val="24"/>
          <w:lang w:eastAsia="en-US"/>
        </w:rPr>
        <w:t>2031</w:t>
      </w:r>
      <w:r w:rsidRPr="003E0486">
        <w:rPr>
          <w:szCs w:val="24"/>
          <w:lang w:eastAsia="en-US"/>
        </w:rPr>
        <w:t xml:space="preserve"> rapport til Europa-Parlamentet og Rådet </w:t>
      </w:r>
      <w:r w:rsidRPr="003E0486">
        <w:rPr>
          <w:b/>
          <w:i/>
          <w:szCs w:val="24"/>
          <w:lang w:eastAsia="en-US"/>
        </w:rPr>
        <w:t xml:space="preserve">og offentliggør den </w:t>
      </w:r>
      <w:r w:rsidRPr="003E0486">
        <w:rPr>
          <w:szCs w:val="24"/>
          <w:lang w:eastAsia="en-US"/>
        </w:rPr>
        <w:t>med en vurdering af følgende:</w:t>
      </w:r>
      <w:r w:rsidR="00C4622D">
        <w:rPr>
          <w:b/>
          <w:szCs w:val="24"/>
          <w:lang w:eastAsia="en-US"/>
        </w:rPr>
        <w:t xml:space="preserve"> [Ændring 291]</w:t>
      </w:r>
    </w:p>
    <w:p w14:paraId="60ADEF12"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(a)</w:t>
      </w:r>
      <w:r w:rsidRPr="003E0486">
        <w:rPr>
          <w:szCs w:val="24"/>
          <w:lang w:eastAsia="en-US"/>
        </w:rPr>
        <w:tab/>
        <w:t>effektiviteten af det toldtilsyn med tillid og kontrol-erhvervsdrivende, som foretages af etableringsmedlemsstaternes toldmyndigheder, og gennemførelsen af de bestemmelser, hvorefter stedet for toldskyldens opståen fastlægges</w:t>
      </w:r>
    </w:p>
    <w:p w14:paraId="0BB9788F"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(b)</w:t>
      </w:r>
      <w:r w:rsidRPr="003E0486">
        <w:rPr>
          <w:szCs w:val="24"/>
          <w:lang w:eastAsia="en-US"/>
        </w:rPr>
        <w:tab/>
        <w:t>effektiviteten af toldtilsynet med andre økonomiske operatører end tillid og kontrol-erhvervsdrivende</w:t>
      </w:r>
    </w:p>
    <w:p w14:paraId="6552B274" w14:textId="77777777" w:rsidR="003E0486" w:rsidRPr="003E0486" w:rsidRDefault="003E0486" w:rsidP="003E0486">
      <w:pPr>
        <w:spacing w:before="120" w:after="120" w:line="360" w:lineRule="auto"/>
        <w:ind w:left="1416" w:hanging="566"/>
        <w:rPr>
          <w:szCs w:val="24"/>
          <w:lang w:eastAsia="en-US"/>
        </w:rPr>
      </w:pPr>
      <w:r w:rsidRPr="003E0486">
        <w:rPr>
          <w:szCs w:val="24"/>
          <w:lang w:eastAsia="en-US"/>
        </w:rPr>
        <w:t>(c)</w:t>
      </w:r>
      <w:r w:rsidRPr="003E0486">
        <w:rPr>
          <w:szCs w:val="24"/>
          <w:lang w:eastAsia="en-US"/>
        </w:rPr>
        <w:tab/>
        <w:t>de mulige virkninger af de ændringer, der er omhandlet i stk. 8.</w:t>
      </w:r>
    </w:p>
    <w:p w14:paraId="3095084C" w14:textId="77777777" w:rsidR="003E0486" w:rsidRPr="003E0486" w:rsidRDefault="003E0486" w:rsidP="003E0486">
      <w:pPr>
        <w:spacing w:before="120" w:after="120" w:line="360" w:lineRule="auto"/>
        <w:ind w:left="850" w:hanging="850"/>
        <w:rPr>
          <w:szCs w:val="24"/>
          <w:lang w:eastAsia="en-US"/>
        </w:rPr>
      </w:pPr>
      <w:r w:rsidRPr="003E0486">
        <w:rPr>
          <w:szCs w:val="24"/>
          <w:lang w:eastAsia="en-US"/>
        </w:rPr>
        <w:t>8.</w:t>
      </w:r>
      <w:r w:rsidRPr="003E0486">
        <w:rPr>
          <w:szCs w:val="24"/>
          <w:lang w:eastAsia="en-US"/>
        </w:rPr>
        <w:tab/>
        <w:t>Kommissionen tillægges beføjelser til at vedtage delegerede retsakter i overensstemmelse med artikel 261 med henblik på at ændre denne forordning, såfremt det er relevant i lyset af den i stk. 7 omhandlede rapport, ved at lade undtagelserne i artikel 42, stk. 3, andet afsnit, og artikel 169, stk. 1, andet afsnit, udgå eller ændre dem.</w:t>
      </w:r>
    </w:p>
    <w:p w14:paraId="606C249F" w14:textId="77777777" w:rsidR="003E0486" w:rsidRPr="003E0486" w:rsidRDefault="003E0486" w:rsidP="003E0486">
      <w:pPr>
        <w:spacing w:before="120" w:after="120" w:line="360" w:lineRule="auto"/>
        <w:ind w:left="850"/>
        <w:rPr>
          <w:szCs w:val="24"/>
          <w:lang w:eastAsia="en-US"/>
        </w:rPr>
      </w:pPr>
      <w:r w:rsidRPr="003E0486">
        <w:rPr>
          <w:szCs w:val="24"/>
          <w:lang w:eastAsia="en-US"/>
        </w:rPr>
        <w:t>Denne forordning er bindende i alle enkeltheder og gælder umiddelbart i hver medlemsstat.</w:t>
      </w:r>
    </w:p>
    <w:p w14:paraId="2FC5DFE0" w14:textId="3A72B2F5" w:rsidR="003E0486" w:rsidRPr="00BF6859" w:rsidRDefault="003E0486" w:rsidP="003E0486">
      <w:pPr>
        <w:keepNext/>
        <w:widowControl/>
        <w:spacing w:before="120" w:line="360" w:lineRule="auto"/>
        <w:rPr>
          <w:szCs w:val="24"/>
          <w:lang w:eastAsia="en-US"/>
        </w:rPr>
      </w:pPr>
      <w:r w:rsidRPr="00BF6859">
        <w:rPr>
          <w:szCs w:val="24"/>
          <w:lang w:eastAsia="en-US"/>
        </w:rPr>
        <w:t xml:space="preserve">Udfærdiget i </w:t>
      </w:r>
      <w:r w:rsidR="00C53A66">
        <w:rPr>
          <w:szCs w:val="24"/>
          <w:lang w:eastAsia="en-US"/>
        </w:rPr>
        <w:t>…</w:t>
      </w:r>
      <w:r w:rsidRPr="00BF6859">
        <w:rPr>
          <w:szCs w:val="24"/>
          <w:lang w:eastAsia="en-US"/>
        </w:rPr>
        <w:t>, den […].</w:t>
      </w:r>
    </w:p>
    <w:p w14:paraId="552A4E5E" w14:textId="77777777" w:rsidR="003E0486" w:rsidRPr="003E0486" w:rsidRDefault="003E0486" w:rsidP="003E0486">
      <w:pPr>
        <w:keepNext/>
        <w:widowControl/>
        <w:tabs>
          <w:tab w:val="left" w:pos="4252"/>
        </w:tabs>
        <w:spacing w:before="720" w:after="100" w:line="360" w:lineRule="auto"/>
        <w:jc w:val="both"/>
        <w:rPr>
          <w:i/>
          <w:szCs w:val="24"/>
          <w:lang w:eastAsia="en-US"/>
        </w:rPr>
      </w:pPr>
      <w:r w:rsidRPr="003E0486">
        <w:rPr>
          <w:i/>
          <w:szCs w:val="24"/>
          <w:lang w:eastAsia="en-US"/>
        </w:rPr>
        <w:t>På Europa-Parlamentets vegne</w:t>
      </w:r>
      <w:r w:rsidRPr="003E0486">
        <w:rPr>
          <w:i/>
          <w:szCs w:val="24"/>
          <w:lang w:eastAsia="en-US"/>
        </w:rPr>
        <w:tab/>
        <w:t>På Rådets vegne</w:t>
      </w:r>
    </w:p>
    <w:p w14:paraId="530D5C9D" w14:textId="77777777" w:rsidR="003E0486" w:rsidRPr="003E0486" w:rsidRDefault="003E0486" w:rsidP="003E0486">
      <w:pPr>
        <w:widowControl/>
        <w:tabs>
          <w:tab w:val="left" w:pos="4252"/>
        </w:tabs>
        <w:spacing w:line="360" w:lineRule="auto"/>
        <w:rPr>
          <w:i/>
          <w:szCs w:val="24"/>
          <w:lang w:eastAsia="en-US"/>
        </w:rPr>
      </w:pPr>
      <w:r w:rsidRPr="003E0486">
        <w:rPr>
          <w:i/>
          <w:szCs w:val="24"/>
          <w:lang w:eastAsia="en-US"/>
        </w:rPr>
        <w:t>Formand</w:t>
      </w:r>
      <w:r w:rsidRPr="003E0486">
        <w:rPr>
          <w:i/>
          <w:szCs w:val="24"/>
          <w:lang w:eastAsia="en-US"/>
        </w:rPr>
        <w:tab/>
        <w:t>Formand</w:t>
      </w:r>
    </w:p>
    <w:p w14:paraId="42A6E587" w14:textId="77777777" w:rsidR="003E0486" w:rsidRPr="003E0486" w:rsidRDefault="003E0486" w:rsidP="003E0486">
      <w:pPr>
        <w:spacing w:before="120" w:after="120" w:line="360" w:lineRule="auto"/>
        <w:rPr>
          <w:szCs w:val="24"/>
          <w:lang w:eastAsia="en-US"/>
        </w:rPr>
        <w:sectPr w:rsidR="003E0486" w:rsidRPr="003E0486">
          <w:footerReference w:type="even" r:id="rId9"/>
          <w:footerReference w:type="first" r:id="rId10"/>
          <w:footnotePr>
            <w:numRestart w:val="eachSect"/>
          </w:footnotePr>
          <w:pgSz w:w="11909" w:h="16834"/>
          <w:pgMar w:top="1134" w:right="1417" w:bottom="1417" w:left="1417" w:header="1134" w:footer="567" w:gutter="0"/>
          <w:cols w:space="720"/>
        </w:sectPr>
      </w:pPr>
    </w:p>
    <w:p w14:paraId="73FD390C" w14:textId="639566C7" w:rsidR="00C4622D" w:rsidRPr="00C4622D" w:rsidRDefault="00C4622D" w:rsidP="00C4622D">
      <w:pPr>
        <w:widowControl/>
        <w:jc w:val="center"/>
        <w:rPr>
          <w:b/>
          <w:i/>
          <w:szCs w:val="24"/>
          <w:lang w:eastAsia="en-US"/>
        </w:rPr>
      </w:pPr>
      <w:r w:rsidRPr="00C4622D">
        <w:rPr>
          <w:b/>
          <w:i/>
          <w:szCs w:val="24"/>
          <w:lang w:eastAsia="en-US"/>
        </w:rPr>
        <w:lastRenderedPageBreak/>
        <w:t>BILAG I</w:t>
      </w:r>
      <w:r>
        <w:rPr>
          <w:b/>
          <w:i/>
          <w:szCs w:val="24"/>
          <w:lang w:eastAsia="en-US"/>
        </w:rPr>
        <w:t>a</w:t>
      </w:r>
    </w:p>
    <w:p w14:paraId="33BFFD65" w14:textId="77777777" w:rsidR="00C4622D" w:rsidRDefault="00C4622D">
      <w:pPr>
        <w:widowControl/>
        <w:rPr>
          <w:szCs w:val="24"/>
          <w:lang w:eastAsia="en-US"/>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17"/>
        <w:gridCol w:w="1772"/>
        <w:gridCol w:w="1863"/>
        <w:gridCol w:w="1950"/>
        <w:gridCol w:w="1950"/>
      </w:tblGrid>
      <w:tr w:rsidR="00C4622D" w:rsidRPr="002E5BC0" w14:paraId="1E40C1C5" w14:textId="77777777" w:rsidTr="003740C4">
        <w:trPr>
          <w:trHeight w:val="45"/>
        </w:trPr>
        <w:tc>
          <w:tcPr>
            <w:tcW w:w="2127" w:type="dxa"/>
            <w:tcMar>
              <w:left w:w="340" w:type="dxa"/>
              <w:right w:w="340" w:type="dxa"/>
            </w:tcMar>
          </w:tcPr>
          <w:p w14:paraId="46040BCE" w14:textId="77777777" w:rsidR="00C4622D" w:rsidRPr="002E5BC0" w:rsidRDefault="00C4622D" w:rsidP="00C4622D">
            <w:pPr>
              <w:spacing w:before="60" w:after="60"/>
            </w:pPr>
            <w:r w:rsidRPr="002E5BC0">
              <w:rPr>
                <w:b/>
                <w:i/>
              </w:rPr>
              <w:t>Ikketoldrelateret EU-formalitet</w:t>
            </w:r>
          </w:p>
        </w:tc>
        <w:tc>
          <w:tcPr>
            <w:tcW w:w="1701" w:type="dxa"/>
            <w:tcMar>
              <w:left w:w="340" w:type="dxa"/>
              <w:right w:w="340" w:type="dxa"/>
            </w:tcMar>
          </w:tcPr>
          <w:p w14:paraId="2445BCEC" w14:textId="77777777" w:rsidR="00C4622D" w:rsidRPr="002E5BC0" w:rsidRDefault="00C4622D" w:rsidP="00C4622D">
            <w:pPr>
              <w:spacing w:before="60" w:after="60"/>
            </w:pPr>
            <w:r w:rsidRPr="002E5BC0">
              <w:rPr>
                <w:b/>
                <w:i/>
              </w:rPr>
              <w:t>Forkortelse</w:t>
            </w:r>
          </w:p>
        </w:tc>
        <w:tc>
          <w:tcPr>
            <w:tcW w:w="1788" w:type="dxa"/>
            <w:tcMar>
              <w:left w:w="340" w:type="dxa"/>
              <w:right w:w="340" w:type="dxa"/>
            </w:tcMar>
          </w:tcPr>
          <w:p w14:paraId="226D7078" w14:textId="77777777" w:rsidR="00C4622D" w:rsidRPr="002E5BC0" w:rsidRDefault="00C4622D" w:rsidP="00C4622D">
            <w:pPr>
              <w:spacing w:before="60" w:after="60"/>
            </w:pPr>
            <w:r w:rsidRPr="002E5BC0">
              <w:rPr>
                <w:b/>
                <w:i/>
              </w:rPr>
              <w:t>Ikketoldrelateret EU-system</w:t>
            </w:r>
          </w:p>
        </w:tc>
        <w:tc>
          <w:tcPr>
            <w:tcW w:w="1872" w:type="dxa"/>
            <w:tcMar>
              <w:left w:w="340" w:type="dxa"/>
              <w:right w:w="340" w:type="dxa"/>
            </w:tcMar>
          </w:tcPr>
          <w:p w14:paraId="5B80710D" w14:textId="77777777" w:rsidR="00C4622D" w:rsidRPr="002E5BC0" w:rsidRDefault="00C4622D" w:rsidP="00C4622D">
            <w:pPr>
              <w:spacing w:before="60" w:after="60"/>
            </w:pPr>
            <w:r w:rsidRPr="002E5BC0">
              <w:rPr>
                <w:b/>
                <w:i/>
              </w:rPr>
              <w:t>Relevant EU-lovgivning</w:t>
            </w:r>
          </w:p>
        </w:tc>
        <w:tc>
          <w:tcPr>
            <w:tcW w:w="1872" w:type="dxa"/>
            <w:tcMar>
              <w:left w:w="340" w:type="dxa"/>
              <w:right w:w="340" w:type="dxa"/>
            </w:tcMar>
          </w:tcPr>
          <w:p w14:paraId="697DE82C" w14:textId="77777777" w:rsidR="00C4622D" w:rsidRPr="002E5BC0" w:rsidRDefault="00C4622D" w:rsidP="00C4622D">
            <w:pPr>
              <w:spacing w:before="60" w:after="60"/>
            </w:pPr>
            <w:r w:rsidRPr="002E5BC0">
              <w:rPr>
                <w:b/>
                <w:i/>
              </w:rPr>
              <w:t>Anvendelsesdato</w:t>
            </w:r>
          </w:p>
        </w:tc>
      </w:tr>
      <w:tr w:rsidR="00C4622D" w:rsidRPr="002E5BC0" w14:paraId="5C572E39" w14:textId="77777777" w:rsidTr="003740C4">
        <w:trPr>
          <w:trHeight w:val="45"/>
        </w:trPr>
        <w:tc>
          <w:tcPr>
            <w:tcW w:w="2127" w:type="dxa"/>
            <w:tcMar>
              <w:left w:w="340" w:type="dxa"/>
              <w:right w:w="340" w:type="dxa"/>
            </w:tcMar>
          </w:tcPr>
          <w:p w14:paraId="3556579E" w14:textId="77777777" w:rsidR="00C4622D" w:rsidRPr="002E5BC0" w:rsidRDefault="00C4622D" w:rsidP="00C4622D">
            <w:pPr>
              <w:spacing w:before="60" w:after="60"/>
            </w:pPr>
            <w:r w:rsidRPr="002E5BC0">
              <w:rPr>
                <w:b/>
                <w:i/>
              </w:rPr>
              <w:t>Fælles sundhedsimportdokument for dyr</w:t>
            </w:r>
          </w:p>
        </w:tc>
        <w:tc>
          <w:tcPr>
            <w:tcW w:w="1701" w:type="dxa"/>
            <w:tcMar>
              <w:left w:w="340" w:type="dxa"/>
              <w:right w:w="340" w:type="dxa"/>
            </w:tcMar>
          </w:tcPr>
          <w:p w14:paraId="4C6C12F4" w14:textId="77777777" w:rsidR="00C4622D" w:rsidRPr="002E5BC0" w:rsidRDefault="00C4622D" w:rsidP="00C4622D">
            <w:pPr>
              <w:spacing w:before="60" w:after="60"/>
            </w:pPr>
            <w:r w:rsidRPr="002E5BC0">
              <w:rPr>
                <w:b/>
                <w:i/>
              </w:rPr>
              <w:t>CHED-A</w:t>
            </w:r>
          </w:p>
        </w:tc>
        <w:tc>
          <w:tcPr>
            <w:tcW w:w="1788" w:type="dxa"/>
            <w:tcMar>
              <w:left w:w="340" w:type="dxa"/>
              <w:right w:w="340" w:type="dxa"/>
            </w:tcMar>
          </w:tcPr>
          <w:p w14:paraId="691FEA36"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08691614" w14:textId="77777777" w:rsidR="00C4622D" w:rsidRPr="002E5BC0" w:rsidRDefault="00C4622D" w:rsidP="00C4622D">
            <w:pPr>
              <w:spacing w:before="60" w:after="60"/>
            </w:pPr>
            <w:r w:rsidRPr="002E5BC0">
              <w:rPr>
                <w:b/>
                <w:i/>
              </w:rPr>
              <w:t>Europa-Parlamentets og Rådets forordning (EU) 2017/625</w:t>
            </w:r>
          </w:p>
        </w:tc>
        <w:tc>
          <w:tcPr>
            <w:tcW w:w="1872" w:type="dxa"/>
            <w:tcMar>
              <w:left w:w="340" w:type="dxa"/>
              <w:right w:w="340" w:type="dxa"/>
            </w:tcMar>
          </w:tcPr>
          <w:p w14:paraId="4280A56D" w14:textId="77777777" w:rsidR="00C4622D" w:rsidRPr="002E5BC0" w:rsidRDefault="00C4622D" w:rsidP="00C4622D">
            <w:pPr>
              <w:spacing w:before="60" w:after="60"/>
            </w:pPr>
            <w:r w:rsidRPr="002E5BC0">
              <w:rPr>
                <w:b/>
                <w:i/>
              </w:rPr>
              <w:t>3. marts 2025</w:t>
            </w:r>
          </w:p>
        </w:tc>
      </w:tr>
      <w:tr w:rsidR="00C4622D" w:rsidRPr="002E5BC0" w14:paraId="0BCA4F9B" w14:textId="77777777" w:rsidTr="003740C4">
        <w:trPr>
          <w:trHeight w:val="45"/>
        </w:trPr>
        <w:tc>
          <w:tcPr>
            <w:tcW w:w="2127" w:type="dxa"/>
            <w:tcMar>
              <w:left w:w="340" w:type="dxa"/>
              <w:right w:w="340" w:type="dxa"/>
            </w:tcMar>
          </w:tcPr>
          <w:p w14:paraId="17952291" w14:textId="77777777" w:rsidR="00C4622D" w:rsidRPr="002E5BC0" w:rsidRDefault="00C4622D" w:rsidP="00C4622D">
            <w:pPr>
              <w:spacing w:before="60" w:after="60"/>
            </w:pPr>
            <w:r w:rsidRPr="002E5BC0">
              <w:rPr>
                <w:b/>
                <w:i/>
              </w:rPr>
              <w:t>Fælles sundhedsimportdokument for produkter</w:t>
            </w:r>
          </w:p>
        </w:tc>
        <w:tc>
          <w:tcPr>
            <w:tcW w:w="1701" w:type="dxa"/>
            <w:tcMar>
              <w:left w:w="340" w:type="dxa"/>
              <w:right w:w="340" w:type="dxa"/>
            </w:tcMar>
          </w:tcPr>
          <w:p w14:paraId="4F5BD0B1" w14:textId="77777777" w:rsidR="00C4622D" w:rsidRPr="002E5BC0" w:rsidRDefault="00C4622D" w:rsidP="00C4622D">
            <w:pPr>
              <w:spacing w:before="60" w:after="60"/>
            </w:pPr>
            <w:r w:rsidRPr="002E5BC0">
              <w:rPr>
                <w:b/>
                <w:i/>
              </w:rPr>
              <w:t>CHED-P</w:t>
            </w:r>
          </w:p>
        </w:tc>
        <w:tc>
          <w:tcPr>
            <w:tcW w:w="1788" w:type="dxa"/>
            <w:tcMar>
              <w:left w:w="340" w:type="dxa"/>
              <w:right w:w="340" w:type="dxa"/>
            </w:tcMar>
          </w:tcPr>
          <w:p w14:paraId="1062031A"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1B1DA608" w14:textId="77777777" w:rsidR="00C4622D" w:rsidRPr="002E5BC0" w:rsidRDefault="00C4622D" w:rsidP="00C4622D">
            <w:pPr>
              <w:spacing w:before="60" w:after="60"/>
            </w:pPr>
            <w:r w:rsidRPr="002E5BC0">
              <w:rPr>
                <w:b/>
                <w:i/>
              </w:rPr>
              <w:t>Forordning (EU) 2017/625</w:t>
            </w:r>
          </w:p>
        </w:tc>
        <w:tc>
          <w:tcPr>
            <w:tcW w:w="1872" w:type="dxa"/>
            <w:tcMar>
              <w:left w:w="340" w:type="dxa"/>
              <w:right w:w="340" w:type="dxa"/>
            </w:tcMar>
          </w:tcPr>
          <w:p w14:paraId="5B77537A" w14:textId="77777777" w:rsidR="00C4622D" w:rsidRPr="002E5BC0" w:rsidRDefault="00C4622D" w:rsidP="00C4622D">
            <w:pPr>
              <w:spacing w:before="60" w:after="60"/>
            </w:pPr>
            <w:r w:rsidRPr="002E5BC0">
              <w:rPr>
                <w:b/>
                <w:i/>
              </w:rPr>
              <w:t>3. marts 2025</w:t>
            </w:r>
          </w:p>
        </w:tc>
      </w:tr>
      <w:tr w:rsidR="00C4622D" w:rsidRPr="002E5BC0" w14:paraId="389D1A8D" w14:textId="77777777" w:rsidTr="003740C4">
        <w:trPr>
          <w:trHeight w:val="45"/>
        </w:trPr>
        <w:tc>
          <w:tcPr>
            <w:tcW w:w="2127" w:type="dxa"/>
            <w:tcMar>
              <w:left w:w="340" w:type="dxa"/>
              <w:right w:w="340" w:type="dxa"/>
            </w:tcMar>
          </w:tcPr>
          <w:p w14:paraId="6B5CB071" w14:textId="77777777" w:rsidR="00C4622D" w:rsidRPr="002E5BC0" w:rsidRDefault="00C4622D" w:rsidP="00C4622D">
            <w:pPr>
              <w:spacing w:before="60" w:after="60"/>
            </w:pPr>
            <w:r w:rsidRPr="002E5BC0">
              <w:rPr>
                <w:b/>
                <w:i/>
              </w:rPr>
              <w:t>Fælles sundhedsimportdokument for ikkeanimalske foderstoffer og fødevarer</w:t>
            </w:r>
          </w:p>
        </w:tc>
        <w:tc>
          <w:tcPr>
            <w:tcW w:w="1701" w:type="dxa"/>
            <w:tcMar>
              <w:left w:w="340" w:type="dxa"/>
              <w:right w:w="340" w:type="dxa"/>
            </w:tcMar>
          </w:tcPr>
          <w:p w14:paraId="5DE9D5A9" w14:textId="77777777" w:rsidR="00C4622D" w:rsidRPr="002E5BC0" w:rsidRDefault="00C4622D" w:rsidP="00C4622D">
            <w:pPr>
              <w:spacing w:before="60" w:after="60"/>
            </w:pPr>
            <w:r w:rsidRPr="002E5BC0">
              <w:rPr>
                <w:b/>
                <w:i/>
              </w:rPr>
              <w:t>CHED-D</w:t>
            </w:r>
          </w:p>
        </w:tc>
        <w:tc>
          <w:tcPr>
            <w:tcW w:w="1788" w:type="dxa"/>
            <w:tcMar>
              <w:left w:w="340" w:type="dxa"/>
              <w:right w:w="340" w:type="dxa"/>
            </w:tcMar>
          </w:tcPr>
          <w:p w14:paraId="6EB6A2E9"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6F94C1C6" w14:textId="77777777" w:rsidR="00C4622D" w:rsidRPr="002E5BC0" w:rsidRDefault="00C4622D" w:rsidP="00C4622D">
            <w:pPr>
              <w:spacing w:before="60" w:after="60"/>
            </w:pPr>
            <w:r w:rsidRPr="002E5BC0">
              <w:rPr>
                <w:b/>
                <w:i/>
              </w:rPr>
              <w:t>Forordning (EU) 2017/625</w:t>
            </w:r>
          </w:p>
        </w:tc>
        <w:tc>
          <w:tcPr>
            <w:tcW w:w="1872" w:type="dxa"/>
            <w:tcMar>
              <w:left w:w="340" w:type="dxa"/>
              <w:right w:w="340" w:type="dxa"/>
            </w:tcMar>
          </w:tcPr>
          <w:p w14:paraId="38DAAFF5" w14:textId="77777777" w:rsidR="00C4622D" w:rsidRPr="002E5BC0" w:rsidRDefault="00C4622D" w:rsidP="00C4622D">
            <w:pPr>
              <w:spacing w:before="60" w:after="60"/>
            </w:pPr>
            <w:r w:rsidRPr="002E5BC0">
              <w:rPr>
                <w:b/>
                <w:i/>
              </w:rPr>
              <w:t>3. marts 2025</w:t>
            </w:r>
          </w:p>
        </w:tc>
      </w:tr>
      <w:tr w:rsidR="00C4622D" w:rsidRPr="002E5BC0" w14:paraId="04C24565" w14:textId="77777777" w:rsidTr="003740C4">
        <w:trPr>
          <w:trHeight w:val="45"/>
        </w:trPr>
        <w:tc>
          <w:tcPr>
            <w:tcW w:w="2127" w:type="dxa"/>
            <w:tcMar>
              <w:left w:w="340" w:type="dxa"/>
              <w:right w:w="340" w:type="dxa"/>
            </w:tcMar>
          </w:tcPr>
          <w:p w14:paraId="7E10772C" w14:textId="77777777" w:rsidR="00C4622D" w:rsidRPr="002E5BC0" w:rsidRDefault="00C4622D" w:rsidP="00C4622D">
            <w:pPr>
              <w:spacing w:before="60" w:after="60"/>
            </w:pPr>
            <w:r w:rsidRPr="002E5BC0">
              <w:rPr>
                <w:b/>
                <w:i/>
              </w:rPr>
              <w:t>Fælles sundhedsimportdokument for planter og planteprodukter</w:t>
            </w:r>
          </w:p>
        </w:tc>
        <w:tc>
          <w:tcPr>
            <w:tcW w:w="1701" w:type="dxa"/>
            <w:tcMar>
              <w:left w:w="340" w:type="dxa"/>
              <w:right w:w="340" w:type="dxa"/>
            </w:tcMar>
          </w:tcPr>
          <w:p w14:paraId="58B8DF06" w14:textId="77777777" w:rsidR="00C4622D" w:rsidRPr="002E5BC0" w:rsidRDefault="00C4622D" w:rsidP="00C4622D">
            <w:pPr>
              <w:spacing w:before="60" w:after="60"/>
            </w:pPr>
            <w:r w:rsidRPr="002E5BC0">
              <w:rPr>
                <w:b/>
                <w:i/>
              </w:rPr>
              <w:t>CHED-PP</w:t>
            </w:r>
          </w:p>
        </w:tc>
        <w:tc>
          <w:tcPr>
            <w:tcW w:w="1788" w:type="dxa"/>
            <w:tcMar>
              <w:left w:w="340" w:type="dxa"/>
              <w:right w:w="340" w:type="dxa"/>
            </w:tcMar>
          </w:tcPr>
          <w:p w14:paraId="4750D5C0"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03250829" w14:textId="77777777" w:rsidR="00C4622D" w:rsidRPr="002E5BC0" w:rsidRDefault="00C4622D" w:rsidP="00C4622D">
            <w:pPr>
              <w:spacing w:before="60" w:after="60"/>
            </w:pPr>
            <w:r w:rsidRPr="002E5BC0">
              <w:rPr>
                <w:b/>
                <w:i/>
              </w:rPr>
              <w:t>Forordning (EU) 2017/625</w:t>
            </w:r>
          </w:p>
        </w:tc>
        <w:tc>
          <w:tcPr>
            <w:tcW w:w="1872" w:type="dxa"/>
            <w:tcMar>
              <w:left w:w="340" w:type="dxa"/>
              <w:right w:w="340" w:type="dxa"/>
            </w:tcMar>
          </w:tcPr>
          <w:p w14:paraId="3EB6C577" w14:textId="77777777" w:rsidR="00C4622D" w:rsidRPr="002E5BC0" w:rsidRDefault="00C4622D" w:rsidP="00C4622D">
            <w:pPr>
              <w:spacing w:before="60" w:after="60"/>
            </w:pPr>
            <w:r w:rsidRPr="002E5BC0">
              <w:rPr>
                <w:b/>
                <w:i/>
              </w:rPr>
              <w:t>3. marts 2025</w:t>
            </w:r>
          </w:p>
        </w:tc>
      </w:tr>
      <w:tr w:rsidR="00C4622D" w:rsidRPr="002E5BC0" w14:paraId="0D9A511F" w14:textId="77777777" w:rsidTr="003740C4">
        <w:trPr>
          <w:trHeight w:val="45"/>
        </w:trPr>
        <w:tc>
          <w:tcPr>
            <w:tcW w:w="2127" w:type="dxa"/>
            <w:tcMar>
              <w:left w:w="340" w:type="dxa"/>
              <w:right w:w="340" w:type="dxa"/>
            </w:tcMar>
          </w:tcPr>
          <w:p w14:paraId="2BECF209" w14:textId="77777777" w:rsidR="00C4622D" w:rsidRPr="002E5BC0" w:rsidRDefault="00C4622D" w:rsidP="00C4622D">
            <w:pPr>
              <w:spacing w:before="60" w:after="60"/>
            </w:pPr>
            <w:r w:rsidRPr="002E5BC0">
              <w:rPr>
                <w:b/>
                <w:i/>
              </w:rPr>
              <w:t>Kontrolattest</w:t>
            </w:r>
          </w:p>
        </w:tc>
        <w:tc>
          <w:tcPr>
            <w:tcW w:w="1701" w:type="dxa"/>
            <w:tcMar>
              <w:left w:w="340" w:type="dxa"/>
              <w:right w:w="340" w:type="dxa"/>
            </w:tcMar>
          </w:tcPr>
          <w:p w14:paraId="3C0DFB8B" w14:textId="77777777" w:rsidR="00C4622D" w:rsidRPr="002E5BC0" w:rsidRDefault="00C4622D" w:rsidP="00C4622D">
            <w:pPr>
              <w:spacing w:before="60" w:after="60"/>
            </w:pPr>
            <w:r w:rsidRPr="002E5BC0">
              <w:rPr>
                <w:b/>
                <w:i/>
              </w:rPr>
              <w:t>COI</w:t>
            </w:r>
          </w:p>
        </w:tc>
        <w:tc>
          <w:tcPr>
            <w:tcW w:w="1788" w:type="dxa"/>
            <w:tcMar>
              <w:left w:w="340" w:type="dxa"/>
              <w:right w:w="340" w:type="dxa"/>
            </w:tcMar>
          </w:tcPr>
          <w:p w14:paraId="7F77C6C7"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3111C4D8" w14:textId="2F5B44F2" w:rsidR="00C4622D" w:rsidRPr="002E5BC0" w:rsidRDefault="00C4622D">
            <w:pPr>
              <w:spacing w:before="60" w:after="60"/>
            </w:pPr>
            <w:r w:rsidRPr="002E5BC0">
              <w:rPr>
                <w:b/>
                <w:i/>
              </w:rPr>
              <w:t>Europa-Parlamentets og Rådets forordning (EU) 2018/848</w:t>
            </w:r>
            <w:r w:rsidR="00F354E7">
              <w:rPr>
                <w:rStyle w:val="FootnoteReference"/>
                <w:b/>
                <w:i/>
              </w:rPr>
              <w:footnoteReference w:id="56"/>
            </w:r>
          </w:p>
        </w:tc>
        <w:tc>
          <w:tcPr>
            <w:tcW w:w="1872" w:type="dxa"/>
            <w:tcMar>
              <w:left w:w="340" w:type="dxa"/>
              <w:right w:w="340" w:type="dxa"/>
            </w:tcMar>
          </w:tcPr>
          <w:p w14:paraId="11B95263" w14:textId="77777777" w:rsidR="00C4622D" w:rsidRPr="002E5BC0" w:rsidRDefault="00C4622D" w:rsidP="00C4622D">
            <w:pPr>
              <w:spacing w:before="60" w:after="60"/>
            </w:pPr>
            <w:r w:rsidRPr="002E5BC0">
              <w:rPr>
                <w:b/>
                <w:i/>
              </w:rPr>
              <w:t>3. marts 2025</w:t>
            </w:r>
          </w:p>
        </w:tc>
      </w:tr>
      <w:tr w:rsidR="00C4622D" w:rsidRPr="002E5BC0" w14:paraId="687B59E5" w14:textId="77777777" w:rsidTr="003740C4">
        <w:trPr>
          <w:trHeight w:val="45"/>
        </w:trPr>
        <w:tc>
          <w:tcPr>
            <w:tcW w:w="2127" w:type="dxa"/>
            <w:tcMar>
              <w:left w:w="340" w:type="dxa"/>
              <w:right w:w="340" w:type="dxa"/>
            </w:tcMar>
          </w:tcPr>
          <w:p w14:paraId="7426CBBB" w14:textId="77777777" w:rsidR="00C4622D" w:rsidRPr="002E5BC0" w:rsidRDefault="00C4622D" w:rsidP="00C4622D">
            <w:pPr>
              <w:spacing w:before="60" w:after="60"/>
            </w:pPr>
            <w:r w:rsidRPr="002E5BC0">
              <w:rPr>
                <w:b/>
                <w:i/>
              </w:rPr>
              <w:t>Ozonnedbrydende licens</w:t>
            </w:r>
          </w:p>
        </w:tc>
        <w:tc>
          <w:tcPr>
            <w:tcW w:w="1701" w:type="dxa"/>
            <w:tcMar>
              <w:left w:w="340" w:type="dxa"/>
              <w:right w:w="340" w:type="dxa"/>
            </w:tcMar>
          </w:tcPr>
          <w:p w14:paraId="0F62AAFD" w14:textId="77777777" w:rsidR="00C4622D" w:rsidRPr="002E5BC0" w:rsidRDefault="00C4622D" w:rsidP="00C4622D">
            <w:pPr>
              <w:spacing w:before="60" w:after="60"/>
            </w:pPr>
            <w:r w:rsidRPr="002E5BC0">
              <w:rPr>
                <w:b/>
                <w:i/>
              </w:rPr>
              <w:t>ODS</w:t>
            </w:r>
          </w:p>
        </w:tc>
        <w:tc>
          <w:tcPr>
            <w:tcW w:w="1788" w:type="dxa"/>
            <w:tcMar>
              <w:left w:w="340" w:type="dxa"/>
              <w:right w:w="340" w:type="dxa"/>
            </w:tcMar>
          </w:tcPr>
          <w:p w14:paraId="57466EAC" w14:textId="77777777" w:rsidR="00C4622D" w:rsidRPr="002E5BC0" w:rsidRDefault="00C4622D" w:rsidP="00C4622D">
            <w:pPr>
              <w:spacing w:before="60" w:after="60"/>
            </w:pPr>
            <w:r w:rsidRPr="002E5BC0">
              <w:rPr>
                <w:b/>
                <w:i/>
              </w:rPr>
              <w:t>ODS 2-licensudstedelsessystem</w:t>
            </w:r>
          </w:p>
        </w:tc>
        <w:tc>
          <w:tcPr>
            <w:tcW w:w="1872" w:type="dxa"/>
            <w:tcMar>
              <w:left w:w="340" w:type="dxa"/>
              <w:right w:w="340" w:type="dxa"/>
            </w:tcMar>
          </w:tcPr>
          <w:p w14:paraId="44109041" w14:textId="107F5E0F" w:rsidR="00C4622D" w:rsidRPr="002E5BC0" w:rsidRDefault="00C4622D">
            <w:pPr>
              <w:spacing w:before="60" w:after="60"/>
            </w:pPr>
            <w:r w:rsidRPr="002E5BC0">
              <w:rPr>
                <w:b/>
                <w:i/>
              </w:rPr>
              <w:t>Europa-Parlamentets og Rådets forordning (EF) nr. 1005/2009</w:t>
            </w:r>
            <w:r w:rsidR="00F354E7">
              <w:rPr>
                <w:rStyle w:val="FootnoteReference"/>
                <w:b/>
                <w:i/>
              </w:rPr>
              <w:footnoteReference w:id="57"/>
            </w:r>
          </w:p>
        </w:tc>
        <w:tc>
          <w:tcPr>
            <w:tcW w:w="1872" w:type="dxa"/>
            <w:tcMar>
              <w:left w:w="340" w:type="dxa"/>
              <w:right w:w="340" w:type="dxa"/>
            </w:tcMar>
          </w:tcPr>
          <w:p w14:paraId="4A7AEA4D" w14:textId="77777777" w:rsidR="00C4622D" w:rsidRPr="002E5BC0" w:rsidRDefault="00C4622D" w:rsidP="00C4622D">
            <w:pPr>
              <w:spacing w:before="60" w:after="60"/>
            </w:pPr>
            <w:r w:rsidRPr="002E5BC0">
              <w:rPr>
                <w:b/>
                <w:i/>
              </w:rPr>
              <w:t>3. marts 2025</w:t>
            </w:r>
          </w:p>
        </w:tc>
      </w:tr>
      <w:tr w:rsidR="00C4622D" w:rsidRPr="002E5BC0" w14:paraId="577D6D36" w14:textId="77777777" w:rsidTr="003740C4">
        <w:trPr>
          <w:trHeight w:val="45"/>
        </w:trPr>
        <w:tc>
          <w:tcPr>
            <w:tcW w:w="2127" w:type="dxa"/>
            <w:tcMar>
              <w:left w:w="340" w:type="dxa"/>
              <w:right w:w="340" w:type="dxa"/>
            </w:tcMar>
          </w:tcPr>
          <w:p w14:paraId="5F34A2CC" w14:textId="77777777" w:rsidR="00C4622D" w:rsidRPr="002E5BC0" w:rsidRDefault="00C4622D" w:rsidP="00C4622D">
            <w:pPr>
              <w:spacing w:before="60" w:after="60"/>
            </w:pPr>
            <w:r w:rsidRPr="002E5BC0">
              <w:rPr>
                <w:b/>
                <w:i/>
              </w:rPr>
              <w:t>Fluorholdige drivhusgasser</w:t>
            </w:r>
          </w:p>
        </w:tc>
        <w:tc>
          <w:tcPr>
            <w:tcW w:w="1701" w:type="dxa"/>
            <w:tcMar>
              <w:left w:w="340" w:type="dxa"/>
              <w:right w:w="340" w:type="dxa"/>
            </w:tcMar>
          </w:tcPr>
          <w:p w14:paraId="01564893" w14:textId="77777777" w:rsidR="00C4622D" w:rsidRPr="002E5BC0" w:rsidRDefault="00C4622D" w:rsidP="00C4622D">
            <w:pPr>
              <w:spacing w:before="60" w:after="60"/>
            </w:pPr>
            <w:r w:rsidRPr="002E5BC0">
              <w:rPr>
                <w:b/>
                <w:i/>
              </w:rPr>
              <w:t>F-GAS</w:t>
            </w:r>
          </w:p>
        </w:tc>
        <w:tc>
          <w:tcPr>
            <w:tcW w:w="1788" w:type="dxa"/>
            <w:tcMar>
              <w:left w:w="340" w:type="dxa"/>
              <w:right w:w="340" w:type="dxa"/>
            </w:tcMar>
          </w:tcPr>
          <w:p w14:paraId="662AE86C" w14:textId="77777777" w:rsidR="00C4622D" w:rsidRPr="002E5BC0" w:rsidRDefault="00C4622D" w:rsidP="00C4622D">
            <w:pPr>
              <w:spacing w:before="60" w:after="60"/>
            </w:pPr>
            <w:r w:rsidRPr="002E5BC0">
              <w:rPr>
                <w:b/>
                <w:i/>
              </w:rPr>
              <w:t xml:space="preserve">F-GAS-portal og </w:t>
            </w:r>
            <w:r w:rsidRPr="002E5BC0">
              <w:rPr>
                <w:b/>
                <w:i/>
              </w:rPr>
              <w:lastRenderedPageBreak/>
              <w:t>HFC-licensudstedelsessystem</w:t>
            </w:r>
          </w:p>
        </w:tc>
        <w:tc>
          <w:tcPr>
            <w:tcW w:w="1872" w:type="dxa"/>
            <w:tcMar>
              <w:left w:w="340" w:type="dxa"/>
              <w:right w:w="340" w:type="dxa"/>
            </w:tcMar>
          </w:tcPr>
          <w:p w14:paraId="172359D8" w14:textId="014818B4" w:rsidR="00C4622D" w:rsidRPr="002E5BC0" w:rsidRDefault="00C4622D" w:rsidP="00C4622D">
            <w:pPr>
              <w:spacing w:before="60" w:after="60"/>
            </w:pPr>
            <w:r w:rsidRPr="002E5BC0">
              <w:rPr>
                <w:b/>
                <w:i/>
              </w:rPr>
              <w:lastRenderedPageBreak/>
              <w:t>Europa-Parlamentet</w:t>
            </w:r>
            <w:r w:rsidRPr="002E5BC0">
              <w:rPr>
                <w:b/>
                <w:i/>
              </w:rPr>
              <w:lastRenderedPageBreak/>
              <w:t>s og Rådets forordning (EU) nr. 517/2014</w:t>
            </w:r>
            <w:r w:rsidR="00F354E7">
              <w:rPr>
                <w:rStyle w:val="FootnoteReference"/>
                <w:b/>
                <w:i/>
              </w:rPr>
              <w:footnoteReference w:id="58"/>
            </w:r>
          </w:p>
        </w:tc>
        <w:tc>
          <w:tcPr>
            <w:tcW w:w="1872" w:type="dxa"/>
            <w:tcMar>
              <w:left w:w="340" w:type="dxa"/>
              <w:right w:w="340" w:type="dxa"/>
            </w:tcMar>
          </w:tcPr>
          <w:p w14:paraId="423A73E8" w14:textId="77777777" w:rsidR="00C4622D" w:rsidRPr="002E5BC0" w:rsidRDefault="00C4622D" w:rsidP="00C4622D">
            <w:pPr>
              <w:spacing w:before="60" w:after="60"/>
            </w:pPr>
            <w:r w:rsidRPr="002E5BC0">
              <w:rPr>
                <w:b/>
                <w:i/>
              </w:rPr>
              <w:lastRenderedPageBreak/>
              <w:t>3. marts 2025</w:t>
            </w:r>
          </w:p>
        </w:tc>
      </w:tr>
      <w:tr w:rsidR="00C4622D" w:rsidRPr="002E5BC0" w14:paraId="01882564" w14:textId="77777777" w:rsidTr="003740C4">
        <w:trPr>
          <w:trHeight w:val="45"/>
        </w:trPr>
        <w:tc>
          <w:tcPr>
            <w:tcW w:w="2127" w:type="dxa"/>
            <w:tcMar>
              <w:left w:w="340" w:type="dxa"/>
              <w:right w:w="340" w:type="dxa"/>
            </w:tcMar>
          </w:tcPr>
          <w:p w14:paraId="01D399F8" w14:textId="77777777" w:rsidR="00C4622D" w:rsidRPr="002E5BC0" w:rsidRDefault="00C4622D" w:rsidP="00C4622D">
            <w:pPr>
              <w:spacing w:before="60" w:after="60"/>
            </w:pPr>
            <w:r w:rsidRPr="002E5BC0">
              <w:rPr>
                <w:b/>
                <w:i/>
              </w:rPr>
              <w:t>Importlicens for kulturgenstande</w:t>
            </w:r>
          </w:p>
        </w:tc>
        <w:tc>
          <w:tcPr>
            <w:tcW w:w="1701" w:type="dxa"/>
            <w:tcMar>
              <w:left w:w="340" w:type="dxa"/>
              <w:right w:w="340" w:type="dxa"/>
            </w:tcMar>
          </w:tcPr>
          <w:p w14:paraId="2DC68168" w14:textId="77777777" w:rsidR="00C4622D" w:rsidRPr="002E5BC0" w:rsidRDefault="00C4622D" w:rsidP="00C4622D">
            <w:pPr>
              <w:spacing w:before="60" w:after="60"/>
            </w:pPr>
            <w:r w:rsidRPr="002E5BC0">
              <w:rPr>
                <w:b/>
                <w:i/>
              </w:rPr>
              <w:t>ICG-L</w:t>
            </w:r>
          </w:p>
        </w:tc>
        <w:tc>
          <w:tcPr>
            <w:tcW w:w="1788" w:type="dxa"/>
            <w:tcMar>
              <w:left w:w="340" w:type="dxa"/>
              <w:right w:w="340" w:type="dxa"/>
            </w:tcMar>
          </w:tcPr>
          <w:p w14:paraId="335F431C"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689E48DC" w14:textId="45E86E28" w:rsidR="00C4622D" w:rsidRPr="002E5BC0" w:rsidRDefault="00C4622D" w:rsidP="00C4622D">
            <w:pPr>
              <w:spacing w:before="60" w:after="60"/>
            </w:pPr>
            <w:r w:rsidRPr="002E5BC0">
              <w:rPr>
                <w:b/>
                <w:i/>
              </w:rPr>
              <w:t>Europa-Parlamentets og Rådets forordning (EU) 2019/880</w:t>
            </w:r>
            <w:r w:rsidR="00F354E7">
              <w:rPr>
                <w:rStyle w:val="FootnoteReference"/>
                <w:b/>
                <w:i/>
              </w:rPr>
              <w:footnoteReference w:id="59"/>
            </w:r>
          </w:p>
        </w:tc>
        <w:tc>
          <w:tcPr>
            <w:tcW w:w="1872" w:type="dxa"/>
            <w:tcMar>
              <w:left w:w="340" w:type="dxa"/>
              <w:right w:w="340" w:type="dxa"/>
            </w:tcMar>
          </w:tcPr>
          <w:p w14:paraId="1B5E08E6" w14:textId="77777777" w:rsidR="00C4622D" w:rsidRPr="002E5BC0" w:rsidRDefault="00C4622D" w:rsidP="00C4622D">
            <w:pPr>
              <w:spacing w:before="60" w:after="60"/>
            </w:pPr>
            <w:r w:rsidRPr="002E5BC0">
              <w:rPr>
                <w:b/>
                <w:i/>
              </w:rPr>
              <w:t>3. marts 2025</w:t>
            </w:r>
          </w:p>
        </w:tc>
      </w:tr>
      <w:tr w:rsidR="00C4622D" w:rsidRPr="002E5BC0" w14:paraId="683338E4" w14:textId="77777777" w:rsidTr="003740C4">
        <w:trPr>
          <w:trHeight w:val="45"/>
        </w:trPr>
        <w:tc>
          <w:tcPr>
            <w:tcW w:w="2127" w:type="dxa"/>
            <w:tcMar>
              <w:left w:w="340" w:type="dxa"/>
              <w:right w:w="340" w:type="dxa"/>
            </w:tcMar>
          </w:tcPr>
          <w:p w14:paraId="5F0F2BE4" w14:textId="77777777" w:rsidR="00C4622D" w:rsidRPr="002E5BC0" w:rsidRDefault="00C4622D" w:rsidP="00C4622D">
            <w:pPr>
              <w:spacing w:before="60" w:after="60"/>
            </w:pPr>
            <w:r w:rsidRPr="002E5BC0">
              <w:rPr>
                <w:b/>
                <w:i/>
              </w:rPr>
              <w:t>Importørerklæring for kulturgenstande</w:t>
            </w:r>
          </w:p>
        </w:tc>
        <w:tc>
          <w:tcPr>
            <w:tcW w:w="1701" w:type="dxa"/>
            <w:tcMar>
              <w:left w:w="340" w:type="dxa"/>
              <w:right w:w="340" w:type="dxa"/>
            </w:tcMar>
          </w:tcPr>
          <w:p w14:paraId="6413BD5E" w14:textId="77777777" w:rsidR="00C4622D" w:rsidRPr="002E5BC0" w:rsidRDefault="00C4622D" w:rsidP="00C4622D">
            <w:pPr>
              <w:spacing w:before="60" w:after="60"/>
            </w:pPr>
            <w:r w:rsidRPr="002E5BC0">
              <w:rPr>
                <w:b/>
                <w:i/>
              </w:rPr>
              <w:t>ICG-S</w:t>
            </w:r>
          </w:p>
        </w:tc>
        <w:tc>
          <w:tcPr>
            <w:tcW w:w="1788" w:type="dxa"/>
            <w:tcMar>
              <w:left w:w="340" w:type="dxa"/>
              <w:right w:w="340" w:type="dxa"/>
            </w:tcMar>
          </w:tcPr>
          <w:p w14:paraId="6454A7E5"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1EB9F9D9" w14:textId="77777777" w:rsidR="00C4622D" w:rsidRPr="002E5BC0" w:rsidRDefault="00C4622D" w:rsidP="00C4622D">
            <w:pPr>
              <w:spacing w:before="60" w:after="60"/>
            </w:pPr>
            <w:r w:rsidRPr="002E5BC0">
              <w:rPr>
                <w:b/>
                <w:i/>
              </w:rPr>
              <w:t>Forordning (EU) 2019/880</w:t>
            </w:r>
          </w:p>
        </w:tc>
        <w:tc>
          <w:tcPr>
            <w:tcW w:w="1872" w:type="dxa"/>
            <w:tcMar>
              <w:left w:w="340" w:type="dxa"/>
              <w:right w:w="340" w:type="dxa"/>
            </w:tcMar>
          </w:tcPr>
          <w:p w14:paraId="5FB2C4C2" w14:textId="77777777" w:rsidR="00C4622D" w:rsidRPr="002E5BC0" w:rsidRDefault="00C4622D" w:rsidP="00C4622D">
            <w:pPr>
              <w:spacing w:before="60" w:after="60"/>
            </w:pPr>
            <w:r w:rsidRPr="002E5BC0">
              <w:rPr>
                <w:b/>
                <w:i/>
              </w:rPr>
              <w:t>3. marts 2025</w:t>
            </w:r>
          </w:p>
        </w:tc>
      </w:tr>
      <w:tr w:rsidR="00C4622D" w:rsidRPr="002E5BC0" w14:paraId="6BC112B0" w14:textId="77777777" w:rsidTr="003740C4">
        <w:trPr>
          <w:trHeight w:val="45"/>
        </w:trPr>
        <w:tc>
          <w:tcPr>
            <w:tcW w:w="2127" w:type="dxa"/>
            <w:tcMar>
              <w:left w:w="340" w:type="dxa"/>
              <w:right w:w="340" w:type="dxa"/>
            </w:tcMar>
          </w:tcPr>
          <w:p w14:paraId="101A6AAF" w14:textId="77777777" w:rsidR="00C4622D" w:rsidRPr="002E5BC0" w:rsidRDefault="00C4622D" w:rsidP="00C4622D">
            <w:pPr>
              <w:spacing w:before="60" w:after="60"/>
            </w:pPr>
            <w:r w:rsidRPr="002E5BC0">
              <w:rPr>
                <w:b/>
                <w:i/>
              </w:rPr>
              <w:t>Generel beskrivelse af kulturgenstande</w:t>
            </w:r>
          </w:p>
        </w:tc>
        <w:tc>
          <w:tcPr>
            <w:tcW w:w="1701" w:type="dxa"/>
            <w:tcMar>
              <w:left w:w="340" w:type="dxa"/>
              <w:right w:w="340" w:type="dxa"/>
            </w:tcMar>
          </w:tcPr>
          <w:p w14:paraId="607B659B" w14:textId="77777777" w:rsidR="00C4622D" w:rsidRPr="002E5BC0" w:rsidRDefault="00C4622D" w:rsidP="00C4622D">
            <w:pPr>
              <w:spacing w:before="60" w:after="60"/>
            </w:pPr>
            <w:r w:rsidRPr="002E5BC0">
              <w:rPr>
                <w:b/>
                <w:i/>
              </w:rPr>
              <w:t>ICG-D</w:t>
            </w:r>
          </w:p>
        </w:tc>
        <w:tc>
          <w:tcPr>
            <w:tcW w:w="1788" w:type="dxa"/>
            <w:tcMar>
              <w:left w:w="340" w:type="dxa"/>
              <w:right w:w="340" w:type="dxa"/>
            </w:tcMar>
          </w:tcPr>
          <w:p w14:paraId="78F5E7B0"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0CC638DC" w14:textId="77777777" w:rsidR="00C4622D" w:rsidRPr="002E5BC0" w:rsidRDefault="00C4622D" w:rsidP="00C4622D">
            <w:pPr>
              <w:spacing w:before="60" w:after="60"/>
            </w:pPr>
            <w:r w:rsidRPr="002E5BC0">
              <w:rPr>
                <w:b/>
                <w:i/>
              </w:rPr>
              <w:t>Forordning (EU) 2019/880</w:t>
            </w:r>
          </w:p>
        </w:tc>
        <w:tc>
          <w:tcPr>
            <w:tcW w:w="1872" w:type="dxa"/>
            <w:tcMar>
              <w:left w:w="340" w:type="dxa"/>
              <w:right w:w="340" w:type="dxa"/>
            </w:tcMar>
          </w:tcPr>
          <w:p w14:paraId="2B801562" w14:textId="77777777" w:rsidR="00C4622D" w:rsidRPr="002E5BC0" w:rsidRDefault="00C4622D" w:rsidP="00C4622D">
            <w:pPr>
              <w:spacing w:before="60" w:after="60"/>
            </w:pPr>
            <w:r w:rsidRPr="002E5BC0">
              <w:rPr>
                <w:b/>
                <w:i/>
              </w:rPr>
              <w:t>3. marts 2025</w:t>
            </w:r>
          </w:p>
        </w:tc>
      </w:tr>
      <w:tr w:rsidR="00C4622D" w:rsidRPr="002E5BC0" w14:paraId="5ACFE3AF" w14:textId="77777777" w:rsidTr="003740C4">
        <w:trPr>
          <w:trHeight w:val="45"/>
        </w:trPr>
        <w:tc>
          <w:tcPr>
            <w:tcW w:w="2127" w:type="dxa"/>
            <w:tcMar>
              <w:left w:w="340" w:type="dxa"/>
              <w:right w:w="340" w:type="dxa"/>
            </w:tcMar>
          </w:tcPr>
          <w:p w14:paraId="68F6CBB7" w14:textId="77777777" w:rsidR="00C4622D" w:rsidRPr="002E5BC0" w:rsidRDefault="00C4622D" w:rsidP="00C4622D">
            <w:pPr>
              <w:spacing w:before="60" w:after="60"/>
            </w:pPr>
            <w:r w:rsidRPr="002E5BC0">
              <w:rPr>
                <w:b/>
                <w:i/>
              </w:rPr>
              <w:t>Ikketoldrelateret EU-formalitet</w:t>
            </w:r>
          </w:p>
        </w:tc>
        <w:tc>
          <w:tcPr>
            <w:tcW w:w="1701" w:type="dxa"/>
            <w:tcMar>
              <w:left w:w="340" w:type="dxa"/>
              <w:right w:w="340" w:type="dxa"/>
            </w:tcMar>
          </w:tcPr>
          <w:p w14:paraId="5EF22D54" w14:textId="77777777" w:rsidR="00C4622D" w:rsidRPr="002E5BC0" w:rsidRDefault="00C4622D" w:rsidP="00C4622D">
            <w:pPr>
              <w:spacing w:before="60" w:after="60"/>
            </w:pPr>
            <w:r w:rsidRPr="002E5BC0">
              <w:rPr>
                <w:b/>
                <w:i/>
              </w:rPr>
              <w:t>Forkortelse</w:t>
            </w:r>
          </w:p>
        </w:tc>
        <w:tc>
          <w:tcPr>
            <w:tcW w:w="1788" w:type="dxa"/>
            <w:tcMar>
              <w:left w:w="340" w:type="dxa"/>
              <w:right w:w="340" w:type="dxa"/>
            </w:tcMar>
          </w:tcPr>
          <w:p w14:paraId="0BC1E768" w14:textId="77777777" w:rsidR="00C4622D" w:rsidRPr="002E5BC0" w:rsidRDefault="00C4622D" w:rsidP="00C4622D">
            <w:pPr>
              <w:spacing w:before="60" w:after="60"/>
            </w:pPr>
            <w:r w:rsidRPr="002E5BC0">
              <w:rPr>
                <w:b/>
                <w:i/>
              </w:rPr>
              <w:t>Ikketoldrelateret EU-system</w:t>
            </w:r>
          </w:p>
        </w:tc>
        <w:tc>
          <w:tcPr>
            <w:tcW w:w="1872" w:type="dxa"/>
            <w:tcMar>
              <w:left w:w="340" w:type="dxa"/>
              <w:right w:w="340" w:type="dxa"/>
            </w:tcMar>
          </w:tcPr>
          <w:p w14:paraId="28D725DF" w14:textId="77777777" w:rsidR="00C4622D" w:rsidRPr="002E5BC0" w:rsidRDefault="00C4622D" w:rsidP="00C4622D">
            <w:pPr>
              <w:spacing w:before="60" w:after="60"/>
            </w:pPr>
            <w:r w:rsidRPr="002E5BC0">
              <w:rPr>
                <w:b/>
                <w:i/>
              </w:rPr>
              <w:t>Relevant anden EU-lovgivning end toldlovgivningen</w:t>
            </w:r>
          </w:p>
        </w:tc>
        <w:tc>
          <w:tcPr>
            <w:tcW w:w="1872" w:type="dxa"/>
            <w:tcMar>
              <w:left w:w="340" w:type="dxa"/>
              <w:right w:w="340" w:type="dxa"/>
            </w:tcMar>
          </w:tcPr>
          <w:p w14:paraId="60D4B27A" w14:textId="77777777" w:rsidR="00C4622D" w:rsidRPr="002E5BC0" w:rsidRDefault="00C4622D" w:rsidP="00C4622D">
            <w:pPr>
              <w:spacing w:before="60" w:after="60"/>
            </w:pPr>
            <w:r w:rsidRPr="002E5BC0">
              <w:rPr>
                <w:b/>
                <w:i/>
              </w:rPr>
              <w:t>Forbindelse senest</w:t>
            </w:r>
          </w:p>
        </w:tc>
      </w:tr>
      <w:tr w:rsidR="00C4622D" w:rsidRPr="002E5BC0" w14:paraId="0652B2FF" w14:textId="77777777" w:rsidTr="003740C4">
        <w:trPr>
          <w:trHeight w:val="45"/>
        </w:trPr>
        <w:tc>
          <w:tcPr>
            <w:tcW w:w="2127" w:type="dxa"/>
            <w:tcMar>
              <w:left w:w="340" w:type="dxa"/>
              <w:right w:w="340" w:type="dxa"/>
            </w:tcMar>
          </w:tcPr>
          <w:p w14:paraId="745EA9F5" w14:textId="77777777" w:rsidR="00C4622D" w:rsidRPr="002E5BC0" w:rsidRDefault="00C4622D" w:rsidP="00C4622D">
            <w:pPr>
              <w:spacing w:before="60" w:after="60"/>
            </w:pPr>
            <w:r w:rsidRPr="002E5BC0">
              <w:rPr>
                <w:b/>
                <w:i/>
              </w:rPr>
              <w:t>Importlicens til retshåndhævelse, god forvaltningspraksis og handel på skovbrugsområdet</w:t>
            </w:r>
          </w:p>
        </w:tc>
        <w:tc>
          <w:tcPr>
            <w:tcW w:w="1701" w:type="dxa"/>
            <w:tcMar>
              <w:left w:w="340" w:type="dxa"/>
              <w:right w:w="340" w:type="dxa"/>
            </w:tcMar>
          </w:tcPr>
          <w:p w14:paraId="6EAAFFBB" w14:textId="77777777" w:rsidR="00C4622D" w:rsidRPr="002E5BC0" w:rsidRDefault="00C4622D" w:rsidP="00C4622D">
            <w:pPr>
              <w:spacing w:before="60" w:after="60"/>
            </w:pPr>
            <w:r w:rsidRPr="002E5BC0">
              <w:rPr>
                <w:b/>
                <w:i/>
              </w:rPr>
              <w:t>FLEGT</w:t>
            </w:r>
          </w:p>
        </w:tc>
        <w:tc>
          <w:tcPr>
            <w:tcW w:w="1788" w:type="dxa"/>
            <w:tcMar>
              <w:left w:w="340" w:type="dxa"/>
              <w:right w:w="340" w:type="dxa"/>
            </w:tcMar>
          </w:tcPr>
          <w:p w14:paraId="3121A025"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720984FA" w14:textId="77777777" w:rsidR="00C4622D" w:rsidRPr="002E5BC0" w:rsidRDefault="00C4622D" w:rsidP="00C4622D">
            <w:pPr>
              <w:spacing w:before="60" w:after="60"/>
            </w:pPr>
            <w:r w:rsidRPr="002E5BC0">
              <w:rPr>
                <w:b/>
                <w:i/>
              </w:rPr>
              <w:t>Rådets forordning (EF) nr. 2173/2005</w:t>
            </w:r>
          </w:p>
        </w:tc>
        <w:tc>
          <w:tcPr>
            <w:tcW w:w="1872" w:type="dxa"/>
            <w:tcMar>
              <w:left w:w="340" w:type="dxa"/>
              <w:right w:w="340" w:type="dxa"/>
            </w:tcMar>
          </w:tcPr>
          <w:p w14:paraId="723F6D58" w14:textId="77777777" w:rsidR="00C4622D" w:rsidRPr="002E5BC0" w:rsidRDefault="00C4622D" w:rsidP="00C4622D">
            <w:pPr>
              <w:spacing w:before="60" w:after="60"/>
            </w:pPr>
            <w:r w:rsidRPr="002E5BC0">
              <w:rPr>
                <w:b/>
                <w:i/>
              </w:rPr>
              <w:t>3. marts 2025</w:t>
            </w:r>
          </w:p>
        </w:tc>
      </w:tr>
      <w:tr w:rsidR="00C4622D" w:rsidRPr="002E5BC0" w14:paraId="19A082BB" w14:textId="77777777" w:rsidTr="003740C4">
        <w:trPr>
          <w:trHeight w:val="45"/>
        </w:trPr>
        <w:tc>
          <w:tcPr>
            <w:tcW w:w="2127" w:type="dxa"/>
            <w:tcMar>
              <w:left w:w="340" w:type="dxa"/>
              <w:right w:w="340" w:type="dxa"/>
            </w:tcMar>
          </w:tcPr>
          <w:p w14:paraId="2DA99503" w14:textId="77777777" w:rsidR="00C4622D" w:rsidRPr="002E5BC0" w:rsidRDefault="00C4622D" w:rsidP="00C4622D">
            <w:pPr>
              <w:spacing w:before="60" w:after="60"/>
            </w:pPr>
            <w:r w:rsidRPr="002E5BC0">
              <w:rPr>
                <w:b/>
                <w:i/>
              </w:rPr>
              <w:t xml:space="preserve">EU-ordning for kontrol med eksport, mæglervirksomhed, teknisk bistand, transit og overførsel i forbindelse med produkter med dobbelt </w:t>
            </w:r>
            <w:r w:rsidRPr="002E5BC0">
              <w:rPr>
                <w:b/>
                <w:i/>
              </w:rPr>
              <w:lastRenderedPageBreak/>
              <w:t>anvendelse</w:t>
            </w:r>
          </w:p>
        </w:tc>
        <w:tc>
          <w:tcPr>
            <w:tcW w:w="1701" w:type="dxa"/>
            <w:tcMar>
              <w:left w:w="340" w:type="dxa"/>
              <w:right w:w="340" w:type="dxa"/>
            </w:tcMar>
          </w:tcPr>
          <w:p w14:paraId="5DC66CA7" w14:textId="77777777" w:rsidR="00C4622D" w:rsidRPr="002E5BC0" w:rsidRDefault="00C4622D" w:rsidP="00C4622D">
            <w:pPr>
              <w:spacing w:before="60" w:after="60"/>
            </w:pPr>
            <w:r w:rsidRPr="002E5BC0">
              <w:rPr>
                <w:b/>
                <w:i/>
              </w:rPr>
              <w:lastRenderedPageBreak/>
              <w:t>DuES</w:t>
            </w:r>
          </w:p>
        </w:tc>
        <w:tc>
          <w:tcPr>
            <w:tcW w:w="1788" w:type="dxa"/>
            <w:tcMar>
              <w:left w:w="340" w:type="dxa"/>
              <w:right w:w="340" w:type="dxa"/>
            </w:tcMar>
          </w:tcPr>
          <w:p w14:paraId="20433755" w14:textId="77777777" w:rsidR="00C4622D" w:rsidRPr="002E5BC0" w:rsidRDefault="00C4622D" w:rsidP="00C4622D">
            <w:pPr>
              <w:spacing w:before="60" w:after="60"/>
            </w:pPr>
            <w:r w:rsidRPr="002E5BC0">
              <w:rPr>
                <w:b/>
                <w:i/>
              </w:rPr>
              <w:t>e-licensudstedelsessystem</w:t>
            </w:r>
          </w:p>
        </w:tc>
        <w:tc>
          <w:tcPr>
            <w:tcW w:w="1872" w:type="dxa"/>
            <w:tcMar>
              <w:left w:w="340" w:type="dxa"/>
              <w:right w:w="340" w:type="dxa"/>
            </w:tcMar>
          </w:tcPr>
          <w:p w14:paraId="4DAE8A99" w14:textId="77777777" w:rsidR="00C4622D" w:rsidRPr="002E5BC0" w:rsidRDefault="00C4622D" w:rsidP="00C4622D">
            <w:pPr>
              <w:spacing w:before="60" w:after="60"/>
            </w:pPr>
            <w:r w:rsidRPr="002E5BC0">
              <w:rPr>
                <w:b/>
                <w:i/>
              </w:rPr>
              <w:t xml:space="preserve">Forordning (EU) 2021/821 </w:t>
            </w:r>
          </w:p>
        </w:tc>
        <w:tc>
          <w:tcPr>
            <w:tcW w:w="1872" w:type="dxa"/>
            <w:tcMar>
              <w:left w:w="340" w:type="dxa"/>
              <w:right w:w="340" w:type="dxa"/>
            </w:tcMar>
          </w:tcPr>
          <w:p w14:paraId="3C07FDCD" w14:textId="77777777" w:rsidR="00C4622D" w:rsidRPr="002E5BC0" w:rsidRDefault="00C4622D" w:rsidP="00C4622D">
            <w:pPr>
              <w:spacing w:before="60" w:after="60"/>
            </w:pPr>
            <w:r w:rsidRPr="002E5BC0">
              <w:rPr>
                <w:b/>
                <w:i/>
              </w:rPr>
              <w:t>3. marts 2025</w:t>
            </w:r>
          </w:p>
        </w:tc>
      </w:tr>
      <w:tr w:rsidR="00C4622D" w:rsidRPr="002E5BC0" w14:paraId="7A466259" w14:textId="77777777" w:rsidTr="003740C4">
        <w:trPr>
          <w:trHeight w:val="45"/>
        </w:trPr>
        <w:tc>
          <w:tcPr>
            <w:tcW w:w="2127" w:type="dxa"/>
            <w:tcMar>
              <w:left w:w="340" w:type="dxa"/>
              <w:right w:w="340" w:type="dxa"/>
            </w:tcMar>
          </w:tcPr>
          <w:p w14:paraId="3DC410EE" w14:textId="77777777" w:rsidR="00C4622D" w:rsidRPr="002E5BC0" w:rsidRDefault="00C4622D" w:rsidP="00C4622D">
            <w:pPr>
              <w:spacing w:before="60" w:after="60"/>
            </w:pPr>
            <w:r w:rsidRPr="002E5BC0">
              <w:rPr>
                <w:b/>
                <w:i/>
              </w:rPr>
              <w:t>Certifikat om international handel med udryddelsestruede vilde dyr og planter</w:t>
            </w:r>
          </w:p>
        </w:tc>
        <w:tc>
          <w:tcPr>
            <w:tcW w:w="1701" w:type="dxa"/>
            <w:tcMar>
              <w:left w:w="340" w:type="dxa"/>
              <w:right w:w="340" w:type="dxa"/>
            </w:tcMar>
          </w:tcPr>
          <w:p w14:paraId="25CA61DD" w14:textId="77777777" w:rsidR="00C4622D" w:rsidRPr="002E5BC0" w:rsidRDefault="00C4622D" w:rsidP="00C4622D">
            <w:pPr>
              <w:spacing w:before="60" w:after="60"/>
            </w:pPr>
            <w:r w:rsidRPr="002E5BC0">
              <w:rPr>
                <w:b/>
                <w:i/>
              </w:rPr>
              <w:t>CITES</w:t>
            </w:r>
          </w:p>
        </w:tc>
        <w:tc>
          <w:tcPr>
            <w:tcW w:w="1788" w:type="dxa"/>
            <w:tcMar>
              <w:left w:w="340" w:type="dxa"/>
              <w:right w:w="340" w:type="dxa"/>
            </w:tcMar>
          </w:tcPr>
          <w:p w14:paraId="6019283C" w14:textId="77777777" w:rsidR="00C4622D" w:rsidRPr="002E5BC0" w:rsidRDefault="00C4622D" w:rsidP="00C4622D">
            <w:pPr>
              <w:spacing w:before="60" w:after="60"/>
            </w:pPr>
            <w:r w:rsidRPr="002E5BC0">
              <w:rPr>
                <w:b/>
                <w:i/>
              </w:rPr>
              <w:t>TRACES</w:t>
            </w:r>
          </w:p>
        </w:tc>
        <w:tc>
          <w:tcPr>
            <w:tcW w:w="1872" w:type="dxa"/>
            <w:tcMar>
              <w:left w:w="340" w:type="dxa"/>
              <w:right w:w="340" w:type="dxa"/>
            </w:tcMar>
          </w:tcPr>
          <w:p w14:paraId="4029748B" w14:textId="77777777" w:rsidR="00C4622D" w:rsidRPr="002E5BC0" w:rsidRDefault="00C4622D" w:rsidP="00C4622D">
            <w:pPr>
              <w:spacing w:before="60" w:after="60"/>
            </w:pPr>
            <w:r w:rsidRPr="002E5BC0">
              <w:rPr>
                <w:b/>
                <w:i/>
              </w:rPr>
              <w:t>Rådets forordning (EF) nr. 338/97</w:t>
            </w:r>
          </w:p>
        </w:tc>
        <w:tc>
          <w:tcPr>
            <w:tcW w:w="1872" w:type="dxa"/>
            <w:tcMar>
              <w:left w:w="340" w:type="dxa"/>
              <w:right w:w="340" w:type="dxa"/>
            </w:tcMar>
          </w:tcPr>
          <w:p w14:paraId="1168BDCF" w14:textId="77777777" w:rsidR="00C4622D" w:rsidRPr="002E5BC0" w:rsidRDefault="00C4622D" w:rsidP="00C4622D">
            <w:pPr>
              <w:spacing w:before="60" w:after="60"/>
            </w:pPr>
            <w:r w:rsidRPr="002E5BC0">
              <w:rPr>
                <w:b/>
                <w:i/>
              </w:rPr>
              <w:t>1. oktober 2025</w:t>
            </w:r>
          </w:p>
        </w:tc>
      </w:tr>
      <w:tr w:rsidR="00C4622D" w:rsidRPr="002E5BC0" w14:paraId="32E154DD" w14:textId="77777777" w:rsidTr="003740C4">
        <w:trPr>
          <w:trHeight w:val="45"/>
        </w:trPr>
        <w:tc>
          <w:tcPr>
            <w:tcW w:w="2127" w:type="dxa"/>
            <w:tcMar>
              <w:left w:w="340" w:type="dxa"/>
              <w:right w:w="340" w:type="dxa"/>
            </w:tcMar>
          </w:tcPr>
          <w:p w14:paraId="7937DA5A" w14:textId="77777777" w:rsidR="00C4622D" w:rsidRPr="002E5BC0" w:rsidRDefault="00C4622D" w:rsidP="00C4622D">
            <w:pPr>
              <w:spacing w:before="60" w:after="60"/>
            </w:pPr>
            <w:r w:rsidRPr="002E5BC0">
              <w:rPr>
                <w:b/>
                <w:i/>
              </w:rPr>
              <w:t>Informations- og kommunikationssystem for markedsovervågning</w:t>
            </w:r>
          </w:p>
        </w:tc>
        <w:tc>
          <w:tcPr>
            <w:tcW w:w="1701" w:type="dxa"/>
            <w:tcMar>
              <w:left w:w="340" w:type="dxa"/>
              <w:right w:w="340" w:type="dxa"/>
            </w:tcMar>
          </w:tcPr>
          <w:p w14:paraId="6EC0AFCB" w14:textId="77777777" w:rsidR="00C4622D" w:rsidRPr="002E5BC0" w:rsidRDefault="00C4622D" w:rsidP="00C4622D">
            <w:pPr>
              <w:spacing w:before="60" w:after="60"/>
            </w:pPr>
            <w:r w:rsidRPr="002E5BC0">
              <w:rPr>
                <w:b/>
                <w:i/>
              </w:rPr>
              <w:t>ICSMS</w:t>
            </w:r>
          </w:p>
        </w:tc>
        <w:tc>
          <w:tcPr>
            <w:tcW w:w="1788" w:type="dxa"/>
            <w:tcMar>
              <w:left w:w="340" w:type="dxa"/>
              <w:right w:w="340" w:type="dxa"/>
            </w:tcMar>
          </w:tcPr>
          <w:p w14:paraId="7124FDBF" w14:textId="77777777" w:rsidR="00C4622D" w:rsidRPr="002E5BC0" w:rsidRDefault="00C4622D" w:rsidP="00C4622D">
            <w:pPr>
              <w:spacing w:before="60" w:after="60"/>
            </w:pPr>
            <w:r w:rsidRPr="002E5BC0">
              <w:rPr>
                <w:b/>
                <w:i/>
              </w:rPr>
              <w:t>ICSMS</w:t>
            </w:r>
          </w:p>
        </w:tc>
        <w:tc>
          <w:tcPr>
            <w:tcW w:w="1872" w:type="dxa"/>
            <w:tcMar>
              <w:left w:w="340" w:type="dxa"/>
              <w:right w:w="340" w:type="dxa"/>
            </w:tcMar>
          </w:tcPr>
          <w:p w14:paraId="33278418" w14:textId="77777777" w:rsidR="00C4622D" w:rsidRPr="002E5BC0" w:rsidRDefault="00C4622D" w:rsidP="00C4622D">
            <w:pPr>
              <w:spacing w:before="60" w:after="60"/>
            </w:pPr>
            <w:r w:rsidRPr="002E5BC0">
              <w:rPr>
                <w:b/>
                <w:i/>
              </w:rPr>
              <w:t>Europa-Parlamentets og Rådets forordning (EU) 2019/1020</w:t>
            </w:r>
          </w:p>
        </w:tc>
        <w:tc>
          <w:tcPr>
            <w:tcW w:w="1872" w:type="dxa"/>
            <w:tcMar>
              <w:left w:w="340" w:type="dxa"/>
              <w:right w:w="340" w:type="dxa"/>
            </w:tcMar>
          </w:tcPr>
          <w:p w14:paraId="0E03625D" w14:textId="77777777" w:rsidR="00C4622D" w:rsidRPr="002E5BC0" w:rsidRDefault="00C4622D" w:rsidP="00C4622D">
            <w:pPr>
              <w:spacing w:before="60" w:after="60"/>
            </w:pPr>
            <w:r w:rsidRPr="002E5BC0">
              <w:rPr>
                <w:b/>
                <w:i/>
              </w:rPr>
              <w:t>16. december 2025</w:t>
            </w:r>
          </w:p>
        </w:tc>
      </w:tr>
    </w:tbl>
    <w:p w14:paraId="1A1F837D" w14:textId="77777777" w:rsidR="00C4622D" w:rsidRDefault="00C4622D">
      <w:pPr>
        <w:widowControl/>
        <w:rPr>
          <w:szCs w:val="24"/>
          <w:lang w:eastAsia="en-US"/>
        </w:rPr>
      </w:pPr>
    </w:p>
    <w:p w14:paraId="4C156DB3" w14:textId="0321C670" w:rsidR="00E3386D" w:rsidRDefault="00C4622D" w:rsidP="003740C4">
      <w:pPr>
        <w:widowControl/>
        <w:jc w:val="right"/>
        <w:rPr>
          <w:szCs w:val="24"/>
          <w:lang w:eastAsia="en-US"/>
        </w:rPr>
      </w:pPr>
      <w:r>
        <w:rPr>
          <w:b/>
          <w:szCs w:val="24"/>
          <w:lang w:eastAsia="en-US"/>
        </w:rPr>
        <w:t xml:space="preserve"> [Ændring 292]</w:t>
      </w:r>
      <w:r w:rsidR="00E3386D">
        <w:rPr>
          <w:szCs w:val="24"/>
          <w:lang w:eastAsia="en-US"/>
        </w:rPr>
        <w:br w:type="page"/>
      </w:r>
    </w:p>
    <w:p w14:paraId="216485EB" w14:textId="77777777" w:rsidR="003E0486" w:rsidRPr="003E0486" w:rsidRDefault="003E0486" w:rsidP="003E0486">
      <w:pPr>
        <w:spacing w:before="120" w:after="120" w:line="360" w:lineRule="auto"/>
        <w:rPr>
          <w:szCs w:val="24"/>
          <w:lang w:eastAsia="en-US"/>
        </w:rPr>
      </w:pPr>
    </w:p>
    <w:p w14:paraId="6D1E4198" w14:textId="4ECF16E3" w:rsidR="003E0486" w:rsidRPr="003E0486" w:rsidRDefault="00E3386D" w:rsidP="003E0486">
      <w:pPr>
        <w:spacing w:before="120" w:after="120" w:line="360" w:lineRule="auto"/>
        <w:jc w:val="center"/>
        <w:rPr>
          <w:lang w:val="en-GB" w:eastAsia="en-US"/>
        </w:rPr>
      </w:pPr>
      <w:r>
        <w:rPr>
          <w:lang w:val="en-GB" w:eastAsia="en-US"/>
        </w:rPr>
        <w:t>BILAG:</w:t>
      </w:r>
      <w:r>
        <w:rPr>
          <w:lang w:val="en-GB" w:eastAsia="en-US"/>
        </w:rPr>
        <w:br/>
      </w:r>
      <w:r w:rsidR="003E0486" w:rsidRPr="003E0486">
        <w:rPr>
          <w:lang w:val="en-GB" w:eastAsia="en-US"/>
        </w:rPr>
        <w:t>Sammenligningstabel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86"/>
        <w:gridCol w:w="3074"/>
      </w:tblGrid>
      <w:tr w:rsidR="003E0486" w:rsidRPr="003E0486" w14:paraId="60590D3F" w14:textId="77777777" w:rsidTr="005562E6">
        <w:trPr>
          <w:tblHeader/>
        </w:trPr>
        <w:tc>
          <w:tcPr>
            <w:tcW w:w="0" w:type="auto"/>
          </w:tcPr>
          <w:p w14:paraId="3CC74EB1" w14:textId="77777777" w:rsidR="003E0486" w:rsidRPr="003E0486" w:rsidRDefault="003E0486" w:rsidP="003E0486">
            <w:pPr>
              <w:spacing w:before="120" w:after="120" w:line="360" w:lineRule="auto"/>
              <w:rPr>
                <w:szCs w:val="24"/>
                <w:lang w:val="en-GB" w:eastAsia="en-US"/>
              </w:rPr>
            </w:pPr>
            <w:r w:rsidRPr="003E0486">
              <w:rPr>
                <w:szCs w:val="24"/>
                <w:lang w:val="en-GB" w:eastAsia="en-US"/>
              </w:rPr>
              <w:t>Forordning (EU) 952/2013</w:t>
            </w:r>
          </w:p>
        </w:tc>
        <w:tc>
          <w:tcPr>
            <w:tcW w:w="0" w:type="auto"/>
          </w:tcPr>
          <w:p w14:paraId="4522BA7C"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Denne forordning </w:t>
            </w:r>
          </w:p>
        </w:tc>
      </w:tr>
      <w:tr w:rsidR="003E0486" w:rsidRPr="003E0486" w14:paraId="3FE4497E" w14:textId="77777777" w:rsidTr="005562E6">
        <w:tc>
          <w:tcPr>
            <w:tcW w:w="0" w:type="auto"/>
          </w:tcPr>
          <w:p w14:paraId="535E20C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w:t>
            </w:r>
          </w:p>
        </w:tc>
        <w:tc>
          <w:tcPr>
            <w:tcW w:w="0" w:type="auto"/>
          </w:tcPr>
          <w:p w14:paraId="5D1D161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w:t>
            </w:r>
          </w:p>
        </w:tc>
      </w:tr>
      <w:tr w:rsidR="003E0486" w:rsidRPr="003E0486" w14:paraId="138B67E7" w14:textId="77777777" w:rsidTr="005562E6">
        <w:tc>
          <w:tcPr>
            <w:tcW w:w="0" w:type="auto"/>
          </w:tcPr>
          <w:p w14:paraId="33E42CE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w:t>
            </w:r>
          </w:p>
        </w:tc>
        <w:tc>
          <w:tcPr>
            <w:tcW w:w="0" w:type="auto"/>
          </w:tcPr>
          <w:p w14:paraId="539B9AB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w:t>
            </w:r>
          </w:p>
        </w:tc>
      </w:tr>
      <w:tr w:rsidR="003E0486" w:rsidRPr="003E0486" w14:paraId="6DC655F5" w14:textId="77777777" w:rsidTr="005562E6">
        <w:tc>
          <w:tcPr>
            <w:tcW w:w="0" w:type="auto"/>
          </w:tcPr>
          <w:p w14:paraId="661DC15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w:t>
            </w:r>
          </w:p>
        </w:tc>
        <w:tc>
          <w:tcPr>
            <w:tcW w:w="0" w:type="auto"/>
          </w:tcPr>
          <w:p w14:paraId="1E8EF7D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w:t>
            </w:r>
          </w:p>
        </w:tc>
      </w:tr>
      <w:tr w:rsidR="003E0486" w:rsidRPr="003E0486" w14:paraId="19468A27" w14:textId="77777777" w:rsidTr="005562E6">
        <w:tc>
          <w:tcPr>
            <w:tcW w:w="0" w:type="auto"/>
          </w:tcPr>
          <w:p w14:paraId="6CDC7EF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w:t>
            </w:r>
          </w:p>
        </w:tc>
        <w:tc>
          <w:tcPr>
            <w:tcW w:w="0" w:type="auto"/>
          </w:tcPr>
          <w:p w14:paraId="61FF46A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w:t>
            </w:r>
          </w:p>
        </w:tc>
      </w:tr>
      <w:tr w:rsidR="003E0486" w:rsidRPr="003E0486" w14:paraId="5051B58A" w14:textId="77777777" w:rsidTr="005562E6">
        <w:tc>
          <w:tcPr>
            <w:tcW w:w="0" w:type="auto"/>
          </w:tcPr>
          <w:p w14:paraId="422EBBF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w:t>
            </w:r>
          </w:p>
        </w:tc>
        <w:tc>
          <w:tcPr>
            <w:tcW w:w="0" w:type="auto"/>
          </w:tcPr>
          <w:p w14:paraId="15ED6BE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w:t>
            </w:r>
          </w:p>
        </w:tc>
      </w:tr>
      <w:tr w:rsidR="003E0486" w:rsidRPr="003E0486" w14:paraId="5989CDE3" w14:textId="77777777" w:rsidTr="005562E6">
        <w:tc>
          <w:tcPr>
            <w:tcW w:w="0" w:type="auto"/>
          </w:tcPr>
          <w:p w14:paraId="69AE5E8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w:t>
            </w:r>
          </w:p>
        </w:tc>
        <w:tc>
          <w:tcPr>
            <w:tcW w:w="0" w:type="auto"/>
          </w:tcPr>
          <w:p w14:paraId="616E24E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w:t>
            </w:r>
          </w:p>
        </w:tc>
      </w:tr>
      <w:tr w:rsidR="003E0486" w:rsidRPr="003E0486" w14:paraId="7695A493" w14:textId="77777777" w:rsidTr="005562E6">
        <w:tc>
          <w:tcPr>
            <w:tcW w:w="0" w:type="auto"/>
          </w:tcPr>
          <w:p w14:paraId="16AC6AD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w:t>
            </w:r>
          </w:p>
        </w:tc>
        <w:tc>
          <w:tcPr>
            <w:tcW w:w="0" w:type="auto"/>
          </w:tcPr>
          <w:p w14:paraId="6F8C5B4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w:t>
            </w:r>
          </w:p>
        </w:tc>
      </w:tr>
      <w:tr w:rsidR="003E0486" w:rsidRPr="003E0486" w14:paraId="3CDBFA73" w14:textId="77777777" w:rsidTr="005562E6">
        <w:tc>
          <w:tcPr>
            <w:tcW w:w="0" w:type="auto"/>
          </w:tcPr>
          <w:p w14:paraId="65D7A53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w:t>
            </w:r>
          </w:p>
        </w:tc>
        <w:tc>
          <w:tcPr>
            <w:tcW w:w="0" w:type="auto"/>
          </w:tcPr>
          <w:p w14:paraId="1CE94A8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w:t>
            </w:r>
          </w:p>
        </w:tc>
      </w:tr>
      <w:tr w:rsidR="003E0486" w:rsidRPr="003E0486" w14:paraId="545922E5" w14:textId="77777777" w:rsidTr="005562E6">
        <w:tc>
          <w:tcPr>
            <w:tcW w:w="0" w:type="auto"/>
          </w:tcPr>
          <w:p w14:paraId="5E23E17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27</w:t>
            </w:r>
          </w:p>
        </w:tc>
        <w:tc>
          <w:tcPr>
            <w:tcW w:w="0" w:type="auto"/>
          </w:tcPr>
          <w:p w14:paraId="218DB4A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w:t>
            </w:r>
          </w:p>
        </w:tc>
      </w:tr>
      <w:tr w:rsidR="003E0486" w:rsidRPr="003E0486" w14:paraId="3D53FC06" w14:textId="77777777" w:rsidTr="005562E6">
        <w:tc>
          <w:tcPr>
            <w:tcW w:w="0" w:type="auto"/>
          </w:tcPr>
          <w:p w14:paraId="7A9C810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w:t>
            </w:r>
          </w:p>
        </w:tc>
        <w:tc>
          <w:tcPr>
            <w:tcW w:w="0" w:type="auto"/>
          </w:tcPr>
          <w:p w14:paraId="610FFC6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w:t>
            </w:r>
          </w:p>
        </w:tc>
      </w:tr>
      <w:tr w:rsidR="003E0486" w:rsidRPr="003E0486" w14:paraId="4B857392" w14:textId="77777777" w:rsidTr="005562E6">
        <w:tc>
          <w:tcPr>
            <w:tcW w:w="0" w:type="auto"/>
          </w:tcPr>
          <w:p w14:paraId="59F859E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29</w:t>
            </w:r>
          </w:p>
        </w:tc>
        <w:tc>
          <w:tcPr>
            <w:tcW w:w="0" w:type="auto"/>
          </w:tcPr>
          <w:p w14:paraId="279CF59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w:t>
            </w:r>
          </w:p>
        </w:tc>
      </w:tr>
      <w:tr w:rsidR="003E0486" w:rsidRPr="003E0486" w14:paraId="425A5B53" w14:textId="77777777" w:rsidTr="005562E6">
        <w:tc>
          <w:tcPr>
            <w:tcW w:w="0" w:type="auto"/>
          </w:tcPr>
          <w:p w14:paraId="59AF953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30</w:t>
            </w:r>
          </w:p>
        </w:tc>
        <w:tc>
          <w:tcPr>
            <w:tcW w:w="0" w:type="auto"/>
          </w:tcPr>
          <w:p w14:paraId="3FFC050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w:t>
            </w:r>
          </w:p>
        </w:tc>
      </w:tr>
      <w:tr w:rsidR="003E0486" w:rsidRPr="003E0486" w14:paraId="2735DC2B" w14:textId="77777777" w:rsidTr="005562E6">
        <w:tc>
          <w:tcPr>
            <w:tcW w:w="0" w:type="auto"/>
          </w:tcPr>
          <w:p w14:paraId="1F6E615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33</w:t>
            </w:r>
          </w:p>
        </w:tc>
        <w:tc>
          <w:tcPr>
            <w:tcW w:w="0" w:type="auto"/>
          </w:tcPr>
          <w:p w14:paraId="6897EB9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w:t>
            </w:r>
          </w:p>
        </w:tc>
      </w:tr>
      <w:tr w:rsidR="003E0486" w:rsidRPr="003E0486" w14:paraId="5ED9E2C4" w14:textId="77777777" w:rsidTr="005562E6">
        <w:tc>
          <w:tcPr>
            <w:tcW w:w="0" w:type="auto"/>
          </w:tcPr>
          <w:p w14:paraId="584C2F1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34</w:t>
            </w:r>
          </w:p>
        </w:tc>
        <w:tc>
          <w:tcPr>
            <w:tcW w:w="0" w:type="auto"/>
          </w:tcPr>
          <w:p w14:paraId="7DB68A0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w:t>
            </w:r>
          </w:p>
        </w:tc>
      </w:tr>
      <w:tr w:rsidR="003E0486" w:rsidRPr="003E0486" w14:paraId="7E63199D" w14:textId="77777777" w:rsidTr="005562E6">
        <w:tc>
          <w:tcPr>
            <w:tcW w:w="0" w:type="auto"/>
          </w:tcPr>
          <w:p w14:paraId="67DD6A4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43</w:t>
            </w:r>
          </w:p>
        </w:tc>
        <w:tc>
          <w:tcPr>
            <w:tcW w:w="0" w:type="auto"/>
          </w:tcPr>
          <w:p w14:paraId="3442B69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w:t>
            </w:r>
          </w:p>
        </w:tc>
      </w:tr>
      <w:tr w:rsidR="003E0486" w:rsidRPr="003E0486" w14:paraId="7692AEEC" w14:textId="77777777" w:rsidTr="005562E6">
        <w:tc>
          <w:tcPr>
            <w:tcW w:w="0" w:type="auto"/>
          </w:tcPr>
          <w:p w14:paraId="3ADA91A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44</w:t>
            </w:r>
          </w:p>
        </w:tc>
        <w:tc>
          <w:tcPr>
            <w:tcW w:w="0" w:type="auto"/>
          </w:tcPr>
          <w:p w14:paraId="6E13543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w:t>
            </w:r>
          </w:p>
        </w:tc>
      </w:tr>
      <w:tr w:rsidR="003E0486" w:rsidRPr="003E0486" w14:paraId="1C6FEE23" w14:textId="77777777" w:rsidTr="005562E6">
        <w:tc>
          <w:tcPr>
            <w:tcW w:w="0" w:type="auto"/>
          </w:tcPr>
          <w:p w14:paraId="744D982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45</w:t>
            </w:r>
          </w:p>
        </w:tc>
        <w:tc>
          <w:tcPr>
            <w:tcW w:w="0" w:type="auto"/>
          </w:tcPr>
          <w:p w14:paraId="5FD228B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w:t>
            </w:r>
          </w:p>
        </w:tc>
      </w:tr>
      <w:tr w:rsidR="003E0486" w:rsidRPr="003E0486" w14:paraId="5F3DF486" w14:textId="77777777" w:rsidTr="005562E6">
        <w:tc>
          <w:tcPr>
            <w:tcW w:w="0" w:type="auto"/>
          </w:tcPr>
          <w:p w14:paraId="0D0F746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52</w:t>
            </w:r>
          </w:p>
        </w:tc>
        <w:tc>
          <w:tcPr>
            <w:tcW w:w="0" w:type="auto"/>
          </w:tcPr>
          <w:p w14:paraId="24F17C6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w:t>
            </w:r>
          </w:p>
        </w:tc>
      </w:tr>
      <w:tr w:rsidR="003E0486" w:rsidRPr="003E0486" w14:paraId="208E001F" w14:textId="77777777" w:rsidTr="005562E6">
        <w:tc>
          <w:tcPr>
            <w:tcW w:w="0" w:type="auto"/>
          </w:tcPr>
          <w:p w14:paraId="66DA9D9B"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9</w:t>
            </w:r>
          </w:p>
        </w:tc>
        <w:tc>
          <w:tcPr>
            <w:tcW w:w="0" w:type="auto"/>
          </w:tcPr>
          <w:p w14:paraId="6BDD36D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w:t>
            </w:r>
          </w:p>
        </w:tc>
      </w:tr>
      <w:tr w:rsidR="003E0486" w:rsidRPr="003E0486" w14:paraId="3E1A5E2E" w14:textId="77777777" w:rsidTr="005562E6">
        <w:tc>
          <w:tcPr>
            <w:tcW w:w="0" w:type="auto"/>
          </w:tcPr>
          <w:p w14:paraId="02A75E49"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9D8D2C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w:t>
            </w:r>
          </w:p>
        </w:tc>
      </w:tr>
      <w:tr w:rsidR="003E0486" w:rsidRPr="003E0486" w14:paraId="30EA3B7D" w14:textId="77777777" w:rsidTr="005562E6">
        <w:tc>
          <w:tcPr>
            <w:tcW w:w="0" w:type="auto"/>
          </w:tcPr>
          <w:p w14:paraId="149BE54D"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3BB8859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w:t>
            </w:r>
          </w:p>
        </w:tc>
      </w:tr>
      <w:tr w:rsidR="003E0486" w:rsidRPr="003E0486" w14:paraId="665AB49A" w14:textId="77777777" w:rsidTr="005562E6">
        <w:tc>
          <w:tcPr>
            <w:tcW w:w="0" w:type="auto"/>
          </w:tcPr>
          <w:p w14:paraId="24F8FC62"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7EF70A7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w:t>
            </w:r>
          </w:p>
        </w:tc>
      </w:tr>
      <w:tr w:rsidR="003E0486" w:rsidRPr="003E0486" w14:paraId="68927314" w14:textId="77777777" w:rsidTr="005562E6">
        <w:tc>
          <w:tcPr>
            <w:tcW w:w="0" w:type="auto"/>
          </w:tcPr>
          <w:p w14:paraId="40CF6B8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38</w:t>
            </w:r>
          </w:p>
        </w:tc>
        <w:tc>
          <w:tcPr>
            <w:tcW w:w="0" w:type="auto"/>
          </w:tcPr>
          <w:p w14:paraId="705E313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w:t>
            </w:r>
          </w:p>
        </w:tc>
      </w:tr>
      <w:tr w:rsidR="003E0486" w:rsidRPr="003E0486" w14:paraId="74A899CA" w14:textId="77777777" w:rsidTr="005562E6">
        <w:tc>
          <w:tcPr>
            <w:tcW w:w="0" w:type="auto"/>
          </w:tcPr>
          <w:p w14:paraId="5555A25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39</w:t>
            </w:r>
          </w:p>
        </w:tc>
        <w:tc>
          <w:tcPr>
            <w:tcW w:w="0" w:type="auto"/>
          </w:tcPr>
          <w:p w14:paraId="5142399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w:t>
            </w:r>
          </w:p>
        </w:tc>
      </w:tr>
      <w:tr w:rsidR="003E0486" w:rsidRPr="003E0486" w14:paraId="689098EF" w14:textId="77777777" w:rsidTr="005562E6">
        <w:tc>
          <w:tcPr>
            <w:tcW w:w="0" w:type="auto"/>
          </w:tcPr>
          <w:p w14:paraId="0320DA37"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1E601EF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w:t>
            </w:r>
          </w:p>
        </w:tc>
      </w:tr>
      <w:tr w:rsidR="003E0486" w:rsidRPr="003E0486" w14:paraId="6CF3D682" w14:textId="77777777" w:rsidTr="005562E6">
        <w:tc>
          <w:tcPr>
            <w:tcW w:w="0" w:type="auto"/>
          </w:tcPr>
          <w:p w14:paraId="0E480A4E"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7CC0010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w:t>
            </w:r>
          </w:p>
        </w:tc>
      </w:tr>
      <w:tr w:rsidR="003E0486" w:rsidRPr="003E0486" w14:paraId="11C9998D" w14:textId="77777777" w:rsidTr="005562E6">
        <w:tc>
          <w:tcPr>
            <w:tcW w:w="0" w:type="auto"/>
          </w:tcPr>
          <w:p w14:paraId="6179345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w:t>
            </w:r>
          </w:p>
        </w:tc>
        <w:tc>
          <w:tcPr>
            <w:tcW w:w="0" w:type="auto"/>
          </w:tcPr>
          <w:p w14:paraId="01D98B8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27</w:t>
            </w:r>
          </w:p>
        </w:tc>
      </w:tr>
      <w:tr w:rsidR="003E0486" w:rsidRPr="003E0486" w14:paraId="667071F1" w14:textId="77777777" w:rsidTr="005562E6">
        <w:tc>
          <w:tcPr>
            <w:tcW w:w="0" w:type="auto"/>
          </w:tcPr>
          <w:p w14:paraId="7E1466D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w:t>
            </w:r>
          </w:p>
        </w:tc>
        <w:tc>
          <w:tcPr>
            <w:tcW w:w="0" w:type="auto"/>
          </w:tcPr>
          <w:p w14:paraId="6FBAA59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w:t>
            </w:r>
          </w:p>
        </w:tc>
      </w:tr>
      <w:tr w:rsidR="003E0486" w:rsidRPr="003E0486" w14:paraId="03D255A8" w14:textId="77777777" w:rsidTr="005562E6">
        <w:tc>
          <w:tcPr>
            <w:tcW w:w="0" w:type="auto"/>
          </w:tcPr>
          <w:p w14:paraId="02D018C6"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4531ED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29</w:t>
            </w:r>
          </w:p>
        </w:tc>
      </w:tr>
      <w:tr w:rsidR="003E0486" w:rsidRPr="003E0486" w14:paraId="3870BB58" w14:textId="77777777" w:rsidTr="005562E6">
        <w:tc>
          <w:tcPr>
            <w:tcW w:w="0" w:type="auto"/>
          </w:tcPr>
          <w:p w14:paraId="372CBFB3"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4AC3110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30</w:t>
            </w:r>
          </w:p>
        </w:tc>
      </w:tr>
      <w:tr w:rsidR="003E0486" w:rsidRPr="003E0486" w14:paraId="36090E44" w14:textId="77777777" w:rsidTr="005562E6">
        <w:tc>
          <w:tcPr>
            <w:tcW w:w="0" w:type="auto"/>
          </w:tcPr>
          <w:p w14:paraId="57CFE03B"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5CDA194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31</w:t>
            </w:r>
          </w:p>
        </w:tc>
      </w:tr>
      <w:tr w:rsidR="003E0486" w:rsidRPr="003E0486" w14:paraId="4C499754" w14:textId="77777777" w:rsidTr="005562E6">
        <w:tc>
          <w:tcPr>
            <w:tcW w:w="0" w:type="auto"/>
          </w:tcPr>
          <w:p w14:paraId="14750D24"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985C7A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32</w:t>
            </w:r>
          </w:p>
        </w:tc>
      </w:tr>
      <w:tr w:rsidR="003E0486" w:rsidRPr="003E0486" w14:paraId="7BB578EB" w14:textId="77777777" w:rsidTr="005562E6">
        <w:tc>
          <w:tcPr>
            <w:tcW w:w="0" w:type="auto"/>
          </w:tcPr>
          <w:p w14:paraId="3E3F51CD"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1E31E89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33</w:t>
            </w:r>
          </w:p>
        </w:tc>
      </w:tr>
      <w:tr w:rsidR="003E0486" w:rsidRPr="003E0486" w14:paraId="1E85C606" w14:textId="77777777" w:rsidTr="005562E6">
        <w:tc>
          <w:tcPr>
            <w:tcW w:w="0" w:type="auto"/>
          </w:tcPr>
          <w:p w14:paraId="7BECBDD0"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443ACAE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34</w:t>
            </w:r>
          </w:p>
        </w:tc>
      </w:tr>
      <w:tr w:rsidR="003E0486" w:rsidRPr="003E0486" w14:paraId="72D42235" w14:textId="77777777" w:rsidTr="005562E6">
        <w:tc>
          <w:tcPr>
            <w:tcW w:w="0" w:type="auto"/>
          </w:tcPr>
          <w:p w14:paraId="0D0A9512"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A05928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35</w:t>
            </w:r>
          </w:p>
        </w:tc>
      </w:tr>
      <w:tr w:rsidR="003E0486" w:rsidRPr="003E0486" w14:paraId="276E93A9" w14:textId="77777777" w:rsidTr="005562E6">
        <w:tc>
          <w:tcPr>
            <w:tcW w:w="0" w:type="auto"/>
          </w:tcPr>
          <w:p w14:paraId="4F31362D"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2DF83DF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36</w:t>
            </w:r>
          </w:p>
        </w:tc>
      </w:tr>
      <w:tr w:rsidR="003E0486" w:rsidRPr="003E0486" w14:paraId="151D5A44" w14:textId="77777777" w:rsidTr="005562E6">
        <w:tc>
          <w:tcPr>
            <w:tcW w:w="0" w:type="auto"/>
          </w:tcPr>
          <w:p w14:paraId="58238D30"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6EC5FA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37</w:t>
            </w:r>
          </w:p>
        </w:tc>
      </w:tr>
      <w:tr w:rsidR="003E0486" w:rsidRPr="003E0486" w14:paraId="7E63AF58" w14:textId="77777777" w:rsidTr="005562E6">
        <w:tc>
          <w:tcPr>
            <w:tcW w:w="0" w:type="auto"/>
          </w:tcPr>
          <w:p w14:paraId="221C8DB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w:t>
            </w:r>
          </w:p>
        </w:tc>
        <w:tc>
          <w:tcPr>
            <w:tcW w:w="0" w:type="auto"/>
          </w:tcPr>
          <w:p w14:paraId="3C7562F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38</w:t>
            </w:r>
          </w:p>
        </w:tc>
      </w:tr>
      <w:tr w:rsidR="003E0486" w:rsidRPr="003E0486" w14:paraId="3C401D09" w14:textId="77777777" w:rsidTr="005562E6">
        <w:tc>
          <w:tcPr>
            <w:tcW w:w="0" w:type="auto"/>
          </w:tcPr>
          <w:p w14:paraId="514AB396"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14</w:t>
            </w:r>
          </w:p>
        </w:tc>
        <w:tc>
          <w:tcPr>
            <w:tcW w:w="0" w:type="auto"/>
          </w:tcPr>
          <w:p w14:paraId="39D85BA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39</w:t>
            </w:r>
          </w:p>
        </w:tc>
      </w:tr>
      <w:tr w:rsidR="003E0486" w:rsidRPr="003E0486" w14:paraId="0E596F93" w14:textId="77777777" w:rsidTr="005562E6">
        <w:tc>
          <w:tcPr>
            <w:tcW w:w="0" w:type="auto"/>
          </w:tcPr>
          <w:p w14:paraId="02A6AB2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51 og 163</w:t>
            </w:r>
          </w:p>
        </w:tc>
        <w:tc>
          <w:tcPr>
            <w:tcW w:w="0" w:type="auto"/>
          </w:tcPr>
          <w:p w14:paraId="4F01AD1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40</w:t>
            </w:r>
          </w:p>
        </w:tc>
      </w:tr>
      <w:tr w:rsidR="003E0486" w:rsidRPr="003E0486" w14:paraId="0F0E9682" w14:textId="77777777" w:rsidTr="005562E6">
        <w:tc>
          <w:tcPr>
            <w:tcW w:w="0" w:type="auto"/>
          </w:tcPr>
          <w:p w14:paraId="181A1154" w14:textId="77777777" w:rsidR="003E0486" w:rsidRPr="003E0486" w:rsidRDefault="003E0486" w:rsidP="003E0486">
            <w:pPr>
              <w:spacing w:before="120" w:after="120" w:line="360" w:lineRule="auto"/>
              <w:rPr>
                <w:szCs w:val="24"/>
                <w:lang w:eastAsia="en-US"/>
              </w:rPr>
            </w:pPr>
            <w:r w:rsidRPr="003E0486">
              <w:rPr>
                <w:szCs w:val="24"/>
                <w:lang w:eastAsia="en-US"/>
              </w:rPr>
              <w:t>Artikel 134, stk. 1, første punktum, og artikel 158</w:t>
            </w:r>
          </w:p>
        </w:tc>
        <w:tc>
          <w:tcPr>
            <w:tcW w:w="0" w:type="auto"/>
          </w:tcPr>
          <w:p w14:paraId="3B177C7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41, stk. 1</w:t>
            </w:r>
          </w:p>
        </w:tc>
      </w:tr>
      <w:tr w:rsidR="003E0486" w:rsidRPr="003E0486" w14:paraId="61FA1000" w14:textId="77777777" w:rsidTr="005562E6">
        <w:tc>
          <w:tcPr>
            <w:tcW w:w="0" w:type="auto"/>
          </w:tcPr>
          <w:p w14:paraId="3DB0B253" w14:textId="531755DF" w:rsidR="003E0486" w:rsidRPr="003E0486" w:rsidRDefault="003E0486" w:rsidP="003E0486">
            <w:pPr>
              <w:spacing w:before="120" w:after="120" w:line="360" w:lineRule="auto"/>
              <w:rPr>
                <w:szCs w:val="24"/>
                <w:lang w:val="en-GB" w:eastAsia="en-US"/>
              </w:rPr>
            </w:pPr>
            <w:r w:rsidRPr="003E0486">
              <w:rPr>
                <w:szCs w:val="24"/>
                <w:lang w:val="en-GB" w:eastAsia="en-US"/>
              </w:rPr>
              <w:t>Artikel 134, stk. 1, andet afsnit</w:t>
            </w:r>
          </w:p>
        </w:tc>
        <w:tc>
          <w:tcPr>
            <w:tcW w:w="0" w:type="auto"/>
          </w:tcPr>
          <w:p w14:paraId="3EB5DD5D" w14:textId="16E885CB" w:rsidR="003E0486" w:rsidRPr="003E0486" w:rsidRDefault="003E0486" w:rsidP="003E0486">
            <w:pPr>
              <w:spacing w:before="120" w:after="120" w:line="360" w:lineRule="auto"/>
              <w:rPr>
                <w:szCs w:val="24"/>
                <w:lang w:val="en-GB" w:eastAsia="en-US"/>
              </w:rPr>
            </w:pPr>
            <w:r w:rsidRPr="003E0486">
              <w:rPr>
                <w:szCs w:val="24"/>
                <w:lang w:val="en-GB" w:eastAsia="en-US"/>
              </w:rPr>
              <w:t>Artikel 41, stk. 2</w:t>
            </w:r>
          </w:p>
        </w:tc>
      </w:tr>
      <w:tr w:rsidR="003E0486" w:rsidRPr="003E0486" w14:paraId="050DA1A2" w14:textId="77777777" w:rsidTr="005562E6">
        <w:tc>
          <w:tcPr>
            <w:tcW w:w="0" w:type="auto"/>
          </w:tcPr>
          <w:p w14:paraId="5144BA53" w14:textId="3E68885D" w:rsidR="003E0486" w:rsidRPr="003E0486" w:rsidRDefault="003E0486" w:rsidP="003E0486">
            <w:pPr>
              <w:spacing w:before="120" w:after="120" w:line="360" w:lineRule="auto"/>
              <w:rPr>
                <w:szCs w:val="24"/>
                <w:lang w:val="en-GB" w:eastAsia="en-US"/>
              </w:rPr>
            </w:pPr>
            <w:r w:rsidRPr="003E0486">
              <w:rPr>
                <w:szCs w:val="24"/>
                <w:lang w:val="en-GB" w:eastAsia="en-US"/>
              </w:rPr>
              <w:t>Artikel 134, stk. 1, fjerde afsnit</w:t>
            </w:r>
          </w:p>
        </w:tc>
        <w:tc>
          <w:tcPr>
            <w:tcW w:w="0" w:type="auto"/>
          </w:tcPr>
          <w:p w14:paraId="54ACD253" w14:textId="1A8E73B0" w:rsidR="003E0486" w:rsidRPr="003E0486" w:rsidRDefault="003E0486" w:rsidP="003E0486">
            <w:pPr>
              <w:spacing w:before="120" w:after="120" w:line="360" w:lineRule="auto"/>
              <w:rPr>
                <w:szCs w:val="24"/>
                <w:lang w:val="en-GB" w:eastAsia="en-US"/>
              </w:rPr>
            </w:pPr>
            <w:r w:rsidRPr="003E0486">
              <w:rPr>
                <w:szCs w:val="24"/>
                <w:lang w:val="en-GB" w:eastAsia="en-US"/>
              </w:rPr>
              <w:t>Artikel 41, stk. 3</w:t>
            </w:r>
          </w:p>
        </w:tc>
      </w:tr>
      <w:tr w:rsidR="003E0486" w:rsidRPr="003E0486" w14:paraId="45AA948A" w14:textId="77777777" w:rsidTr="005562E6">
        <w:tc>
          <w:tcPr>
            <w:tcW w:w="0" w:type="auto"/>
          </w:tcPr>
          <w:p w14:paraId="76FE7168" w14:textId="113F23AA" w:rsidR="003E0486" w:rsidRPr="003E0486" w:rsidRDefault="003E0486" w:rsidP="003E0486">
            <w:pPr>
              <w:spacing w:before="120" w:after="120" w:line="360" w:lineRule="auto"/>
              <w:rPr>
                <w:szCs w:val="24"/>
                <w:lang w:val="en-GB" w:eastAsia="en-US"/>
              </w:rPr>
            </w:pPr>
            <w:r w:rsidRPr="003E0486">
              <w:rPr>
                <w:szCs w:val="24"/>
                <w:lang w:val="en-GB" w:eastAsia="en-US"/>
              </w:rPr>
              <w:t>Artikel 158, stk. 3</w:t>
            </w:r>
          </w:p>
        </w:tc>
        <w:tc>
          <w:tcPr>
            <w:tcW w:w="0" w:type="auto"/>
          </w:tcPr>
          <w:p w14:paraId="1A518D68" w14:textId="7DC858F1" w:rsidR="003E0486" w:rsidRPr="003E0486" w:rsidRDefault="003E0486" w:rsidP="003E0486">
            <w:pPr>
              <w:spacing w:before="120" w:after="120" w:line="360" w:lineRule="auto"/>
              <w:rPr>
                <w:szCs w:val="24"/>
                <w:lang w:val="en-GB" w:eastAsia="en-US"/>
              </w:rPr>
            </w:pPr>
            <w:r w:rsidRPr="003E0486">
              <w:rPr>
                <w:szCs w:val="24"/>
                <w:lang w:val="en-GB" w:eastAsia="en-US"/>
              </w:rPr>
              <w:t>Artikel 41, stk. 6</w:t>
            </w:r>
          </w:p>
        </w:tc>
      </w:tr>
      <w:tr w:rsidR="003E0486" w:rsidRPr="003E0486" w14:paraId="0167C85E" w14:textId="77777777" w:rsidTr="005562E6">
        <w:tc>
          <w:tcPr>
            <w:tcW w:w="0" w:type="auto"/>
          </w:tcPr>
          <w:p w14:paraId="3C115018" w14:textId="671CE2B1" w:rsidR="003E0486" w:rsidRPr="003E0486" w:rsidRDefault="003E0486" w:rsidP="003E0486">
            <w:pPr>
              <w:spacing w:before="120" w:after="120" w:line="360" w:lineRule="auto"/>
              <w:rPr>
                <w:szCs w:val="24"/>
                <w:lang w:val="en-GB" w:eastAsia="en-US"/>
              </w:rPr>
            </w:pPr>
            <w:r w:rsidRPr="003E0486">
              <w:rPr>
                <w:szCs w:val="24"/>
                <w:lang w:val="en-GB" w:eastAsia="en-US"/>
              </w:rPr>
              <w:t>Artikel 134, stk. 2</w:t>
            </w:r>
          </w:p>
        </w:tc>
        <w:tc>
          <w:tcPr>
            <w:tcW w:w="0" w:type="auto"/>
          </w:tcPr>
          <w:p w14:paraId="7F3A7A03" w14:textId="684BC646" w:rsidR="003E0486" w:rsidRPr="003E0486" w:rsidRDefault="003E0486" w:rsidP="003E0486">
            <w:pPr>
              <w:spacing w:before="120" w:after="120" w:line="360" w:lineRule="auto"/>
              <w:rPr>
                <w:szCs w:val="24"/>
                <w:lang w:val="en-GB" w:eastAsia="en-US"/>
              </w:rPr>
            </w:pPr>
            <w:r w:rsidRPr="003E0486">
              <w:rPr>
                <w:szCs w:val="24"/>
                <w:lang w:val="en-GB" w:eastAsia="en-US"/>
              </w:rPr>
              <w:t>Artikel 41, stk. 7</w:t>
            </w:r>
          </w:p>
        </w:tc>
      </w:tr>
      <w:tr w:rsidR="003E0486" w:rsidRPr="003E0486" w14:paraId="176091E1" w14:textId="77777777" w:rsidTr="005562E6">
        <w:tc>
          <w:tcPr>
            <w:tcW w:w="0" w:type="auto"/>
          </w:tcPr>
          <w:p w14:paraId="057E7A9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159, stk. 1 og 2</w:t>
            </w:r>
          </w:p>
        </w:tc>
        <w:tc>
          <w:tcPr>
            <w:tcW w:w="0" w:type="auto"/>
          </w:tcPr>
          <w:p w14:paraId="6032C94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42, stk. 1 og 2</w:t>
            </w:r>
          </w:p>
        </w:tc>
      </w:tr>
      <w:tr w:rsidR="003E0486" w:rsidRPr="003E0486" w14:paraId="0E0F562F" w14:textId="77777777" w:rsidTr="005562E6">
        <w:tc>
          <w:tcPr>
            <w:tcW w:w="0" w:type="auto"/>
          </w:tcPr>
          <w:p w14:paraId="6EC91A3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46, stk. 1</w:t>
            </w:r>
          </w:p>
        </w:tc>
        <w:tc>
          <w:tcPr>
            <w:tcW w:w="0" w:type="auto"/>
          </w:tcPr>
          <w:p w14:paraId="3400642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43, stk. 1 og 2</w:t>
            </w:r>
          </w:p>
        </w:tc>
      </w:tr>
      <w:tr w:rsidR="003E0486" w:rsidRPr="003E0486" w14:paraId="2DC722AD" w14:textId="77777777" w:rsidTr="005562E6">
        <w:tc>
          <w:tcPr>
            <w:tcW w:w="0" w:type="auto"/>
          </w:tcPr>
          <w:p w14:paraId="7D6A0204" w14:textId="392171FD" w:rsidR="003E0486" w:rsidRPr="003E0486" w:rsidRDefault="003E0486" w:rsidP="003E0486">
            <w:pPr>
              <w:spacing w:before="120" w:after="120" w:line="360" w:lineRule="auto"/>
              <w:rPr>
                <w:szCs w:val="24"/>
                <w:lang w:val="en-GB" w:eastAsia="en-US"/>
              </w:rPr>
            </w:pPr>
            <w:r w:rsidRPr="003E0486">
              <w:rPr>
                <w:szCs w:val="24"/>
                <w:lang w:val="en-GB" w:eastAsia="en-US"/>
              </w:rPr>
              <w:t>Artikel 47, stk. 1</w:t>
            </w:r>
          </w:p>
        </w:tc>
        <w:tc>
          <w:tcPr>
            <w:tcW w:w="0" w:type="auto"/>
          </w:tcPr>
          <w:p w14:paraId="66DC5574" w14:textId="40BAA831" w:rsidR="003E0486" w:rsidRPr="003E0486" w:rsidRDefault="003E0486" w:rsidP="003E0486">
            <w:pPr>
              <w:spacing w:before="120" w:after="120" w:line="360" w:lineRule="auto"/>
              <w:rPr>
                <w:szCs w:val="24"/>
                <w:lang w:val="en-GB" w:eastAsia="en-US"/>
              </w:rPr>
            </w:pPr>
            <w:r w:rsidRPr="003E0486">
              <w:rPr>
                <w:szCs w:val="24"/>
                <w:lang w:val="en-GB" w:eastAsia="en-US"/>
              </w:rPr>
              <w:t>Artikel 43, stk. 3</w:t>
            </w:r>
          </w:p>
        </w:tc>
      </w:tr>
      <w:tr w:rsidR="003E0486" w:rsidRPr="003E0486" w14:paraId="6B3DB3E9" w14:textId="77777777" w:rsidTr="005562E6">
        <w:tc>
          <w:tcPr>
            <w:tcW w:w="0" w:type="auto"/>
          </w:tcPr>
          <w:p w14:paraId="4B8A110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188, stk. 1</w:t>
            </w:r>
          </w:p>
        </w:tc>
        <w:tc>
          <w:tcPr>
            <w:tcW w:w="0" w:type="auto"/>
          </w:tcPr>
          <w:p w14:paraId="0ABC0CA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44, stk. 1</w:t>
            </w:r>
          </w:p>
        </w:tc>
      </w:tr>
      <w:tr w:rsidR="003E0486" w:rsidRPr="003E0486" w14:paraId="0863B85F" w14:textId="77777777" w:rsidTr="005562E6">
        <w:tc>
          <w:tcPr>
            <w:tcW w:w="0" w:type="auto"/>
          </w:tcPr>
          <w:p w14:paraId="392BE4A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189</w:t>
            </w:r>
          </w:p>
        </w:tc>
        <w:tc>
          <w:tcPr>
            <w:tcW w:w="0" w:type="auto"/>
          </w:tcPr>
          <w:p w14:paraId="63EFFA5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45, stk. 1, 2 og 3</w:t>
            </w:r>
          </w:p>
        </w:tc>
      </w:tr>
      <w:tr w:rsidR="003E0486" w:rsidRPr="003E0486" w14:paraId="4B770EBC" w14:textId="77777777" w:rsidTr="005562E6">
        <w:tc>
          <w:tcPr>
            <w:tcW w:w="0" w:type="auto"/>
          </w:tcPr>
          <w:p w14:paraId="74A4C30A" w14:textId="60B3E1FD" w:rsidR="003E0486" w:rsidRPr="003E0486" w:rsidRDefault="003E0486" w:rsidP="003E0486">
            <w:pPr>
              <w:spacing w:before="120" w:after="120" w:line="360" w:lineRule="auto"/>
              <w:rPr>
                <w:szCs w:val="24"/>
                <w:lang w:val="en-GB" w:eastAsia="en-US"/>
              </w:rPr>
            </w:pPr>
            <w:r w:rsidRPr="003E0486">
              <w:rPr>
                <w:szCs w:val="24"/>
                <w:lang w:val="en-GB" w:eastAsia="en-US"/>
              </w:rPr>
              <w:t>Artikel 190, stk. 1</w:t>
            </w:r>
          </w:p>
        </w:tc>
        <w:tc>
          <w:tcPr>
            <w:tcW w:w="0" w:type="auto"/>
          </w:tcPr>
          <w:p w14:paraId="6FDB4F1D" w14:textId="4D47D7EB" w:rsidR="003E0486" w:rsidRPr="003E0486" w:rsidRDefault="003E0486" w:rsidP="003E0486">
            <w:pPr>
              <w:spacing w:before="120" w:after="120" w:line="360" w:lineRule="auto"/>
              <w:rPr>
                <w:szCs w:val="24"/>
                <w:lang w:val="en-GB" w:eastAsia="en-US"/>
              </w:rPr>
            </w:pPr>
            <w:r w:rsidRPr="003E0486">
              <w:rPr>
                <w:szCs w:val="24"/>
                <w:lang w:val="en-GB" w:eastAsia="en-US"/>
              </w:rPr>
              <w:t>Artikel 45, stk. 4</w:t>
            </w:r>
          </w:p>
        </w:tc>
      </w:tr>
      <w:tr w:rsidR="003E0486" w:rsidRPr="003E0486" w14:paraId="4BA6104B" w14:textId="77777777" w:rsidTr="005562E6">
        <w:tc>
          <w:tcPr>
            <w:tcW w:w="0" w:type="auto"/>
          </w:tcPr>
          <w:p w14:paraId="317D1E3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191</w:t>
            </w:r>
          </w:p>
        </w:tc>
        <w:tc>
          <w:tcPr>
            <w:tcW w:w="0" w:type="auto"/>
          </w:tcPr>
          <w:p w14:paraId="27FDB8C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46</w:t>
            </w:r>
          </w:p>
        </w:tc>
      </w:tr>
      <w:tr w:rsidR="003E0486" w:rsidRPr="003E0486" w14:paraId="7CD206C9" w14:textId="77777777" w:rsidTr="005562E6">
        <w:tc>
          <w:tcPr>
            <w:tcW w:w="0" w:type="auto"/>
          </w:tcPr>
          <w:p w14:paraId="3CCBE5F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192</w:t>
            </w:r>
          </w:p>
        </w:tc>
        <w:tc>
          <w:tcPr>
            <w:tcW w:w="0" w:type="auto"/>
          </w:tcPr>
          <w:p w14:paraId="7541EA9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47</w:t>
            </w:r>
          </w:p>
        </w:tc>
      </w:tr>
      <w:tr w:rsidR="003E0486" w:rsidRPr="003E0486" w14:paraId="295AD46E" w14:textId="77777777" w:rsidTr="005562E6">
        <w:tc>
          <w:tcPr>
            <w:tcW w:w="0" w:type="auto"/>
          </w:tcPr>
          <w:p w14:paraId="205B3C2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48</w:t>
            </w:r>
          </w:p>
        </w:tc>
        <w:tc>
          <w:tcPr>
            <w:tcW w:w="0" w:type="auto"/>
          </w:tcPr>
          <w:p w14:paraId="671EF2F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48, stk. 1 og 2</w:t>
            </w:r>
          </w:p>
        </w:tc>
      </w:tr>
      <w:tr w:rsidR="003E0486" w:rsidRPr="003E0486" w14:paraId="5FE38F79" w14:textId="77777777" w:rsidTr="005562E6">
        <w:tc>
          <w:tcPr>
            <w:tcW w:w="0" w:type="auto"/>
          </w:tcPr>
          <w:p w14:paraId="1C94416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49</w:t>
            </w:r>
          </w:p>
        </w:tc>
        <w:tc>
          <w:tcPr>
            <w:tcW w:w="0" w:type="auto"/>
          </w:tcPr>
          <w:p w14:paraId="7E9CC94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49</w:t>
            </w:r>
          </w:p>
        </w:tc>
      </w:tr>
      <w:tr w:rsidR="003E0486" w:rsidRPr="003E0486" w14:paraId="1708DA2F" w14:textId="77777777" w:rsidTr="005562E6">
        <w:tc>
          <w:tcPr>
            <w:tcW w:w="0" w:type="auto"/>
          </w:tcPr>
          <w:p w14:paraId="3804029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46, stk. 4, andet afsnit</w:t>
            </w:r>
          </w:p>
        </w:tc>
        <w:tc>
          <w:tcPr>
            <w:tcW w:w="0" w:type="auto"/>
          </w:tcPr>
          <w:p w14:paraId="0CE3B7A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50, stk. 2</w:t>
            </w:r>
          </w:p>
        </w:tc>
      </w:tr>
      <w:tr w:rsidR="003E0486" w:rsidRPr="003E0486" w14:paraId="607AD72A" w14:textId="77777777" w:rsidTr="005562E6">
        <w:tc>
          <w:tcPr>
            <w:tcW w:w="0" w:type="auto"/>
          </w:tcPr>
          <w:p w14:paraId="49A6FB1D" w14:textId="21A277DE" w:rsidR="003E0486" w:rsidRPr="003E0486" w:rsidRDefault="003E0486" w:rsidP="003E0486">
            <w:pPr>
              <w:spacing w:before="120" w:after="120" w:line="360" w:lineRule="auto"/>
              <w:rPr>
                <w:szCs w:val="24"/>
                <w:lang w:val="en-GB" w:eastAsia="en-US"/>
              </w:rPr>
            </w:pPr>
            <w:r w:rsidRPr="003E0486">
              <w:rPr>
                <w:szCs w:val="24"/>
                <w:lang w:val="en-GB" w:eastAsia="en-US"/>
              </w:rPr>
              <w:t>Artikel 46, stk. 6 og 7</w:t>
            </w:r>
          </w:p>
        </w:tc>
        <w:tc>
          <w:tcPr>
            <w:tcW w:w="0" w:type="auto"/>
          </w:tcPr>
          <w:p w14:paraId="25FC70A9" w14:textId="7B66A6C5" w:rsidR="003E0486" w:rsidRPr="003E0486" w:rsidRDefault="003E0486" w:rsidP="003E0486">
            <w:pPr>
              <w:spacing w:before="120" w:after="120" w:line="360" w:lineRule="auto"/>
              <w:rPr>
                <w:szCs w:val="24"/>
                <w:lang w:val="en-GB" w:eastAsia="en-US"/>
              </w:rPr>
            </w:pPr>
            <w:r w:rsidRPr="003E0486">
              <w:rPr>
                <w:szCs w:val="24"/>
                <w:lang w:val="en-GB" w:eastAsia="en-US"/>
              </w:rPr>
              <w:t>Artikel 52</w:t>
            </w:r>
          </w:p>
        </w:tc>
      </w:tr>
      <w:tr w:rsidR="003E0486" w:rsidRPr="003E0486" w14:paraId="52B90D59" w14:textId="77777777" w:rsidTr="005562E6">
        <w:tc>
          <w:tcPr>
            <w:tcW w:w="0" w:type="auto"/>
          </w:tcPr>
          <w:p w14:paraId="639D42F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153</w:t>
            </w:r>
          </w:p>
        </w:tc>
        <w:tc>
          <w:tcPr>
            <w:tcW w:w="0" w:type="auto"/>
          </w:tcPr>
          <w:p w14:paraId="231E0BD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51</w:t>
            </w:r>
          </w:p>
        </w:tc>
      </w:tr>
      <w:tr w:rsidR="003E0486" w:rsidRPr="003E0486" w14:paraId="3A2E9698" w14:textId="77777777" w:rsidTr="005562E6">
        <w:tc>
          <w:tcPr>
            <w:tcW w:w="0" w:type="auto"/>
          </w:tcPr>
          <w:p w14:paraId="2041EBCC" w14:textId="757CF090"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154</w:t>
            </w:r>
          </w:p>
        </w:tc>
        <w:tc>
          <w:tcPr>
            <w:tcW w:w="0" w:type="auto"/>
          </w:tcPr>
          <w:p w14:paraId="1BFFAA2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52</w:t>
            </w:r>
          </w:p>
        </w:tc>
      </w:tr>
      <w:tr w:rsidR="003E0486" w:rsidRPr="003E0486" w14:paraId="2F804877" w14:textId="77777777" w:rsidTr="005562E6">
        <w:tc>
          <w:tcPr>
            <w:tcW w:w="0" w:type="auto"/>
          </w:tcPr>
          <w:p w14:paraId="2854208F"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3E71D18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53</w:t>
            </w:r>
          </w:p>
        </w:tc>
      </w:tr>
      <w:tr w:rsidR="003E0486" w:rsidRPr="003E0486" w14:paraId="0D3AF406" w14:textId="77777777" w:rsidTr="005562E6">
        <w:tc>
          <w:tcPr>
            <w:tcW w:w="0" w:type="auto"/>
          </w:tcPr>
          <w:p w14:paraId="6768D2F2"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3B71865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54</w:t>
            </w:r>
          </w:p>
        </w:tc>
      </w:tr>
      <w:tr w:rsidR="003E0486" w:rsidRPr="003E0486" w14:paraId="499FE8D0" w14:textId="77777777" w:rsidTr="005562E6">
        <w:tc>
          <w:tcPr>
            <w:tcW w:w="0" w:type="auto"/>
          </w:tcPr>
          <w:p w14:paraId="29B043CD"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A25DD1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55</w:t>
            </w:r>
          </w:p>
        </w:tc>
      </w:tr>
      <w:tr w:rsidR="003E0486" w:rsidRPr="003E0486" w14:paraId="23BDD7DE" w14:textId="77777777" w:rsidTr="005562E6">
        <w:tc>
          <w:tcPr>
            <w:tcW w:w="0" w:type="auto"/>
          </w:tcPr>
          <w:p w14:paraId="16B3608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153</w:t>
            </w:r>
          </w:p>
        </w:tc>
        <w:tc>
          <w:tcPr>
            <w:tcW w:w="0" w:type="auto"/>
          </w:tcPr>
          <w:p w14:paraId="7A8A391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56</w:t>
            </w:r>
          </w:p>
        </w:tc>
      </w:tr>
      <w:tr w:rsidR="003E0486" w:rsidRPr="003E0486" w14:paraId="6F10E680" w14:textId="77777777" w:rsidTr="005562E6">
        <w:tc>
          <w:tcPr>
            <w:tcW w:w="0" w:type="auto"/>
          </w:tcPr>
          <w:p w14:paraId="450F1A5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154</w:t>
            </w:r>
          </w:p>
        </w:tc>
        <w:tc>
          <w:tcPr>
            <w:tcW w:w="0" w:type="auto"/>
          </w:tcPr>
          <w:p w14:paraId="6F7177E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57</w:t>
            </w:r>
          </w:p>
        </w:tc>
      </w:tr>
      <w:tr w:rsidR="003E0486" w:rsidRPr="003E0486" w14:paraId="12BE8A7D" w14:textId="77777777" w:rsidTr="005562E6">
        <w:tc>
          <w:tcPr>
            <w:tcW w:w="0" w:type="auto"/>
          </w:tcPr>
          <w:p w14:paraId="7667AEC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155</w:t>
            </w:r>
          </w:p>
        </w:tc>
        <w:tc>
          <w:tcPr>
            <w:tcW w:w="0" w:type="auto"/>
          </w:tcPr>
          <w:p w14:paraId="02A86F3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58</w:t>
            </w:r>
          </w:p>
        </w:tc>
      </w:tr>
      <w:tr w:rsidR="003E0486" w:rsidRPr="003E0486" w14:paraId="1364DAEB" w14:textId="77777777" w:rsidTr="005562E6">
        <w:tc>
          <w:tcPr>
            <w:tcW w:w="0" w:type="auto"/>
          </w:tcPr>
          <w:p w14:paraId="32D38F2B"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7928201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59</w:t>
            </w:r>
          </w:p>
        </w:tc>
      </w:tr>
      <w:tr w:rsidR="003E0486" w:rsidRPr="003E0486" w14:paraId="46E2787B" w14:textId="77777777" w:rsidTr="005562E6">
        <w:tc>
          <w:tcPr>
            <w:tcW w:w="0" w:type="auto"/>
          </w:tcPr>
          <w:p w14:paraId="1F2F2FE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194, stk. 1, første afsnit</w:t>
            </w:r>
          </w:p>
        </w:tc>
        <w:tc>
          <w:tcPr>
            <w:tcW w:w="0" w:type="auto"/>
          </w:tcPr>
          <w:p w14:paraId="704CA1A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60, stk. 2</w:t>
            </w:r>
          </w:p>
        </w:tc>
      </w:tr>
      <w:tr w:rsidR="003E0486" w:rsidRPr="003E0486" w14:paraId="4D63D22D" w14:textId="77777777" w:rsidTr="005562E6">
        <w:tc>
          <w:tcPr>
            <w:tcW w:w="0" w:type="auto"/>
          </w:tcPr>
          <w:p w14:paraId="7934E76A" w14:textId="77777777" w:rsidR="003E0486" w:rsidRPr="003E0486" w:rsidRDefault="003E0486" w:rsidP="003E0486">
            <w:pPr>
              <w:spacing w:before="120" w:after="120" w:line="360" w:lineRule="auto"/>
              <w:rPr>
                <w:szCs w:val="24"/>
                <w:lang w:val="en-GB" w:eastAsia="en-US"/>
              </w:rPr>
            </w:pPr>
          </w:p>
        </w:tc>
        <w:tc>
          <w:tcPr>
            <w:tcW w:w="0" w:type="auto"/>
          </w:tcPr>
          <w:p w14:paraId="7D9EBA7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61</w:t>
            </w:r>
          </w:p>
        </w:tc>
      </w:tr>
      <w:tr w:rsidR="003E0486" w:rsidRPr="003E0486" w14:paraId="02E54EC1" w14:textId="77777777" w:rsidTr="005562E6">
        <w:tc>
          <w:tcPr>
            <w:tcW w:w="0" w:type="auto"/>
          </w:tcPr>
          <w:p w14:paraId="0982E0B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129</w:t>
            </w:r>
          </w:p>
        </w:tc>
        <w:tc>
          <w:tcPr>
            <w:tcW w:w="0" w:type="auto"/>
          </w:tcPr>
          <w:p w14:paraId="7CF29FB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62, stk. 1 og 2</w:t>
            </w:r>
          </w:p>
        </w:tc>
      </w:tr>
      <w:tr w:rsidR="003E0486" w:rsidRPr="003E0486" w14:paraId="7C8BE234" w14:textId="77777777" w:rsidTr="005562E6">
        <w:tc>
          <w:tcPr>
            <w:tcW w:w="0" w:type="auto"/>
          </w:tcPr>
          <w:p w14:paraId="320AE28F" w14:textId="25134C26" w:rsidR="003E0486" w:rsidRPr="003E0486" w:rsidRDefault="003E0486" w:rsidP="003E0486">
            <w:pPr>
              <w:spacing w:before="120" w:after="120" w:line="360" w:lineRule="auto"/>
              <w:rPr>
                <w:szCs w:val="24"/>
                <w:lang w:val="en-GB" w:eastAsia="en-US"/>
              </w:rPr>
            </w:pPr>
            <w:r w:rsidRPr="003E0486">
              <w:rPr>
                <w:szCs w:val="24"/>
                <w:lang w:val="en-GB" w:eastAsia="en-US"/>
              </w:rPr>
              <w:t>Artikel 158, stk. 1 og 2</w:t>
            </w:r>
          </w:p>
        </w:tc>
        <w:tc>
          <w:tcPr>
            <w:tcW w:w="0" w:type="auto"/>
          </w:tcPr>
          <w:p w14:paraId="66A2546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63, stk. 1 og 3</w:t>
            </w:r>
          </w:p>
        </w:tc>
      </w:tr>
      <w:tr w:rsidR="003E0486" w:rsidRPr="003E0486" w14:paraId="208EE1AF" w14:textId="77777777" w:rsidTr="005562E6">
        <w:tc>
          <w:tcPr>
            <w:tcW w:w="0" w:type="auto"/>
          </w:tcPr>
          <w:p w14:paraId="1D71E459" w14:textId="40175E81" w:rsidR="003E0486" w:rsidRPr="003E0486" w:rsidRDefault="003E0486" w:rsidP="003E0486">
            <w:pPr>
              <w:spacing w:before="120" w:after="120" w:line="360" w:lineRule="auto"/>
              <w:rPr>
                <w:szCs w:val="24"/>
                <w:lang w:val="en-GB" w:eastAsia="en-US"/>
              </w:rPr>
            </w:pPr>
            <w:r w:rsidRPr="003E0486">
              <w:rPr>
                <w:szCs w:val="24"/>
                <w:lang w:val="en-GB" w:eastAsia="en-US"/>
              </w:rPr>
              <w:t>Artikel 159, stk. 3</w:t>
            </w:r>
          </w:p>
        </w:tc>
        <w:tc>
          <w:tcPr>
            <w:tcW w:w="0" w:type="auto"/>
          </w:tcPr>
          <w:p w14:paraId="3551DCC2" w14:textId="2C2DF564" w:rsidR="003E0486" w:rsidRPr="003E0486" w:rsidRDefault="003E0486" w:rsidP="003E0486">
            <w:pPr>
              <w:spacing w:before="120" w:after="120" w:line="360" w:lineRule="auto"/>
              <w:rPr>
                <w:szCs w:val="24"/>
                <w:lang w:val="en-GB" w:eastAsia="en-US"/>
              </w:rPr>
            </w:pPr>
            <w:r w:rsidRPr="003E0486">
              <w:rPr>
                <w:szCs w:val="24"/>
                <w:lang w:val="en-GB" w:eastAsia="en-US"/>
              </w:rPr>
              <w:t>Artikel 63, stk. 4</w:t>
            </w:r>
          </w:p>
        </w:tc>
      </w:tr>
      <w:tr w:rsidR="003E0486" w:rsidRPr="003E0486" w14:paraId="44FCE687" w14:textId="77777777" w:rsidTr="005562E6">
        <w:tc>
          <w:tcPr>
            <w:tcW w:w="0" w:type="auto"/>
          </w:tcPr>
          <w:p w14:paraId="2474BCE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162</w:t>
            </w:r>
          </w:p>
        </w:tc>
        <w:tc>
          <w:tcPr>
            <w:tcW w:w="0" w:type="auto"/>
          </w:tcPr>
          <w:p w14:paraId="2D80E5C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64</w:t>
            </w:r>
          </w:p>
        </w:tc>
      </w:tr>
      <w:tr w:rsidR="003E0486" w:rsidRPr="003E0486" w14:paraId="70BECB76" w14:textId="77777777" w:rsidTr="005562E6">
        <w:tc>
          <w:tcPr>
            <w:tcW w:w="0" w:type="auto"/>
          </w:tcPr>
          <w:p w14:paraId="3524A8F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166</w:t>
            </w:r>
          </w:p>
        </w:tc>
        <w:tc>
          <w:tcPr>
            <w:tcW w:w="0" w:type="auto"/>
          </w:tcPr>
          <w:p w14:paraId="5A725F4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65</w:t>
            </w:r>
          </w:p>
        </w:tc>
      </w:tr>
      <w:tr w:rsidR="003E0486" w:rsidRPr="003E0486" w14:paraId="77DEC385" w14:textId="77777777" w:rsidTr="005562E6">
        <w:tc>
          <w:tcPr>
            <w:tcW w:w="0" w:type="auto"/>
          </w:tcPr>
          <w:p w14:paraId="62905A7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167</w:t>
            </w:r>
          </w:p>
        </w:tc>
        <w:tc>
          <w:tcPr>
            <w:tcW w:w="0" w:type="auto"/>
          </w:tcPr>
          <w:p w14:paraId="56EA5C2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66</w:t>
            </w:r>
          </w:p>
        </w:tc>
      </w:tr>
      <w:tr w:rsidR="003E0486" w:rsidRPr="003E0486" w14:paraId="7E1E516B" w14:textId="77777777" w:rsidTr="005562E6">
        <w:tc>
          <w:tcPr>
            <w:tcW w:w="0" w:type="auto"/>
          </w:tcPr>
          <w:p w14:paraId="37FFC6B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170</w:t>
            </w:r>
          </w:p>
        </w:tc>
        <w:tc>
          <w:tcPr>
            <w:tcW w:w="0" w:type="auto"/>
          </w:tcPr>
          <w:p w14:paraId="6A774EF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67</w:t>
            </w:r>
          </w:p>
        </w:tc>
      </w:tr>
      <w:tr w:rsidR="003E0486" w:rsidRPr="003E0486" w14:paraId="1CA162F4" w14:textId="77777777" w:rsidTr="005562E6">
        <w:tc>
          <w:tcPr>
            <w:tcW w:w="0" w:type="auto"/>
          </w:tcPr>
          <w:p w14:paraId="6C266C5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171</w:t>
            </w:r>
          </w:p>
        </w:tc>
        <w:tc>
          <w:tcPr>
            <w:tcW w:w="0" w:type="auto"/>
          </w:tcPr>
          <w:p w14:paraId="1916D97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68</w:t>
            </w:r>
          </w:p>
        </w:tc>
      </w:tr>
      <w:tr w:rsidR="003E0486" w:rsidRPr="003E0486" w14:paraId="15966668" w14:textId="77777777" w:rsidTr="005562E6">
        <w:tc>
          <w:tcPr>
            <w:tcW w:w="0" w:type="auto"/>
          </w:tcPr>
          <w:p w14:paraId="765DF15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172</w:t>
            </w:r>
          </w:p>
        </w:tc>
        <w:tc>
          <w:tcPr>
            <w:tcW w:w="0" w:type="auto"/>
          </w:tcPr>
          <w:p w14:paraId="0D01B55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69</w:t>
            </w:r>
          </w:p>
        </w:tc>
      </w:tr>
      <w:tr w:rsidR="003E0486" w:rsidRPr="003E0486" w14:paraId="29BA19F0" w14:textId="77777777" w:rsidTr="005562E6">
        <w:tc>
          <w:tcPr>
            <w:tcW w:w="0" w:type="auto"/>
          </w:tcPr>
          <w:p w14:paraId="45E3662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173</w:t>
            </w:r>
          </w:p>
        </w:tc>
        <w:tc>
          <w:tcPr>
            <w:tcW w:w="0" w:type="auto"/>
          </w:tcPr>
          <w:p w14:paraId="3FD356E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70</w:t>
            </w:r>
          </w:p>
        </w:tc>
      </w:tr>
      <w:tr w:rsidR="003E0486" w:rsidRPr="003E0486" w14:paraId="5D42377D" w14:textId="77777777" w:rsidTr="005562E6">
        <w:tc>
          <w:tcPr>
            <w:tcW w:w="0" w:type="auto"/>
          </w:tcPr>
          <w:p w14:paraId="6381D83D"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174</w:t>
            </w:r>
          </w:p>
        </w:tc>
        <w:tc>
          <w:tcPr>
            <w:tcW w:w="0" w:type="auto"/>
          </w:tcPr>
          <w:p w14:paraId="0751840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71</w:t>
            </w:r>
          </w:p>
        </w:tc>
      </w:tr>
      <w:tr w:rsidR="003E0486" w:rsidRPr="003E0486" w14:paraId="77CCF6B2" w14:textId="77777777" w:rsidTr="005562E6">
        <w:tc>
          <w:tcPr>
            <w:tcW w:w="0" w:type="auto"/>
          </w:tcPr>
          <w:p w14:paraId="50578C6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179</w:t>
            </w:r>
          </w:p>
        </w:tc>
        <w:tc>
          <w:tcPr>
            <w:tcW w:w="0" w:type="auto"/>
          </w:tcPr>
          <w:p w14:paraId="49B31F8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72</w:t>
            </w:r>
          </w:p>
        </w:tc>
      </w:tr>
      <w:tr w:rsidR="003E0486" w:rsidRPr="003E0486" w14:paraId="6B7F0BE5" w14:textId="77777777" w:rsidTr="005562E6">
        <w:tc>
          <w:tcPr>
            <w:tcW w:w="0" w:type="auto"/>
          </w:tcPr>
          <w:p w14:paraId="0D21128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182</w:t>
            </w:r>
          </w:p>
        </w:tc>
        <w:tc>
          <w:tcPr>
            <w:tcW w:w="0" w:type="auto"/>
          </w:tcPr>
          <w:p w14:paraId="48CFEB3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73</w:t>
            </w:r>
          </w:p>
        </w:tc>
      </w:tr>
      <w:tr w:rsidR="003E0486" w:rsidRPr="003E0486" w14:paraId="69346C39" w14:textId="77777777" w:rsidTr="005562E6">
        <w:tc>
          <w:tcPr>
            <w:tcW w:w="0" w:type="auto"/>
          </w:tcPr>
          <w:p w14:paraId="03F84083"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65CF9FD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74</w:t>
            </w:r>
          </w:p>
        </w:tc>
      </w:tr>
      <w:tr w:rsidR="003E0486" w:rsidRPr="003E0486" w14:paraId="40DFFDB6" w14:textId="77777777" w:rsidTr="005562E6">
        <w:tc>
          <w:tcPr>
            <w:tcW w:w="0" w:type="auto"/>
          </w:tcPr>
          <w:p w14:paraId="1B28B47B"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3A08A2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75</w:t>
            </w:r>
          </w:p>
        </w:tc>
      </w:tr>
      <w:tr w:rsidR="003E0486" w:rsidRPr="003E0486" w14:paraId="3D48EBCD" w14:textId="77777777" w:rsidTr="005562E6">
        <w:tc>
          <w:tcPr>
            <w:tcW w:w="0" w:type="auto"/>
          </w:tcPr>
          <w:p w14:paraId="6C15144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197</w:t>
            </w:r>
          </w:p>
        </w:tc>
        <w:tc>
          <w:tcPr>
            <w:tcW w:w="0" w:type="auto"/>
          </w:tcPr>
          <w:p w14:paraId="7FB77D2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76</w:t>
            </w:r>
          </w:p>
        </w:tc>
      </w:tr>
      <w:tr w:rsidR="003E0486" w:rsidRPr="003E0486" w14:paraId="50D35CC9" w14:textId="77777777" w:rsidTr="005562E6">
        <w:tc>
          <w:tcPr>
            <w:tcW w:w="0" w:type="auto"/>
          </w:tcPr>
          <w:p w14:paraId="318AFEF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198</w:t>
            </w:r>
          </w:p>
        </w:tc>
        <w:tc>
          <w:tcPr>
            <w:tcW w:w="0" w:type="auto"/>
          </w:tcPr>
          <w:p w14:paraId="3C63843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77</w:t>
            </w:r>
          </w:p>
        </w:tc>
      </w:tr>
      <w:tr w:rsidR="003E0486" w:rsidRPr="003E0486" w14:paraId="1147AD0B" w14:textId="77777777" w:rsidTr="005562E6">
        <w:tc>
          <w:tcPr>
            <w:tcW w:w="0" w:type="auto"/>
          </w:tcPr>
          <w:p w14:paraId="579B771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199</w:t>
            </w:r>
          </w:p>
        </w:tc>
        <w:tc>
          <w:tcPr>
            <w:tcW w:w="0" w:type="auto"/>
          </w:tcPr>
          <w:p w14:paraId="02339E2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78</w:t>
            </w:r>
          </w:p>
        </w:tc>
      </w:tr>
      <w:tr w:rsidR="003E0486" w:rsidRPr="003E0486" w14:paraId="3C55DF3D" w14:textId="77777777" w:rsidTr="005562E6">
        <w:tc>
          <w:tcPr>
            <w:tcW w:w="0" w:type="auto"/>
          </w:tcPr>
          <w:p w14:paraId="05C635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127, stk. 1</w:t>
            </w:r>
          </w:p>
        </w:tc>
        <w:tc>
          <w:tcPr>
            <w:tcW w:w="0" w:type="auto"/>
          </w:tcPr>
          <w:p w14:paraId="1FF2AFF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79</w:t>
            </w:r>
          </w:p>
        </w:tc>
      </w:tr>
      <w:tr w:rsidR="003E0486" w:rsidRPr="003E0486" w14:paraId="6B6B39EF" w14:textId="77777777" w:rsidTr="005562E6">
        <w:tc>
          <w:tcPr>
            <w:tcW w:w="0" w:type="auto"/>
          </w:tcPr>
          <w:p w14:paraId="456203B2" w14:textId="77777777" w:rsidR="003E0486" w:rsidRPr="003E0486" w:rsidRDefault="003E0486" w:rsidP="003E0486">
            <w:pPr>
              <w:spacing w:before="120" w:after="120" w:line="360" w:lineRule="auto"/>
              <w:rPr>
                <w:szCs w:val="24"/>
                <w:lang w:eastAsia="en-US"/>
              </w:rPr>
            </w:pPr>
            <w:r w:rsidRPr="003E0486">
              <w:rPr>
                <w:szCs w:val="24"/>
                <w:lang w:eastAsia="en-US"/>
              </w:rPr>
              <w:t>Artikel 127, stk. 3, første afsnit, og stk. 4, første afsnit</w:t>
            </w:r>
          </w:p>
        </w:tc>
        <w:tc>
          <w:tcPr>
            <w:tcW w:w="0" w:type="auto"/>
          </w:tcPr>
          <w:p w14:paraId="5C34AA04" w14:textId="6892C76A" w:rsidR="003E0486" w:rsidRPr="003E0486" w:rsidRDefault="003E0486" w:rsidP="003E0486">
            <w:pPr>
              <w:spacing w:before="120" w:after="120" w:line="360" w:lineRule="auto"/>
              <w:rPr>
                <w:szCs w:val="24"/>
                <w:lang w:val="en-GB" w:eastAsia="en-US"/>
              </w:rPr>
            </w:pPr>
            <w:r w:rsidRPr="003E0486">
              <w:rPr>
                <w:szCs w:val="24"/>
                <w:lang w:val="en-GB" w:eastAsia="en-US"/>
              </w:rPr>
              <w:t>Artikel 80, stk. 1</w:t>
            </w:r>
          </w:p>
        </w:tc>
      </w:tr>
      <w:tr w:rsidR="003E0486" w:rsidRPr="003E0486" w14:paraId="6E344AA2" w14:textId="77777777" w:rsidTr="005562E6">
        <w:tc>
          <w:tcPr>
            <w:tcW w:w="0" w:type="auto"/>
          </w:tcPr>
          <w:p w14:paraId="0B9A87E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127, stk. 2</w:t>
            </w:r>
          </w:p>
        </w:tc>
        <w:tc>
          <w:tcPr>
            <w:tcW w:w="0" w:type="auto"/>
          </w:tcPr>
          <w:p w14:paraId="425C68F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80, stk. 6</w:t>
            </w:r>
          </w:p>
        </w:tc>
      </w:tr>
      <w:tr w:rsidR="003E0486" w:rsidRPr="003E0486" w14:paraId="07989605" w14:textId="77777777" w:rsidTr="005562E6">
        <w:tc>
          <w:tcPr>
            <w:tcW w:w="0" w:type="auto"/>
          </w:tcPr>
          <w:p w14:paraId="672026C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128</w:t>
            </w:r>
          </w:p>
        </w:tc>
        <w:tc>
          <w:tcPr>
            <w:tcW w:w="0" w:type="auto"/>
          </w:tcPr>
          <w:p w14:paraId="577D93B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81, stk. 1</w:t>
            </w:r>
          </w:p>
        </w:tc>
      </w:tr>
      <w:tr w:rsidR="003E0486" w:rsidRPr="003E0486" w14:paraId="74713F23" w14:textId="77777777" w:rsidTr="005562E6">
        <w:tc>
          <w:tcPr>
            <w:tcW w:w="0" w:type="auto"/>
          </w:tcPr>
          <w:p w14:paraId="03BFFCA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129</w:t>
            </w:r>
          </w:p>
        </w:tc>
        <w:tc>
          <w:tcPr>
            <w:tcW w:w="0" w:type="auto"/>
          </w:tcPr>
          <w:p w14:paraId="774D884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82</w:t>
            </w:r>
          </w:p>
        </w:tc>
      </w:tr>
      <w:tr w:rsidR="003E0486" w:rsidRPr="003E0486" w14:paraId="423C6EFB" w14:textId="77777777" w:rsidTr="005562E6">
        <w:tc>
          <w:tcPr>
            <w:tcW w:w="0" w:type="auto"/>
          </w:tcPr>
          <w:p w14:paraId="379028F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133</w:t>
            </w:r>
          </w:p>
        </w:tc>
        <w:tc>
          <w:tcPr>
            <w:tcW w:w="0" w:type="auto"/>
          </w:tcPr>
          <w:p w14:paraId="308039F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83</w:t>
            </w:r>
          </w:p>
        </w:tc>
      </w:tr>
      <w:tr w:rsidR="003E0486" w:rsidRPr="003E0486" w14:paraId="7B9B5822" w14:textId="77777777" w:rsidTr="005562E6">
        <w:tc>
          <w:tcPr>
            <w:tcW w:w="0" w:type="auto"/>
          </w:tcPr>
          <w:p w14:paraId="237A5A2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135</w:t>
            </w:r>
          </w:p>
        </w:tc>
        <w:tc>
          <w:tcPr>
            <w:tcW w:w="0" w:type="auto"/>
          </w:tcPr>
          <w:p w14:paraId="27E0F17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84</w:t>
            </w:r>
          </w:p>
        </w:tc>
      </w:tr>
      <w:tr w:rsidR="003E0486" w:rsidRPr="003E0486" w14:paraId="792D6F22" w14:textId="77777777" w:rsidTr="005562E6">
        <w:tc>
          <w:tcPr>
            <w:tcW w:w="0" w:type="auto"/>
          </w:tcPr>
          <w:p w14:paraId="119119A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139</w:t>
            </w:r>
          </w:p>
        </w:tc>
        <w:tc>
          <w:tcPr>
            <w:tcW w:w="0" w:type="auto"/>
          </w:tcPr>
          <w:p w14:paraId="0690B99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85</w:t>
            </w:r>
          </w:p>
        </w:tc>
      </w:tr>
      <w:tr w:rsidR="003E0486" w:rsidRPr="003E0486" w14:paraId="2FAD1004" w14:textId="77777777" w:rsidTr="005562E6">
        <w:tc>
          <w:tcPr>
            <w:tcW w:w="0" w:type="auto"/>
          </w:tcPr>
          <w:p w14:paraId="5F0D66E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147, stk. 1 og 2</w:t>
            </w:r>
          </w:p>
        </w:tc>
        <w:tc>
          <w:tcPr>
            <w:tcW w:w="0" w:type="auto"/>
          </w:tcPr>
          <w:p w14:paraId="2031C05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86, stk. 2 og 3</w:t>
            </w:r>
          </w:p>
        </w:tc>
      </w:tr>
      <w:tr w:rsidR="003E0486" w:rsidRPr="003E0486" w14:paraId="5E2572A2" w14:textId="77777777" w:rsidTr="005562E6">
        <w:tc>
          <w:tcPr>
            <w:tcW w:w="0" w:type="auto"/>
          </w:tcPr>
          <w:p w14:paraId="1D4C42B2"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11A766F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87</w:t>
            </w:r>
          </w:p>
        </w:tc>
      </w:tr>
      <w:tr w:rsidR="003E0486" w:rsidRPr="003E0486" w14:paraId="03293E31" w14:textId="77777777" w:rsidTr="005562E6">
        <w:tc>
          <w:tcPr>
            <w:tcW w:w="0" w:type="auto"/>
          </w:tcPr>
          <w:p w14:paraId="5DABA27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201, stk. 1</w:t>
            </w:r>
          </w:p>
        </w:tc>
        <w:tc>
          <w:tcPr>
            <w:tcW w:w="0" w:type="auto"/>
          </w:tcPr>
          <w:p w14:paraId="1C83B0F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88, stk. 1</w:t>
            </w:r>
          </w:p>
        </w:tc>
      </w:tr>
      <w:tr w:rsidR="003E0486" w:rsidRPr="003E0486" w14:paraId="6AF44736" w14:textId="77777777" w:rsidTr="005562E6">
        <w:tc>
          <w:tcPr>
            <w:tcW w:w="0" w:type="auto"/>
          </w:tcPr>
          <w:p w14:paraId="60438955" w14:textId="6ECAAD52" w:rsidR="003E0486" w:rsidRPr="003E0486" w:rsidRDefault="003E0486" w:rsidP="003E0486">
            <w:pPr>
              <w:spacing w:before="120" w:after="120" w:line="360" w:lineRule="auto"/>
              <w:rPr>
                <w:szCs w:val="24"/>
                <w:lang w:val="en-GB" w:eastAsia="en-US"/>
              </w:rPr>
            </w:pPr>
            <w:r w:rsidRPr="003E0486">
              <w:rPr>
                <w:szCs w:val="24"/>
                <w:lang w:val="en-GB" w:eastAsia="en-US"/>
              </w:rPr>
              <w:t>Artikel 201, stk. 2</w:t>
            </w:r>
          </w:p>
        </w:tc>
        <w:tc>
          <w:tcPr>
            <w:tcW w:w="0" w:type="auto"/>
          </w:tcPr>
          <w:p w14:paraId="19F8702E" w14:textId="07391496" w:rsidR="003E0486" w:rsidRPr="003E0486" w:rsidRDefault="003E0486" w:rsidP="003E0486">
            <w:pPr>
              <w:spacing w:before="120" w:after="120" w:line="360" w:lineRule="auto"/>
              <w:rPr>
                <w:szCs w:val="24"/>
                <w:lang w:val="en-GB" w:eastAsia="en-US"/>
              </w:rPr>
            </w:pPr>
            <w:r w:rsidRPr="003E0486">
              <w:rPr>
                <w:szCs w:val="24"/>
                <w:lang w:val="en-GB" w:eastAsia="en-US"/>
              </w:rPr>
              <w:t>Artikel 88, stk. 3</w:t>
            </w:r>
          </w:p>
        </w:tc>
      </w:tr>
      <w:tr w:rsidR="003E0486" w:rsidRPr="003E0486" w14:paraId="5A0AF1C5" w14:textId="77777777" w:rsidTr="005562E6">
        <w:tc>
          <w:tcPr>
            <w:tcW w:w="0" w:type="auto"/>
          </w:tcPr>
          <w:p w14:paraId="385CCCCB"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202</w:t>
            </w:r>
          </w:p>
        </w:tc>
        <w:tc>
          <w:tcPr>
            <w:tcW w:w="0" w:type="auto"/>
          </w:tcPr>
          <w:p w14:paraId="5B294A0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89</w:t>
            </w:r>
          </w:p>
        </w:tc>
      </w:tr>
      <w:tr w:rsidR="003E0486" w:rsidRPr="003E0486" w14:paraId="1FD82A72" w14:textId="77777777" w:rsidTr="005562E6">
        <w:tc>
          <w:tcPr>
            <w:tcW w:w="0" w:type="auto"/>
          </w:tcPr>
          <w:p w14:paraId="70EA07F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203</w:t>
            </w:r>
          </w:p>
        </w:tc>
        <w:tc>
          <w:tcPr>
            <w:tcW w:w="0" w:type="auto"/>
          </w:tcPr>
          <w:p w14:paraId="5D40F3D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90</w:t>
            </w:r>
          </w:p>
        </w:tc>
      </w:tr>
      <w:tr w:rsidR="003E0486" w:rsidRPr="003E0486" w14:paraId="5FD0FF43" w14:textId="77777777" w:rsidTr="005562E6">
        <w:tc>
          <w:tcPr>
            <w:tcW w:w="0" w:type="auto"/>
          </w:tcPr>
          <w:p w14:paraId="42E123F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204</w:t>
            </w:r>
          </w:p>
        </w:tc>
        <w:tc>
          <w:tcPr>
            <w:tcW w:w="0" w:type="auto"/>
          </w:tcPr>
          <w:p w14:paraId="522E93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91</w:t>
            </w:r>
          </w:p>
        </w:tc>
      </w:tr>
      <w:tr w:rsidR="003E0486" w:rsidRPr="003E0486" w14:paraId="147C07E5" w14:textId="77777777" w:rsidTr="005562E6">
        <w:tc>
          <w:tcPr>
            <w:tcW w:w="0" w:type="auto"/>
          </w:tcPr>
          <w:p w14:paraId="6FDD85F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205</w:t>
            </w:r>
          </w:p>
        </w:tc>
        <w:tc>
          <w:tcPr>
            <w:tcW w:w="0" w:type="auto"/>
          </w:tcPr>
          <w:p w14:paraId="2069C37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92</w:t>
            </w:r>
          </w:p>
        </w:tc>
      </w:tr>
      <w:tr w:rsidR="003E0486" w:rsidRPr="003E0486" w14:paraId="2C305492" w14:textId="77777777" w:rsidTr="005562E6">
        <w:tc>
          <w:tcPr>
            <w:tcW w:w="0" w:type="auto"/>
          </w:tcPr>
          <w:p w14:paraId="75478BF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208</w:t>
            </w:r>
          </w:p>
        </w:tc>
        <w:tc>
          <w:tcPr>
            <w:tcW w:w="0" w:type="auto"/>
          </w:tcPr>
          <w:p w14:paraId="54D28B2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93</w:t>
            </w:r>
          </w:p>
        </w:tc>
      </w:tr>
      <w:tr w:rsidR="003E0486" w:rsidRPr="003E0486" w14:paraId="37110C1A" w14:textId="77777777" w:rsidTr="005562E6">
        <w:tc>
          <w:tcPr>
            <w:tcW w:w="0" w:type="auto"/>
          </w:tcPr>
          <w:p w14:paraId="552927E0"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26EB971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94</w:t>
            </w:r>
          </w:p>
        </w:tc>
      </w:tr>
      <w:tr w:rsidR="003E0486" w:rsidRPr="003E0486" w14:paraId="0A042B08" w14:textId="77777777" w:rsidTr="005562E6">
        <w:tc>
          <w:tcPr>
            <w:tcW w:w="0" w:type="auto"/>
          </w:tcPr>
          <w:p w14:paraId="240A0FBF" w14:textId="77777777" w:rsidR="003E0486" w:rsidRPr="003E0486" w:rsidRDefault="003E0486" w:rsidP="003E0486">
            <w:pPr>
              <w:spacing w:before="120" w:after="120" w:line="360" w:lineRule="auto"/>
              <w:rPr>
                <w:szCs w:val="24"/>
                <w:lang w:eastAsia="en-US"/>
              </w:rPr>
            </w:pPr>
            <w:r w:rsidRPr="003E0486">
              <w:rPr>
                <w:szCs w:val="24"/>
                <w:lang w:eastAsia="en-US"/>
              </w:rPr>
              <w:t>Artikel 263, stk. 1 og 2, og artikel 270, 271 og 274</w:t>
            </w:r>
          </w:p>
        </w:tc>
        <w:tc>
          <w:tcPr>
            <w:tcW w:w="0" w:type="auto"/>
          </w:tcPr>
          <w:p w14:paraId="310AE51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95, stk. 1 og 2</w:t>
            </w:r>
          </w:p>
        </w:tc>
      </w:tr>
      <w:tr w:rsidR="003E0486" w:rsidRPr="003E0486" w14:paraId="2DDA93FF" w14:textId="77777777" w:rsidTr="005562E6">
        <w:tc>
          <w:tcPr>
            <w:tcW w:w="0" w:type="auto"/>
          </w:tcPr>
          <w:p w14:paraId="5CF38CC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272 og 275</w:t>
            </w:r>
          </w:p>
        </w:tc>
        <w:tc>
          <w:tcPr>
            <w:tcW w:w="0" w:type="auto"/>
          </w:tcPr>
          <w:p w14:paraId="066D657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96</w:t>
            </w:r>
          </w:p>
        </w:tc>
      </w:tr>
      <w:tr w:rsidR="003E0486" w:rsidRPr="003E0486" w14:paraId="4AEA4878" w14:textId="77777777" w:rsidTr="005562E6">
        <w:tc>
          <w:tcPr>
            <w:tcW w:w="0" w:type="auto"/>
          </w:tcPr>
          <w:p w14:paraId="356C6A9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264</w:t>
            </w:r>
          </w:p>
        </w:tc>
        <w:tc>
          <w:tcPr>
            <w:tcW w:w="0" w:type="auto"/>
          </w:tcPr>
          <w:p w14:paraId="1B41EB3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97</w:t>
            </w:r>
          </w:p>
        </w:tc>
      </w:tr>
      <w:tr w:rsidR="003E0486" w:rsidRPr="003E0486" w14:paraId="04BB350C" w14:textId="77777777" w:rsidTr="005562E6">
        <w:tc>
          <w:tcPr>
            <w:tcW w:w="0" w:type="auto"/>
          </w:tcPr>
          <w:p w14:paraId="18EAFE1C"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A233BD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98</w:t>
            </w:r>
          </w:p>
        </w:tc>
      </w:tr>
      <w:tr w:rsidR="003E0486" w:rsidRPr="003E0486" w14:paraId="7D1072EC" w14:textId="77777777" w:rsidTr="005562E6">
        <w:tc>
          <w:tcPr>
            <w:tcW w:w="0" w:type="auto"/>
          </w:tcPr>
          <w:p w14:paraId="1CEEB89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269, stk. 1, og artikel 274</w:t>
            </w:r>
          </w:p>
        </w:tc>
        <w:tc>
          <w:tcPr>
            <w:tcW w:w="0" w:type="auto"/>
          </w:tcPr>
          <w:p w14:paraId="0D2C71A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99, stk. 1</w:t>
            </w:r>
          </w:p>
        </w:tc>
      </w:tr>
      <w:tr w:rsidR="003E0486" w:rsidRPr="003E0486" w14:paraId="478AA33B" w14:textId="77777777" w:rsidTr="005562E6">
        <w:tc>
          <w:tcPr>
            <w:tcW w:w="0" w:type="auto"/>
          </w:tcPr>
          <w:p w14:paraId="7B15B97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277</w:t>
            </w:r>
          </w:p>
        </w:tc>
        <w:tc>
          <w:tcPr>
            <w:tcW w:w="0" w:type="auto"/>
          </w:tcPr>
          <w:p w14:paraId="0B794CF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100</w:t>
            </w:r>
          </w:p>
        </w:tc>
      </w:tr>
      <w:tr w:rsidR="003E0486" w:rsidRPr="003E0486" w14:paraId="1FEFDC31" w14:textId="77777777" w:rsidTr="005562E6">
        <w:tc>
          <w:tcPr>
            <w:tcW w:w="0" w:type="auto"/>
          </w:tcPr>
          <w:p w14:paraId="2CA4DFC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210</w:t>
            </w:r>
          </w:p>
        </w:tc>
        <w:tc>
          <w:tcPr>
            <w:tcW w:w="0" w:type="auto"/>
          </w:tcPr>
          <w:p w14:paraId="4C2AC5B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101</w:t>
            </w:r>
          </w:p>
        </w:tc>
      </w:tr>
      <w:tr w:rsidR="003E0486" w:rsidRPr="003E0486" w14:paraId="7D0ADD61" w14:textId="77777777" w:rsidTr="005562E6">
        <w:tc>
          <w:tcPr>
            <w:tcW w:w="0" w:type="auto"/>
          </w:tcPr>
          <w:p w14:paraId="4FDF0E0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211</w:t>
            </w:r>
          </w:p>
        </w:tc>
        <w:tc>
          <w:tcPr>
            <w:tcW w:w="0" w:type="auto"/>
          </w:tcPr>
          <w:p w14:paraId="3B2B092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102</w:t>
            </w:r>
          </w:p>
        </w:tc>
      </w:tr>
      <w:tr w:rsidR="003E0486" w:rsidRPr="003E0486" w14:paraId="1F10794C" w14:textId="77777777" w:rsidTr="005562E6">
        <w:tc>
          <w:tcPr>
            <w:tcW w:w="0" w:type="auto"/>
          </w:tcPr>
          <w:p w14:paraId="24DBC5A1" w14:textId="66CB33BE" w:rsidR="003E0486" w:rsidRPr="003E0486" w:rsidRDefault="003E0486" w:rsidP="003E0486">
            <w:pPr>
              <w:spacing w:before="120" w:after="120" w:line="360" w:lineRule="auto"/>
              <w:rPr>
                <w:szCs w:val="24"/>
                <w:lang w:val="en-GB" w:eastAsia="en-US"/>
              </w:rPr>
            </w:pPr>
            <w:r w:rsidRPr="003E0486">
              <w:rPr>
                <w:szCs w:val="24"/>
                <w:lang w:val="en-GB" w:eastAsia="en-US"/>
              </w:rPr>
              <w:t>Artikel 211, stk. 2</w:t>
            </w:r>
          </w:p>
        </w:tc>
        <w:tc>
          <w:tcPr>
            <w:tcW w:w="0" w:type="auto"/>
          </w:tcPr>
          <w:p w14:paraId="1E3980D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103</w:t>
            </w:r>
          </w:p>
        </w:tc>
      </w:tr>
      <w:tr w:rsidR="003E0486" w:rsidRPr="003E0486" w14:paraId="48E8129E" w14:textId="77777777" w:rsidTr="005562E6">
        <w:tc>
          <w:tcPr>
            <w:tcW w:w="0" w:type="auto"/>
          </w:tcPr>
          <w:p w14:paraId="560A0D2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214</w:t>
            </w:r>
          </w:p>
        </w:tc>
        <w:tc>
          <w:tcPr>
            <w:tcW w:w="0" w:type="auto"/>
          </w:tcPr>
          <w:p w14:paraId="5AA6B7D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104</w:t>
            </w:r>
          </w:p>
        </w:tc>
      </w:tr>
      <w:tr w:rsidR="003E0486" w:rsidRPr="003E0486" w14:paraId="2814F610" w14:textId="77777777" w:rsidTr="005562E6">
        <w:tc>
          <w:tcPr>
            <w:tcW w:w="0" w:type="auto"/>
          </w:tcPr>
          <w:p w14:paraId="0A1F0AD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215</w:t>
            </w:r>
          </w:p>
        </w:tc>
        <w:tc>
          <w:tcPr>
            <w:tcW w:w="0" w:type="auto"/>
          </w:tcPr>
          <w:p w14:paraId="63F0CDD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105</w:t>
            </w:r>
          </w:p>
        </w:tc>
      </w:tr>
      <w:tr w:rsidR="003E0486" w:rsidRPr="003E0486" w14:paraId="37497F6E" w14:textId="77777777" w:rsidTr="005562E6">
        <w:tc>
          <w:tcPr>
            <w:tcW w:w="0" w:type="auto"/>
          </w:tcPr>
          <w:p w14:paraId="4730988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218</w:t>
            </w:r>
          </w:p>
        </w:tc>
        <w:tc>
          <w:tcPr>
            <w:tcW w:w="0" w:type="auto"/>
          </w:tcPr>
          <w:p w14:paraId="2E596A2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106</w:t>
            </w:r>
          </w:p>
        </w:tc>
      </w:tr>
      <w:tr w:rsidR="003E0486" w:rsidRPr="003E0486" w14:paraId="4C7CC6F9" w14:textId="77777777" w:rsidTr="005562E6">
        <w:tc>
          <w:tcPr>
            <w:tcW w:w="0" w:type="auto"/>
          </w:tcPr>
          <w:p w14:paraId="19AA7A1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219</w:t>
            </w:r>
          </w:p>
        </w:tc>
        <w:tc>
          <w:tcPr>
            <w:tcW w:w="0" w:type="auto"/>
          </w:tcPr>
          <w:p w14:paraId="3C19FFF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107</w:t>
            </w:r>
          </w:p>
        </w:tc>
      </w:tr>
      <w:tr w:rsidR="003E0486" w:rsidRPr="003E0486" w14:paraId="4804C833" w14:textId="77777777" w:rsidTr="005562E6">
        <w:tc>
          <w:tcPr>
            <w:tcW w:w="0" w:type="auto"/>
          </w:tcPr>
          <w:p w14:paraId="69EA130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220</w:t>
            </w:r>
          </w:p>
        </w:tc>
        <w:tc>
          <w:tcPr>
            <w:tcW w:w="0" w:type="auto"/>
          </w:tcPr>
          <w:p w14:paraId="53E9B65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108</w:t>
            </w:r>
          </w:p>
        </w:tc>
      </w:tr>
      <w:tr w:rsidR="003E0486" w:rsidRPr="003E0486" w14:paraId="589DF7FD" w14:textId="77777777" w:rsidTr="005562E6">
        <w:tc>
          <w:tcPr>
            <w:tcW w:w="0" w:type="auto"/>
          </w:tcPr>
          <w:p w14:paraId="7A8126E3"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223</w:t>
            </w:r>
          </w:p>
        </w:tc>
        <w:tc>
          <w:tcPr>
            <w:tcW w:w="0" w:type="auto"/>
          </w:tcPr>
          <w:p w14:paraId="47BDD4E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109</w:t>
            </w:r>
          </w:p>
        </w:tc>
      </w:tr>
      <w:tr w:rsidR="003E0486" w:rsidRPr="003E0486" w14:paraId="0F15A694" w14:textId="77777777" w:rsidTr="005562E6">
        <w:tc>
          <w:tcPr>
            <w:tcW w:w="0" w:type="auto"/>
          </w:tcPr>
          <w:p w14:paraId="3F3F7CBA"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1A0C0E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110</w:t>
            </w:r>
          </w:p>
        </w:tc>
      </w:tr>
      <w:tr w:rsidR="003E0486" w:rsidRPr="003E0486" w14:paraId="51A97A64" w14:textId="77777777" w:rsidTr="005562E6">
        <w:tc>
          <w:tcPr>
            <w:tcW w:w="0" w:type="auto"/>
          </w:tcPr>
          <w:p w14:paraId="4CA43FE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226</w:t>
            </w:r>
          </w:p>
        </w:tc>
        <w:tc>
          <w:tcPr>
            <w:tcW w:w="0" w:type="auto"/>
          </w:tcPr>
          <w:p w14:paraId="54335DF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111</w:t>
            </w:r>
          </w:p>
        </w:tc>
      </w:tr>
      <w:tr w:rsidR="003E0486" w:rsidRPr="003E0486" w14:paraId="3EAA39AC" w14:textId="77777777" w:rsidTr="005562E6">
        <w:tc>
          <w:tcPr>
            <w:tcW w:w="0" w:type="auto"/>
          </w:tcPr>
          <w:p w14:paraId="6DC9331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227</w:t>
            </w:r>
          </w:p>
        </w:tc>
        <w:tc>
          <w:tcPr>
            <w:tcW w:w="0" w:type="auto"/>
          </w:tcPr>
          <w:p w14:paraId="5ABA786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112</w:t>
            </w:r>
          </w:p>
        </w:tc>
      </w:tr>
      <w:tr w:rsidR="003E0486" w:rsidRPr="003E0486" w14:paraId="3CA1E127" w14:textId="77777777" w:rsidTr="005562E6">
        <w:tc>
          <w:tcPr>
            <w:tcW w:w="0" w:type="auto"/>
          </w:tcPr>
          <w:p w14:paraId="23735A0C"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228</w:t>
            </w:r>
          </w:p>
        </w:tc>
        <w:tc>
          <w:tcPr>
            <w:tcW w:w="0" w:type="auto"/>
          </w:tcPr>
          <w:p w14:paraId="1B523AA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113</w:t>
            </w:r>
          </w:p>
        </w:tc>
      </w:tr>
      <w:tr w:rsidR="003E0486" w:rsidRPr="003E0486" w14:paraId="445F5DF3" w14:textId="77777777" w:rsidTr="005562E6">
        <w:tc>
          <w:tcPr>
            <w:tcW w:w="0" w:type="auto"/>
          </w:tcPr>
          <w:p w14:paraId="29477AF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229</w:t>
            </w:r>
          </w:p>
        </w:tc>
        <w:tc>
          <w:tcPr>
            <w:tcW w:w="0" w:type="auto"/>
          </w:tcPr>
          <w:p w14:paraId="36465CB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114</w:t>
            </w:r>
          </w:p>
        </w:tc>
      </w:tr>
      <w:tr w:rsidR="003E0486" w:rsidRPr="003E0486" w14:paraId="3F4902E3" w14:textId="77777777" w:rsidTr="005562E6">
        <w:tc>
          <w:tcPr>
            <w:tcW w:w="0" w:type="auto"/>
          </w:tcPr>
          <w:p w14:paraId="19A4171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230</w:t>
            </w:r>
          </w:p>
        </w:tc>
        <w:tc>
          <w:tcPr>
            <w:tcW w:w="0" w:type="auto"/>
          </w:tcPr>
          <w:p w14:paraId="4716585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115</w:t>
            </w:r>
          </w:p>
        </w:tc>
      </w:tr>
      <w:tr w:rsidR="003E0486" w:rsidRPr="003E0486" w14:paraId="3962E456" w14:textId="77777777" w:rsidTr="005562E6">
        <w:tc>
          <w:tcPr>
            <w:tcW w:w="0" w:type="auto"/>
          </w:tcPr>
          <w:p w14:paraId="6F00982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233</w:t>
            </w:r>
          </w:p>
        </w:tc>
        <w:tc>
          <w:tcPr>
            <w:tcW w:w="0" w:type="auto"/>
          </w:tcPr>
          <w:p w14:paraId="04D9FA4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116</w:t>
            </w:r>
          </w:p>
        </w:tc>
      </w:tr>
      <w:tr w:rsidR="003E0486" w:rsidRPr="003E0486" w14:paraId="52F9B767" w14:textId="77777777" w:rsidTr="005562E6">
        <w:tc>
          <w:tcPr>
            <w:tcW w:w="0" w:type="auto"/>
          </w:tcPr>
          <w:p w14:paraId="21DE84B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234</w:t>
            </w:r>
          </w:p>
        </w:tc>
        <w:tc>
          <w:tcPr>
            <w:tcW w:w="0" w:type="auto"/>
          </w:tcPr>
          <w:p w14:paraId="709659A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117</w:t>
            </w:r>
          </w:p>
        </w:tc>
      </w:tr>
      <w:tr w:rsidR="003E0486" w:rsidRPr="003E0486" w14:paraId="725091E1" w14:textId="77777777" w:rsidTr="005562E6">
        <w:tc>
          <w:tcPr>
            <w:tcW w:w="0" w:type="auto"/>
          </w:tcPr>
          <w:p w14:paraId="50FDC78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237 og 246</w:t>
            </w:r>
          </w:p>
        </w:tc>
        <w:tc>
          <w:tcPr>
            <w:tcW w:w="0" w:type="auto"/>
          </w:tcPr>
          <w:p w14:paraId="32DD63F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118</w:t>
            </w:r>
          </w:p>
        </w:tc>
      </w:tr>
      <w:tr w:rsidR="003E0486" w:rsidRPr="003E0486" w14:paraId="4CDA9DFD" w14:textId="77777777" w:rsidTr="005562E6">
        <w:tc>
          <w:tcPr>
            <w:tcW w:w="0" w:type="auto"/>
          </w:tcPr>
          <w:p w14:paraId="17F969D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145, stk. 1</w:t>
            </w:r>
          </w:p>
        </w:tc>
        <w:tc>
          <w:tcPr>
            <w:tcW w:w="0" w:type="auto"/>
          </w:tcPr>
          <w:p w14:paraId="565D1AD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119, stk. 1</w:t>
            </w:r>
          </w:p>
        </w:tc>
      </w:tr>
      <w:tr w:rsidR="003E0486" w:rsidRPr="003E0486" w14:paraId="64246109" w14:textId="77777777" w:rsidTr="005562E6">
        <w:tc>
          <w:tcPr>
            <w:tcW w:w="0" w:type="auto"/>
          </w:tcPr>
          <w:p w14:paraId="79EBD97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146</w:t>
            </w:r>
          </w:p>
        </w:tc>
        <w:tc>
          <w:tcPr>
            <w:tcW w:w="0" w:type="auto"/>
          </w:tcPr>
          <w:p w14:paraId="68035D6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120</w:t>
            </w:r>
          </w:p>
        </w:tc>
      </w:tr>
      <w:tr w:rsidR="003E0486" w:rsidRPr="003E0486" w14:paraId="656DF0D9" w14:textId="77777777" w:rsidTr="005562E6">
        <w:tc>
          <w:tcPr>
            <w:tcW w:w="0" w:type="auto"/>
          </w:tcPr>
          <w:p w14:paraId="62AB7DD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238</w:t>
            </w:r>
          </w:p>
        </w:tc>
        <w:tc>
          <w:tcPr>
            <w:tcW w:w="0" w:type="auto"/>
          </w:tcPr>
          <w:p w14:paraId="6806BC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121</w:t>
            </w:r>
          </w:p>
        </w:tc>
      </w:tr>
      <w:tr w:rsidR="003E0486" w:rsidRPr="003E0486" w14:paraId="2C8922CF" w14:textId="77777777" w:rsidTr="005562E6">
        <w:tc>
          <w:tcPr>
            <w:tcW w:w="0" w:type="auto"/>
          </w:tcPr>
          <w:p w14:paraId="45BDA14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240</w:t>
            </w:r>
          </w:p>
        </w:tc>
        <w:tc>
          <w:tcPr>
            <w:tcW w:w="0" w:type="auto"/>
          </w:tcPr>
          <w:p w14:paraId="16E00E1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122</w:t>
            </w:r>
          </w:p>
        </w:tc>
      </w:tr>
      <w:tr w:rsidR="003E0486" w:rsidRPr="003E0486" w14:paraId="6A982B09" w14:textId="77777777" w:rsidTr="005562E6">
        <w:tc>
          <w:tcPr>
            <w:tcW w:w="0" w:type="auto"/>
          </w:tcPr>
          <w:p w14:paraId="2409173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148, stk. 1, 2 og 3</w:t>
            </w:r>
          </w:p>
        </w:tc>
        <w:tc>
          <w:tcPr>
            <w:tcW w:w="0" w:type="auto"/>
          </w:tcPr>
          <w:p w14:paraId="0BCDA0A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123</w:t>
            </w:r>
          </w:p>
        </w:tc>
      </w:tr>
      <w:tr w:rsidR="003E0486" w:rsidRPr="003E0486" w14:paraId="426D3C75" w14:textId="77777777" w:rsidTr="005562E6">
        <w:tc>
          <w:tcPr>
            <w:tcW w:w="0" w:type="auto"/>
          </w:tcPr>
          <w:p w14:paraId="6AB7DD58" w14:textId="77777777" w:rsidR="003E0486" w:rsidRPr="003E0486" w:rsidRDefault="003E0486" w:rsidP="003E0486">
            <w:pPr>
              <w:spacing w:before="120" w:after="120" w:line="360" w:lineRule="auto"/>
              <w:rPr>
                <w:szCs w:val="24"/>
                <w:lang w:eastAsia="en-US"/>
              </w:rPr>
            </w:pPr>
            <w:r w:rsidRPr="003E0486">
              <w:rPr>
                <w:szCs w:val="24"/>
                <w:lang w:eastAsia="en-US"/>
              </w:rPr>
              <w:t>Artikel 148, stk. 5 og 6, og artikel 240, stk. 3</w:t>
            </w:r>
          </w:p>
        </w:tc>
        <w:tc>
          <w:tcPr>
            <w:tcW w:w="0" w:type="auto"/>
          </w:tcPr>
          <w:p w14:paraId="2AB37A7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124</w:t>
            </w:r>
          </w:p>
        </w:tc>
      </w:tr>
      <w:tr w:rsidR="003E0486" w:rsidRPr="003E0486" w14:paraId="7EC93CF7" w14:textId="77777777" w:rsidTr="005562E6">
        <w:tc>
          <w:tcPr>
            <w:tcW w:w="0" w:type="auto"/>
          </w:tcPr>
          <w:p w14:paraId="73B5348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241</w:t>
            </w:r>
          </w:p>
        </w:tc>
        <w:tc>
          <w:tcPr>
            <w:tcW w:w="0" w:type="auto"/>
          </w:tcPr>
          <w:p w14:paraId="09AE4CE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125</w:t>
            </w:r>
          </w:p>
        </w:tc>
      </w:tr>
      <w:tr w:rsidR="003E0486" w:rsidRPr="003E0486" w14:paraId="5E647DE9" w14:textId="77777777" w:rsidTr="005562E6">
        <w:tc>
          <w:tcPr>
            <w:tcW w:w="0" w:type="auto"/>
          </w:tcPr>
          <w:p w14:paraId="0934C40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242</w:t>
            </w:r>
          </w:p>
        </w:tc>
        <w:tc>
          <w:tcPr>
            <w:tcW w:w="0" w:type="auto"/>
          </w:tcPr>
          <w:p w14:paraId="4850CA0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126</w:t>
            </w:r>
          </w:p>
        </w:tc>
      </w:tr>
      <w:tr w:rsidR="003E0486" w:rsidRPr="003E0486" w14:paraId="37E26B25" w14:textId="77777777" w:rsidTr="005562E6">
        <w:tc>
          <w:tcPr>
            <w:tcW w:w="0" w:type="auto"/>
          </w:tcPr>
          <w:p w14:paraId="503F330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243</w:t>
            </w:r>
          </w:p>
        </w:tc>
        <w:tc>
          <w:tcPr>
            <w:tcW w:w="0" w:type="auto"/>
          </w:tcPr>
          <w:p w14:paraId="2395762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127</w:t>
            </w:r>
          </w:p>
        </w:tc>
      </w:tr>
      <w:tr w:rsidR="003E0486" w:rsidRPr="003E0486" w14:paraId="611777E0" w14:textId="77777777" w:rsidTr="005562E6">
        <w:tc>
          <w:tcPr>
            <w:tcW w:w="0" w:type="auto"/>
          </w:tcPr>
          <w:p w14:paraId="04352E0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244</w:t>
            </w:r>
          </w:p>
        </w:tc>
        <w:tc>
          <w:tcPr>
            <w:tcW w:w="0" w:type="auto"/>
          </w:tcPr>
          <w:p w14:paraId="0733963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128</w:t>
            </w:r>
          </w:p>
        </w:tc>
      </w:tr>
      <w:tr w:rsidR="003E0486" w:rsidRPr="003E0486" w14:paraId="131D6C73" w14:textId="77777777" w:rsidTr="005562E6">
        <w:tc>
          <w:tcPr>
            <w:tcW w:w="0" w:type="auto"/>
          </w:tcPr>
          <w:p w14:paraId="5C5EC4C9"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247</w:t>
            </w:r>
          </w:p>
        </w:tc>
        <w:tc>
          <w:tcPr>
            <w:tcW w:w="0" w:type="auto"/>
          </w:tcPr>
          <w:p w14:paraId="3AB028E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129</w:t>
            </w:r>
          </w:p>
        </w:tc>
      </w:tr>
      <w:tr w:rsidR="003E0486" w:rsidRPr="003E0486" w14:paraId="3668DBD4" w14:textId="77777777" w:rsidTr="005562E6">
        <w:tc>
          <w:tcPr>
            <w:tcW w:w="0" w:type="auto"/>
          </w:tcPr>
          <w:p w14:paraId="6AD6456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248</w:t>
            </w:r>
          </w:p>
        </w:tc>
        <w:tc>
          <w:tcPr>
            <w:tcW w:w="0" w:type="auto"/>
          </w:tcPr>
          <w:p w14:paraId="3931612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130</w:t>
            </w:r>
          </w:p>
        </w:tc>
      </w:tr>
      <w:tr w:rsidR="003E0486" w:rsidRPr="003E0486" w14:paraId="2B4942CF" w14:textId="77777777" w:rsidTr="005562E6">
        <w:tc>
          <w:tcPr>
            <w:tcW w:w="0" w:type="auto"/>
          </w:tcPr>
          <w:p w14:paraId="6FC6128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249</w:t>
            </w:r>
          </w:p>
        </w:tc>
        <w:tc>
          <w:tcPr>
            <w:tcW w:w="0" w:type="auto"/>
          </w:tcPr>
          <w:p w14:paraId="1CC0CB7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131</w:t>
            </w:r>
          </w:p>
        </w:tc>
      </w:tr>
      <w:tr w:rsidR="003E0486" w:rsidRPr="003E0486" w14:paraId="70DA281A" w14:textId="77777777" w:rsidTr="005562E6">
        <w:tc>
          <w:tcPr>
            <w:tcW w:w="0" w:type="auto"/>
          </w:tcPr>
          <w:p w14:paraId="3494BEB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250</w:t>
            </w:r>
          </w:p>
        </w:tc>
        <w:tc>
          <w:tcPr>
            <w:tcW w:w="0" w:type="auto"/>
          </w:tcPr>
          <w:p w14:paraId="496633B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132</w:t>
            </w:r>
          </w:p>
        </w:tc>
      </w:tr>
      <w:tr w:rsidR="003E0486" w:rsidRPr="003E0486" w14:paraId="25255F0D" w14:textId="77777777" w:rsidTr="005562E6">
        <w:tc>
          <w:tcPr>
            <w:tcW w:w="0" w:type="auto"/>
          </w:tcPr>
          <w:p w14:paraId="7C41519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251</w:t>
            </w:r>
          </w:p>
        </w:tc>
        <w:tc>
          <w:tcPr>
            <w:tcW w:w="0" w:type="auto"/>
          </w:tcPr>
          <w:p w14:paraId="70E53B6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133</w:t>
            </w:r>
          </w:p>
        </w:tc>
      </w:tr>
      <w:tr w:rsidR="003E0486" w:rsidRPr="003E0486" w14:paraId="52163223" w14:textId="77777777" w:rsidTr="005562E6">
        <w:tc>
          <w:tcPr>
            <w:tcW w:w="0" w:type="auto"/>
          </w:tcPr>
          <w:p w14:paraId="25BC2DD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252</w:t>
            </w:r>
          </w:p>
        </w:tc>
        <w:tc>
          <w:tcPr>
            <w:tcW w:w="0" w:type="auto"/>
          </w:tcPr>
          <w:p w14:paraId="3F37932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134</w:t>
            </w:r>
          </w:p>
        </w:tc>
      </w:tr>
      <w:tr w:rsidR="003E0486" w:rsidRPr="003E0486" w14:paraId="773DC16A" w14:textId="77777777" w:rsidTr="005562E6">
        <w:tc>
          <w:tcPr>
            <w:tcW w:w="0" w:type="auto"/>
          </w:tcPr>
          <w:p w14:paraId="388E4E2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254</w:t>
            </w:r>
          </w:p>
        </w:tc>
        <w:tc>
          <w:tcPr>
            <w:tcW w:w="0" w:type="auto"/>
          </w:tcPr>
          <w:p w14:paraId="46599F3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135</w:t>
            </w:r>
          </w:p>
        </w:tc>
      </w:tr>
      <w:tr w:rsidR="003E0486" w:rsidRPr="003E0486" w14:paraId="52613CD5" w14:textId="77777777" w:rsidTr="005562E6">
        <w:tc>
          <w:tcPr>
            <w:tcW w:w="0" w:type="auto"/>
          </w:tcPr>
          <w:p w14:paraId="173207C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255</w:t>
            </w:r>
          </w:p>
        </w:tc>
        <w:tc>
          <w:tcPr>
            <w:tcW w:w="0" w:type="auto"/>
          </w:tcPr>
          <w:p w14:paraId="75622CE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136</w:t>
            </w:r>
          </w:p>
        </w:tc>
      </w:tr>
      <w:tr w:rsidR="003E0486" w:rsidRPr="003E0486" w14:paraId="00753DB2" w14:textId="77777777" w:rsidTr="005562E6">
        <w:tc>
          <w:tcPr>
            <w:tcW w:w="0" w:type="auto"/>
          </w:tcPr>
          <w:p w14:paraId="7767AA1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256</w:t>
            </w:r>
          </w:p>
        </w:tc>
        <w:tc>
          <w:tcPr>
            <w:tcW w:w="0" w:type="auto"/>
          </w:tcPr>
          <w:p w14:paraId="5EF5381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137</w:t>
            </w:r>
          </w:p>
        </w:tc>
      </w:tr>
      <w:tr w:rsidR="003E0486" w:rsidRPr="003E0486" w14:paraId="4E29F6B1" w14:textId="77777777" w:rsidTr="005562E6">
        <w:tc>
          <w:tcPr>
            <w:tcW w:w="0" w:type="auto"/>
          </w:tcPr>
          <w:p w14:paraId="2CCC94C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257</w:t>
            </w:r>
          </w:p>
        </w:tc>
        <w:tc>
          <w:tcPr>
            <w:tcW w:w="0" w:type="auto"/>
          </w:tcPr>
          <w:p w14:paraId="3F7387B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138</w:t>
            </w:r>
          </w:p>
        </w:tc>
      </w:tr>
      <w:tr w:rsidR="003E0486" w:rsidRPr="003E0486" w14:paraId="3EEEC003" w14:textId="77777777" w:rsidTr="005562E6">
        <w:tc>
          <w:tcPr>
            <w:tcW w:w="0" w:type="auto"/>
          </w:tcPr>
          <w:p w14:paraId="3AE9D4D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258</w:t>
            </w:r>
          </w:p>
        </w:tc>
        <w:tc>
          <w:tcPr>
            <w:tcW w:w="0" w:type="auto"/>
          </w:tcPr>
          <w:p w14:paraId="3797359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139</w:t>
            </w:r>
          </w:p>
        </w:tc>
      </w:tr>
      <w:tr w:rsidR="003E0486" w:rsidRPr="003E0486" w14:paraId="20E49CFD" w14:textId="77777777" w:rsidTr="005562E6">
        <w:tc>
          <w:tcPr>
            <w:tcW w:w="0" w:type="auto"/>
          </w:tcPr>
          <w:p w14:paraId="6848FFB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259</w:t>
            </w:r>
          </w:p>
        </w:tc>
        <w:tc>
          <w:tcPr>
            <w:tcW w:w="0" w:type="auto"/>
          </w:tcPr>
          <w:p w14:paraId="5387EEE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140</w:t>
            </w:r>
          </w:p>
        </w:tc>
      </w:tr>
      <w:tr w:rsidR="003E0486" w:rsidRPr="003E0486" w14:paraId="7FF1B5E1" w14:textId="77777777" w:rsidTr="005562E6">
        <w:tc>
          <w:tcPr>
            <w:tcW w:w="0" w:type="auto"/>
          </w:tcPr>
          <w:p w14:paraId="7D67488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260</w:t>
            </w:r>
          </w:p>
        </w:tc>
        <w:tc>
          <w:tcPr>
            <w:tcW w:w="0" w:type="auto"/>
          </w:tcPr>
          <w:p w14:paraId="7E578E0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141</w:t>
            </w:r>
          </w:p>
        </w:tc>
      </w:tr>
      <w:tr w:rsidR="003E0486" w:rsidRPr="003E0486" w14:paraId="295A53BA" w14:textId="77777777" w:rsidTr="005562E6">
        <w:tc>
          <w:tcPr>
            <w:tcW w:w="0" w:type="auto"/>
          </w:tcPr>
          <w:p w14:paraId="76DB703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260a</w:t>
            </w:r>
          </w:p>
        </w:tc>
        <w:tc>
          <w:tcPr>
            <w:tcW w:w="0" w:type="auto"/>
          </w:tcPr>
          <w:p w14:paraId="5B6E164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142</w:t>
            </w:r>
          </w:p>
        </w:tc>
      </w:tr>
      <w:tr w:rsidR="003E0486" w:rsidRPr="003E0486" w14:paraId="33C0BE8B" w14:textId="77777777" w:rsidTr="005562E6">
        <w:tc>
          <w:tcPr>
            <w:tcW w:w="0" w:type="auto"/>
          </w:tcPr>
          <w:p w14:paraId="094AD28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261</w:t>
            </w:r>
          </w:p>
        </w:tc>
        <w:tc>
          <w:tcPr>
            <w:tcW w:w="0" w:type="auto"/>
          </w:tcPr>
          <w:p w14:paraId="167C25B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143</w:t>
            </w:r>
          </w:p>
        </w:tc>
      </w:tr>
      <w:tr w:rsidR="003E0486" w:rsidRPr="003E0486" w14:paraId="52F27885" w14:textId="77777777" w:rsidTr="005562E6">
        <w:tc>
          <w:tcPr>
            <w:tcW w:w="0" w:type="auto"/>
          </w:tcPr>
          <w:p w14:paraId="045AB02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262</w:t>
            </w:r>
          </w:p>
        </w:tc>
        <w:tc>
          <w:tcPr>
            <w:tcW w:w="0" w:type="auto"/>
          </w:tcPr>
          <w:p w14:paraId="2624202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144</w:t>
            </w:r>
          </w:p>
        </w:tc>
      </w:tr>
      <w:tr w:rsidR="003E0486" w:rsidRPr="003E0486" w14:paraId="13D96DDD" w14:textId="77777777" w:rsidTr="005562E6">
        <w:tc>
          <w:tcPr>
            <w:tcW w:w="0" w:type="auto"/>
          </w:tcPr>
          <w:p w14:paraId="3B0665E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56</w:t>
            </w:r>
          </w:p>
        </w:tc>
        <w:tc>
          <w:tcPr>
            <w:tcW w:w="0" w:type="auto"/>
          </w:tcPr>
          <w:p w14:paraId="7F81063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145</w:t>
            </w:r>
          </w:p>
        </w:tc>
      </w:tr>
      <w:tr w:rsidR="003E0486" w:rsidRPr="003E0486" w14:paraId="575F4D9D" w14:textId="77777777" w:rsidTr="005562E6">
        <w:tc>
          <w:tcPr>
            <w:tcW w:w="0" w:type="auto"/>
          </w:tcPr>
          <w:p w14:paraId="17587C2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57</w:t>
            </w:r>
          </w:p>
        </w:tc>
        <w:tc>
          <w:tcPr>
            <w:tcW w:w="0" w:type="auto"/>
          </w:tcPr>
          <w:p w14:paraId="389F6E8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146</w:t>
            </w:r>
          </w:p>
        </w:tc>
      </w:tr>
      <w:tr w:rsidR="003E0486" w:rsidRPr="003E0486" w14:paraId="18D4A1E7" w14:textId="77777777" w:rsidTr="005562E6">
        <w:tc>
          <w:tcPr>
            <w:tcW w:w="0" w:type="auto"/>
          </w:tcPr>
          <w:p w14:paraId="7E31587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59</w:t>
            </w:r>
          </w:p>
        </w:tc>
        <w:tc>
          <w:tcPr>
            <w:tcW w:w="0" w:type="auto"/>
          </w:tcPr>
          <w:p w14:paraId="461B1A8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147</w:t>
            </w:r>
          </w:p>
        </w:tc>
      </w:tr>
      <w:tr w:rsidR="003E0486" w:rsidRPr="003E0486" w14:paraId="0902025D" w14:textId="77777777" w:rsidTr="005562E6">
        <w:tc>
          <w:tcPr>
            <w:tcW w:w="0" w:type="auto"/>
          </w:tcPr>
          <w:p w14:paraId="3053E8F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60</w:t>
            </w:r>
          </w:p>
        </w:tc>
        <w:tc>
          <w:tcPr>
            <w:tcW w:w="0" w:type="auto"/>
          </w:tcPr>
          <w:p w14:paraId="1E1E3C7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148</w:t>
            </w:r>
          </w:p>
        </w:tc>
      </w:tr>
      <w:tr w:rsidR="003E0486" w:rsidRPr="003E0486" w14:paraId="79F8FC4B" w14:textId="77777777" w:rsidTr="005562E6">
        <w:tc>
          <w:tcPr>
            <w:tcW w:w="0" w:type="auto"/>
          </w:tcPr>
          <w:p w14:paraId="2D21638E"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61</w:t>
            </w:r>
          </w:p>
        </w:tc>
        <w:tc>
          <w:tcPr>
            <w:tcW w:w="0" w:type="auto"/>
          </w:tcPr>
          <w:p w14:paraId="74F51A2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149</w:t>
            </w:r>
          </w:p>
        </w:tc>
      </w:tr>
      <w:tr w:rsidR="003E0486" w:rsidRPr="003E0486" w14:paraId="3C1DBDEF" w14:textId="77777777" w:rsidTr="005562E6">
        <w:tc>
          <w:tcPr>
            <w:tcW w:w="0" w:type="auto"/>
          </w:tcPr>
          <w:p w14:paraId="5FF3B70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64</w:t>
            </w:r>
          </w:p>
        </w:tc>
        <w:tc>
          <w:tcPr>
            <w:tcW w:w="0" w:type="auto"/>
          </w:tcPr>
          <w:p w14:paraId="23C0F25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150</w:t>
            </w:r>
          </w:p>
        </w:tc>
      </w:tr>
      <w:tr w:rsidR="003E0486" w:rsidRPr="003E0486" w14:paraId="4D8474DB" w14:textId="77777777" w:rsidTr="005562E6">
        <w:tc>
          <w:tcPr>
            <w:tcW w:w="0" w:type="auto"/>
          </w:tcPr>
          <w:p w14:paraId="5C0C5AD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67</w:t>
            </w:r>
          </w:p>
        </w:tc>
        <w:tc>
          <w:tcPr>
            <w:tcW w:w="0" w:type="auto"/>
          </w:tcPr>
          <w:p w14:paraId="6106660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151</w:t>
            </w:r>
          </w:p>
        </w:tc>
      </w:tr>
      <w:tr w:rsidR="003E0486" w:rsidRPr="003E0486" w14:paraId="501B587B" w14:textId="77777777" w:rsidTr="005562E6">
        <w:tc>
          <w:tcPr>
            <w:tcW w:w="0" w:type="auto"/>
          </w:tcPr>
          <w:p w14:paraId="6D83C16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69</w:t>
            </w:r>
          </w:p>
        </w:tc>
        <w:tc>
          <w:tcPr>
            <w:tcW w:w="0" w:type="auto"/>
          </w:tcPr>
          <w:p w14:paraId="729EC5E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152</w:t>
            </w:r>
          </w:p>
        </w:tc>
      </w:tr>
      <w:tr w:rsidR="003E0486" w:rsidRPr="003E0486" w14:paraId="78E5B905" w14:textId="77777777" w:rsidTr="005562E6">
        <w:tc>
          <w:tcPr>
            <w:tcW w:w="0" w:type="auto"/>
          </w:tcPr>
          <w:p w14:paraId="441E429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70</w:t>
            </w:r>
          </w:p>
        </w:tc>
        <w:tc>
          <w:tcPr>
            <w:tcW w:w="0" w:type="auto"/>
          </w:tcPr>
          <w:p w14:paraId="57EEA2B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153</w:t>
            </w:r>
          </w:p>
        </w:tc>
      </w:tr>
      <w:tr w:rsidR="003E0486" w:rsidRPr="003E0486" w14:paraId="71036A70" w14:textId="77777777" w:rsidTr="005562E6">
        <w:tc>
          <w:tcPr>
            <w:tcW w:w="0" w:type="auto"/>
          </w:tcPr>
          <w:p w14:paraId="1FF7F3E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71</w:t>
            </w:r>
          </w:p>
        </w:tc>
        <w:tc>
          <w:tcPr>
            <w:tcW w:w="0" w:type="auto"/>
          </w:tcPr>
          <w:p w14:paraId="0654746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154</w:t>
            </w:r>
          </w:p>
        </w:tc>
      </w:tr>
      <w:tr w:rsidR="003E0486" w:rsidRPr="003E0486" w14:paraId="1E446AE9" w14:textId="77777777" w:rsidTr="005562E6">
        <w:tc>
          <w:tcPr>
            <w:tcW w:w="0" w:type="auto"/>
          </w:tcPr>
          <w:p w14:paraId="2B1739A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72</w:t>
            </w:r>
          </w:p>
        </w:tc>
        <w:tc>
          <w:tcPr>
            <w:tcW w:w="0" w:type="auto"/>
          </w:tcPr>
          <w:p w14:paraId="350BBC5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155</w:t>
            </w:r>
          </w:p>
        </w:tc>
      </w:tr>
      <w:tr w:rsidR="003E0486" w:rsidRPr="003E0486" w14:paraId="22A474F9" w14:textId="77777777" w:rsidTr="005562E6">
        <w:tc>
          <w:tcPr>
            <w:tcW w:w="0" w:type="auto"/>
          </w:tcPr>
          <w:p w14:paraId="41C62D4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73</w:t>
            </w:r>
          </w:p>
        </w:tc>
        <w:tc>
          <w:tcPr>
            <w:tcW w:w="0" w:type="auto"/>
          </w:tcPr>
          <w:p w14:paraId="6AC5002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156</w:t>
            </w:r>
          </w:p>
        </w:tc>
      </w:tr>
      <w:tr w:rsidR="003E0486" w:rsidRPr="003E0486" w14:paraId="2A04DF21" w14:textId="77777777" w:rsidTr="005562E6">
        <w:tc>
          <w:tcPr>
            <w:tcW w:w="0" w:type="auto"/>
          </w:tcPr>
          <w:p w14:paraId="1A2837F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74</w:t>
            </w:r>
          </w:p>
        </w:tc>
        <w:tc>
          <w:tcPr>
            <w:tcW w:w="0" w:type="auto"/>
          </w:tcPr>
          <w:p w14:paraId="13F7F1D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157</w:t>
            </w:r>
          </w:p>
        </w:tc>
      </w:tr>
      <w:tr w:rsidR="003E0486" w:rsidRPr="003E0486" w14:paraId="6ACA5F3E" w14:textId="77777777" w:rsidTr="005562E6">
        <w:tc>
          <w:tcPr>
            <w:tcW w:w="0" w:type="auto"/>
          </w:tcPr>
          <w:p w14:paraId="17F0C6AA"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B021AC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158</w:t>
            </w:r>
          </w:p>
        </w:tc>
      </w:tr>
      <w:tr w:rsidR="003E0486" w:rsidRPr="003E0486" w14:paraId="73BF8269" w14:textId="77777777" w:rsidTr="005562E6">
        <w:tc>
          <w:tcPr>
            <w:tcW w:w="0" w:type="auto"/>
          </w:tcPr>
          <w:p w14:paraId="70B4BFA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77</w:t>
            </w:r>
          </w:p>
        </w:tc>
        <w:tc>
          <w:tcPr>
            <w:tcW w:w="0" w:type="auto"/>
          </w:tcPr>
          <w:p w14:paraId="6128C2A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159</w:t>
            </w:r>
          </w:p>
        </w:tc>
      </w:tr>
      <w:tr w:rsidR="003E0486" w:rsidRPr="003E0486" w14:paraId="6918C71A" w14:textId="77777777" w:rsidTr="005562E6">
        <w:tc>
          <w:tcPr>
            <w:tcW w:w="0" w:type="auto"/>
          </w:tcPr>
          <w:p w14:paraId="14FAF3E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78</w:t>
            </w:r>
          </w:p>
        </w:tc>
        <w:tc>
          <w:tcPr>
            <w:tcW w:w="0" w:type="auto"/>
          </w:tcPr>
          <w:p w14:paraId="7A6AAA6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160</w:t>
            </w:r>
          </w:p>
        </w:tc>
      </w:tr>
      <w:tr w:rsidR="003E0486" w:rsidRPr="003E0486" w14:paraId="34B94428" w14:textId="77777777" w:rsidTr="005562E6">
        <w:tc>
          <w:tcPr>
            <w:tcW w:w="0" w:type="auto"/>
          </w:tcPr>
          <w:p w14:paraId="769B109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79</w:t>
            </w:r>
          </w:p>
        </w:tc>
        <w:tc>
          <w:tcPr>
            <w:tcW w:w="0" w:type="auto"/>
          </w:tcPr>
          <w:p w14:paraId="35D7D95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161</w:t>
            </w:r>
          </w:p>
        </w:tc>
      </w:tr>
      <w:tr w:rsidR="003E0486" w:rsidRPr="003E0486" w14:paraId="5536AB22" w14:textId="77777777" w:rsidTr="005562E6">
        <w:tc>
          <w:tcPr>
            <w:tcW w:w="0" w:type="auto"/>
          </w:tcPr>
          <w:p w14:paraId="427887C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80</w:t>
            </w:r>
          </w:p>
        </w:tc>
        <w:tc>
          <w:tcPr>
            <w:tcW w:w="0" w:type="auto"/>
          </w:tcPr>
          <w:p w14:paraId="24FE921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162</w:t>
            </w:r>
          </w:p>
        </w:tc>
      </w:tr>
      <w:tr w:rsidR="003E0486" w:rsidRPr="003E0486" w14:paraId="353FBBA9" w14:textId="77777777" w:rsidTr="005562E6">
        <w:tc>
          <w:tcPr>
            <w:tcW w:w="0" w:type="auto"/>
          </w:tcPr>
          <w:p w14:paraId="2D50151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81</w:t>
            </w:r>
          </w:p>
        </w:tc>
        <w:tc>
          <w:tcPr>
            <w:tcW w:w="0" w:type="auto"/>
          </w:tcPr>
          <w:p w14:paraId="7445CFB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163</w:t>
            </w:r>
          </w:p>
        </w:tc>
      </w:tr>
      <w:tr w:rsidR="003E0486" w:rsidRPr="003E0486" w14:paraId="6075DC64" w14:textId="77777777" w:rsidTr="005562E6">
        <w:tc>
          <w:tcPr>
            <w:tcW w:w="0" w:type="auto"/>
          </w:tcPr>
          <w:p w14:paraId="690F242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82</w:t>
            </w:r>
          </w:p>
        </w:tc>
        <w:tc>
          <w:tcPr>
            <w:tcW w:w="0" w:type="auto"/>
          </w:tcPr>
          <w:p w14:paraId="04EBADC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164</w:t>
            </w:r>
          </w:p>
        </w:tc>
      </w:tr>
      <w:tr w:rsidR="003E0486" w:rsidRPr="003E0486" w14:paraId="2034DCA3" w14:textId="77777777" w:rsidTr="005562E6">
        <w:tc>
          <w:tcPr>
            <w:tcW w:w="0" w:type="auto"/>
          </w:tcPr>
          <w:p w14:paraId="2494DE4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83</w:t>
            </w:r>
          </w:p>
        </w:tc>
        <w:tc>
          <w:tcPr>
            <w:tcW w:w="0" w:type="auto"/>
          </w:tcPr>
          <w:p w14:paraId="7E1FACC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165</w:t>
            </w:r>
          </w:p>
        </w:tc>
      </w:tr>
      <w:tr w:rsidR="003E0486" w:rsidRPr="003E0486" w14:paraId="6BB14CBA" w14:textId="77777777" w:rsidTr="005562E6">
        <w:tc>
          <w:tcPr>
            <w:tcW w:w="0" w:type="auto"/>
          </w:tcPr>
          <w:p w14:paraId="27011A7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84</w:t>
            </w:r>
          </w:p>
        </w:tc>
        <w:tc>
          <w:tcPr>
            <w:tcW w:w="0" w:type="auto"/>
          </w:tcPr>
          <w:p w14:paraId="70619C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166</w:t>
            </w:r>
          </w:p>
        </w:tc>
      </w:tr>
      <w:tr w:rsidR="003E0486" w:rsidRPr="003E0486" w14:paraId="47BE116A" w14:textId="77777777" w:rsidTr="005562E6">
        <w:tc>
          <w:tcPr>
            <w:tcW w:w="0" w:type="auto"/>
          </w:tcPr>
          <w:p w14:paraId="0BD9687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85</w:t>
            </w:r>
          </w:p>
        </w:tc>
        <w:tc>
          <w:tcPr>
            <w:tcW w:w="0" w:type="auto"/>
          </w:tcPr>
          <w:p w14:paraId="2E888E0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167</w:t>
            </w:r>
          </w:p>
        </w:tc>
      </w:tr>
      <w:tr w:rsidR="003E0486" w:rsidRPr="003E0486" w14:paraId="02BE5CD2" w14:textId="77777777" w:rsidTr="005562E6">
        <w:tc>
          <w:tcPr>
            <w:tcW w:w="0" w:type="auto"/>
          </w:tcPr>
          <w:p w14:paraId="61AEEC0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86</w:t>
            </w:r>
          </w:p>
        </w:tc>
        <w:tc>
          <w:tcPr>
            <w:tcW w:w="0" w:type="auto"/>
          </w:tcPr>
          <w:p w14:paraId="0EA2485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168</w:t>
            </w:r>
          </w:p>
        </w:tc>
      </w:tr>
      <w:tr w:rsidR="003E0486" w:rsidRPr="003E0486" w14:paraId="2186D809" w14:textId="77777777" w:rsidTr="005562E6">
        <w:tc>
          <w:tcPr>
            <w:tcW w:w="0" w:type="auto"/>
          </w:tcPr>
          <w:p w14:paraId="5BFB99A3"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87</w:t>
            </w:r>
          </w:p>
        </w:tc>
        <w:tc>
          <w:tcPr>
            <w:tcW w:w="0" w:type="auto"/>
          </w:tcPr>
          <w:p w14:paraId="5E41E8A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169</w:t>
            </w:r>
          </w:p>
        </w:tc>
      </w:tr>
      <w:tr w:rsidR="003E0486" w:rsidRPr="003E0486" w14:paraId="3A741C5E" w14:textId="77777777" w:rsidTr="005562E6">
        <w:tc>
          <w:tcPr>
            <w:tcW w:w="0" w:type="auto"/>
          </w:tcPr>
          <w:p w14:paraId="4D1A9FC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89</w:t>
            </w:r>
          </w:p>
        </w:tc>
        <w:tc>
          <w:tcPr>
            <w:tcW w:w="0" w:type="auto"/>
          </w:tcPr>
          <w:p w14:paraId="1171166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170</w:t>
            </w:r>
          </w:p>
        </w:tc>
      </w:tr>
      <w:tr w:rsidR="003E0486" w:rsidRPr="003E0486" w14:paraId="096B770F" w14:textId="77777777" w:rsidTr="005562E6">
        <w:tc>
          <w:tcPr>
            <w:tcW w:w="0" w:type="auto"/>
          </w:tcPr>
          <w:p w14:paraId="1371248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90</w:t>
            </w:r>
          </w:p>
        </w:tc>
        <w:tc>
          <w:tcPr>
            <w:tcW w:w="0" w:type="auto"/>
          </w:tcPr>
          <w:p w14:paraId="76933BD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171</w:t>
            </w:r>
          </w:p>
        </w:tc>
      </w:tr>
      <w:tr w:rsidR="003E0486" w:rsidRPr="003E0486" w14:paraId="5C66DF9A" w14:textId="77777777" w:rsidTr="005562E6">
        <w:tc>
          <w:tcPr>
            <w:tcW w:w="0" w:type="auto"/>
          </w:tcPr>
          <w:p w14:paraId="7AC326B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91</w:t>
            </w:r>
          </w:p>
        </w:tc>
        <w:tc>
          <w:tcPr>
            <w:tcW w:w="0" w:type="auto"/>
          </w:tcPr>
          <w:p w14:paraId="2BB1BB3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172</w:t>
            </w:r>
          </w:p>
        </w:tc>
      </w:tr>
      <w:tr w:rsidR="003E0486" w:rsidRPr="003E0486" w14:paraId="1E1D0EE1" w14:textId="77777777" w:rsidTr="005562E6">
        <w:tc>
          <w:tcPr>
            <w:tcW w:w="0" w:type="auto"/>
          </w:tcPr>
          <w:p w14:paraId="719CF581"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92</w:t>
            </w:r>
          </w:p>
        </w:tc>
        <w:tc>
          <w:tcPr>
            <w:tcW w:w="0" w:type="auto"/>
          </w:tcPr>
          <w:p w14:paraId="2D83388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173</w:t>
            </w:r>
          </w:p>
        </w:tc>
      </w:tr>
      <w:tr w:rsidR="003E0486" w:rsidRPr="003E0486" w14:paraId="528F4265" w14:textId="77777777" w:rsidTr="005562E6">
        <w:tc>
          <w:tcPr>
            <w:tcW w:w="0" w:type="auto"/>
          </w:tcPr>
          <w:p w14:paraId="5BD0942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93</w:t>
            </w:r>
          </w:p>
        </w:tc>
        <w:tc>
          <w:tcPr>
            <w:tcW w:w="0" w:type="auto"/>
          </w:tcPr>
          <w:p w14:paraId="6BD12BE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174</w:t>
            </w:r>
          </w:p>
        </w:tc>
      </w:tr>
      <w:tr w:rsidR="003E0486" w:rsidRPr="003E0486" w14:paraId="3046EC09" w14:textId="77777777" w:rsidTr="005562E6">
        <w:tc>
          <w:tcPr>
            <w:tcW w:w="0" w:type="auto"/>
          </w:tcPr>
          <w:p w14:paraId="5CF2FD1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94</w:t>
            </w:r>
          </w:p>
        </w:tc>
        <w:tc>
          <w:tcPr>
            <w:tcW w:w="0" w:type="auto"/>
          </w:tcPr>
          <w:p w14:paraId="70E585B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175</w:t>
            </w:r>
          </w:p>
        </w:tc>
      </w:tr>
      <w:tr w:rsidR="003E0486" w:rsidRPr="003E0486" w14:paraId="41337A92" w14:textId="77777777" w:rsidTr="005562E6">
        <w:tc>
          <w:tcPr>
            <w:tcW w:w="0" w:type="auto"/>
          </w:tcPr>
          <w:p w14:paraId="2BD9DE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95</w:t>
            </w:r>
          </w:p>
        </w:tc>
        <w:tc>
          <w:tcPr>
            <w:tcW w:w="0" w:type="auto"/>
          </w:tcPr>
          <w:p w14:paraId="602D341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176</w:t>
            </w:r>
          </w:p>
        </w:tc>
      </w:tr>
      <w:tr w:rsidR="003E0486" w:rsidRPr="003E0486" w14:paraId="3877D126" w14:textId="77777777" w:rsidTr="005562E6">
        <w:tc>
          <w:tcPr>
            <w:tcW w:w="0" w:type="auto"/>
          </w:tcPr>
          <w:p w14:paraId="6EF1F95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96</w:t>
            </w:r>
          </w:p>
        </w:tc>
        <w:tc>
          <w:tcPr>
            <w:tcW w:w="0" w:type="auto"/>
          </w:tcPr>
          <w:p w14:paraId="53F6A72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177</w:t>
            </w:r>
          </w:p>
        </w:tc>
      </w:tr>
      <w:tr w:rsidR="003E0486" w:rsidRPr="003E0486" w14:paraId="69DF36ED" w14:textId="77777777" w:rsidTr="005562E6">
        <w:tc>
          <w:tcPr>
            <w:tcW w:w="0" w:type="auto"/>
          </w:tcPr>
          <w:p w14:paraId="679F5EF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97</w:t>
            </w:r>
          </w:p>
        </w:tc>
        <w:tc>
          <w:tcPr>
            <w:tcW w:w="0" w:type="auto"/>
          </w:tcPr>
          <w:p w14:paraId="680A2FF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178</w:t>
            </w:r>
          </w:p>
        </w:tc>
      </w:tr>
      <w:tr w:rsidR="003E0486" w:rsidRPr="003E0486" w14:paraId="4CBA2CD9" w14:textId="77777777" w:rsidTr="005562E6">
        <w:tc>
          <w:tcPr>
            <w:tcW w:w="0" w:type="auto"/>
          </w:tcPr>
          <w:p w14:paraId="334B094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98</w:t>
            </w:r>
          </w:p>
        </w:tc>
        <w:tc>
          <w:tcPr>
            <w:tcW w:w="0" w:type="auto"/>
          </w:tcPr>
          <w:p w14:paraId="60AFA0D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179</w:t>
            </w:r>
          </w:p>
        </w:tc>
      </w:tr>
      <w:tr w:rsidR="003E0486" w:rsidRPr="003E0486" w14:paraId="6F05F789" w14:textId="77777777" w:rsidTr="005562E6">
        <w:tc>
          <w:tcPr>
            <w:tcW w:w="0" w:type="auto"/>
          </w:tcPr>
          <w:p w14:paraId="1D576B62"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101</w:t>
            </w:r>
          </w:p>
        </w:tc>
        <w:tc>
          <w:tcPr>
            <w:tcW w:w="0" w:type="auto"/>
          </w:tcPr>
          <w:p w14:paraId="3DBF4D5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180</w:t>
            </w:r>
          </w:p>
        </w:tc>
      </w:tr>
      <w:tr w:rsidR="003E0486" w:rsidRPr="003E0486" w14:paraId="0BD05E40" w14:textId="77777777" w:rsidTr="005562E6">
        <w:tc>
          <w:tcPr>
            <w:tcW w:w="0" w:type="auto"/>
          </w:tcPr>
          <w:p w14:paraId="52F63E2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102</w:t>
            </w:r>
          </w:p>
        </w:tc>
        <w:tc>
          <w:tcPr>
            <w:tcW w:w="0" w:type="auto"/>
          </w:tcPr>
          <w:p w14:paraId="4BBC247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181</w:t>
            </w:r>
          </w:p>
        </w:tc>
      </w:tr>
      <w:tr w:rsidR="003E0486" w:rsidRPr="003E0486" w14:paraId="2FD4EEE2" w14:textId="77777777" w:rsidTr="005562E6">
        <w:tc>
          <w:tcPr>
            <w:tcW w:w="0" w:type="auto"/>
          </w:tcPr>
          <w:p w14:paraId="53BC6F6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103</w:t>
            </w:r>
          </w:p>
        </w:tc>
        <w:tc>
          <w:tcPr>
            <w:tcW w:w="0" w:type="auto"/>
          </w:tcPr>
          <w:p w14:paraId="7F09A39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182</w:t>
            </w:r>
          </w:p>
        </w:tc>
      </w:tr>
      <w:tr w:rsidR="003E0486" w:rsidRPr="003E0486" w14:paraId="751A9EC6" w14:textId="77777777" w:rsidTr="005562E6">
        <w:tc>
          <w:tcPr>
            <w:tcW w:w="0" w:type="auto"/>
          </w:tcPr>
          <w:p w14:paraId="16DD1BA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104</w:t>
            </w:r>
          </w:p>
        </w:tc>
        <w:tc>
          <w:tcPr>
            <w:tcW w:w="0" w:type="auto"/>
          </w:tcPr>
          <w:p w14:paraId="3B7AE7C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183</w:t>
            </w:r>
          </w:p>
        </w:tc>
      </w:tr>
      <w:tr w:rsidR="003E0486" w:rsidRPr="003E0486" w14:paraId="5F32B3F2" w14:textId="77777777" w:rsidTr="005562E6">
        <w:tc>
          <w:tcPr>
            <w:tcW w:w="0" w:type="auto"/>
          </w:tcPr>
          <w:p w14:paraId="1949F7D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105</w:t>
            </w:r>
          </w:p>
        </w:tc>
        <w:tc>
          <w:tcPr>
            <w:tcW w:w="0" w:type="auto"/>
          </w:tcPr>
          <w:p w14:paraId="45B5816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184</w:t>
            </w:r>
          </w:p>
        </w:tc>
      </w:tr>
      <w:tr w:rsidR="003E0486" w:rsidRPr="003E0486" w14:paraId="5D25FA52" w14:textId="77777777" w:rsidTr="005562E6">
        <w:tc>
          <w:tcPr>
            <w:tcW w:w="0" w:type="auto"/>
          </w:tcPr>
          <w:p w14:paraId="372E2F1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107</w:t>
            </w:r>
          </w:p>
        </w:tc>
        <w:tc>
          <w:tcPr>
            <w:tcW w:w="0" w:type="auto"/>
          </w:tcPr>
          <w:p w14:paraId="01D17FF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185</w:t>
            </w:r>
          </w:p>
        </w:tc>
      </w:tr>
      <w:tr w:rsidR="003E0486" w:rsidRPr="003E0486" w14:paraId="5CD24111" w14:textId="77777777" w:rsidTr="005562E6">
        <w:tc>
          <w:tcPr>
            <w:tcW w:w="0" w:type="auto"/>
          </w:tcPr>
          <w:p w14:paraId="1500F75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108</w:t>
            </w:r>
          </w:p>
        </w:tc>
        <w:tc>
          <w:tcPr>
            <w:tcW w:w="0" w:type="auto"/>
          </w:tcPr>
          <w:p w14:paraId="611E273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186</w:t>
            </w:r>
          </w:p>
        </w:tc>
      </w:tr>
      <w:tr w:rsidR="003E0486" w:rsidRPr="003E0486" w14:paraId="4C21E02F" w14:textId="77777777" w:rsidTr="005562E6">
        <w:tc>
          <w:tcPr>
            <w:tcW w:w="0" w:type="auto"/>
          </w:tcPr>
          <w:p w14:paraId="091700D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109</w:t>
            </w:r>
          </w:p>
        </w:tc>
        <w:tc>
          <w:tcPr>
            <w:tcW w:w="0" w:type="auto"/>
          </w:tcPr>
          <w:p w14:paraId="528825E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187</w:t>
            </w:r>
          </w:p>
        </w:tc>
      </w:tr>
      <w:tr w:rsidR="003E0486" w:rsidRPr="003E0486" w14:paraId="0B031B6D" w14:textId="77777777" w:rsidTr="005562E6">
        <w:tc>
          <w:tcPr>
            <w:tcW w:w="0" w:type="auto"/>
          </w:tcPr>
          <w:p w14:paraId="4AA254C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110</w:t>
            </w:r>
          </w:p>
        </w:tc>
        <w:tc>
          <w:tcPr>
            <w:tcW w:w="0" w:type="auto"/>
          </w:tcPr>
          <w:p w14:paraId="509BFB4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188</w:t>
            </w:r>
          </w:p>
        </w:tc>
      </w:tr>
      <w:tr w:rsidR="003E0486" w:rsidRPr="003E0486" w14:paraId="55ED01CD" w14:textId="77777777" w:rsidTr="005562E6">
        <w:tc>
          <w:tcPr>
            <w:tcW w:w="0" w:type="auto"/>
          </w:tcPr>
          <w:p w14:paraId="113FCF29"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Artikel 111</w:t>
            </w:r>
          </w:p>
        </w:tc>
        <w:tc>
          <w:tcPr>
            <w:tcW w:w="0" w:type="auto"/>
          </w:tcPr>
          <w:p w14:paraId="57FB11F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189</w:t>
            </w:r>
          </w:p>
        </w:tc>
      </w:tr>
      <w:tr w:rsidR="003E0486" w:rsidRPr="003E0486" w14:paraId="4085D8BB" w14:textId="77777777" w:rsidTr="005562E6">
        <w:tc>
          <w:tcPr>
            <w:tcW w:w="0" w:type="auto"/>
          </w:tcPr>
          <w:p w14:paraId="006B03D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112</w:t>
            </w:r>
          </w:p>
        </w:tc>
        <w:tc>
          <w:tcPr>
            <w:tcW w:w="0" w:type="auto"/>
          </w:tcPr>
          <w:p w14:paraId="247F3E4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190</w:t>
            </w:r>
          </w:p>
        </w:tc>
      </w:tr>
      <w:tr w:rsidR="003E0486" w:rsidRPr="003E0486" w14:paraId="5D24ECB6" w14:textId="77777777" w:rsidTr="005562E6">
        <w:tc>
          <w:tcPr>
            <w:tcW w:w="0" w:type="auto"/>
          </w:tcPr>
          <w:p w14:paraId="69D84B3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113</w:t>
            </w:r>
          </w:p>
        </w:tc>
        <w:tc>
          <w:tcPr>
            <w:tcW w:w="0" w:type="auto"/>
          </w:tcPr>
          <w:p w14:paraId="29CA9E3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191</w:t>
            </w:r>
          </w:p>
        </w:tc>
      </w:tr>
      <w:tr w:rsidR="003E0486" w:rsidRPr="003E0486" w14:paraId="47756CDF" w14:textId="77777777" w:rsidTr="005562E6">
        <w:tc>
          <w:tcPr>
            <w:tcW w:w="0" w:type="auto"/>
          </w:tcPr>
          <w:p w14:paraId="6C99F38E"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114</w:t>
            </w:r>
          </w:p>
        </w:tc>
        <w:tc>
          <w:tcPr>
            <w:tcW w:w="0" w:type="auto"/>
          </w:tcPr>
          <w:p w14:paraId="69218EF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192</w:t>
            </w:r>
          </w:p>
        </w:tc>
      </w:tr>
      <w:tr w:rsidR="003E0486" w:rsidRPr="003E0486" w14:paraId="33FB26A1" w14:textId="77777777" w:rsidTr="005562E6">
        <w:tc>
          <w:tcPr>
            <w:tcW w:w="0" w:type="auto"/>
          </w:tcPr>
          <w:p w14:paraId="7EDE7F20"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116</w:t>
            </w:r>
          </w:p>
        </w:tc>
        <w:tc>
          <w:tcPr>
            <w:tcW w:w="0" w:type="auto"/>
          </w:tcPr>
          <w:p w14:paraId="38BFDFD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193</w:t>
            </w:r>
          </w:p>
        </w:tc>
      </w:tr>
      <w:tr w:rsidR="003E0486" w:rsidRPr="003E0486" w14:paraId="2841A42E" w14:textId="77777777" w:rsidTr="005562E6">
        <w:tc>
          <w:tcPr>
            <w:tcW w:w="0" w:type="auto"/>
          </w:tcPr>
          <w:p w14:paraId="4505BB11"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117</w:t>
            </w:r>
          </w:p>
        </w:tc>
        <w:tc>
          <w:tcPr>
            <w:tcW w:w="0" w:type="auto"/>
          </w:tcPr>
          <w:p w14:paraId="07E64715"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194</w:t>
            </w:r>
          </w:p>
        </w:tc>
      </w:tr>
      <w:tr w:rsidR="003E0486" w:rsidRPr="003E0486" w14:paraId="7137D87A" w14:textId="77777777" w:rsidTr="005562E6">
        <w:tc>
          <w:tcPr>
            <w:tcW w:w="0" w:type="auto"/>
          </w:tcPr>
          <w:p w14:paraId="7944515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118</w:t>
            </w:r>
          </w:p>
        </w:tc>
        <w:tc>
          <w:tcPr>
            <w:tcW w:w="0" w:type="auto"/>
          </w:tcPr>
          <w:p w14:paraId="4CF1BEF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195</w:t>
            </w:r>
          </w:p>
        </w:tc>
      </w:tr>
      <w:tr w:rsidR="003E0486" w:rsidRPr="003E0486" w14:paraId="374C1F2F" w14:textId="77777777" w:rsidTr="005562E6">
        <w:tc>
          <w:tcPr>
            <w:tcW w:w="0" w:type="auto"/>
          </w:tcPr>
          <w:p w14:paraId="0678BCDB"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119</w:t>
            </w:r>
          </w:p>
        </w:tc>
        <w:tc>
          <w:tcPr>
            <w:tcW w:w="0" w:type="auto"/>
          </w:tcPr>
          <w:p w14:paraId="60F1CCD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196</w:t>
            </w:r>
          </w:p>
        </w:tc>
      </w:tr>
      <w:tr w:rsidR="003E0486" w:rsidRPr="003E0486" w14:paraId="1B4B7962" w14:textId="77777777" w:rsidTr="005562E6">
        <w:tc>
          <w:tcPr>
            <w:tcW w:w="0" w:type="auto"/>
          </w:tcPr>
          <w:p w14:paraId="7E55280F"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120</w:t>
            </w:r>
          </w:p>
        </w:tc>
        <w:tc>
          <w:tcPr>
            <w:tcW w:w="0" w:type="auto"/>
          </w:tcPr>
          <w:p w14:paraId="23EECD6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197</w:t>
            </w:r>
          </w:p>
        </w:tc>
      </w:tr>
      <w:tr w:rsidR="003E0486" w:rsidRPr="003E0486" w14:paraId="775A4673" w14:textId="77777777" w:rsidTr="005562E6">
        <w:tc>
          <w:tcPr>
            <w:tcW w:w="0" w:type="auto"/>
          </w:tcPr>
          <w:p w14:paraId="397C7394"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121</w:t>
            </w:r>
          </w:p>
        </w:tc>
        <w:tc>
          <w:tcPr>
            <w:tcW w:w="0" w:type="auto"/>
          </w:tcPr>
          <w:p w14:paraId="766AB97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198</w:t>
            </w:r>
          </w:p>
        </w:tc>
      </w:tr>
      <w:tr w:rsidR="003E0486" w:rsidRPr="003E0486" w14:paraId="225CFA0F" w14:textId="77777777" w:rsidTr="005562E6">
        <w:tc>
          <w:tcPr>
            <w:tcW w:w="0" w:type="auto"/>
          </w:tcPr>
          <w:p w14:paraId="5D4D8E6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124</w:t>
            </w:r>
          </w:p>
        </w:tc>
        <w:tc>
          <w:tcPr>
            <w:tcW w:w="0" w:type="auto"/>
          </w:tcPr>
          <w:p w14:paraId="035D0387" w14:textId="1541C5F7" w:rsidR="003E0486" w:rsidRPr="003E0486" w:rsidRDefault="003E0486" w:rsidP="003E0486">
            <w:pPr>
              <w:spacing w:before="120" w:after="120" w:line="360" w:lineRule="auto"/>
              <w:rPr>
                <w:szCs w:val="24"/>
                <w:lang w:val="en-GB" w:eastAsia="en-US"/>
              </w:rPr>
            </w:pPr>
            <w:r w:rsidRPr="003E0486">
              <w:rPr>
                <w:szCs w:val="24"/>
                <w:lang w:val="en-GB" w:eastAsia="en-US"/>
              </w:rPr>
              <w:t>Artikel 199</w:t>
            </w:r>
          </w:p>
        </w:tc>
      </w:tr>
      <w:tr w:rsidR="003E0486" w:rsidRPr="003E0486" w14:paraId="7E51502C" w14:textId="77777777" w:rsidTr="005562E6">
        <w:tc>
          <w:tcPr>
            <w:tcW w:w="0" w:type="auto"/>
          </w:tcPr>
          <w:p w14:paraId="63F1C4C6"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125</w:t>
            </w:r>
          </w:p>
        </w:tc>
        <w:tc>
          <w:tcPr>
            <w:tcW w:w="0" w:type="auto"/>
          </w:tcPr>
          <w:p w14:paraId="4D16CA07" w14:textId="167A1567" w:rsidR="003E0486" w:rsidRPr="003E0486" w:rsidRDefault="003E0486" w:rsidP="003E0486">
            <w:pPr>
              <w:spacing w:before="120" w:after="120" w:line="360" w:lineRule="auto"/>
              <w:rPr>
                <w:szCs w:val="24"/>
                <w:lang w:val="en-GB" w:eastAsia="en-US"/>
              </w:rPr>
            </w:pPr>
            <w:r w:rsidRPr="003E0486">
              <w:rPr>
                <w:szCs w:val="24"/>
                <w:lang w:val="en-GB" w:eastAsia="en-US"/>
              </w:rPr>
              <w:t>Artikel 200</w:t>
            </w:r>
          </w:p>
        </w:tc>
      </w:tr>
      <w:tr w:rsidR="003E0486" w:rsidRPr="003E0486" w14:paraId="661C8A57" w14:textId="77777777" w:rsidTr="005562E6">
        <w:tc>
          <w:tcPr>
            <w:tcW w:w="0" w:type="auto"/>
          </w:tcPr>
          <w:p w14:paraId="107D9BD4"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3DCFC099" w14:textId="17C5AC37" w:rsidR="003E0486" w:rsidRPr="003E0486" w:rsidRDefault="003E0486" w:rsidP="003E0486">
            <w:pPr>
              <w:spacing w:before="120" w:after="120" w:line="360" w:lineRule="auto"/>
              <w:rPr>
                <w:szCs w:val="24"/>
                <w:lang w:val="en-GB" w:eastAsia="en-US"/>
              </w:rPr>
            </w:pPr>
            <w:r w:rsidRPr="003E0486">
              <w:rPr>
                <w:szCs w:val="24"/>
                <w:lang w:val="en-GB" w:eastAsia="en-US"/>
              </w:rPr>
              <w:t>Artikel 201</w:t>
            </w:r>
          </w:p>
        </w:tc>
      </w:tr>
      <w:tr w:rsidR="003E0486" w:rsidRPr="003E0486" w14:paraId="4D2C789E" w14:textId="77777777" w:rsidTr="005562E6">
        <w:tc>
          <w:tcPr>
            <w:tcW w:w="0" w:type="auto"/>
          </w:tcPr>
          <w:p w14:paraId="6FF426DC"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483BE69" w14:textId="7C148EA5" w:rsidR="003E0486" w:rsidRPr="003E0486" w:rsidRDefault="003E0486" w:rsidP="003E0486">
            <w:pPr>
              <w:spacing w:before="120" w:after="120" w:line="360" w:lineRule="auto"/>
              <w:rPr>
                <w:szCs w:val="24"/>
                <w:lang w:val="en-GB" w:eastAsia="en-US"/>
              </w:rPr>
            </w:pPr>
            <w:r w:rsidRPr="003E0486">
              <w:rPr>
                <w:szCs w:val="24"/>
                <w:lang w:val="en-GB" w:eastAsia="en-US"/>
              </w:rPr>
              <w:t>Artikel 202</w:t>
            </w:r>
          </w:p>
        </w:tc>
      </w:tr>
      <w:tr w:rsidR="003E0486" w:rsidRPr="003E0486" w14:paraId="7DE947D0" w14:textId="77777777" w:rsidTr="005562E6">
        <w:tc>
          <w:tcPr>
            <w:tcW w:w="0" w:type="auto"/>
          </w:tcPr>
          <w:p w14:paraId="3E1C2143"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5834D557" w14:textId="1DACBDFC" w:rsidR="003E0486" w:rsidRPr="003E0486" w:rsidRDefault="003E0486" w:rsidP="003E0486">
            <w:pPr>
              <w:spacing w:before="120" w:after="120" w:line="360" w:lineRule="auto"/>
              <w:rPr>
                <w:szCs w:val="24"/>
                <w:lang w:val="en-GB" w:eastAsia="en-US"/>
              </w:rPr>
            </w:pPr>
            <w:r w:rsidRPr="003E0486">
              <w:rPr>
                <w:szCs w:val="24"/>
                <w:lang w:val="en-GB" w:eastAsia="en-US"/>
              </w:rPr>
              <w:t>Artikel 203</w:t>
            </w:r>
          </w:p>
        </w:tc>
      </w:tr>
      <w:tr w:rsidR="003E0486" w:rsidRPr="003E0486" w14:paraId="5F979AE5" w14:textId="77777777" w:rsidTr="005562E6">
        <w:tc>
          <w:tcPr>
            <w:tcW w:w="0" w:type="auto"/>
          </w:tcPr>
          <w:p w14:paraId="7974F543"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16F2118A" w14:textId="53A05C0C" w:rsidR="003E0486" w:rsidRPr="003E0486" w:rsidRDefault="003E0486" w:rsidP="003E0486">
            <w:pPr>
              <w:spacing w:before="120" w:after="120" w:line="360" w:lineRule="auto"/>
              <w:rPr>
                <w:szCs w:val="24"/>
                <w:lang w:val="en-GB" w:eastAsia="en-US"/>
              </w:rPr>
            </w:pPr>
            <w:r w:rsidRPr="003E0486">
              <w:rPr>
                <w:szCs w:val="24"/>
                <w:lang w:val="en-GB" w:eastAsia="en-US"/>
              </w:rPr>
              <w:t>Artikel 204</w:t>
            </w:r>
          </w:p>
        </w:tc>
      </w:tr>
      <w:tr w:rsidR="003E0486" w:rsidRPr="003E0486" w14:paraId="130445E7" w14:textId="77777777" w:rsidTr="005562E6">
        <w:tc>
          <w:tcPr>
            <w:tcW w:w="0" w:type="auto"/>
          </w:tcPr>
          <w:p w14:paraId="561E3322"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5F9C876D" w14:textId="4C40E750" w:rsidR="003E0486" w:rsidRPr="003E0486" w:rsidRDefault="003E0486" w:rsidP="003E0486">
            <w:pPr>
              <w:spacing w:before="120" w:after="120" w:line="360" w:lineRule="auto"/>
              <w:rPr>
                <w:szCs w:val="24"/>
                <w:lang w:val="en-GB" w:eastAsia="en-US"/>
              </w:rPr>
            </w:pPr>
            <w:r w:rsidRPr="003E0486">
              <w:rPr>
                <w:szCs w:val="24"/>
                <w:lang w:val="en-GB" w:eastAsia="en-US"/>
              </w:rPr>
              <w:t>Artikel 205</w:t>
            </w:r>
          </w:p>
        </w:tc>
      </w:tr>
      <w:tr w:rsidR="003E0486" w:rsidRPr="003E0486" w14:paraId="65D5CECF" w14:textId="77777777" w:rsidTr="005562E6">
        <w:tc>
          <w:tcPr>
            <w:tcW w:w="0" w:type="auto"/>
          </w:tcPr>
          <w:p w14:paraId="25FA7893"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4F06816" w14:textId="44E13372" w:rsidR="003E0486" w:rsidRPr="003E0486" w:rsidRDefault="003E0486" w:rsidP="003E0486">
            <w:pPr>
              <w:spacing w:before="120" w:after="120" w:line="360" w:lineRule="auto"/>
              <w:rPr>
                <w:szCs w:val="24"/>
                <w:lang w:val="en-GB" w:eastAsia="en-US"/>
              </w:rPr>
            </w:pPr>
            <w:r w:rsidRPr="003E0486">
              <w:rPr>
                <w:szCs w:val="24"/>
                <w:lang w:val="en-GB" w:eastAsia="en-US"/>
              </w:rPr>
              <w:t>Artikel 206</w:t>
            </w:r>
          </w:p>
        </w:tc>
      </w:tr>
      <w:tr w:rsidR="003E0486" w:rsidRPr="003E0486" w14:paraId="224E94D1" w14:textId="77777777" w:rsidTr="005562E6">
        <w:tc>
          <w:tcPr>
            <w:tcW w:w="0" w:type="auto"/>
          </w:tcPr>
          <w:p w14:paraId="566BCB9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06E4B62" w14:textId="4916C23C" w:rsidR="003E0486" w:rsidRPr="003E0486" w:rsidRDefault="003E0486" w:rsidP="003E0486">
            <w:pPr>
              <w:spacing w:before="120" w:after="120" w:line="360" w:lineRule="auto"/>
              <w:rPr>
                <w:szCs w:val="24"/>
                <w:lang w:val="en-GB" w:eastAsia="en-US"/>
              </w:rPr>
            </w:pPr>
            <w:r w:rsidRPr="003E0486">
              <w:rPr>
                <w:szCs w:val="24"/>
                <w:lang w:val="en-GB" w:eastAsia="en-US"/>
              </w:rPr>
              <w:t>Artikel 207</w:t>
            </w:r>
          </w:p>
        </w:tc>
      </w:tr>
      <w:tr w:rsidR="003E0486" w:rsidRPr="003E0486" w14:paraId="30C7CE37" w14:textId="77777777" w:rsidTr="005562E6">
        <w:tc>
          <w:tcPr>
            <w:tcW w:w="0" w:type="auto"/>
          </w:tcPr>
          <w:p w14:paraId="3BAFE1D4"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577676E" w14:textId="20559206" w:rsidR="003E0486" w:rsidRPr="003E0486" w:rsidRDefault="003E0486" w:rsidP="003E0486">
            <w:pPr>
              <w:spacing w:before="120" w:after="120" w:line="360" w:lineRule="auto"/>
              <w:rPr>
                <w:szCs w:val="24"/>
                <w:lang w:val="en-GB" w:eastAsia="en-US"/>
              </w:rPr>
            </w:pPr>
            <w:r w:rsidRPr="003E0486">
              <w:rPr>
                <w:szCs w:val="24"/>
                <w:lang w:val="en-GB" w:eastAsia="en-US"/>
              </w:rPr>
              <w:t>Artikel 208</w:t>
            </w:r>
          </w:p>
        </w:tc>
      </w:tr>
      <w:tr w:rsidR="003E0486" w:rsidRPr="003E0486" w14:paraId="2C073BE7" w14:textId="77777777" w:rsidTr="005562E6">
        <w:tc>
          <w:tcPr>
            <w:tcW w:w="0" w:type="auto"/>
          </w:tcPr>
          <w:p w14:paraId="7C3ED2FE"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 xml:space="preserve"> —</w:t>
            </w:r>
          </w:p>
        </w:tc>
        <w:tc>
          <w:tcPr>
            <w:tcW w:w="0" w:type="auto"/>
          </w:tcPr>
          <w:p w14:paraId="11315143" w14:textId="74ABD456"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209</w:t>
            </w:r>
          </w:p>
        </w:tc>
      </w:tr>
      <w:tr w:rsidR="003E0486" w:rsidRPr="003E0486" w14:paraId="51FEC7EA" w14:textId="77777777" w:rsidTr="005562E6">
        <w:tc>
          <w:tcPr>
            <w:tcW w:w="0" w:type="auto"/>
          </w:tcPr>
          <w:p w14:paraId="2C91C81D"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FB6C70A" w14:textId="69778245"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210</w:t>
            </w:r>
          </w:p>
        </w:tc>
      </w:tr>
      <w:tr w:rsidR="003E0486" w:rsidRPr="003E0486" w14:paraId="346029DF" w14:textId="77777777" w:rsidTr="005562E6">
        <w:tc>
          <w:tcPr>
            <w:tcW w:w="0" w:type="auto"/>
          </w:tcPr>
          <w:p w14:paraId="36482A75"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991AB2A" w14:textId="6C4E8F28"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211</w:t>
            </w:r>
          </w:p>
        </w:tc>
      </w:tr>
      <w:tr w:rsidR="003E0486" w:rsidRPr="003E0486" w14:paraId="5B87711E" w14:textId="77777777" w:rsidTr="005562E6">
        <w:tc>
          <w:tcPr>
            <w:tcW w:w="0" w:type="auto"/>
          </w:tcPr>
          <w:p w14:paraId="68333204"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F12B3C6" w14:textId="7B32DFFE"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212</w:t>
            </w:r>
          </w:p>
        </w:tc>
      </w:tr>
      <w:tr w:rsidR="003E0486" w:rsidRPr="003E0486" w14:paraId="072C48A1" w14:textId="77777777" w:rsidTr="005562E6">
        <w:tc>
          <w:tcPr>
            <w:tcW w:w="0" w:type="auto"/>
          </w:tcPr>
          <w:p w14:paraId="760B82F5"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32ABE2E5" w14:textId="392A7D51"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213</w:t>
            </w:r>
          </w:p>
        </w:tc>
      </w:tr>
      <w:tr w:rsidR="003E0486" w:rsidRPr="003E0486" w14:paraId="73DFDE7D" w14:textId="77777777" w:rsidTr="005562E6">
        <w:tc>
          <w:tcPr>
            <w:tcW w:w="0" w:type="auto"/>
          </w:tcPr>
          <w:p w14:paraId="48EB0F5F"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7CB982E7" w14:textId="29925094"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214</w:t>
            </w:r>
          </w:p>
        </w:tc>
      </w:tr>
      <w:tr w:rsidR="003E0486" w:rsidRPr="003E0486" w14:paraId="284B2D63" w14:textId="77777777" w:rsidTr="005562E6">
        <w:tc>
          <w:tcPr>
            <w:tcW w:w="0" w:type="auto"/>
          </w:tcPr>
          <w:p w14:paraId="6E6743F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AA64900" w14:textId="01545872"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215</w:t>
            </w:r>
          </w:p>
        </w:tc>
      </w:tr>
      <w:tr w:rsidR="003E0486" w:rsidRPr="003E0486" w14:paraId="403447F9" w14:textId="77777777" w:rsidTr="005562E6">
        <w:tc>
          <w:tcPr>
            <w:tcW w:w="0" w:type="auto"/>
          </w:tcPr>
          <w:p w14:paraId="67190521"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5E6BED8" w14:textId="55F65E20"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216</w:t>
            </w:r>
          </w:p>
        </w:tc>
      </w:tr>
      <w:tr w:rsidR="003E0486" w:rsidRPr="003E0486" w14:paraId="2071954D" w14:textId="77777777" w:rsidTr="005562E6">
        <w:tc>
          <w:tcPr>
            <w:tcW w:w="0" w:type="auto"/>
          </w:tcPr>
          <w:p w14:paraId="30B9FDB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A4627CB" w14:textId="141BE786"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217</w:t>
            </w:r>
          </w:p>
        </w:tc>
      </w:tr>
      <w:tr w:rsidR="003E0486" w:rsidRPr="003E0486" w14:paraId="3C0D21E3" w14:textId="77777777" w:rsidTr="005562E6">
        <w:tc>
          <w:tcPr>
            <w:tcW w:w="0" w:type="auto"/>
          </w:tcPr>
          <w:p w14:paraId="40797CCB"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FB55F13" w14:textId="10B4507B"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218</w:t>
            </w:r>
          </w:p>
        </w:tc>
      </w:tr>
      <w:tr w:rsidR="003E0486" w:rsidRPr="003E0486" w14:paraId="1E06B295" w14:textId="77777777" w:rsidTr="005562E6">
        <w:tc>
          <w:tcPr>
            <w:tcW w:w="0" w:type="auto"/>
          </w:tcPr>
          <w:p w14:paraId="5ED9CDF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4BF6807" w14:textId="036145EE"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219</w:t>
            </w:r>
          </w:p>
        </w:tc>
      </w:tr>
      <w:tr w:rsidR="003E0486" w:rsidRPr="003E0486" w14:paraId="3002BEDF" w14:textId="77777777" w:rsidTr="005562E6">
        <w:tc>
          <w:tcPr>
            <w:tcW w:w="0" w:type="auto"/>
          </w:tcPr>
          <w:p w14:paraId="01FDB009"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7C56FBB1" w14:textId="1B11C82C"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220</w:t>
            </w:r>
          </w:p>
        </w:tc>
      </w:tr>
      <w:tr w:rsidR="003E0486" w:rsidRPr="003E0486" w14:paraId="52551EF0" w14:textId="77777777" w:rsidTr="005562E6">
        <w:tc>
          <w:tcPr>
            <w:tcW w:w="0" w:type="auto"/>
          </w:tcPr>
          <w:p w14:paraId="74614E72"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540B58A9" w14:textId="6C0857B0"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221</w:t>
            </w:r>
          </w:p>
        </w:tc>
      </w:tr>
      <w:tr w:rsidR="003E0486" w:rsidRPr="003E0486" w14:paraId="625784BD" w14:textId="77777777" w:rsidTr="005562E6">
        <w:tc>
          <w:tcPr>
            <w:tcW w:w="0" w:type="auto"/>
          </w:tcPr>
          <w:p w14:paraId="2690CB55"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BD5562C" w14:textId="300C1801"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222</w:t>
            </w:r>
          </w:p>
        </w:tc>
      </w:tr>
      <w:tr w:rsidR="003E0486" w:rsidRPr="003E0486" w14:paraId="29C15E22" w14:textId="77777777" w:rsidTr="005562E6">
        <w:tc>
          <w:tcPr>
            <w:tcW w:w="0" w:type="auto"/>
          </w:tcPr>
          <w:p w14:paraId="528C2DB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6C18969" w14:textId="6B271E85"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223</w:t>
            </w:r>
          </w:p>
        </w:tc>
      </w:tr>
      <w:tr w:rsidR="003E0486" w:rsidRPr="003E0486" w14:paraId="0E420B1E" w14:textId="77777777" w:rsidTr="005562E6">
        <w:tc>
          <w:tcPr>
            <w:tcW w:w="0" w:type="auto"/>
          </w:tcPr>
          <w:p w14:paraId="7A4501C9"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4626824" w14:textId="3A065501"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224</w:t>
            </w:r>
          </w:p>
        </w:tc>
      </w:tr>
      <w:tr w:rsidR="003E0486" w:rsidRPr="003E0486" w14:paraId="2341818C" w14:textId="77777777" w:rsidTr="005562E6">
        <w:tc>
          <w:tcPr>
            <w:tcW w:w="0" w:type="auto"/>
          </w:tcPr>
          <w:p w14:paraId="16B12FCE"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2683A444" w14:textId="01CF8D5A"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225</w:t>
            </w:r>
          </w:p>
        </w:tc>
      </w:tr>
      <w:tr w:rsidR="003E0486" w:rsidRPr="003E0486" w14:paraId="7E85ADD7" w14:textId="77777777" w:rsidTr="005562E6">
        <w:tc>
          <w:tcPr>
            <w:tcW w:w="0" w:type="auto"/>
          </w:tcPr>
          <w:p w14:paraId="23139E38"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2A99353" w14:textId="33355299"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226</w:t>
            </w:r>
          </w:p>
        </w:tc>
      </w:tr>
      <w:tr w:rsidR="003E0486" w:rsidRPr="003E0486" w14:paraId="7FE4F80B" w14:textId="77777777" w:rsidTr="005562E6">
        <w:tc>
          <w:tcPr>
            <w:tcW w:w="0" w:type="auto"/>
          </w:tcPr>
          <w:p w14:paraId="696B176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C6CAAE5" w14:textId="02E61DC3"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227</w:t>
            </w:r>
          </w:p>
        </w:tc>
      </w:tr>
      <w:tr w:rsidR="003E0486" w:rsidRPr="003E0486" w14:paraId="51410A6F" w14:textId="77777777" w:rsidTr="005562E6">
        <w:tc>
          <w:tcPr>
            <w:tcW w:w="0" w:type="auto"/>
          </w:tcPr>
          <w:p w14:paraId="0E0CAA92"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6F85E29" w14:textId="7DEA87AF"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228</w:t>
            </w:r>
          </w:p>
        </w:tc>
      </w:tr>
      <w:tr w:rsidR="003E0486" w:rsidRPr="003E0486" w14:paraId="6277DC19" w14:textId="77777777" w:rsidTr="005562E6">
        <w:tc>
          <w:tcPr>
            <w:tcW w:w="0" w:type="auto"/>
          </w:tcPr>
          <w:p w14:paraId="473A1F5D"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 xml:space="preserve"> —</w:t>
            </w:r>
          </w:p>
        </w:tc>
        <w:tc>
          <w:tcPr>
            <w:tcW w:w="0" w:type="auto"/>
          </w:tcPr>
          <w:p w14:paraId="1BD200DD" w14:textId="07D1AAE8"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229</w:t>
            </w:r>
          </w:p>
        </w:tc>
      </w:tr>
      <w:tr w:rsidR="003E0486" w:rsidRPr="003E0486" w14:paraId="2D40E864" w14:textId="77777777" w:rsidTr="005562E6">
        <w:tc>
          <w:tcPr>
            <w:tcW w:w="0" w:type="auto"/>
          </w:tcPr>
          <w:p w14:paraId="2B43A5AB"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5D374AE4" w14:textId="4BFEAFF7"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230</w:t>
            </w:r>
          </w:p>
        </w:tc>
      </w:tr>
      <w:tr w:rsidR="003E0486" w:rsidRPr="003E0486" w14:paraId="5B73899A" w14:textId="77777777" w:rsidTr="005562E6">
        <w:tc>
          <w:tcPr>
            <w:tcW w:w="0" w:type="auto"/>
          </w:tcPr>
          <w:p w14:paraId="2E201CD2"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20FE6B9F" w14:textId="284C2ACA"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231</w:t>
            </w:r>
          </w:p>
        </w:tc>
      </w:tr>
      <w:tr w:rsidR="003E0486" w:rsidRPr="003E0486" w14:paraId="7C48C292" w14:textId="77777777" w:rsidTr="005562E6">
        <w:tc>
          <w:tcPr>
            <w:tcW w:w="0" w:type="auto"/>
          </w:tcPr>
          <w:p w14:paraId="7A72C6C9"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2041182A" w14:textId="101273F7"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232</w:t>
            </w:r>
          </w:p>
        </w:tc>
      </w:tr>
      <w:tr w:rsidR="003E0486" w:rsidRPr="003E0486" w14:paraId="08692D50" w14:textId="77777777" w:rsidTr="005562E6">
        <w:tc>
          <w:tcPr>
            <w:tcW w:w="0" w:type="auto"/>
          </w:tcPr>
          <w:p w14:paraId="0E5D478A"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2B8E2D36" w14:textId="6B6EBDDC"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233</w:t>
            </w:r>
          </w:p>
        </w:tc>
      </w:tr>
      <w:tr w:rsidR="003E0486" w:rsidRPr="003E0486" w14:paraId="19E03903" w14:textId="77777777" w:rsidTr="005562E6">
        <w:tc>
          <w:tcPr>
            <w:tcW w:w="0" w:type="auto"/>
          </w:tcPr>
          <w:p w14:paraId="45FC0E7C"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71C47C44" w14:textId="678F6E4E"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234</w:t>
            </w:r>
          </w:p>
        </w:tc>
      </w:tr>
      <w:tr w:rsidR="003E0486" w:rsidRPr="003E0486" w14:paraId="5D21CB7A" w14:textId="77777777" w:rsidTr="005562E6">
        <w:tc>
          <w:tcPr>
            <w:tcW w:w="0" w:type="auto"/>
          </w:tcPr>
          <w:p w14:paraId="49F7E8C1"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6A90496" w14:textId="5FC293B2"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235</w:t>
            </w:r>
          </w:p>
        </w:tc>
      </w:tr>
      <w:tr w:rsidR="003E0486" w:rsidRPr="003E0486" w14:paraId="30ECB5DA" w14:textId="77777777" w:rsidTr="005562E6">
        <w:tc>
          <w:tcPr>
            <w:tcW w:w="0" w:type="auto"/>
          </w:tcPr>
          <w:p w14:paraId="7487F11E"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E39F806" w14:textId="5C5580E2"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236</w:t>
            </w:r>
          </w:p>
        </w:tc>
      </w:tr>
      <w:tr w:rsidR="003E0486" w:rsidRPr="003E0486" w14:paraId="3BC17F3D" w14:textId="77777777" w:rsidTr="005562E6">
        <w:tc>
          <w:tcPr>
            <w:tcW w:w="0" w:type="auto"/>
          </w:tcPr>
          <w:p w14:paraId="0409447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72943BA8" w14:textId="0BFFE72E"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237</w:t>
            </w:r>
          </w:p>
        </w:tc>
      </w:tr>
      <w:tr w:rsidR="003E0486" w:rsidRPr="003E0486" w14:paraId="5C1AEA4D" w14:textId="77777777" w:rsidTr="005562E6">
        <w:tc>
          <w:tcPr>
            <w:tcW w:w="0" w:type="auto"/>
          </w:tcPr>
          <w:p w14:paraId="093B0D86"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3982704C" w14:textId="0B848243"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238</w:t>
            </w:r>
          </w:p>
        </w:tc>
      </w:tr>
      <w:tr w:rsidR="003E0486" w:rsidRPr="003E0486" w14:paraId="3B798E55" w14:textId="77777777" w:rsidTr="005562E6">
        <w:tc>
          <w:tcPr>
            <w:tcW w:w="0" w:type="auto"/>
          </w:tcPr>
          <w:p w14:paraId="0F9B6BE2"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588683C2" w14:textId="2E1C6EA3"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239</w:t>
            </w:r>
          </w:p>
        </w:tc>
      </w:tr>
      <w:tr w:rsidR="003E0486" w:rsidRPr="003E0486" w14:paraId="5AB921FD" w14:textId="77777777" w:rsidTr="005562E6">
        <w:tc>
          <w:tcPr>
            <w:tcW w:w="0" w:type="auto"/>
          </w:tcPr>
          <w:p w14:paraId="41561916"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F0D4267" w14:textId="3FB84148"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240</w:t>
            </w:r>
          </w:p>
        </w:tc>
      </w:tr>
      <w:tr w:rsidR="003E0486" w:rsidRPr="003E0486" w14:paraId="276201DD" w14:textId="77777777" w:rsidTr="005562E6">
        <w:tc>
          <w:tcPr>
            <w:tcW w:w="0" w:type="auto"/>
          </w:tcPr>
          <w:p w14:paraId="0B59C613"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E106E3E" w14:textId="027E1581"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241</w:t>
            </w:r>
          </w:p>
        </w:tc>
      </w:tr>
      <w:tr w:rsidR="003E0486" w:rsidRPr="003E0486" w14:paraId="1FDCF544" w14:textId="77777777" w:rsidTr="005562E6">
        <w:tc>
          <w:tcPr>
            <w:tcW w:w="0" w:type="auto"/>
          </w:tcPr>
          <w:p w14:paraId="75EE3DBE"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FC3A6A5" w14:textId="6C1BC3E6"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242</w:t>
            </w:r>
          </w:p>
        </w:tc>
      </w:tr>
      <w:tr w:rsidR="003E0486" w:rsidRPr="003E0486" w14:paraId="573B594D" w14:textId="77777777" w:rsidTr="005562E6">
        <w:tc>
          <w:tcPr>
            <w:tcW w:w="0" w:type="auto"/>
          </w:tcPr>
          <w:p w14:paraId="7AB9E5B3"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8AE067A" w14:textId="628234EB"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243</w:t>
            </w:r>
          </w:p>
        </w:tc>
      </w:tr>
      <w:tr w:rsidR="003E0486" w:rsidRPr="003E0486" w14:paraId="711F0D23" w14:textId="77777777" w:rsidTr="005562E6">
        <w:tc>
          <w:tcPr>
            <w:tcW w:w="0" w:type="auto"/>
          </w:tcPr>
          <w:p w14:paraId="1ADDB6CB"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6BA38BA" w14:textId="63FA89CD"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244</w:t>
            </w:r>
          </w:p>
        </w:tc>
      </w:tr>
      <w:tr w:rsidR="003E0486" w:rsidRPr="003E0486" w14:paraId="5AF29EF6" w14:textId="77777777" w:rsidTr="005562E6">
        <w:tc>
          <w:tcPr>
            <w:tcW w:w="0" w:type="auto"/>
          </w:tcPr>
          <w:p w14:paraId="4F47E23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3BD29A0" w14:textId="2261A7FB"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245</w:t>
            </w:r>
          </w:p>
        </w:tc>
      </w:tr>
      <w:tr w:rsidR="003E0486" w:rsidRPr="003E0486" w14:paraId="4C901A10" w14:textId="77777777" w:rsidTr="005562E6">
        <w:tc>
          <w:tcPr>
            <w:tcW w:w="0" w:type="auto"/>
          </w:tcPr>
          <w:p w14:paraId="28C93A48"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4ACD99BF" w14:textId="29BC3516"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246</w:t>
            </w:r>
          </w:p>
        </w:tc>
      </w:tr>
      <w:tr w:rsidR="003E0486" w:rsidRPr="003E0486" w14:paraId="5B0252C5" w14:textId="77777777" w:rsidTr="005562E6">
        <w:tc>
          <w:tcPr>
            <w:tcW w:w="0" w:type="auto"/>
          </w:tcPr>
          <w:p w14:paraId="4F44C44F"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C2BE524" w14:textId="168EC0A7"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247</w:t>
            </w:r>
          </w:p>
        </w:tc>
      </w:tr>
      <w:tr w:rsidR="003E0486" w:rsidRPr="003E0486" w14:paraId="44642451" w14:textId="77777777" w:rsidTr="005562E6">
        <w:tc>
          <w:tcPr>
            <w:tcW w:w="0" w:type="auto"/>
          </w:tcPr>
          <w:p w14:paraId="032E2E5B"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DB503EC" w14:textId="6ACD53E5"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248</w:t>
            </w:r>
          </w:p>
        </w:tc>
      </w:tr>
      <w:tr w:rsidR="003E0486" w:rsidRPr="003E0486" w14:paraId="2AFEE68C" w14:textId="77777777" w:rsidTr="005562E6">
        <w:tc>
          <w:tcPr>
            <w:tcW w:w="0" w:type="auto"/>
          </w:tcPr>
          <w:p w14:paraId="50D20F04" w14:textId="77777777" w:rsidR="003E0486" w:rsidRPr="003E0486" w:rsidRDefault="003E0486" w:rsidP="003E0486">
            <w:pPr>
              <w:spacing w:before="120" w:after="120" w:line="360" w:lineRule="auto"/>
              <w:rPr>
                <w:szCs w:val="24"/>
                <w:lang w:val="en-GB" w:eastAsia="en-US"/>
              </w:rPr>
            </w:pPr>
            <w:r w:rsidRPr="003E0486">
              <w:rPr>
                <w:szCs w:val="24"/>
                <w:lang w:val="en-GB" w:eastAsia="en-US"/>
              </w:rPr>
              <w:lastRenderedPageBreak/>
              <w:t xml:space="preserve"> —</w:t>
            </w:r>
          </w:p>
        </w:tc>
        <w:tc>
          <w:tcPr>
            <w:tcW w:w="0" w:type="auto"/>
          </w:tcPr>
          <w:p w14:paraId="2596F342" w14:textId="5F9BCEC4"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249</w:t>
            </w:r>
          </w:p>
        </w:tc>
      </w:tr>
      <w:tr w:rsidR="003E0486" w:rsidRPr="003E0486" w14:paraId="78C009C3" w14:textId="77777777" w:rsidTr="005562E6">
        <w:tc>
          <w:tcPr>
            <w:tcW w:w="0" w:type="auto"/>
          </w:tcPr>
          <w:p w14:paraId="0FDF4BD9"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46D8626" w14:textId="08DE43D1"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250</w:t>
            </w:r>
          </w:p>
        </w:tc>
      </w:tr>
      <w:tr w:rsidR="003E0486" w:rsidRPr="003E0486" w14:paraId="627CF233" w14:textId="77777777" w:rsidTr="005562E6">
        <w:tc>
          <w:tcPr>
            <w:tcW w:w="0" w:type="auto"/>
          </w:tcPr>
          <w:p w14:paraId="7A43734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08A9505F" w14:textId="0F869970"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251</w:t>
            </w:r>
          </w:p>
        </w:tc>
      </w:tr>
      <w:tr w:rsidR="003E0486" w:rsidRPr="003E0486" w14:paraId="65493E4E" w14:textId="77777777" w:rsidTr="005562E6">
        <w:tc>
          <w:tcPr>
            <w:tcW w:w="0" w:type="auto"/>
          </w:tcPr>
          <w:p w14:paraId="6E64766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1F1E37A4" w14:textId="09E02070"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252</w:t>
            </w:r>
          </w:p>
        </w:tc>
      </w:tr>
      <w:tr w:rsidR="003E0486" w:rsidRPr="003E0486" w14:paraId="00D8CBBD" w14:textId="77777777" w:rsidTr="005562E6">
        <w:tc>
          <w:tcPr>
            <w:tcW w:w="0" w:type="auto"/>
          </w:tcPr>
          <w:p w14:paraId="45E82B39"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76CF1154" w14:textId="6BF2DE23"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253</w:t>
            </w:r>
          </w:p>
        </w:tc>
      </w:tr>
      <w:tr w:rsidR="003E0486" w:rsidRPr="003E0486" w14:paraId="616B332C" w14:textId="77777777" w:rsidTr="005562E6">
        <w:tc>
          <w:tcPr>
            <w:tcW w:w="0" w:type="auto"/>
          </w:tcPr>
          <w:p w14:paraId="180CCDD5"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3E411263" w14:textId="555BF6FB"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254</w:t>
            </w:r>
          </w:p>
        </w:tc>
      </w:tr>
      <w:tr w:rsidR="003E0486" w:rsidRPr="003E0486" w14:paraId="2279C7A0" w14:textId="77777777" w:rsidTr="005562E6">
        <w:tc>
          <w:tcPr>
            <w:tcW w:w="0" w:type="auto"/>
          </w:tcPr>
          <w:p w14:paraId="689700FD" w14:textId="77777777" w:rsidR="003E0486" w:rsidRPr="003E0486" w:rsidRDefault="003E0486" w:rsidP="003E0486">
            <w:pPr>
              <w:spacing w:before="120" w:after="120" w:line="360" w:lineRule="auto"/>
              <w:rPr>
                <w:szCs w:val="24"/>
                <w:lang w:val="en-GB" w:eastAsia="en-US"/>
              </w:rPr>
            </w:pPr>
            <w:r w:rsidRPr="003E0486">
              <w:rPr>
                <w:szCs w:val="24"/>
                <w:lang w:val="en-GB" w:eastAsia="en-US"/>
              </w:rPr>
              <w:t>—</w:t>
            </w:r>
          </w:p>
        </w:tc>
        <w:tc>
          <w:tcPr>
            <w:tcW w:w="0" w:type="auto"/>
          </w:tcPr>
          <w:p w14:paraId="040DDA3B" w14:textId="71A20D86"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255</w:t>
            </w:r>
          </w:p>
        </w:tc>
      </w:tr>
      <w:tr w:rsidR="003E0486" w:rsidRPr="003E0486" w14:paraId="15CFC126" w14:textId="77777777" w:rsidTr="005562E6">
        <w:tc>
          <w:tcPr>
            <w:tcW w:w="0" w:type="auto"/>
          </w:tcPr>
          <w:p w14:paraId="34EC15D3"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600E0B2E" w14:textId="6E0308A4"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256</w:t>
            </w:r>
          </w:p>
        </w:tc>
      </w:tr>
      <w:tr w:rsidR="003E0486" w:rsidRPr="003E0486" w14:paraId="04D82117" w14:textId="77777777" w:rsidTr="005562E6">
        <w:tc>
          <w:tcPr>
            <w:tcW w:w="0" w:type="auto"/>
          </w:tcPr>
          <w:p w14:paraId="5E3195AF"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2F485456" w14:textId="2040012A"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257</w:t>
            </w:r>
          </w:p>
        </w:tc>
      </w:tr>
      <w:tr w:rsidR="003E0486" w:rsidRPr="003E0486" w14:paraId="01442295" w14:textId="77777777" w:rsidTr="005562E6">
        <w:tc>
          <w:tcPr>
            <w:tcW w:w="0" w:type="auto"/>
          </w:tcPr>
          <w:p w14:paraId="727A2B85"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w:t>
            </w:r>
          </w:p>
        </w:tc>
        <w:tc>
          <w:tcPr>
            <w:tcW w:w="0" w:type="auto"/>
          </w:tcPr>
          <w:p w14:paraId="53E4880C" w14:textId="184A843C" w:rsidR="003E0486" w:rsidRPr="003E0486" w:rsidRDefault="00F81E42" w:rsidP="003E0486">
            <w:pPr>
              <w:spacing w:before="120" w:after="120" w:line="360" w:lineRule="auto"/>
              <w:rPr>
                <w:szCs w:val="24"/>
                <w:lang w:val="en-GB" w:eastAsia="en-US"/>
              </w:rPr>
            </w:pPr>
            <w:r>
              <w:rPr>
                <w:szCs w:val="24"/>
                <w:lang w:val="en-GB" w:eastAsia="en-US"/>
              </w:rPr>
              <w:t>Artikel</w:t>
            </w:r>
            <w:r w:rsidR="003E0486" w:rsidRPr="003E0486">
              <w:rPr>
                <w:szCs w:val="24"/>
                <w:lang w:val="en-GB" w:eastAsia="en-US"/>
              </w:rPr>
              <w:t xml:space="preserve"> 258</w:t>
            </w:r>
          </w:p>
        </w:tc>
      </w:tr>
      <w:tr w:rsidR="003E0486" w:rsidRPr="003E0486" w14:paraId="20B79D41" w14:textId="77777777" w:rsidTr="005562E6">
        <w:tc>
          <w:tcPr>
            <w:tcW w:w="0" w:type="auto"/>
          </w:tcPr>
          <w:p w14:paraId="2DEF6906"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53</w:t>
            </w:r>
          </w:p>
        </w:tc>
        <w:tc>
          <w:tcPr>
            <w:tcW w:w="0" w:type="auto"/>
          </w:tcPr>
          <w:p w14:paraId="549CDC2D" w14:textId="3D119625" w:rsidR="003E0486" w:rsidRPr="003E0486" w:rsidRDefault="003E0486" w:rsidP="003E0486">
            <w:pPr>
              <w:spacing w:before="120" w:after="120" w:line="360" w:lineRule="auto"/>
              <w:rPr>
                <w:szCs w:val="24"/>
                <w:lang w:val="en-GB" w:eastAsia="en-US"/>
              </w:rPr>
            </w:pPr>
            <w:r w:rsidRPr="003E0486">
              <w:rPr>
                <w:szCs w:val="24"/>
                <w:lang w:val="en-GB" w:eastAsia="en-US"/>
              </w:rPr>
              <w:t>Artikel 259</w:t>
            </w:r>
          </w:p>
        </w:tc>
      </w:tr>
      <w:tr w:rsidR="003E0486" w:rsidRPr="003E0486" w14:paraId="64ABE76A" w14:textId="77777777" w:rsidTr="005562E6">
        <w:tc>
          <w:tcPr>
            <w:tcW w:w="0" w:type="auto"/>
          </w:tcPr>
          <w:p w14:paraId="3F187BD0"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56</w:t>
            </w:r>
          </w:p>
        </w:tc>
        <w:tc>
          <w:tcPr>
            <w:tcW w:w="0" w:type="auto"/>
          </w:tcPr>
          <w:p w14:paraId="2952B30E" w14:textId="02B32575" w:rsidR="003E0486" w:rsidRPr="003E0486" w:rsidRDefault="003E0486" w:rsidP="003E0486">
            <w:pPr>
              <w:spacing w:before="120" w:after="120" w:line="360" w:lineRule="auto"/>
              <w:rPr>
                <w:szCs w:val="24"/>
                <w:lang w:val="en-GB" w:eastAsia="en-US"/>
              </w:rPr>
            </w:pPr>
            <w:r w:rsidRPr="003E0486">
              <w:rPr>
                <w:szCs w:val="24"/>
                <w:lang w:val="en-GB" w:eastAsia="en-US"/>
              </w:rPr>
              <w:t>Artikel 260</w:t>
            </w:r>
          </w:p>
        </w:tc>
      </w:tr>
      <w:tr w:rsidR="003E0486" w:rsidRPr="003E0486" w14:paraId="147FE326" w14:textId="77777777" w:rsidTr="005562E6">
        <w:tc>
          <w:tcPr>
            <w:tcW w:w="0" w:type="auto"/>
          </w:tcPr>
          <w:p w14:paraId="31D9CAB7" w14:textId="77777777" w:rsidR="003E0486" w:rsidRPr="003E0486" w:rsidRDefault="003E0486" w:rsidP="003E0486">
            <w:pPr>
              <w:spacing w:before="120" w:after="120" w:line="360" w:lineRule="auto"/>
              <w:rPr>
                <w:szCs w:val="24"/>
                <w:lang w:val="en-GB" w:eastAsia="en-US"/>
              </w:rPr>
            </w:pPr>
            <w:r w:rsidRPr="003E0486">
              <w:rPr>
                <w:szCs w:val="24"/>
                <w:lang w:val="en-GB" w:eastAsia="en-US"/>
              </w:rPr>
              <w:t xml:space="preserve"> Artikel 284</w:t>
            </w:r>
          </w:p>
        </w:tc>
        <w:tc>
          <w:tcPr>
            <w:tcW w:w="0" w:type="auto"/>
          </w:tcPr>
          <w:p w14:paraId="0B4295F7" w14:textId="6AC9CECF" w:rsidR="003E0486" w:rsidRPr="003E0486" w:rsidRDefault="003E0486" w:rsidP="003E0486">
            <w:pPr>
              <w:spacing w:before="120" w:after="120" w:line="360" w:lineRule="auto"/>
              <w:rPr>
                <w:szCs w:val="24"/>
                <w:lang w:val="en-GB" w:eastAsia="en-US"/>
              </w:rPr>
            </w:pPr>
            <w:r w:rsidRPr="003E0486">
              <w:rPr>
                <w:szCs w:val="24"/>
                <w:lang w:val="en-GB" w:eastAsia="en-US"/>
              </w:rPr>
              <w:t>Artikel 261</w:t>
            </w:r>
          </w:p>
        </w:tc>
      </w:tr>
      <w:tr w:rsidR="003E0486" w:rsidRPr="003E0486" w14:paraId="2ECA9A3E" w14:textId="77777777" w:rsidTr="005562E6">
        <w:tc>
          <w:tcPr>
            <w:tcW w:w="0" w:type="auto"/>
          </w:tcPr>
          <w:p w14:paraId="0939E80C"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285</w:t>
            </w:r>
          </w:p>
        </w:tc>
        <w:tc>
          <w:tcPr>
            <w:tcW w:w="0" w:type="auto"/>
          </w:tcPr>
          <w:p w14:paraId="0D87D387"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262</w:t>
            </w:r>
          </w:p>
        </w:tc>
      </w:tr>
      <w:tr w:rsidR="003E0486" w:rsidRPr="003E0486" w14:paraId="4D58CBF9" w14:textId="77777777" w:rsidTr="005562E6">
        <w:tc>
          <w:tcPr>
            <w:tcW w:w="0" w:type="auto"/>
          </w:tcPr>
          <w:p w14:paraId="2D8BF8D8"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286</w:t>
            </w:r>
          </w:p>
        </w:tc>
        <w:tc>
          <w:tcPr>
            <w:tcW w:w="0" w:type="auto"/>
          </w:tcPr>
          <w:p w14:paraId="6DD63269"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263</w:t>
            </w:r>
          </w:p>
        </w:tc>
      </w:tr>
      <w:tr w:rsidR="003E0486" w:rsidRPr="003E0486" w14:paraId="399265DB" w14:textId="77777777" w:rsidTr="005562E6">
        <w:tc>
          <w:tcPr>
            <w:tcW w:w="0" w:type="auto"/>
          </w:tcPr>
          <w:p w14:paraId="6295E39A"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287</w:t>
            </w:r>
          </w:p>
        </w:tc>
        <w:tc>
          <w:tcPr>
            <w:tcW w:w="0" w:type="auto"/>
          </w:tcPr>
          <w:p w14:paraId="2B49641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264</w:t>
            </w:r>
          </w:p>
        </w:tc>
      </w:tr>
      <w:tr w:rsidR="003E0486" w:rsidRPr="003E0486" w14:paraId="18C4E37A" w14:textId="77777777" w:rsidTr="005562E6">
        <w:tc>
          <w:tcPr>
            <w:tcW w:w="0" w:type="auto"/>
          </w:tcPr>
          <w:p w14:paraId="405A5AAD"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288</w:t>
            </w:r>
          </w:p>
        </w:tc>
        <w:tc>
          <w:tcPr>
            <w:tcW w:w="0" w:type="auto"/>
          </w:tcPr>
          <w:p w14:paraId="655569B3" w14:textId="77777777" w:rsidR="003E0486" w:rsidRPr="003E0486" w:rsidRDefault="003E0486" w:rsidP="003E0486">
            <w:pPr>
              <w:spacing w:before="120" w:after="120" w:line="360" w:lineRule="auto"/>
              <w:rPr>
                <w:szCs w:val="24"/>
                <w:lang w:val="en-GB" w:eastAsia="en-US"/>
              </w:rPr>
            </w:pPr>
            <w:r w:rsidRPr="003E0486">
              <w:rPr>
                <w:szCs w:val="24"/>
                <w:lang w:val="en-GB" w:eastAsia="en-US"/>
              </w:rPr>
              <w:t>Artikel 265</w:t>
            </w:r>
          </w:p>
        </w:tc>
      </w:tr>
    </w:tbl>
    <w:p w14:paraId="3BC81CB5" w14:textId="77777777" w:rsidR="003038CF" w:rsidRPr="002E5BC0" w:rsidRDefault="003038CF"/>
    <w:sectPr w:rsidR="003038CF" w:rsidRPr="002E5BC0" w:rsidSect="002E5B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0C7FD" w14:textId="77777777" w:rsidR="00AA7064" w:rsidRPr="002E5BC0" w:rsidRDefault="00AA7064">
      <w:r w:rsidRPr="002E5BC0">
        <w:separator/>
      </w:r>
    </w:p>
  </w:endnote>
  <w:endnote w:type="continuationSeparator" w:id="0">
    <w:p w14:paraId="075EF6FF" w14:textId="77777777" w:rsidR="00AA7064" w:rsidRPr="002E5BC0" w:rsidRDefault="00AA7064">
      <w:r w:rsidRPr="002E5B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B4AB" w14:textId="77777777" w:rsidR="00AA7064" w:rsidRDefault="00AA706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F6BF8" w14:textId="77777777" w:rsidR="00AA7064" w:rsidRDefault="00AA706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9D945" w14:textId="77777777" w:rsidR="00AA7064" w:rsidRPr="002E5BC0" w:rsidRDefault="00AA7064">
      <w:r w:rsidRPr="002E5BC0">
        <w:separator/>
      </w:r>
    </w:p>
  </w:footnote>
  <w:footnote w:type="continuationSeparator" w:id="0">
    <w:p w14:paraId="34F86F1E" w14:textId="77777777" w:rsidR="00AA7064" w:rsidRPr="002E5BC0" w:rsidRDefault="00AA7064">
      <w:r w:rsidRPr="002E5BC0">
        <w:continuationSeparator/>
      </w:r>
    </w:p>
  </w:footnote>
  <w:footnote w:id="1">
    <w:p w14:paraId="52865824" w14:textId="77777777" w:rsidR="00AA7064" w:rsidRPr="00C87DD0" w:rsidRDefault="00AA7064" w:rsidP="00847D5D">
      <w:pPr>
        <w:pStyle w:val="FootnoteText"/>
        <w:ind w:left="567" w:hanging="567"/>
        <w:rPr>
          <w:sz w:val="24"/>
          <w:szCs w:val="24"/>
          <w:lang w:val="fi-FI"/>
        </w:rPr>
      </w:pPr>
      <w:r w:rsidRPr="001B3E7E">
        <w:rPr>
          <w:rStyle w:val="FootnoteReference"/>
          <w:sz w:val="24"/>
          <w:szCs w:val="24"/>
          <w:lang w:val="da-DK"/>
        </w:rPr>
        <w:footnoteRef/>
      </w:r>
      <w:r w:rsidRPr="00C87DD0">
        <w:rPr>
          <w:sz w:val="24"/>
          <w:szCs w:val="24"/>
          <w:lang w:val="fi-FI"/>
        </w:rPr>
        <w:t xml:space="preserve"> </w:t>
      </w:r>
      <w:r w:rsidRPr="00C87DD0">
        <w:rPr>
          <w:sz w:val="24"/>
          <w:szCs w:val="24"/>
          <w:lang w:val="fi-FI"/>
        </w:rPr>
        <w:tab/>
      </w:r>
      <w:r w:rsidRPr="001B3E7E">
        <w:rPr>
          <w:sz w:val="24"/>
          <w:szCs w:val="24"/>
          <w:lang w:val="fi-FI"/>
        </w:rPr>
        <w:t>EUT C, C/2023/864, 08.12.2023, ELI: http://data.europa.eu/eli/C/2023/864/oj</w:t>
      </w:r>
      <w:r w:rsidRPr="00461D8B">
        <w:rPr>
          <w:sz w:val="24"/>
          <w:szCs w:val="24"/>
          <w:lang w:val="fi-FI"/>
        </w:rPr>
        <w:t>.</w:t>
      </w:r>
    </w:p>
  </w:footnote>
  <w:footnote w:id="2">
    <w:p w14:paraId="3C936E7C" w14:textId="77777777" w:rsidR="00AA7064" w:rsidRPr="003E0486" w:rsidRDefault="00AA7064" w:rsidP="003E0486">
      <w:pPr>
        <w:pStyle w:val="FootnoteTextForceStyle"/>
        <w:rPr>
          <w:lang w:val="da-DK"/>
        </w:rPr>
      </w:pPr>
      <w:r>
        <w:rPr>
          <w:vertAlign w:val="superscript"/>
        </w:rPr>
        <w:footnoteRef/>
      </w:r>
      <w:r w:rsidRPr="003E0486">
        <w:rPr>
          <w:lang w:val="da-DK"/>
        </w:rPr>
        <w:tab/>
        <w:t>EUT C […] af […], s. […].</w:t>
      </w:r>
    </w:p>
  </w:footnote>
  <w:footnote w:id="3">
    <w:p w14:paraId="7F026495"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nr. 952/2013 af 9. oktober 2013 om EU-toldkodeksen (omarbejdning) (EUT L 269 af 10.10.2013, s. 1).</w:t>
      </w:r>
    </w:p>
  </w:footnote>
  <w:footnote w:id="4">
    <w:p w14:paraId="19D9AAA8"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forordning (EU) 2019/1020 af 20. juni 2019 om markedsovervågning og produktoverensstemmelse og om ændring af direktiv 2004/42/EF og forordning (EF) nr. 765/2008 og (EU) nr. 305/2011 (EUT L 169 af 25.6.2019, s. 1).</w:t>
      </w:r>
    </w:p>
  </w:footnote>
  <w:footnote w:id="5">
    <w:p w14:paraId="4E74B2B1" w14:textId="77777777" w:rsidR="00AA7064" w:rsidRPr="003E0486" w:rsidRDefault="00AA7064" w:rsidP="003E0486">
      <w:pPr>
        <w:pStyle w:val="FootnoteTextForceStyle"/>
        <w:rPr>
          <w:lang w:val="da-DK"/>
        </w:rPr>
      </w:pPr>
      <w:r>
        <w:rPr>
          <w:vertAlign w:val="superscript"/>
        </w:rPr>
        <w:footnoteRef/>
      </w:r>
      <w:r w:rsidRPr="003E0486">
        <w:rPr>
          <w:lang w:val="da-DK"/>
        </w:rPr>
        <w:tab/>
        <w:t>Den Europæiske Revisionsret, Særberetning nr. 4/2021: Toldkontrol: Utilstrækkelig harmonisering skader EU's finansielle interesser.</w:t>
      </w:r>
    </w:p>
  </w:footnote>
  <w:footnote w:id="6">
    <w:p w14:paraId="6DF80AF6" w14:textId="4D80FB16" w:rsidR="00AA7064" w:rsidRPr="003E0486" w:rsidRDefault="00AA7064" w:rsidP="003E0486">
      <w:pPr>
        <w:pStyle w:val="FootnoteTextForceStyle"/>
        <w:rPr>
          <w:lang w:val="da-DK"/>
        </w:rPr>
      </w:pPr>
      <w:r>
        <w:rPr>
          <w:vertAlign w:val="superscript"/>
        </w:rPr>
        <w:footnoteRef/>
      </w:r>
      <w:r w:rsidRPr="003E0486">
        <w:rPr>
          <w:lang w:val="da-DK"/>
        </w:rPr>
        <w:tab/>
        <w:t xml:space="preserve">[Publikationskontoret: Indsæt i teksten venligst nummeret på] Kommissionens delegerede forordning (EU) 2023/... af </w:t>
      </w:r>
      <w:r>
        <w:rPr>
          <w:lang w:val="da-DK"/>
        </w:rPr>
        <w:t>...</w:t>
      </w:r>
      <w:r w:rsidRPr="003E0486">
        <w:rPr>
          <w:lang w:val="da-DK"/>
        </w:rPr>
        <w:t xml:space="preserve"> om ændring af delegeret forordning (EU) 2015/2446 for så vidt angår afgørelser vedrørende bindende oplysninger på området toldværdiansættelse og afgørelser vedrørende bindende oprindelsesoplysninger) [og indsæt nummeret, datoen, titlen og EUT-referencen for nævnte delegerede forordning i denne fodnote].</w:t>
      </w:r>
    </w:p>
  </w:footnote>
  <w:footnote w:id="7">
    <w:p w14:paraId="5FC97753" w14:textId="682D494B" w:rsidR="00AA7064" w:rsidRPr="003E0486" w:rsidRDefault="00AA7064" w:rsidP="003E0486">
      <w:pPr>
        <w:pStyle w:val="FootnoteTextForceStyle"/>
        <w:rPr>
          <w:lang w:val="da-DK"/>
        </w:rPr>
      </w:pPr>
      <w:r>
        <w:rPr>
          <w:vertAlign w:val="superscript"/>
        </w:rPr>
        <w:footnoteRef/>
      </w:r>
      <w:r w:rsidRPr="003E0486">
        <w:rPr>
          <w:lang w:val="da-DK"/>
        </w:rPr>
        <w:tab/>
        <w:t>Rådets gennemførelsesforordning (EU) nr. 282/2011 af 15. marts 2011 om foranstaltninger til gennemførelse af direktiv 2006/112/EF om det fælles merværdiafgiftssystem (EUT L 77 af 23.3.2011, s. 1).</w:t>
      </w:r>
    </w:p>
  </w:footnote>
  <w:footnote w:id="8">
    <w:p w14:paraId="4EF3A403"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Kommissionens henstilling 2003/361/EF af 6. maj 2003 om definitionen af mikrovirksomheder, små og mellemstore virksomheder (EUT L 124 af 20.5.2003, s. 36).</w:t>
      </w:r>
    </w:p>
  </w:footnote>
  <w:footnote w:id="9">
    <w:p w14:paraId="73E7E067" w14:textId="77777777" w:rsidR="00AA7064" w:rsidRPr="003E0486" w:rsidRDefault="00AA7064" w:rsidP="003E0486">
      <w:pPr>
        <w:pStyle w:val="FootnoteTextForceStyle"/>
        <w:rPr>
          <w:lang w:val="da-DK"/>
        </w:rPr>
      </w:pPr>
      <w:r>
        <w:rPr>
          <w:vertAlign w:val="superscript"/>
        </w:rPr>
        <w:footnoteRef/>
      </w:r>
      <w:r w:rsidRPr="003E0486">
        <w:rPr>
          <w:lang w:val="da-DK"/>
        </w:rPr>
        <w:tab/>
        <w:t>Sag T‑81/22 (EUT C 148 af 4.4.2022).</w:t>
      </w:r>
    </w:p>
  </w:footnote>
  <w:footnote w:id="10">
    <w:p w14:paraId="2198BD0A" w14:textId="00875C38" w:rsidR="00AA7064" w:rsidRPr="003E0486" w:rsidRDefault="00AA7064" w:rsidP="003E0486">
      <w:pPr>
        <w:pStyle w:val="FootnoteTextForceStyle"/>
        <w:rPr>
          <w:lang w:val="da-DK"/>
        </w:rPr>
      </w:pPr>
      <w:r>
        <w:rPr>
          <w:vertAlign w:val="superscript"/>
        </w:rPr>
        <w:footnoteRef/>
      </w:r>
      <w:r w:rsidRPr="003E0486">
        <w:rPr>
          <w:lang w:val="da-DK"/>
        </w:rPr>
        <w:tab/>
        <w:t>[Publikationskontoret: I teksten indsættes nummeret på forordningen i dokumentet COM</w:t>
      </w:r>
      <w:r>
        <w:rPr>
          <w:lang w:val="da-DK"/>
        </w:rPr>
        <w:t>(</w:t>
      </w:r>
      <w:r w:rsidRPr="003E0486">
        <w:rPr>
          <w:lang w:val="da-DK"/>
        </w:rPr>
        <w:t>2022</w:t>
      </w:r>
      <w:r>
        <w:rPr>
          <w:lang w:val="da-DK"/>
        </w:rPr>
        <w:t>)0</w:t>
      </w:r>
      <w:r w:rsidRPr="003E0486">
        <w:rPr>
          <w:lang w:val="da-DK"/>
        </w:rPr>
        <w:t>720 — 2022/0379(COD) og i denne fodnote indsættes nummeret, datoen, titlen og EUT-referencen.] Europa-Parlamentets og Rådets forordning (EU) ..</w:t>
      </w:r>
      <w:r>
        <w:rPr>
          <w:lang w:val="da-DK"/>
        </w:rPr>
        <w:t>.</w:t>
      </w:r>
      <w:r w:rsidRPr="003E0486">
        <w:rPr>
          <w:lang w:val="da-DK"/>
        </w:rPr>
        <w:t>/… om foranstaltninger til sikring af et højt niveau af interoperabilitet i den offentlige sektor i hele Unionen ("forordningen om et interoperabelt Europa") [COM</w:t>
      </w:r>
      <w:r>
        <w:rPr>
          <w:lang w:val="da-DK"/>
        </w:rPr>
        <w:t>(</w:t>
      </w:r>
      <w:r w:rsidRPr="003E0486">
        <w:rPr>
          <w:lang w:val="da-DK"/>
        </w:rPr>
        <w:t>2022</w:t>
      </w:r>
      <w:r>
        <w:rPr>
          <w:lang w:val="da-DK"/>
        </w:rPr>
        <w:t>)0</w:t>
      </w:r>
      <w:r w:rsidRPr="003E0486">
        <w:rPr>
          <w:lang w:val="da-DK"/>
        </w:rPr>
        <w:t>720 — 2022/0379(COD)] (EUT L ..</w:t>
      </w:r>
      <w:r>
        <w:rPr>
          <w:lang w:val="da-DK"/>
        </w:rPr>
        <w:t>.</w:t>
      </w:r>
      <w:r w:rsidRPr="003E0486">
        <w:rPr>
          <w:lang w:val="da-DK"/>
        </w:rPr>
        <w:t xml:space="preserve"> af …</w:t>
      </w:r>
      <w:r>
        <w:rPr>
          <w:lang w:val="da-DK"/>
        </w:rPr>
        <w:t xml:space="preserve"> </w:t>
      </w:r>
      <w:r w:rsidRPr="003E0486">
        <w:rPr>
          <w:lang w:val="da-DK"/>
        </w:rPr>
        <w:t>2023, s. ).</w:t>
      </w:r>
    </w:p>
  </w:footnote>
  <w:footnote w:id="11">
    <w:p w14:paraId="7B98F894" w14:textId="044F8517" w:rsidR="00AA7064" w:rsidRPr="003E0486" w:rsidRDefault="00AA7064" w:rsidP="003E0486">
      <w:pPr>
        <w:pStyle w:val="FootnoteTextForceStyle"/>
        <w:rPr>
          <w:lang w:val="da-DK"/>
        </w:rPr>
      </w:pPr>
      <w:r>
        <w:rPr>
          <w:vertAlign w:val="superscript"/>
        </w:rPr>
        <w:footnoteRef/>
      </w:r>
      <w:r w:rsidRPr="003E0486">
        <w:rPr>
          <w:lang w:val="da-DK"/>
        </w:rPr>
        <w:tab/>
        <w:t>Meddelelse fra Kommissionen til Europa-Parlamentet, Rådet, Det Europæiske Økonomiske og Sociale Udvalg og Regionsudvalget: Den europæiske interoperabilitetsramme — strategi for gennemførelse (COM</w:t>
      </w:r>
      <w:r>
        <w:rPr>
          <w:lang w:val="da-DK"/>
        </w:rPr>
        <w:t>(</w:t>
      </w:r>
      <w:r w:rsidRPr="003E0486">
        <w:rPr>
          <w:lang w:val="da-DK"/>
        </w:rPr>
        <w:t>2017</w:t>
      </w:r>
      <w:r>
        <w:rPr>
          <w:lang w:val="da-DK"/>
        </w:rPr>
        <w:t>)</w:t>
      </w:r>
      <w:r w:rsidRPr="003E0486">
        <w:rPr>
          <w:lang w:val="da-DK"/>
        </w:rPr>
        <w:t>0134).</w:t>
      </w:r>
    </w:p>
  </w:footnote>
  <w:footnote w:id="12">
    <w:p w14:paraId="36853EB3"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w:t>
      </w:r>
    </w:p>
  </w:footnote>
  <w:footnote w:id="13">
    <w:p w14:paraId="30C33976" w14:textId="77777777" w:rsidR="00AA7064" w:rsidRPr="003E0486" w:rsidRDefault="00AA7064" w:rsidP="003E0486">
      <w:pPr>
        <w:pStyle w:val="FootnoteTextForceStyle"/>
        <w:rPr>
          <w:lang w:val="da-DK"/>
        </w:rPr>
      </w:pPr>
      <w:r>
        <w:rPr>
          <w:vertAlign w:val="superscript"/>
        </w:rPr>
        <w:footnoteRef/>
      </w:r>
      <w:r w:rsidRPr="003E0486">
        <w:rPr>
          <w:lang w:val="da-DK"/>
        </w:rPr>
        <w:tab/>
        <w:t>Rådets forordning (EF) nr. 515/97 af 13. marts 1997 om gensidig bistand mellem medlemsstaternes administrative myndigheder og om samarbejde mellem disse og Kommissionen med henblik på at sikre den rette anvendelse af told- og landbrugsbestemmelserne (EFT L 82 af 22.3.1997, s. 1).</w:t>
      </w:r>
    </w:p>
  </w:footnote>
  <w:footnote w:id="14">
    <w:p w14:paraId="4C8034F0"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2017/625 af 15. marts 2017 om offentlig kontrol og andre officielle aktiviteter med henblik på at sikre anvendelsen af fødevare- og foderlovgivningen og reglerne for dyresundhed og dyrevelfærd, plantesundhed og plantebeskyttelsesmidler, om ændring af Europa-Parlamentets og Rådets forordning (EF) nr. 999/2001, (EF) nr. 396/2005, (EF) nr. 1069/2009, (EF) nr. 1107/2009, (EU) nr. 1151/2012, (EU) nr. 652/2014, (EU) 2016/429 og (EU) 2016/2031, Rådets forordning (EF) nr. 1/2005 og (EF) nr. 1099/2009 samt Rådets direktiv 98/58/EF, 1999/74/EF, 2007/43/EF, 2008/119/EF og 2008/120/EF og om ophævelse af Europa-Parlamentets og Rådets forordning (EF) nr. 854/2004 og (EF) nr. 882/2004, Rådets direktiv 89/608/EØF, 89/662/EØF, 90/425/EØF, 91/496/EØF, 96/23/EF, 96/93/EF og 97/78/EF og Rådets afgørelse 92/438/EØF (forordningen om offentlig kontrol) (EUT L 95 af 7.4.2017, s. 1).</w:t>
      </w:r>
    </w:p>
  </w:footnote>
  <w:footnote w:id="15">
    <w:p w14:paraId="6D7BC98E"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2016/794 af 11. maj 2016 om Den Europæiske Unions Agentur for Retshåndhævelsessamarbejde (Europol) og om erstatning og ophævelse af Rådets afgørelse 2009/371/RIA, 2009/934/RIA, 2009/935/RIA, 2009/936/RIA og 2009/968/RIA (EUT L 135 af 24.5.2016, s. 53).</w:t>
      </w:r>
    </w:p>
  </w:footnote>
  <w:footnote w:id="16">
    <w:p w14:paraId="40F03BC8"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Rådets forordning (EU) 2017/1939 af 12. oktober 2017 om gennemførelse af et forstærket samarbejde om oprettelse af Den Europæiske Anklagemyndighed ("EPPO") (EUT L 283 af 31.10.2017, s. 1).</w:t>
      </w:r>
    </w:p>
  </w:footnote>
  <w:footnote w:id="17">
    <w:p w14:paraId="5B323069"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forordning (EU) 2022/2399 af 23. november 2022 om oprettelse af Den Europæiske Unions kvikskrankemiljø på toldområdet og om ændring af forordning (EU) nr. 952/2013 (EUT L 317 af 9.12.2022, s. 1).</w:t>
      </w:r>
    </w:p>
  </w:footnote>
  <w:footnote w:id="18">
    <w:p w14:paraId="2F78144C"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forordning (EU) nr. 910/2014 af 23. juli 2014 om elektronisk identifikation og tillidstjenester til brug for elektroniske transaktioner på det indre marked og om ophævelse af direktiv 1999/93/EF (EUT L 257 af 28.8.2014, s. 73).</w:t>
      </w:r>
    </w:p>
  </w:footnote>
  <w:footnote w:id="19">
    <w:p w14:paraId="2CAF6D85"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forordning (EU) 2018/1724 af 2. oktober 2018 om oprettelse af en fælles digital portal, der giver adgang til oplysninger, procedurer og bistands- og problemløsningstjenester, og om ændring af forordning (EU) nr. 1024/2012 (EUT L 295 af 21.11.2018, s. 1).</w:t>
      </w:r>
    </w:p>
  </w:footnote>
  <w:footnote w:id="20">
    <w:p w14:paraId="61094CD9"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forordning (EU) 2019/1239 af 20. juni 2019 om oprettelse af et europæisk søfartsmiljø med ét kontaktpunkt og om ophævelse af direktiv 2010/65/EU (EUT L 198 af 25.7.2019, s. 64).</w:t>
      </w:r>
    </w:p>
  </w:footnote>
  <w:footnote w:id="21">
    <w:p w14:paraId="3CD61040" w14:textId="77777777" w:rsidR="00AA7064" w:rsidRPr="003E0486" w:rsidRDefault="00AA7064" w:rsidP="003E0486">
      <w:pPr>
        <w:pStyle w:val="FootnoteTextForceStyle"/>
        <w:rPr>
          <w:lang w:val="da-DK"/>
        </w:rPr>
      </w:pPr>
      <w:r>
        <w:rPr>
          <w:vertAlign w:val="superscript"/>
        </w:rPr>
        <w:footnoteRef/>
      </w:r>
      <w:r w:rsidRPr="003E0486">
        <w:rPr>
          <w:lang w:val="da-DK"/>
        </w:rPr>
        <w:tab/>
        <w:t>Proceduren er baseret på den reviderede konvention om sejlads på Rhinen af 17. oktober 1868 og den protokol, der blev vedtaget af Centralkommissionen for Sejlads på Rhinen den 22. november 1963. Mannheim-konventionen om sejlads på Rhinen berører Belgien, Tyskland, Frankrig, Nederlandene og Schweiz som lande, der grænser op til Rhinen, og som betragtes som et enkelt område i konventionens forstand.</w:t>
      </w:r>
    </w:p>
  </w:footnote>
  <w:footnote w:id="22">
    <w:p w14:paraId="7B3A44E8" w14:textId="77777777" w:rsidR="00AA7064" w:rsidRPr="003E0486" w:rsidRDefault="00AA7064" w:rsidP="003E0486">
      <w:pPr>
        <w:pStyle w:val="FootnoteTextForceStyle"/>
        <w:rPr>
          <w:lang w:val="da-DK"/>
        </w:rPr>
      </w:pPr>
      <w:r>
        <w:rPr>
          <w:vertAlign w:val="superscript"/>
        </w:rPr>
        <w:footnoteRef/>
      </w:r>
      <w:r w:rsidRPr="003E0486">
        <w:rPr>
          <w:lang w:val="da-DK"/>
        </w:rPr>
        <w:tab/>
        <w:t>Ændringer til toldkonventionen om international godstransport på grundlag af TIR-carneter (TIR-konventionen, 1975) — I henhold til UN Depositary Notification C.N.85.2021.TREATIES-XI.A.16 træder følgende ændringer af TIR-konventionen i kraft den 1. juni 2021 for alle kontraherende (EUT L 193 af 1.6.2021, s. 1).</w:t>
      </w:r>
    </w:p>
  </w:footnote>
  <w:footnote w:id="23">
    <w:p w14:paraId="05727A70" w14:textId="77777777" w:rsidR="00AA7064" w:rsidRPr="003E0486" w:rsidRDefault="00AA7064" w:rsidP="003E0486">
      <w:pPr>
        <w:pStyle w:val="FootnoteTextForceStyle"/>
        <w:rPr>
          <w:lang w:val="da-DK"/>
        </w:rPr>
      </w:pPr>
      <w:r w:rsidRPr="003740C4">
        <w:rPr>
          <w:strike/>
          <w:vertAlign w:val="superscript"/>
        </w:rPr>
        <w:footnoteRef/>
      </w:r>
      <w:r w:rsidRPr="003E0486">
        <w:rPr>
          <w:lang w:val="da-DK"/>
        </w:rPr>
        <w:tab/>
      </w:r>
      <w:r w:rsidRPr="003E0486">
        <w:rPr>
          <w:strike/>
          <w:lang w:val="da-DK"/>
        </w:rPr>
        <w:t>Rådets forordning (EF) nr. 1186/2009 af 16. november 2009 om en fællesskabsordning vedrørende fritagelse for import- og eksportafgifter (EUT L 324 af 10.12.2009, s. 23).</w:t>
      </w:r>
    </w:p>
  </w:footnote>
  <w:footnote w:id="24">
    <w:p w14:paraId="13CFBB6F" w14:textId="77777777" w:rsidR="00AA7064" w:rsidRPr="003E0486" w:rsidRDefault="00AA7064" w:rsidP="003E0486">
      <w:pPr>
        <w:pStyle w:val="FootnoteTextForceStyle"/>
        <w:rPr>
          <w:lang w:val="da-DK"/>
        </w:rPr>
      </w:pPr>
      <w:r w:rsidRPr="003740C4">
        <w:rPr>
          <w:strike/>
          <w:vertAlign w:val="superscript"/>
        </w:rPr>
        <w:footnoteRef/>
      </w:r>
      <w:r w:rsidRPr="003E0486">
        <w:rPr>
          <w:lang w:val="da-DK"/>
        </w:rPr>
        <w:tab/>
      </w:r>
      <w:r w:rsidRPr="003E0486">
        <w:rPr>
          <w:strike/>
          <w:lang w:val="da-DK"/>
        </w:rPr>
        <w:t>Rådets forordning (EØF) nr. 2658/87 af 23. juli 1987 om told- og statistiknomenklaturen og den fælles toldtarif (EFT L 256 af 7.9.1987, s. 1).</w:t>
      </w:r>
    </w:p>
  </w:footnote>
  <w:footnote w:id="25">
    <w:p w14:paraId="23565343" w14:textId="294AEDFE" w:rsidR="00AA7064" w:rsidRPr="003E0486" w:rsidRDefault="00AA7064" w:rsidP="003E0486">
      <w:pPr>
        <w:pStyle w:val="FootnoteTextForceStyle"/>
        <w:rPr>
          <w:lang w:val="da-DK"/>
        </w:rPr>
      </w:pPr>
      <w:r>
        <w:rPr>
          <w:vertAlign w:val="superscript"/>
        </w:rPr>
        <w:footnoteRef/>
      </w:r>
      <w:r w:rsidRPr="003E0486">
        <w:rPr>
          <w:lang w:val="da-DK"/>
        </w:rPr>
        <w:tab/>
        <w:t>Meddelelse fra Kommissionen til Europa-Parlamentet, Rådet og Det Europæiske Økonomiske og Sociale Udvalg — Handlingsplan for at bringe toldunionen til det næste niveau</w:t>
      </w:r>
      <w:r>
        <w:rPr>
          <w:lang w:val="da-DK"/>
        </w:rPr>
        <w:t>, 28.9.2020</w:t>
      </w:r>
      <w:r w:rsidRPr="003E0486">
        <w:rPr>
          <w:lang w:val="da-DK"/>
        </w:rPr>
        <w:t xml:space="preserve"> (COM(2020)</w:t>
      </w:r>
      <w:r>
        <w:rPr>
          <w:lang w:val="da-DK"/>
        </w:rPr>
        <w:t>0</w:t>
      </w:r>
      <w:r w:rsidRPr="003E0486">
        <w:rPr>
          <w:lang w:val="da-DK"/>
        </w:rPr>
        <w:t>581).</w:t>
      </w:r>
    </w:p>
  </w:footnote>
  <w:footnote w:id="26">
    <w:p w14:paraId="41C5052F" w14:textId="77777777" w:rsidR="00AA7064" w:rsidRPr="003E0486" w:rsidRDefault="00AA7064" w:rsidP="003E0486">
      <w:pPr>
        <w:pStyle w:val="FootnoteTextForceStyle"/>
        <w:rPr>
          <w:lang w:val="da-DK"/>
        </w:rPr>
      </w:pPr>
      <w:r>
        <w:rPr>
          <w:vertAlign w:val="superscript"/>
        </w:rPr>
        <w:footnoteRef/>
      </w:r>
      <w:r w:rsidRPr="003E0486">
        <w:rPr>
          <w:lang w:val="da-DK"/>
        </w:rPr>
        <w:tab/>
        <w:t>joint_statement_on_decentralised_agencies_en.pdf (europa.eu)</w:t>
      </w:r>
    </w:p>
  </w:footnote>
  <w:footnote w:id="27">
    <w:p w14:paraId="3E64BFBB" w14:textId="77777777" w:rsidR="00AA7064" w:rsidRPr="003E0486" w:rsidRDefault="00AA7064" w:rsidP="003E0486">
      <w:pPr>
        <w:pStyle w:val="FootnoteTextForceStyle"/>
        <w:rPr>
          <w:lang w:val="da-DK"/>
        </w:rPr>
      </w:pPr>
      <w:r>
        <w:rPr>
          <w:vertAlign w:val="superscript"/>
        </w:rPr>
        <w:footnoteRef/>
      </w:r>
      <w:r w:rsidRPr="003E0486">
        <w:rPr>
          <w:lang w:val="da-DK"/>
        </w:rPr>
        <w:tab/>
        <w:t>EUT L 123 af 12.5.2016, s. 1.</w:t>
      </w:r>
    </w:p>
  </w:footnote>
  <w:footnote w:id="28">
    <w:p w14:paraId="3A1C32BD"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9">
    <w:p w14:paraId="66D35346" w14:textId="77777777" w:rsidR="00AA7064" w:rsidRPr="003E0486" w:rsidRDefault="00AA7064" w:rsidP="003E0486">
      <w:pPr>
        <w:pStyle w:val="FootnoteTextForceStyle"/>
        <w:rPr>
          <w:lang w:val="da-DK"/>
        </w:rPr>
      </w:pPr>
      <w:r>
        <w:rPr>
          <w:vertAlign w:val="superscript"/>
        </w:rPr>
        <w:footnoteRef/>
      </w:r>
      <w:r w:rsidRPr="003E0486">
        <w:rPr>
          <w:lang w:val="da-DK"/>
        </w:rPr>
        <w:tab/>
        <w:t>Rådets direktiv 2006/112/EF af 28. november 2006 om det fælles merværdiafgiftssystem (EUT L 347 af 11.12.2006, s. 1).</w:t>
      </w:r>
    </w:p>
  </w:footnote>
  <w:footnote w:id="30">
    <w:p w14:paraId="542EA3BB" w14:textId="77777777" w:rsidR="00AA7064" w:rsidRPr="003E0486" w:rsidRDefault="00AA7064" w:rsidP="003E0486">
      <w:pPr>
        <w:pStyle w:val="FootnoteTextForceStyle"/>
        <w:rPr>
          <w:lang w:val="da-DK"/>
        </w:rPr>
      </w:pPr>
      <w:r>
        <w:rPr>
          <w:vertAlign w:val="superscript"/>
        </w:rPr>
        <w:footnoteRef/>
      </w:r>
      <w:r w:rsidRPr="003E0486">
        <w:rPr>
          <w:lang w:val="da-DK"/>
        </w:rPr>
        <w:tab/>
        <w:t>Rådets direktiv (EU) 2020/262 af 19. december 2019 om den generelle ordning for punktafgifter (omarbejdning) (EUT L 58 af 27.2.2020, s. 4).</w:t>
      </w:r>
    </w:p>
  </w:footnote>
  <w:footnote w:id="31">
    <w:p w14:paraId="320E2090" w14:textId="1E5AC561" w:rsidR="00CF1B19" w:rsidRPr="003740C4" w:rsidRDefault="00CF1B19" w:rsidP="003740C4">
      <w:pPr>
        <w:pStyle w:val="FootnoteText"/>
        <w:ind w:left="851" w:hanging="851"/>
        <w:rPr>
          <w:b/>
          <w:i/>
          <w:sz w:val="24"/>
          <w:szCs w:val="24"/>
          <w:lang w:val="da-DK"/>
        </w:rPr>
      </w:pPr>
      <w:r w:rsidRPr="003740C4">
        <w:rPr>
          <w:rStyle w:val="FootnoteReference"/>
          <w:b/>
          <w:i/>
          <w:sz w:val="24"/>
          <w:szCs w:val="24"/>
        </w:rPr>
        <w:footnoteRef/>
      </w:r>
      <w:r w:rsidRPr="003740C4">
        <w:rPr>
          <w:b/>
          <w:i/>
          <w:sz w:val="24"/>
          <w:szCs w:val="24"/>
          <w:lang w:val="da-DK"/>
        </w:rPr>
        <w:t xml:space="preserve"> </w:t>
      </w:r>
      <w:r w:rsidRPr="003740C4">
        <w:rPr>
          <w:b/>
          <w:i/>
          <w:sz w:val="24"/>
          <w:szCs w:val="24"/>
          <w:lang w:val="da-DK"/>
        </w:rPr>
        <w:tab/>
      </w:r>
      <w:r w:rsidRPr="00CF1B19">
        <w:rPr>
          <w:b/>
          <w:i/>
          <w:sz w:val="24"/>
          <w:szCs w:val="24"/>
          <w:lang w:val="da-DK"/>
        </w:rPr>
        <w:t>Europa-Parlamentets og Rådets forordning (EU) 2024/2747 af 9. oktober 2024 om fastlæggelse af en ramme for foranstaltninger vedrørende en nødsituation for det indre marked og det indre markeds modstandsdygtighed og om ændring af Rådets forordning (EF) nr. 2679/98 (forordningen om nødsituationer for det indre marked og det indre markeds modstandsdygtighed)</w:t>
      </w:r>
      <w:r>
        <w:rPr>
          <w:b/>
          <w:i/>
          <w:sz w:val="24"/>
          <w:szCs w:val="24"/>
          <w:lang w:val="da-DK"/>
        </w:rPr>
        <w:t xml:space="preserve"> (</w:t>
      </w:r>
      <w:r w:rsidRPr="00CF1B19">
        <w:rPr>
          <w:b/>
          <w:i/>
          <w:sz w:val="24"/>
          <w:szCs w:val="24"/>
          <w:lang w:val="da-DK"/>
        </w:rPr>
        <w:t>EUT L, 2024/2747, 8.11.2024, ELI: http://data.europa.eu/eli/reg/2024/2747/oj</w:t>
      </w:r>
      <w:r>
        <w:rPr>
          <w:b/>
          <w:i/>
          <w:sz w:val="24"/>
          <w:szCs w:val="24"/>
          <w:lang w:val="da-DK"/>
        </w:rPr>
        <w:t>).</w:t>
      </w:r>
    </w:p>
  </w:footnote>
  <w:footnote w:id="32">
    <w:p w14:paraId="0DA74056"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2022/2399 af 23. november 2022 om oprettelse af Den Europæiske Unions kvikskrankemiljø på toldområdet og om ændring af forordning (EU) nr. 952/2013 (EUT L 317 af 9.12.2022, s. 1).</w:t>
      </w:r>
    </w:p>
  </w:footnote>
  <w:footnote w:id="33">
    <w:p w14:paraId="645BCC87" w14:textId="3A98E225"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 om harmoniserede regler for kunstig intelligens (retsakten om kunstig intelligens) og om ændring af visse af Unionens lovgivningsmæssige retsakter [COM(2021)</w:t>
      </w:r>
      <w:r>
        <w:rPr>
          <w:lang w:val="da-DK"/>
        </w:rPr>
        <w:t>0</w:t>
      </w:r>
      <w:r w:rsidRPr="003E0486">
        <w:rPr>
          <w:lang w:val="da-DK"/>
        </w:rPr>
        <w:t>206] — [(2021/0106(COD)].</w:t>
      </w:r>
    </w:p>
  </w:footnote>
  <w:footnote w:id="34">
    <w:p w14:paraId="30C2341B"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Kommissionens delegerede forordning (EU) 2015/2446 af 28. juli 2015 til supplering af Europa-Parlamentets og Rådets forordning (EU) nr. 952/2013 med nærmere regler angående visse bestemmelser i EU-toldkodeksen (EUT L 343 af 29.12.2015, s. 1).</w:t>
      </w:r>
    </w:p>
  </w:footnote>
  <w:footnote w:id="35">
    <w:p w14:paraId="2555BA37"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36">
    <w:p w14:paraId="64D5919E"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direktiv (EU) 2016/680 af 27. april 2016 om beskyttelse af fysiske personer i forbindelse med kompetente myndigheders behandling af personoplysninger med henblik på at forebygge, efterforske, afsløre eller retsforfølge strafbare handlinger eller fuldbyrde strafferetlige sanktioner og om fri udveksling af sådanne oplysninger og om ophævelse af Rådets rammeafgørelse 2008/977/RIA (EUT L 119 af 4.5.2016, s. 89).</w:t>
      </w:r>
    </w:p>
  </w:footnote>
  <w:footnote w:id="37">
    <w:p w14:paraId="2C4B084A" w14:textId="38D6A106" w:rsidR="00946FA0" w:rsidRPr="003740C4" w:rsidRDefault="00946FA0" w:rsidP="003740C4">
      <w:pPr>
        <w:pStyle w:val="FootnoteText"/>
        <w:ind w:left="851" w:hanging="851"/>
        <w:rPr>
          <w:b/>
          <w:i/>
          <w:sz w:val="24"/>
          <w:szCs w:val="24"/>
          <w:lang w:val="da-DK"/>
        </w:rPr>
      </w:pPr>
      <w:r w:rsidRPr="003740C4">
        <w:rPr>
          <w:rStyle w:val="FootnoteReference"/>
          <w:b/>
          <w:i/>
          <w:sz w:val="24"/>
          <w:szCs w:val="24"/>
        </w:rPr>
        <w:footnoteRef/>
      </w:r>
      <w:r w:rsidRPr="003740C4">
        <w:rPr>
          <w:b/>
          <w:i/>
          <w:sz w:val="24"/>
          <w:szCs w:val="24"/>
          <w:lang w:val="da-DK"/>
        </w:rPr>
        <w:t xml:space="preserve"> </w:t>
      </w:r>
      <w:r w:rsidRPr="003740C4">
        <w:rPr>
          <w:b/>
          <w:i/>
          <w:sz w:val="24"/>
          <w:szCs w:val="24"/>
          <w:lang w:val="da-DK"/>
        </w:rPr>
        <w:tab/>
      </w:r>
      <w:r w:rsidR="00D05126" w:rsidRPr="00D05126">
        <w:rPr>
          <w:b/>
          <w:i/>
          <w:sz w:val="24"/>
          <w:szCs w:val="24"/>
          <w:lang w:val="da-DK"/>
        </w:rPr>
        <w:t>Europa-Parlamentets og Rådets forordning (EU, Euratom) 2023/2841 af 13. december 2023 om foranstaltninger til sikring af et højt fælles cybersikkerhedsniveau i Unionens institutioner, organer, kontorer og agenturer</w:t>
      </w:r>
      <w:r w:rsidR="00D05126">
        <w:rPr>
          <w:b/>
          <w:i/>
          <w:sz w:val="24"/>
          <w:szCs w:val="24"/>
          <w:lang w:val="da-DK"/>
        </w:rPr>
        <w:t xml:space="preserve"> (</w:t>
      </w:r>
      <w:r w:rsidR="00D05126" w:rsidRPr="00D05126">
        <w:rPr>
          <w:b/>
          <w:i/>
          <w:sz w:val="24"/>
          <w:szCs w:val="24"/>
          <w:lang w:val="da-DK"/>
        </w:rPr>
        <w:t>EUT L, 2023/2841, 18.12.2023, ELI: http://data.europa.eu/eli/reg/2023/2841/oj</w:t>
      </w:r>
      <w:r w:rsidR="00D05126">
        <w:rPr>
          <w:b/>
          <w:i/>
          <w:sz w:val="24"/>
          <w:szCs w:val="24"/>
          <w:lang w:val="da-DK"/>
        </w:rPr>
        <w:t>).</w:t>
      </w:r>
    </w:p>
  </w:footnote>
  <w:footnote w:id="38">
    <w:p w14:paraId="61D26B5B" w14:textId="1B503A9F"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w:t>
      </w:r>
      <w:r>
        <w:rPr>
          <w:lang w:val="da-DK"/>
        </w:rPr>
        <w:t>.</w:t>
      </w:r>
      <w:r w:rsidRPr="003E0486">
        <w:rPr>
          <w:lang w:val="da-DK"/>
        </w:rPr>
        <w:t>. (EUT L</w:t>
      </w:r>
      <w:r>
        <w:rPr>
          <w:lang w:val="da-DK"/>
        </w:rPr>
        <w:t xml:space="preserve"> </w:t>
      </w:r>
      <w:r w:rsidRPr="003E0486">
        <w:rPr>
          <w:lang w:val="da-DK"/>
        </w:rPr>
        <w:t xml:space="preserve">… af </w:t>
      </w:r>
      <w:r>
        <w:rPr>
          <w:lang w:val="da-DK"/>
        </w:rPr>
        <w:t>...</w:t>
      </w:r>
      <w:r w:rsidRPr="003E0486">
        <w:rPr>
          <w:lang w:val="da-DK"/>
        </w:rPr>
        <w:t>, s.</w:t>
      </w:r>
      <w:r>
        <w:rPr>
          <w:lang w:val="da-DK"/>
        </w:rPr>
        <w:t xml:space="preserve"> </w:t>
      </w:r>
      <w:r w:rsidRPr="003E0486">
        <w:rPr>
          <w:lang w:val="da-DK"/>
        </w:rPr>
        <w:t>). [EUT: I teksten indsættes nummeret på forordningen i dokumentet COM</w:t>
      </w:r>
      <w:r>
        <w:rPr>
          <w:lang w:val="da-DK"/>
        </w:rPr>
        <w:t>(</w:t>
      </w:r>
      <w:r w:rsidRPr="003E0486">
        <w:rPr>
          <w:lang w:val="da-DK"/>
        </w:rPr>
        <w:t>2021</w:t>
      </w:r>
      <w:r>
        <w:rPr>
          <w:lang w:val="da-DK"/>
        </w:rPr>
        <w:t>)0</w:t>
      </w:r>
      <w:r w:rsidRPr="003E0486">
        <w:rPr>
          <w:lang w:val="da-DK"/>
        </w:rPr>
        <w:t>206 — 2021/0106(COD) og i denne fodnote indsættes nummeret, datoen, titlen og EUT-referencen på direktivet]</w:t>
      </w:r>
      <w:r>
        <w:rPr>
          <w:lang w:val="da-DK"/>
        </w:rPr>
        <w:t>.</w:t>
      </w:r>
    </w:p>
  </w:footnote>
  <w:footnote w:id="39">
    <w:p w14:paraId="5A75D629" w14:textId="77777777" w:rsidR="00AA7064" w:rsidRPr="003E0486" w:rsidRDefault="00AA7064" w:rsidP="003E0486">
      <w:pPr>
        <w:pStyle w:val="FootnoteTextForceStyle"/>
        <w:rPr>
          <w:lang w:val="da-DK"/>
        </w:rPr>
      </w:pPr>
      <w:r>
        <w:rPr>
          <w:vertAlign w:val="superscript"/>
        </w:rPr>
        <w:footnoteRef/>
      </w:r>
      <w:r w:rsidRPr="003E0486">
        <w:rPr>
          <w:lang w:val="da-DK"/>
        </w:rPr>
        <w:tab/>
      </w:r>
      <w:r w:rsidRPr="003E0486">
        <w:rPr>
          <w:b/>
          <w:i/>
          <w:lang w:val="da-DK"/>
        </w:rPr>
        <w:t>Europa-Parlamentets og Rådets direktiv (EU) 2022/2555 af 14. december 2022 om foranstaltninger til sikring af et højt fælles cybersikkerhedsniveau i hele Unionen, om ændring af forordning (EU) nr. 910/2014 og direktiv (EU) 2018/1972 og om ophævelse af direktiv (EU) 2016/1148 (NIS 2-direktivet) (EUT L 333 af 27.12.2022, s. 80).</w:t>
      </w:r>
    </w:p>
  </w:footnote>
  <w:footnote w:id="40">
    <w:p w14:paraId="75A5BA68" w14:textId="77777777" w:rsidR="00AA7064" w:rsidRPr="003E0486" w:rsidRDefault="00AA7064" w:rsidP="003E0486">
      <w:pPr>
        <w:pStyle w:val="FootnoteTextForceStyle"/>
        <w:rPr>
          <w:lang w:val="da-DK"/>
        </w:rPr>
      </w:pPr>
      <w:r w:rsidRPr="003740C4">
        <w:rPr>
          <w:strike/>
          <w:vertAlign w:val="superscript"/>
        </w:rPr>
        <w:footnoteRef/>
      </w:r>
      <w:r w:rsidRPr="003740C4">
        <w:rPr>
          <w:strike/>
          <w:lang w:val="da-DK"/>
        </w:rPr>
        <w:tab/>
      </w:r>
      <w:r w:rsidRPr="003E0486">
        <w:rPr>
          <w:strike/>
          <w:lang w:val="da-DK"/>
        </w:rPr>
        <w:t>Rådets forordning (EU) 2017/1939 af 12. oktober 2017 om gennemførelse af et forstærket samarbejde om oprettelse af Den Europæiske Anklagemyndighed ("EPPO") (EUT L 283 af 31.10.2017, s. 1).</w:t>
      </w:r>
    </w:p>
  </w:footnote>
  <w:footnote w:id="41">
    <w:p w14:paraId="71ED2DFA" w14:textId="77777777" w:rsidR="00AA7064" w:rsidRPr="003E0486" w:rsidRDefault="00AA7064" w:rsidP="003E0486">
      <w:pPr>
        <w:pStyle w:val="FootnoteTextForceStyle"/>
        <w:rPr>
          <w:lang w:val="da-DK"/>
        </w:rPr>
      </w:pPr>
      <w:r w:rsidRPr="003740C4">
        <w:rPr>
          <w:strike/>
          <w:vertAlign w:val="superscript"/>
        </w:rPr>
        <w:footnoteRef/>
      </w:r>
      <w:r w:rsidRPr="003740C4">
        <w:rPr>
          <w:strike/>
          <w:lang w:val="da-DK"/>
        </w:rPr>
        <w:tab/>
      </w:r>
      <w:r w:rsidRPr="003E0486">
        <w:rPr>
          <w:strike/>
          <w:lang w:val="da-DK"/>
        </w:rPr>
        <w:t>Europa-Parlamentets og Rådets forordning (EU) 2017/625 af 15. marts 2017 om offentlig kontrol og andre officielle aktiviteter med henblik på at sikre anvendelsen af fødevare- og foderlovgivningen og reglerne for dyresundhed og dyrevelfærd, plantesundhed og plantebeskyttelsesmidler, om ændring af Europa-Parlamentets og Rådets forordning (EF) nr. 999/2001, (EF) nr. 396/2005, (EF) nr. 1069/2009, (EF) nr. 1107/2009, (EU) nr. 1151/2012, (EU) nr. 652/2014, (EU) 2016/429 og (EU) 2016/2031, Rådets forordning (EF) nr. 1/2005 og (EF) nr. 1099/2009 samt Rådets direktiv 98/58/EF, 1999/74/EF, 2007/43/EF, 2008/119/EF og 2008/120/EF og om ophævelse af Europa-Parlamentets og Rådets forordning (EF) nr. 854/2004 og (EF) nr. 882/2004, Rådets direktiv 89/608/EØF, 89/662/EØF, 90/425/EØF, 91/496/EØF, 96/23/EF, 96/93/EF og 97/78/EF og Rådets afgørelse 92/438/EØF (forordningen om offentlig kontrol) (EUT L 95 af 7.4.2017, s. 1).</w:t>
      </w:r>
    </w:p>
  </w:footnote>
  <w:footnote w:id="42">
    <w:p w14:paraId="3309B5F3"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nr. 608/2013 af 12. juni 2013 om toldmyndighedernes håndhævelse af intellektuelle ejendomsrettigheder og om ophævelse af Rådets forordning (EF) nr. 1383/2003 (EUT L 181 af 29.6.2013, s. 15).</w:t>
      </w:r>
    </w:p>
  </w:footnote>
  <w:footnote w:id="43">
    <w:p w14:paraId="1695F4EF" w14:textId="6FE5A0A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2023/...</w:t>
      </w:r>
      <w:r>
        <w:rPr>
          <w:lang w:val="da-DK"/>
        </w:rPr>
        <w:t xml:space="preserve"> </w:t>
      </w:r>
      <w:r w:rsidRPr="003E0486">
        <w:rPr>
          <w:lang w:val="da-DK"/>
        </w:rPr>
        <w:t>af .../2023 om produktsikkerhed, om ændring af Europa-Parlamentets og Rådets forordning (EU) nr. 1025/2012 og om ophævelse af Rådets direktiv 87/357/EØF og Europa-Parlamentets og Rådets direktiv 2001/95/EF (EUT L</w:t>
      </w:r>
      <w:r>
        <w:rPr>
          <w:lang w:val="da-DK"/>
        </w:rPr>
        <w:t xml:space="preserve"> </w:t>
      </w:r>
      <w:r w:rsidRPr="003E0486">
        <w:rPr>
          <w:lang w:val="da-DK"/>
        </w:rPr>
        <w:t>...).</w:t>
      </w:r>
    </w:p>
  </w:footnote>
  <w:footnote w:id="44">
    <w:p w14:paraId="11E23D82" w14:textId="381A9CD4" w:rsidR="00AA7064" w:rsidRPr="003E0486" w:rsidRDefault="00AA7064" w:rsidP="003E0486">
      <w:pPr>
        <w:pStyle w:val="FootnoteTextForceStyle"/>
        <w:rPr>
          <w:lang w:val="da-DK"/>
        </w:rPr>
      </w:pPr>
      <w:r>
        <w:rPr>
          <w:vertAlign w:val="superscript"/>
        </w:rPr>
        <w:footnoteRef/>
      </w:r>
      <w:r w:rsidRPr="003E0486">
        <w:rPr>
          <w:lang w:val="da-DK"/>
        </w:rPr>
        <w:tab/>
        <w:t>[Publikationskontoret: indsæt venligst den endelige reference i teksten — se fodnote 19]</w:t>
      </w:r>
      <w:r>
        <w:rPr>
          <w:lang w:val="da-DK"/>
        </w:rPr>
        <w:t>.</w:t>
      </w:r>
    </w:p>
  </w:footnote>
  <w:footnote w:id="45">
    <w:p w14:paraId="57E7D67C" w14:textId="77777777" w:rsidR="00AA7064" w:rsidRPr="003E0486" w:rsidRDefault="00AA7064" w:rsidP="003E0486">
      <w:pPr>
        <w:pStyle w:val="FootnoteTextForceStyle"/>
        <w:rPr>
          <w:lang w:val="da-DK"/>
        </w:rPr>
      </w:pPr>
      <w:r>
        <w:rPr>
          <w:vertAlign w:val="superscript"/>
        </w:rPr>
        <w:footnoteRef/>
      </w:r>
      <w:r w:rsidRPr="003E0486">
        <w:rPr>
          <w:lang w:val="da-DK"/>
        </w:rPr>
        <w:tab/>
        <w:t>Rådets forordning (EØF, Euratom, EKSF) nr. 259/68 af 29. februar 1968 om vedtægten for tjenestemænd i De Europæiske Fællesskaber og om ansættelsesvilkårene for de øvrige ansatte i disse Fællesskaber samt om særlige midlertidige foranstaltninger for tjenestemænd i Kommissionen (EFT L 56 af 4.3.1968, s. 1).</w:t>
      </w:r>
    </w:p>
  </w:footnote>
  <w:footnote w:id="46">
    <w:p w14:paraId="741C45FC"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(EF) nr. 1049/2001 af 30. maj 2001 om aktindsigt i Europa-Parlamentets, Rådets og Kommissionens dokumenter (EFT L 145 af 31.5.2001, s. 43).</w:t>
      </w:r>
    </w:p>
  </w:footnote>
  <w:footnote w:id="47">
    <w:p w14:paraId="7BB5C6CF" w14:textId="77777777" w:rsidR="00AA7064" w:rsidRPr="003E0486" w:rsidRDefault="00AA7064" w:rsidP="003E0486">
      <w:pPr>
        <w:pStyle w:val="FootnoteTextForceStyle"/>
        <w:rPr>
          <w:lang w:val="da-DK"/>
        </w:rPr>
      </w:pPr>
      <w:r>
        <w:rPr>
          <w:vertAlign w:val="superscript"/>
        </w:rPr>
        <w:footnoteRef/>
      </w:r>
      <w:r w:rsidRPr="003E0486">
        <w:rPr>
          <w:lang w:val="da-DK"/>
        </w:rPr>
        <w:tab/>
        <w:t>Kommissionens delegerede forordning (EU) 2019/715 af 18. december 2018 om rammefinansforordningen for de organer, der er nedsat i henhold til TEUF og Euratomtraktaten og omhandlet i artikel 70 i Europa-Parlamentets og Rådets forordning (EU, Euratom) 2018/1046 (EUT L 122 af 10.5.2019, s. 1).</w:t>
      </w:r>
    </w:p>
  </w:footnote>
  <w:footnote w:id="48">
    <w:p w14:paraId="0798F38E"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footnote>
  <w:footnote w:id="49">
    <w:p w14:paraId="11C447E9" w14:textId="77777777" w:rsidR="00AA7064" w:rsidRPr="003E0486" w:rsidRDefault="00AA7064" w:rsidP="003E0486">
      <w:pPr>
        <w:pStyle w:val="FootnoteTextForceStyle"/>
        <w:rPr>
          <w:lang w:val="da-DK"/>
        </w:rPr>
      </w:pPr>
      <w:r>
        <w:rPr>
          <w:vertAlign w:val="superscript"/>
        </w:rPr>
        <w:footnoteRef/>
      </w:r>
      <w:r w:rsidRPr="003E0486">
        <w:rPr>
          <w:lang w:val="da-DK"/>
        </w:rPr>
        <w:tab/>
        <w:t>EFT L 136 af 31.5.1999, s. 15.</w:t>
      </w:r>
    </w:p>
  </w:footnote>
  <w:footnote w:id="50">
    <w:p w14:paraId="32076766" w14:textId="77777777" w:rsidR="00AA7064" w:rsidRPr="003E0486" w:rsidRDefault="00AA7064" w:rsidP="003E0486">
      <w:pPr>
        <w:pStyle w:val="FootnoteTextForceStyle"/>
        <w:rPr>
          <w:lang w:val="da-DK"/>
        </w:rPr>
      </w:pPr>
      <w:r>
        <w:rPr>
          <w:vertAlign w:val="superscript"/>
        </w:rPr>
        <w:footnoteRef/>
      </w:r>
      <w:r w:rsidRPr="003E0486">
        <w:rPr>
          <w:lang w:val="da-DK"/>
        </w:rPr>
        <w:tab/>
        <w:t>Rådets forordning (Euratom, EF) nr. 2185/96 af 11. november 1996 om Kommissionens kontrol og inspektion på stedet med henblik på beskyttelse af De Europæiske Fællesskabers finansielle interesser mod svig og andre uregelmæssigheder (EFT L 292 af 15.11.1996, s. 2).</w:t>
      </w:r>
    </w:p>
  </w:footnote>
  <w:footnote w:id="51">
    <w:p w14:paraId="61167EE8" w14:textId="77777777" w:rsidR="00AA7064" w:rsidRPr="003E0486" w:rsidRDefault="00AA7064" w:rsidP="003E0486">
      <w:pPr>
        <w:pStyle w:val="FootnoteTextForceStyle"/>
        <w:rPr>
          <w:lang w:val="da-DK"/>
        </w:rPr>
      </w:pPr>
      <w:r>
        <w:rPr>
          <w:vertAlign w:val="superscript"/>
        </w:rPr>
        <w:footnoteRef/>
      </w:r>
      <w:r w:rsidRPr="003E0486">
        <w:rPr>
          <w:lang w:val="da-DK"/>
        </w:rPr>
        <w:tab/>
        <w:t>Europa-Parlamentets og Rådets direktiv (EU) 2017/1371 af 5. juli 2017 om strafferetlig bekæmpelse af svig rettet mod Den Europæiske Unions finansielle interesser (EUT L 198 af 28.7.2017, s. 29).</w:t>
      </w:r>
    </w:p>
  </w:footnote>
  <w:footnote w:id="52">
    <w:p w14:paraId="370F75BB" w14:textId="77777777" w:rsidR="00AA7064" w:rsidRPr="003E0486" w:rsidRDefault="00AA7064" w:rsidP="003E0486">
      <w:pPr>
        <w:pStyle w:val="FootnoteTextForceStyle"/>
        <w:rPr>
          <w:lang w:val="da-DK"/>
        </w:rPr>
      </w:pPr>
      <w:r>
        <w:rPr>
          <w:vertAlign w:val="superscript"/>
        </w:rPr>
        <w:footnoteRef/>
      </w:r>
      <w:r w:rsidRPr="003E0486">
        <w:rPr>
          <w:lang w:val="da-DK"/>
        </w:rPr>
        <w:tab/>
        <w:t>Kommissionens afgørelse (EU, Euratom) 2015/443 af 13.marts 2015 om sikkerhedsbeskyttelse i Kommissionen (EUT L 72 af 17.3.2015, s. 41).</w:t>
      </w:r>
    </w:p>
  </w:footnote>
  <w:footnote w:id="53">
    <w:p w14:paraId="67244C8A" w14:textId="77777777" w:rsidR="00AA7064" w:rsidRPr="003E0486" w:rsidRDefault="00AA7064" w:rsidP="003E0486">
      <w:pPr>
        <w:pStyle w:val="FootnoteTextForceStyle"/>
        <w:rPr>
          <w:lang w:val="da-DK"/>
        </w:rPr>
      </w:pPr>
      <w:r>
        <w:rPr>
          <w:vertAlign w:val="superscript"/>
        </w:rPr>
        <w:footnoteRef/>
      </w:r>
      <w:r w:rsidRPr="003E0486">
        <w:rPr>
          <w:lang w:val="da-DK"/>
        </w:rPr>
        <w:tab/>
        <w:t>Kommissionens afgørelse (EU, Euratom) 2015/444 af 13. marts 2015 om reglerne for sikkerhedsbeskyttelse af EU's klassificerede informationer (EUT L 72 af 17.3.2015, s. 53).</w:t>
      </w:r>
    </w:p>
  </w:footnote>
  <w:footnote w:id="54">
    <w:p w14:paraId="76994084" w14:textId="77777777" w:rsidR="00AA7064" w:rsidRPr="003E0486" w:rsidRDefault="00AA7064" w:rsidP="003E0486">
      <w:pPr>
        <w:pStyle w:val="FootnoteTextForceStyle"/>
        <w:rPr>
          <w:lang w:val="da-DK"/>
        </w:rPr>
      </w:pPr>
      <w:r>
        <w:rPr>
          <w:vertAlign w:val="superscript"/>
        </w:rPr>
        <w:footnoteRef/>
      </w:r>
      <w:r w:rsidRPr="003E0486">
        <w:rPr>
          <w:lang w:val="da-DK"/>
        </w:rPr>
        <w:tab/>
        <w:t>Rådets forordning nr. 1 af 15. april 1958 om den ordning, der skal gælde for Det Europæiske Økonomiske Fællesskab på det sproglige område (EFT 17 af 6.10.1958, s. 385).</w:t>
      </w:r>
    </w:p>
  </w:footnote>
  <w:footnote w:id="55">
    <w:p w14:paraId="704D07DA" w14:textId="57511E07" w:rsidR="00AA7064" w:rsidRPr="003E0486" w:rsidRDefault="00AA7064" w:rsidP="003E0486">
      <w:pPr>
        <w:pStyle w:val="FootnoteTextForceStyle"/>
        <w:rPr>
          <w:lang w:val="da-DK"/>
        </w:rPr>
      </w:pPr>
      <w:r>
        <w:rPr>
          <w:vertAlign w:val="superscript"/>
        </w:rPr>
        <w:footnoteRef/>
      </w:r>
      <w:r w:rsidRPr="003E0486">
        <w:rPr>
          <w:lang w:val="da-DK"/>
        </w:rPr>
        <w:tab/>
        <w:t>Rådets forordning (EØF, Euratom) nr. 1182/71 af 3. juni 1971 om fastsættelse af regler om tidsfrister, datoer og tidspunkter (EFT L 124 af 8.6.1971, s. 1).</w:t>
      </w:r>
    </w:p>
  </w:footnote>
  <w:footnote w:id="56">
    <w:p w14:paraId="5A899049" w14:textId="02B4576A" w:rsidR="00F354E7" w:rsidRPr="003740C4" w:rsidRDefault="00F354E7">
      <w:pPr>
        <w:pStyle w:val="FootnoteText"/>
        <w:rPr>
          <w:sz w:val="24"/>
          <w:lang w:val="da-DK"/>
        </w:rPr>
      </w:pPr>
      <w:r w:rsidRPr="003740C4">
        <w:rPr>
          <w:rStyle w:val="FootnoteReference"/>
          <w:sz w:val="24"/>
        </w:rPr>
        <w:footnoteRef/>
      </w:r>
      <w:r w:rsidRPr="003740C4">
        <w:rPr>
          <w:sz w:val="24"/>
          <w:lang w:val="da-DK"/>
        </w:rPr>
        <w:t xml:space="preserve"> </w:t>
      </w:r>
      <w:r w:rsidRPr="003740C4">
        <w:rPr>
          <w:sz w:val="24"/>
          <w:lang w:val="da-DK"/>
        </w:rPr>
        <w:tab/>
      </w:r>
      <w:r w:rsidRPr="003740C4">
        <w:rPr>
          <w:b/>
          <w:i/>
          <w:sz w:val="24"/>
          <w:lang w:val="da-DK"/>
        </w:rPr>
        <w:t>Europa-Parlamentets og Rådets forordning (EU) 2018/848 af 30. maj 2018 om økologisk produktion og mærkning af økologiske produkter og om ophævelse af Rådets forordning (EF) nr. 834/2007 (</w:t>
      </w:r>
      <w:hyperlink r:id="rId1">
        <w:r w:rsidRPr="003740C4">
          <w:rPr>
            <w:rStyle w:val="Hyperlink"/>
            <w:b/>
            <w:i/>
            <w:sz w:val="24"/>
            <w:lang w:val="da-DK"/>
          </w:rPr>
          <w:t>EUT L 150 af 14.6.2018, s. 1</w:t>
        </w:r>
      </w:hyperlink>
      <w:r w:rsidRPr="003740C4">
        <w:rPr>
          <w:b/>
          <w:i/>
          <w:sz w:val="24"/>
          <w:lang w:val="da-DK"/>
        </w:rPr>
        <w:t>).</w:t>
      </w:r>
    </w:p>
  </w:footnote>
  <w:footnote w:id="57">
    <w:p w14:paraId="593DD349" w14:textId="49F7E96B" w:rsidR="00F354E7" w:rsidRPr="003740C4" w:rsidRDefault="00F354E7">
      <w:pPr>
        <w:pStyle w:val="FootnoteText"/>
        <w:rPr>
          <w:sz w:val="24"/>
          <w:lang w:val="da-DK"/>
        </w:rPr>
      </w:pPr>
      <w:r w:rsidRPr="003740C4">
        <w:rPr>
          <w:rStyle w:val="FootnoteReference"/>
          <w:sz w:val="24"/>
        </w:rPr>
        <w:footnoteRef/>
      </w:r>
      <w:r w:rsidRPr="003740C4">
        <w:rPr>
          <w:sz w:val="24"/>
          <w:lang w:val="da-DK"/>
        </w:rPr>
        <w:t xml:space="preserve"> </w:t>
      </w:r>
      <w:r w:rsidRPr="003740C4">
        <w:rPr>
          <w:sz w:val="24"/>
          <w:lang w:val="da-DK"/>
        </w:rPr>
        <w:tab/>
      </w:r>
      <w:r w:rsidRPr="003740C4">
        <w:rPr>
          <w:b/>
          <w:i/>
          <w:sz w:val="24"/>
          <w:lang w:val="da-DK"/>
        </w:rPr>
        <w:t>Europa-Parlamentets og Rådets forordning (EF) nr. 1005/2009 af 16. september 2009 om stoffer, der nedbryder ozonlaget (</w:t>
      </w:r>
      <w:hyperlink r:id="rId2">
        <w:r w:rsidRPr="003740C4">
          <w:rPr>
            <w:rStyle w:val="Hyperlink"/>
            <w:b/>
            <w:i/>
            <w:sz w:val="24"/>
            <w:lang w:val="da-DK"/>
          </w:rPr>
          <w:t>EUT L 286 af 31.10.2009, s. 1</w:t>
        </w:r>
      </w:hyperlink>
      <w:r w:rsidRPr="003740C4">
        <w:rPr>
          <w:b/>
          <w:i/>
          <w:sz w:val="24"/>
          <w:lang w:val="da-DK"/>
        </w:rPr>
        <w:t>).</w:t>
      </w:r>
    </w:p>
  </w:footnote>
  <w:footnote w:id="58">
    <w:p w14:paraId="70F3A2A6" w14:textId="719D01B3" w:rsidR="00F354E7" w:rsidRPr="003740C4" w:rsidRDefault="00F354E7">
      <w:pPr>
        <w:pStyle w:val="FootnoteText"/>
        <w:rPr>
          <w:sz w:val="24"/>
          <w:lang w:val="da-DK"/>
        </w:rPr>
      </w:pPr>
      <w:r w:rsidRPr="003740C4">
        <w:rPr>
          <w:rStyle w:val="FootnoteReference"/>
          <w:sz w:val="24"/>
        </w:rPr>
        <w:footnoteRef/>
      </w:r>
      <w:r w:rsidRPr="003740C4">
        <w:rPr>
          <w:sz w:val="24"/>
          <w:lang w:val="da-DK"/>
        </w:rPr>
        <w:t xml:space="preserve"> </w:t>
      </w:r>
      <w:r w:rsidRPr="003740C4">
        <w:rPr>
          <w:sz w:val="24"/>
          <w:lang w:val="da-DK"/>
        </w:rPr>
        <w:tab/>
      </w:r>
      <w:r w:rsidRPr="003740C4">
        <w:rPr>
          <w:b/>
          <w:i/>
          <w:sz w:val="24"/>
          <w:lang w:val="da-DK"/>
        </w:rPr>
        <w:t>Europa-Parlamentets og Rådets forordning (EU) nr. 517/2014 af 16. april 2014 om fluorholdige drivhusgasser og om ophævelse af forordning (EF) nr. 842/2006 (</w:t>
      </w:r>
      <w:hyperlink r:id="rId3">
        <w:r w:rsidRPr="003740C4">
          <w:rPr>
            <w:rStyle w:val="Hyperlink"/>
            <w:b/>
            <w:i/>
            <w:sz w:val="24"/>
            <w:lang w:val="da-DK"/>
          </w:rPr>
          <w:t>EUT L 150 af 20.5.2014, s. 195</w:t>
        </w:r>
      </w:hyperlink>
      <w:r w:rsidRPr="003740C4">
        <w:rPr>
          <w:b/>
          <w:i/>
          <w:sz w:val="24"/>
          <w:lang w:val="da-DK"/>
        </w:rPr>
        <w:t>).</w:t>
      </w:r>
    </w:p>
  </w:footnote>
  <w:footnote w:id="59">
    <w:p w14:paraId="192E31D2" w14:textId="3454F06D" w:rsidR="00F354E7" w:rsidRPr="003740C4" w:rsidRDefault="00F354E7">
      <w:pPr>
        <w:pStyle w:val="FootnoteText"/>
        <w:rPr>
          <w:sz w:val="24"/>
          <w:lang w:val="da-DK"/>
        </w:rPr>
      </w:pPr>
      <w:r w:rsidRPr="003740C4">
        <w:rPr>
          <w:rStyle w:val="FootnoteReference"/>
          <w:sz w:val="24"/>
        </w:rPr>
        <w:footnoteRef/>
      </w:r>
      <w:r w:rsidRPr="003740C4">
        <w:rPr>
          <w:sz w:val="24"/>
          <w:lang w:val="da-DK"/>
        </w:rPr>
        <w:t xml:space="preserve"> </w:t>
      </w:r>
      <w:r w:rsidRPr="003740C4">
        <w:rPr>
          <w:sz w:val="24"/>
          <w:lang w:val="da-DK"/>
        </w:rPr>
        <w:tab/>
      </w:r>
      <w:r w:rsidRPr="003740C4">
        <w:rPr>
          <w:b/>
          <w:i/>
          <w:sz w:val="24"/>
          <w:lang w:val="da-DK"/>
        </w:rPr>
        <w:t>Europa-Parlamentets og Rådets forordning (EU) 2019/880 af 17. april 2019 om indførsel og import af kulturgenstande (</w:t>
      </w:r>
      <w:hyperlink r:id="rId4">
        <w:r w:rsidRPr="003740C4">
          <w:rPr>
            <w:rStyle w:val="Hyperlink"/>
            <w:b/>
            <w:i/>
            <w:sz w:val="24"/>
            <w:lang w:val="da-DK"/>
          </w:rPr>
          <w:t>EUT L 151 af 7.6.2019, s. 1</w:t>
        </w:r>
      </w:hyperlink>
      <w:r w:rsidRPr="003740C4">
        <w:rPr>
          <w:b/>
          <w:i/>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fi-FI"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DA"/>
    <w:docVar w:name="dvnumam" w:val="0"/>
    <w:docVar w:name="dvpe" w:val="755.046"/>
    <w:docVar w:name="dvrapporteur" w:val="Ordfører: "/>
    <w:docVar w:name="dvstar" w:val="***I"/>
    <w:docVar w:name="dvtitre" w:val="Europa-Parlamentets lovgivningsmæssige beslutning af xx.xx 2024 om forslag til Europa-Parlamentets og Rådets forordning om EU-toldkodeksen og oprettelse af Den Europæiske Unions Toldmyndighed og om ophævelse af forordning (EU) nr. 952/2013(COM(2023)0258 – C9-0175/2023 – 2023/0156(COD))"/>
  </w:docVars>
  <w:rsids>
    <w:rsidRoot w:val="004373AC"/>
    <w:rsid w:val="0000053F"/>
    <w:rsid w:val="00002272"/>
    <w:rsid w:val="0003388D"/>
    <w:rsid w:val="000419BF"/>
    <w:rsid w:val="000501C6"/>
    <w:rsid w:val="00053BDD"/>
    <w:rsid w:val="0005646E"/>
    <w:rsid w:val="00064002"/>
    <w:rsid w:val="00065119"/>
    <w:rsid w:val="000677B9"/>
    <w:rsid w:val="00067EC0"/>
    <w:rsid w:val="00070EE3"/>
    <w:rsid w:val="000831BA"/>
    <w:rsid w:val="000A42CC"/>
    <w:rsid w:val="000E7DD9"/>
    <w:rsid w:val="0010095E"/>
    <w:rsid w:val="0010447A"/>
    <w:rsid w:val="00117B48"/>
    <w:rsid w:val="00125B37"/>
    <w:rsid w:val="001321CF"/>
    <w:rsid w:val="001445FA"/>
    <w:rsid w:val="0015186B"/>
    <w:rsid w:val="0015230B"/>
    <w:rsid w:val="001538CB"/>
    <w:rsid w:val="0016356A"/>
    <w:rsid w:val="00174263"/>
    <w:rsid w:val="00187494"/>
    <w:rsid w:val="001A5ABE"/>
    <w:rsid w:val="001B3E7E"/>
    <w:rsid w:val="001B7ED5"/>
    <w:rsid w:val="001C7906"/>
    <w:rsid w:val="001E07D6"/>
    <w:rsid w:val="001F32AE"/>
    <w:rsid w:val="00200494"/>
    <w:rsid w:val="00203077"/>
    <w:rsid w:val="00203743"/>
    <w:rsid w:val="002125A1"/>
    <w:rsid w:val="00217355"/>
    <w:rsid w:val="00240C46"/>
    <w:rsid w:val="00240F2D"/>
    <w:rsid w:val="002767FF"/>
    <w:rsid w:val="002847B1"/>
    <w:rsid w:val="002B18FE"/>
    <w:rsid w:val="002B5493"/>
    <w:rsid w:val="002D519F"/>
    <w:rsid w:val="002E5BC0"/>
    <w:rsid w:val="003038CF"/>
    <w:rsid w:val="003263F7"/>
    <w:rsid w:val="00343214"/>
    <w:rsid w:val="0034442C"/>
    <w:rsid w:val="00350F45"/>
    <w:rsid w:val="0035616D"/>
    <w:rsid w:val="00361C00"/>
    <w:rsid w:val="003740C4"/>
    <w:rsid w:val="00376475"/>
    <w:rsid w:val="00377848"/>
    <w:rsid w:val="00395FA1"/>
    <w:rsid w:val="003B1B2E"/>
    <w:rsid w:val="003C0108"/>
    <w:rsid w:val="003D27AF"/>
    <w:rsid w:val="003E0486"/>
    <w:rsid w:val="003E15D4"/>
    <w:rsid w:val="003E5D8B"/>
    <w:rsid w:val="003F008D"/>
    <w:rsid w:val="003F593B"/>
    <w:rsid w:val="00407643"/>
    <w:rsid w:val="00411CCE"/>
    <w:rsid w:val="0041666E"/>
    <w:rsid w:val="00421060"/>
    <w:rsid w:val="00427EAB"/>
    <w:rsid w:val="004373AC"/>
    <w:rsid w:val="00444880"/>
    <w:rsid w:val="00446B70"/>
    <w:rsid w:val="00461D8B"/>
    <w:rsid w:val="00462900"/>
    <w:rsid w:val="004634E2"/>
    <w:rsid w:val="00471C19"/>
    <w:rsid w:val="004867E3"/>
    <w:rsid w:val="00494A28"/>
    <w:rsid w:val="004977B6"/>
    <w:rsid w:val="004A09A4"/>
    <w:rsid w:val="004A2E2B"/>
    <w:rsid w:val="004B4621"/>
    <w:rsid w:val="004C0004"/>
    <w:rsid w:val="004C5D52"/>
    <w:rsid w:val="005027AF"/>
    <w:rsid w:val="0050519A"/>
    <w:rsid w:val="005072A1"/>
    <w:rsid w:val="00511012"/>
    <w:rsid w:val="005125BD"/>
    <w:rsid w:val="00514517"/>
    <w:rsid w:val="00517EDF"/>
    <w:rsid w:val="0053357E"/>
    <w:rsid w:val="00545827"/>
    <w:rsid w:val="005562E6"/>
    <w:rsid w:val="00560270"/>
    <w:rsid w:val="00562C77"/>
    <w:rsid w:val="005753A1"/>
    <w:rsid w:val="0058028E"/>
    <w:rsid w:val="005941E9"/>
    <w:rsid w:val="005945B0"/>
    <w:rsid w:val="005B1591"/>
    <w:rsid w:val="005C2568"/>
    <w:rsid w:val="005D34E3"/>
    <w:rsid w:val="00602671"/>
    <w:rsid w:val="006037C0"/>
    <w:rsid w:val="00624964"/>
    <w:rsid w:val="006269E1"/>
    <w:rsid w:val="006435E6"/>
    <w:rsid w:val="006527B6"/>
    <w:rsid w:val="006631B6"/>
    <w:rsid w:val="0066679A"/>
    <w:rsid w:val="00670D7B"/>
    <w:rsid w:val="006723B6"/>
    <w:rsid w:val="00680577"/>
    <w:rsid w:val="00685790"/>
    <w:rsid w:val="006903E4"/>
    <w:rsid w:val="006B3F13"/>
    <w:rsid w:val="006C0A55"/>
    <w:rsid w:val="006F74FA"/>
    <w:rsid w:val="00731ADD"/>
    <w:rsid w:val="00734777"/>
    <w:rsid w:val="00745D6B"/>
    <w:rsid w:val="00747932"/>
    <w:rsid w:val="00751A4A"/>
    <w:rsid w:val="00756632"/>
    <w:rsid w:val="00762C74"/>
    <w:rsid w:val="00784DD8"/>
    <w:rsid w:val="00786EC0"/>
    <w:rsid w:val="0079397D"/>
    <w:rsid w:val="00797F28"/>
    <w:rsid w:val="007B7FE2"/>
    <w:rsid w:val="007C6803"/>
    <w:rsid w:val="007D1690"/>
    <w:rsid w:val="007E0A21"/>
    <w:rsid w:val="007E22AD"/>
    <w:rsid w:val="007F32A4"/>
    <w:rsid w:val="00813C65"/>
    <w:rsid w:val="00817416"/>
    <w:rsid w:val="00823E10"/>
    <w:rsid w:val="00826286"/>
    <w:rsid w:val="00831001"/>
    <w:rsid w:val="00831B3F"/>
    <w:rsid w:val="00842779"/>
    <w:rsid w:val="00845A6B"/>
    <w:rsid w:val="00847D5D"/>
    <w:rsid w:val="00865F67"/>
    <w:rsid w:val="0086607F"/>
    <w:rsid w:val="00881A7B"/>
    <w:rsid w:val="008838B4"/>
    <w:rsid w:val="008840E5"/>
    <w:rsid w:val="008855A6"/>
    <w:rsid w:val="00887B3E"/>
    <w:rsid w:val="00894683"/>
    <w:rsid w:val="0089744F"/>
    <w:rsid w:val="008C2AC6"/>
    <w:rsid w:val="008C3E3A"/>
    <w:rsid w:val="008C49F4"/>
    <w:rsid w:val="008F0FA7"/>
    <w:rsid w:val="009247F4"/>
    <w:rsid w:val="00924E2D"/>
    <w:rsid w:val="00930C23"/>
    <w:rsid w:val="0093193B"/>
    <w:rsid w:val="00946FA0"/>
    <w:rsid w:val="009509D8"/>
    <w:rsid w:val="00950B64"/>
    <w:rsid w:val="00951CD0"/>
    <w:rsid w:val="00981893"/>
    <w:rsid w:val="009A05BD"/>
    <w:rsid w:val="009A51E3"/>
    <w:rsid w:val="009B0BE7"/>
    <w:rsid w:val="009B0E83"/>
    <w:rsid w:val="00A02F58"/>
    <w:rsid w:val="00A03A0B"/>
    <w:rsid w:val="00A1687D"/>
    <w:rsid w:val="00A43E52"/>
    <w:rsid w:val="00A4678D"/>
    <w:rsid w:val="00A60665"/>
    <w:rsid w:val="00A63614"/>
    <w:rsid w:val="00A778C7"/>
    <w:rsid w:val="00AA7064"/>
    <w:rsid w:val="00AB441E"/>
    <w:rsid w:val="00AB6293"/>
    <w:rsid w:val="00AC6BCE"/>
    <w:rsid w:val="00AD0947"/>
    <w:rsid w:val="00AD2D9A"/>
    <w:rsid w:val="00AE0928"/>
    <w:rsid w:val="00AE4330"/>
    <w:rsid w:val="00AF176C"/>
    <w:rsid w:val="00AF3B82"/>
    <w:rsid w:val="00B12E95"/>
    <w:rsid w:val="00B22876"/>
    <w:rsid w:val="00B27E53"/>
    <w:rsid w:val="00B33553"/>
    <w:rsid w:val="00B3736A"/>
    <w:rsid w:val="00B463AC"/>
    <w:rsid w:val="00B50D11"/>
    <w:rsid w:val="00B558F0"/>
    <w:rsid w:val="00B61152"/>
    <w:rsid w:val="00BA0EC4"/>
    <w:rsid w:val="00BB6E07"/>
    <w:rsid w:val="00BC44D6"/>
    <w:rsid w:val="00BD48FE"/>
    <w:rsid w:val="00BD7BD8"/>
    <w:rsid w:val="00BE6ADC"/>
    <w:rsid w:val="00BF6859"/>
    <w:rsid w:val="00C02DC3"/>
    <w:rsid w:val="00C05BFE"/>
    <w:rsid w:val="00C23CD4"/>
    <w:rsid w:val="00C26049"/>
    <w:rsid w:val="00C31E77"/>
    <w:rsid w:val="00C44B88"/>
    <w:rsid w:val="00C4622D"/>
    <w:rsid w:val="00C509B4"/>
    <w:rsid w:val="00C53A66"/>
    <w:rsid w:val="00C57D87"/>
    <w:rsid w:val="00C61C0C"/>
    <w:rsid w:val="00C64A91"/>
    <w:rsid w:val="00C82C23"/>
    <w:rsid w:val="00C87DD0"/>
    <w:rsid w:val="00C941CB"/>
    <w:rsid w:val="00C94A47"/>
    <w:rsid w:val="00C968AA"/>
    <w:rsid w:val="00CC2357"/>
    <w:rsid w:val="00CC447B"/>
    <w:rsid w:val="00CD06B9"/>
    <w:rsid w:val="00CE3EB9"/>
    <w:rsid w:val="00CF071A"/>
    <w:rsid w:val="00CF1B19"/>
    <w:rsid w:val="00CF6E82"/>
    <w:rsid w:val="00D01BF5"/>
    <w:rsid w:val="00D05126"/>
    <w:rsid w:val="00D058B8"/>
    <w:rsid w:val="00D13454"/>
    <w:rsid w:val="00D217BC"/>
    <w:rsid w:val="00D2369C"/>
    <w:rsid w:val="00D3001B"/>
    <w:rsid w:val="00D37455"/>
    <w:rsid w:val="00D56C11"/>
    <w:rsid w:val="00D60804"/>
    <w:rsid w:val="00D6254A"/>
    <w:rsid w:val="00D834A0"/>
    <w:rsid w:val="00D872DF"/>
    <w:rsid w:val="00D91E21"/>
    <w:rsid w:val="00DA7FCD"/>
    <w:rsid w:val="00E17A4C"/>
    <w:rsid w:val="00E3386D"/>
    <w:rsid w:val="00E365E1"/>
    <w:rsid w:val="00E558EC"/>
    <w:rsid w:val="00E66B23"/>
    <w:rsid w:val="00E701CB"/>
    <w:rsid w:val="00E820A4"/>
    <w:rsid w:val="00EA07A8"/>
    <w:rsid w:val="00EA4673"/>
    <w:rsid w:val="00EB006A"/>
    <w:rsid w:val="00EB0870"/>
    <w:rsid w:val="00EB4772"/>
    <w:rsid w:val="00ED169E"/>
    <w:rsid w:val="00ED4235"/>
    <w:rsid w:val="00F04346"/>
    <w:rsid w:val="00F07597"/>
    <w:rsid w:val="00F075DC"/>
    <w:rsid w:val="00F07DF9"/>
    <w:rsid w:val="00F149E9"/>
    <w:rsid w:val="00F16C50"/>
    <w:rsid w:val="00F30597"/>
    <w:rsid w:val="00F354E7"/>
    <w:rsid w:val="00F46DFC"/>
    <w:rsid w:val="00F5134D"/>
    <w:rsid w:val="00F74202"/>
    <w:rsid w:val="00F8029F"/>
    <w:rsid w:val="00F81E42"/>
    <w:rsid w:val="00F857D5"/>
    <w:rsid w:val="00F86C08"/>
    <w:rsid w:val="00F87713"/>
    <w:rsid w:val="00FA19B1"/>
    <w:rsid w:val="00FA7B9E"/>
    <w:rsid w:val="00FB4360"/>
    <w:rsid w:val="00FD0C70"/>
    <w:rsid w:val="00FD1F5E"/>
    <w:rsid w:val="00FF02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FD0DA"/>
  <w15:chartTrackingRefBased/>
  <w15:docId w15:val="{F7A5D8D5-79C8-4BD5-9B17-75C6F840B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aliases w:val="Note de bas de page Car Car,Char,Car,Fußnote,Fotnotstext1,fn,Footnote text,Footnote Text Char2,Footnote Text Char1 Char,Footnote Text Char Char Char,Footnote Text Char Char1,Footnote Text Char1 Char1,Footnote Text Char Char Char1,9 p,9,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Note de bas de page Car Car Char,Char Char,Car Char,Fußnote Char,Fotnotstext1 Char,fn Char,Footnote text Char,Footnote Text Char2 Char,Footnote Text Char1 Char Char,Footnote Text Char Char Char Char,Footnote Text Char Char1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388D"/>
    <w:rPr>
      <w:b/>
      <w:kern w:val="28"/>
      <w:sz w:val="28"/>
      <w:lang w:val="fr-FR" w:eastAsia="fr-FR"/>
    </w:rPr>
  </w:style>
  <w:style w:type="character" w:customStyle="1" w:styleId="Heading2Char">
    <w:name w:val="Heading 2 Char"/>
    <w:basedOn w:val="DefaultParagraphFont"/>
    <w:link w:val="Heading2"/>
    <w:rsid w:val="0003388D"/>
    <w:rPr>
      <w:sz w:val="24"/>
      <w:lang w:val="fr-FR" w:eastAsia="fr-FR"/>
    </w:rPr>
  </w:style>
  <w:style w:type="character" w:customStyle="1" w:styleId="Heading3Char">
    <w:name w:val="Heading 3 Char"/>
    <w:basedOn w:val="DefaultParagraphFont"/>
    <w:link w:val="Heading3"/>
    <w:rsid w:val="0003388D"/>
    <w:rPr>
      <w:rFonts w:ascii="Arial" w:hAnsi="Arial"/>
      <w:sz w:val="24"/>
      <w:lang w:val="fr-FR" w:eastAsia="fr-FR"/>
    </w:rPr>
  </w:style>
  <w:style w:type="character" w:customStyle="1" w:styleId="Heading4Char">
    <w:name w:val="Heading 4 Char"/>
    <w:basedOn w:val="DefaultParagraphFont"/>
    <w:link w:val="Heading4"/>
    <w:rsid w:val="0003388D"/>
    <w:rPr>
      <w:sz w:val="24"/>
      <w:lang w:val="en-US" w:eastAsia="fr-FR"/>
    </w:rPr>
  </w:style>
  <w:style w:type="character" w:customStyle="1" w:styleId="Heading5Char">
    <w:name w:val="Heading 5 Char"/>
    <w:basedOn w:val="DefaultParagraphFont"/>
    <w:link w:val="Heading5"/>
    <w:semiHidden/>
    <w:rsid w:val="0003388D"/>
    <w:rPr>
      <w:sz w:val="24"/>
      <w:lang w:val="en-US" w:eastAsia="fr-FR"/>
    </w:rPr>
  </w:style>
  <w:style w:type="character" w:customStyle="1" w:styleId="Heading6Char">
    <w:name w:val="Heading 6 Char"/>
    <w:basedOn w:val="DefaultParagraphFont"/>
    <w:link w:val="Heading6"/>
    <w:semiHidden/>
    <w:rsid w:val="0003388D"/>
    <w:rPr>
      <w:i/>
      <w:sz w:val="22"/>
      <w:lang w:val="da-DK"/>
    </w:rPr>
  </w:style>
  <w:style w:type="character" w:customStyle="1" w:styleId="Heading7Char">
    <w:name w:val="Heading 7 Char"/>
    <w:basedOn w:val="DefaultParagraphFont"/>
    <w:link w:val="Heading7"/>
    <w:semiHidden/>
    <w:rsid w:val="0003388D"/>
    <w:rPr>
      <w:rFonts w:ascii="Arial" w:hAnsi="Arial"/>
      <w:sz w:val="24"/>
      <w:lang w:val="da-DK"/>
    </w:rPr>
  </w:style>
  <w:style w:type="character" w:customStyle="1" w:styleId="Heading8Char">
    <w:name w:val="Heading 8 Char"/>
    <w:basedOn w:val="DefaultParagraphFont"/>
    <w:link w:val="Heading8"/>
    <w:semiHidden/>
    <w:rsid w:val="0003388D"/>
    <w:rPr>
      <w:rFonts w:ascii="Arial" w:hAnsi="Arial"/>
      <w:i/>
      <w:sz w:val="24"/>
      <w:lang w:val="da-DK"/>
    </w:rPr>
  </w:style>
  <w:style w:type="character" w:customStyle="1" w:styleId="Heading9Char">
    <w:name w:val="Heading 9 Char"/>
    <w:basedOn w:val="DefaultParagraphFont"/>
    <w:link w:val="Heading9"/>
    <w:semiHidden/>
    <w:rsid w:val="0003388D"/>
    <w:rPr>
      <w:rFonts w:ascii="Arial" w:hAnsi="Arial"/>
      <w:b/>
      <w:i/>
      <w:sz w:val="18"/>
      <w:lang w:val="da-DK"/>
    </w:rPr>
  </w:style>
  <w:style w:type="paragraph" w:styleId="TOCHeading">
    <w:name w:val="TOC Heading"/>
    <w:basedOn w:val="Normal"/>
    <w:next w:val="Normal"/>
    <w:uiPriority w:val="39"/>
    <w:unhideWhenUsed/>
    <w:qFormat/>
    <w:rsid w:val="0003388D"/>
    <w:pPr>
      <w:widowControl/>
      <w:spacing w:after="240"/>
    </w:pPr>
    <w:rPr>
      <w:lang w:val="en-GB"/>
    </w:rPr>
  </w:style>
  <w:style w:type="paragraph" w:customStyle="1" w:styleId="EPFooter2">
    <w:name w:val="EPFooter2"/>
    <w:basedOn w:val="Normal"/>
    <w:next w:val="Normal"/>
    <w:rsid w:val="0003388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388D"/>
    <w:pPr>
      <w:keepNext/>
      <w:spacing w:after="240"/>
      <w:jc w:val="right"/>
    </w:pPr>
    <w:rPr>
      <w:rFonts w:ascii="Arial" w:hAnsi="Arial"/>
      <w:b/>
    </w:rPr>
  </w:style>
  <w:style w:type="paragraph" w:customStyle="1" w:styleId="Normal6a">
    <w:name w:val="Normal6a"/>
    <w:basedOn w:val="Normal"/>
    <w:rsid w:val="0003388D"/>
    <w:pPr>
      <w:spacing w:after="120"/>
    </w:pPr>
  </w:style>
  <w:style w:type="paragraph" w:customStyle="1" w:styleId="PageHeading">
    <w:name w:val="PageHeading"/>
    <w:basedOn w:val="Normal"/>
    <w:rsid w:val="0003388D"/>
    <w:pPr>
      <w:keepNext/>
      <w:spacing w:after="480"/>
      <w:jc w:val="center"/>
    </w:pPr>
    <w:rPr>
      <w:rFonts w:ascii="Arial" w:hAnsi="Arial" w:cs="Arial"/>
      <w:b/>
    </w:rPr>
  </w:style>
  <w:style w:type="paragraph" w:customStyle="1" w:styleId="NormalBold">
    <w:name w:val="NormalBold"/>
    <w:basedOn w:val="Normal"/>
    <w:link w:val="NormalBoldChar"/>
    <w:rsid w:val="0003388D"/>
    <w:rPr>
      <w:b/>
    </w:rPr>
  </w:style>
  <w:style w:type="character" w:customStyle="1" w:styleId="NormalBoldChar">
    <w:name w:val="NormalBold Char"/>
    <w:basedOn w:val="DefaultParagraphFont"/>
    <w:link w:val="NormalBold"/>
    <w:rsid w:val="0003388D"/>
    <w:rPr>
      <w:b/>
      <w:sz w:val="24"/>
      <w:lang w:val="da-DK"/>
    </w:rPr>
  </w:style>
  <w:style w:type="paragraph" w:customStyle="1" w:styleId="NormalBold12a">
    <w:name w:val="NormalBold12a"/>
    <w:basedOn w:val="Normal"/>
    <w:rsid w:val="0003388D"/>
    <w:pPr>
      <w:spacing w:after="240"/>
    </w:pPr>
    <w:rPr>
      <w:b/>
    </w:rPr>
  </w:style>
  <w:style w:type="paragraph" w:customStyle="1" w:styleId="AmJustText">
    <w:name w:val="AmJustText"/>
    <w:basedOn w:val="Normal"/>
    <w:rsid w:val="0003388D"/>
    <w:pPr>
      <w:spacing w:after="240"/>
    </w:pPr>
    <w:rPr>
      <w:i/>
    </w:rPr>
  </w:style>
  <w:style w:type="paragraph" w:customStyle="1" w:styleId="NormalHanging12a">
    <w:name w:val="NormalHanging12a"/>
    <w:basedOn w:val="Normal"/>
    <w:rsid w:val="0003388D"/>
    <w:pPr>
      <w:spacing w:after="240"/>
      <w:ind w:left="567" w:hanging="567"/>
    </w:pPr>
  </w:style>
  <w:style w:type="paragraph" w:customStyle="1" w:styleId="CoverNormal24a">
    <w:name w:val="CoverNormal24a"/>
    <w:basedOn w:val="Normal"/>
    <w:rsid w:val="0003388D"/>
    <w:pPr>
      <w:spacing w:after="480"/>
      <w:ind w:left="1417"/>
    </w:pPr>
  </w:style>
  <w:style w:type="paragraph" w:customStyle="1" w:styleId="CoverNormal">
    <w:name w:val="CoverNormal"/>
    <w:basedOn w:val="Normal"/>
    <w:rsid w:val="0003388D"/>
    <w:pPr>
      <w:ind w:left="1418"/>
    </w:pPr>
  </w:style>
  <w:style w:type="paragraph" w:customStyle="1" w:styleId="AmCrossRef">
    <w:name w:val="AmCrossRef"/>
    <w:basedOn w:val="Normal"/>
    <w:rsid w:val="0003388D"/>
    <w:pPr>
      <w:spacing w:before="240" w:after="240"/>
      <w:jc w:val="center"/>
    </w:pPr>
    <w:rPr>
      <w:i/>
    </w:rPr>
  </w:style>
  <w:style w:type="paragraph" w:customStyle="1" w:styleId="AmJustTitle">
    <w:name w:val="AmJustTitle"/>
    <w:basedOn w:val="Normal"/>
    <w:next w:val="AmJustText"/>
    <w:rsid w:val="0003388D"/>
    <w:pPr>
      <w:keepNext/>
      <w:spacing w:before="240" w:after="240"/>
      <w:jc w:val="center"/>
    </w:pPr>
    <w:rPr>
      <w:i/>
    </w:rPr>
  </w:style>
  <w:style w:type="paragraph" w:customStyle="1" w:styleId="CoverReference">
    <w:name w:val="CoverReference"/>
    <w:basedOn w:val="Normal"/>
    <w:rsid w:val="0003388D"/>
    <w:pPr>
      <w:spacing w:before="1080"/>
      <w:jc w:val="right"/>
    </w:pPr>
    <w:rPr>
      <w:rFonts w:ascii="Arial" w:hAnsi="Arial" w:cs="Arial"/>
      <w:b/>
    </w:rPr>
  </w:style>
  <w:style w:type="paragraph" w:customStyle="1" w:styleId="CoverDocType">
    <w:name w:val="CoverDocType"/>
    <w:basedOn w:val="Normal"/>
    <w:rsid w:val="0003388D"/>
    <w:pPr>
      <w:ind w:left="1418"/>
    </w:pPr>
    <w:rPr>
      <w:rFonts w:ascii="Arial" w:hAnsi="Arial"/>
      <w:b/>
      <w:sz w:val="48"/>
    </w:rPr>
  </w:style>
  <w:style w:type="paragraph" w:customStyle="1" w:styleId="CoverDocType24a">
    <w:name w:val="CoverDocType24a"/>
    <w:basedOn w:val="Normal"/>
    <w:rsid w:val="0003388D"/>
    <w:pPr>
      <w:spacing w:after="480"/>
      <w:ind w:left="1418"/>
    </w:pPr>
    <w:rPr>
      <w:rFonts w:ascii="Arial" w:hAnsi="Arial"/>
      <w:b/>
      <w:sz w:val="48"/>
    </w:rPr>
  </w:style>
  <w:style w:type="paragraph" w:customStyle="1" w:styleId="CoverDate">
    <w:name w:val="CoverDate"/>
    <w:basedOn w:val="Normal"/>
    <w:rsid w:val="0003388D"/>
    <w:pPr>
      <w:spacing w:before="240" w:after="1200"/>
    </w:pPr>
  </w:style>
  <w:style w:type="paragraph" w:styleId="Header">
    <w:name w:val="header"/>
    <w:basedOn w:val="Normal"/>
    <w:link w:val="HeaderChar"/>
    <w:rsid w:val="0003388D"/>
    <w:pPr>
      <w:tabs>
        <w:tab w:val="center" w:pos="4513"/>
        <w:tab w:val="right" w:pos="9026"/>
      </w:tabs>
    </w:pPr>
  </w:style>
  <w:style w:type="character" w:customStyle="1" w:styleId="HeaderChar">
    <w:name w:val="Header Char"/>
    <w:basedOn w:val="DefaultParagraphFont"/>
    <w:link w:val="Header"/>
    <w:rsid w:val="0003388D"/>
    <w:rPr>
      <w:sz w:val="24"/>
      <w:lang w:val="da-DK"/>
    </w:rPr>
  </w:style>
  <w:style w:type="paragraph" w:customStyle="1" w:styleId="AmOrLang">
    <w:name w:val="AmOrLang"/>
    <w:basedOn w:val="Normal"/>
    <w:rsid w:val="0003388D"/>
    <w:pPr>
      <w:spacing w:before="240" w:after="240"/>
      <w:jc w:val="right"/>
    </w:pPr>
  </w:style>
  <w:style w:type="paragraph" w:customStyle="1" w:styleId="AmColumnHeading">
    <w:name w:val="AmColumnHeading"/>
    <w:basedOn w:val="Normal"/>
    <w:rsid w:val="0003388D"/>
    <w:pPr>
      <w:spacing w:after="240"/>
      <w:jc w:val="center"/>
    </w:pPr>
    <w:rPr>
      <w:i/>
    </w:rPr>
  </w:style>
  <w:style w:type="paragraph" w:customStyle="1" w:styleId="AmNumberTabs">
    <w:name w:val="AmNumberTabs"/>
    <w:basedOn w:val="Normal"/>
    <w:link w:val="AmNumberTabsChar"/>
    <w:rsid w:val="000338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3388D"/>
    <w:rPr>
      <w:b/>
      <w:sz w:val="24"/>
      <w:lang w:val="da-DK"/>
    </w:rPr>
  </w:style>
  <w:style w:type="paragraph" w:customStyle="1" w:styleId="NormalBold12b">
    <w:name w:val="NormalBold12b"/>
    <w:basedOn w:val="Normal"/>
    <w:link w:val="NormalBold12bChar"/>
    <w:rsid w:val="0003388D"/>
    <w:pPr>
      <w:spacing w:before="240"/>
    </w:pPr>
    <w:rPr>
      <w:b/>
    </w:rPr>
  </w:style>
  <w:style w:type="character" w:customStyle="1" w:styleId="NormalBold12bChar">
    <w:name w:val="NormalBold12b Char"/>
    <w:basedOn w:val="AmNumberTabsChar"/>
    <w:link w:val="NormalBold12b"/>
    <w:rsid w:val="0003388D"/>
    <w:rPr>
      <w:b/>
      <w:sz w:val="24"/>
      <w:lang w:val="da-DK"/>
    </w:rPr>
  </w:style>
  <w:style w:type="paragraph" w:customStyle="1" w:styleId="EPBody">
    <w:name w:val="EPBody"/>
    <w:basedOn w:val="Normal"/>
    <w:rsid w:val="0003388D"/>
    <w:pPr>
      <w:jc w:val="center"/>
    </w:pPr>
    <w:rPr>
      <w:rFonts w:ascii="Arial" w:hAnsi="Arial" w:cs="Arial"/>
      <w:i/>
      <w:sz w:val="22"/>
      <w:szCs w:val="22"/>
    </w:rPr>
  </w:style>
  <w:style w:type="paragraph" w:customStyle="1" w:styleId="EPFooter">
    <w:name w:val="EPFooter"/>
    <w:basedOn w:val="Normal"/>
    <w:rsid w:val="0003388D"/>
    <w:pPr>
      <w:tabs>
        <w:tab w:val="center" w:pos="4535"/>
        <w:tab w:val="right" w:pos="9071"/>
      </w:tabs>
      <w:spacing w:before="240" w:after="240"/>
    </w:pPr>
    <w:rPr>
      <w:color w:val="010000"/>
      <w:sz w:val="22"/>
    </w:rPr>
  </w:style>
  <w:style w:type="paragraph" w:customStyle="1" w:styleId="EPComma">
    <w:name w:val="EPComma"/>
    <w:basedOn w:val="Normal"/>
    <w:rsid w:val="0003388D"/>
    <w:pPr>
      <w:spacing w:before="480" w:after="240"/>
    </w:pPr>
  </w:style>
  <w:style w:type="paragraph" w:customStyle="1" w:styleId="Lgendesigne">
    <w:name w:val="Légende signe"/>
    <w:basedOn w:val="Normal"/>
    <w:rsid w:val="0003388D"/>
    <w:pPr>
      <w:tabs>
        <w:tab w:val="right" w:pos="454"/>
        <w:tab w:val="left" w:pos="737"/>
      </w:tabs>
      <w:ind w:left="737" w:hanging="737"/>
    </w:pPr>
    <w:rPr>
      <w:snapToGrid w:val="0"/>
      <w:sz w:val="18"/>
      <w:lang w:eastAsia="en-US"/>
    </w:rPr>
  </w:style>
  <w:style w:type="paragraph" w:customStyle="1" w:styleId="Lgendetitre">
    <w:name w:val="Légende titre"/>
    <w:basedOn w:val="Normal"/>
    <w:rsid w:val="0003388D"/>
    <w:pPr>
      <w:spacing w:before="240" w:after="240"/>
    </w:pPr>
    <w:rPr>
      <w:b/>
      <w:i/>
      <w:snapToGrid w:val="0"/>
      <w:lang w:eastAsia="en-US"/>
    </w:rPr>
  </w:style>
  <w:style w:type="paragraph" w:customStyle="1" w:styleId="Lgendestandard">
    <w:name w:val="Légende standard"/>
    <w:basedOn w:val="Normal"/>
    <w:rsid w:val="0003388D"/>
    <w:rPr>
      <w:sz w:val="18"/>
    </w:rPr>
  </w:style>
  <w:style w:type="paragraph" w:customStyle="1" w:styleId="EntPE">
    <w:name w:val="EntPE"/>
    <w:basedOn w:val="Normal12"/>
    <w:rsid w:val="0003388D"/>
    <w:pPr>
      <w:jc w:val="center"/>
    </w:pPr>
    <w:rPr>
      <w:noProof w:val="0"/>
      <w:sz w:val="56"/>
    </w:rPr>
  </w:style>
  <w:style w:type="paragraph" w:customStyle="1" w:styleId="Normal12">
    <w:name w:val="Normal12"/>
    <w:basedOn w:val="Normal"/>
    <w:link w:val="Normal12Char"/>
    <w:rsid w:val="0003388D"/>
    <w:pPr>
      <w:spacing w:after="240"/>
    </w:pPr>
    <w:rPr>
      <w:noProof/>
    </w:rPr>
  </w:style>
  <w:style w:type="character" w:customStyle="1" w:styleId="Normal12Char">
    <w:name w:val="Normal12 Char"/>
    <w:basedOn w:val="DefaultParagraphFont"/>
    <w:link w:val="Normal12"/>
    <w:locked/>
    <w:rsid w:val="0003388D"/>
    <w:rPr>
      <w:noProof/>
      <w:sz w:val="24"/>
      <w:lang w:val="da-DK"/>
    </w:rPr>
  </w:style>
  <w:style w:type="paragraph" w:customStyle="1" w:styleId="CommitteeAM">
    <w:name w:val="CommitteeAM"/>
    <w:basedOn w:val="Normal"/>
    <w:rsid w:val="0003388D"/>
    <w:pPr>
      <w:spacing w:before="240" w:after="600"/>
      <w:jc w:val="center"/>
    </w:pPr>
    <w:rPr>
      <w:i/>
    </w:rPr>
  </w:style>
  <w:style w:type="paragraph" w:customStyle="1" w:styleId="ZDateAM">
    <w:name w:val="ZDateAM"/>
    <w:basedOn w:val="Normal"/>
    <w:rsid w:val="0003388D"/>
    <w:pPr>
      <w:tabs>
        <w:tab w:val="right" w:pos="9356"/>
      </w:tabs>
      <w:spacing w:after="480"/>
    </w:pPr>
    <w:rPr>
      <w:noProof/>
    </w:rPr>
  </w:style>
  <w:style w:type="paragraph" w:customStyle="1" w:styleId="ProjRap">
    <w:name w:val="ProjRap"/>
    <w:basedOn w:val="Normal"/>
    <w:rsid w:val="0003388D"/>
    <w:pPr>
      <w:tabs>
        <w:tab w:val="right" w:pos="9356"/>
      </w:tabs>
    </w:pPr>
    <w:rPr>
      <w:b/>
      <w:noProof/>
    </w:rPr>
  </w:style>
  <w:style w:type="paragraph" w:customStyle="1" w:styleId="PELeft">
    <w:name w:val="PELeft"/>
    <w:basedOn w:val="Normal"/>
    <w:rsid w:val="0003388D"/>
    <w:pPr>
      <w:spacing w:before="40" w:after="40"/>
    </w:pPr>
    <w:rPr>
      <w:rFonts w:ascii="Arial" w:hAnsi="Arial" w:cs="Arial"/>
      <w:sz w:val="22"/>
      <w:szCs w:val="22"/>
    </w:rPr>
  </w:style>
  <w:style w:type="paragraph" w:customStyle="1" w:styleId="PERight">
    <w:name w:val="PERight"/>
    <w:basedOn w:val="Normal"/>
    <w:next w:val="Normal"/>
    <w:rsid w:val="0003388D"/>
    <w:pPr>
      <w:jc w:val="right"/>
    </w:pPr>
    <w:rPr>
      <w:rFonts w:ascii="Arial" w:hAnsi="Arial" w:cs="Arial"/>
      <w:sz w:val="22"/>
      <w:szCs w:val="22"/>
    </w:rPr>
  </w:style>
  <w:style w:type="paragraph" w:customStyle="1" w:styleId="Normal6">
    <w:name w:val="Normal6"/>
    <w:basedOn w:val="Normal"/>
    <w:link w:val="Normal6Char"/>
    <w:rsid w:val="0003388D"/>
    <w:pPr>
      <w:spacing w:after="120"/>
    </w:pPr>
  </w:style>
  <w:style w:type="character" w:customStyle="1" w:styleId="Normal6Char">
    <w:name w:val="Normal6 Char"/>
    <w:basedOn w:val="DefaultParagraphFont"/>
    <w:link w:val="Normal6"/>
    <w:rsid w:val="0003388D"/>
    <w:rPr>
      <w:sz w:val="24"/>
      <w:lang w:val="da-DK"/>
    </w:rPr>
  </w:style>
  <w:style w:type="paragraph" w:customStyle="1" w:styleId="Normal12Italic">
    <w:name w:val="Normal12Italic"/>
    <w:basedOn w:val="Normal12"/>
    <w:rsid w:val="0003388D"/>
    <w:rPr>
      <w:i/>
    </w:rPr>
  </w:style>
  <w:style w:type="paragraph" w:customStyle="1" w:styleId="JustificationTitle">
    <w:name w:val="JustificationTitle"/>
    <w:basedOn w:val="Normal"/>
    <w:next w:val="Normal12"/>
    <w:rsid w:val="0003388D"/>
    <w:pPr>
      <w:keepNext/>
      <w:spacing w:before="240" w:after="240"/>
      <w:jc w:val="center"/>
    </w:pPr>
    <w:rPr>
      <w:i/>
      <w:noProof/>
    </w:rPr>
  </w:style>
  <w:style w:type="paragraph" w:customStyle="1" w:styleId="Olang">
    <w:name w:val="Olang"/>
    <w:basedOn w:val="Normal"/>
    <w:rsid w:val="0003388D"/>
    <w:pPr>
      <w:spacing w:before="240" w:after="240"/>
      <w:jc w:val="right"/>
    </w:pPr>
    <w:rPr>
      <w:noProof/>
      <w:szCs w:val="24"/>
    </w:rPr>
  </w:style>
  <w:style w:type="paragraph" w:customStyle="1" w:styleId="ColumnHeading">
    <w:name w:val="ColumnHeading"/>
    <w:basedOn w:val="Normal"/>
    <w:rsid w:val="0003388D"/>
    <w:pPr>
      <w:spacing w:after="240"/>
      <w:jc w:val="center"/>
    </w:pPr>
    <w:rPr>
      <w:i/>
    </w:rPr>
  </w:style>
  <w:style w:type="paragraph" w:customStyle="1" w:styleId="AMNumberTabs0">
    <w:name w:val="AMNumberTabs"/>
    <w:basedOn w:val="Normal"/>
    <w:rsid w:val="000338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3388D"/>
    <w:pPr>
      <w:spacing w:before="240"/>
      <w:jc w:val="center"/>
    </w:pPr>
    <w:rPr>
      <w:i/>
    </w:rPr>
  </w:style>
  <w:style w:type="character" w:customStyle="1" w:styleId="Footer2Middle">
    <w:name w:val="Footer2Middle"/>
    <w:rsid w:val="0003388D"/>
    <w:rPr>
      <w:rFonts w:ascii="Arial" w:cs="Arial"/>
      <w:b w:val="0"/>
      <w:i/>
      <w:color w:val="C0C0C0"/>
      <w:sz w:val="22"/>
    </w:rPr>
  </w:style>
  <w:style w:type="character" w:styleId="Hyperlink">
    <w:name w:val="Hyperlink"/>
    <w:basedOn w:val="DefaultParagraphFont"/>
    <w:uiPriority w:val="99"/>
    <w:unhideWhenUsed/>
    <w:rsid w:val="0003388D"/>
    <w:rPr>
      <w:color w:val="0563C1" w:themeColor="hyperlink"/>
      <w:u w:val="single"/>
    </w:rPr>
  </w:style>
  <w:style w:type="paragraph" w:styleId="BalloonText">
    <w:name w:val="Balloon Text"/>
    <w:basedOn w:val="Normal"/>
    <w:link w:val="BalloonTextChar"/>
    <w:unhideWhenUsed/>
    <w:rsid w:val="0003388D"/>
    <w:rPr>
      <w:rFonts w:ascii="Segoe UI" w:hAnsi="Segoe UI" w:cs="Segoe UI"/>
      <w:sz w:val="18"/>
      <w:szCs w:val="18"/>
    </w:rPr>
  </w:style>
  <w:style w:type="character" w:customStyle="1" w:styleId="BalloonTextChar">
    <w:name w:val="Balloon Text Char"/>
    <w:basedOn w:val="DefaultParagraphFont"/>
    <w:link w:val="BalloonText"/>
    <w:rsid w:val="0003388D"/>
    <w:rPr>
      <w:rFonts w:ascii="Segoe UI" w:hAnsi="Segoe UI" w:cs="Segoe UI"/>
      <w:sz w:val="18"/>
      <w:szCs w:val="18"/>
      <w:lang w:val="da-DK"/>
    </w:rPr>
  </w:style>
  <w:style w:type="character" w:styleId="CommentReference">
    <w:name w:val="annotation reference"/>
    <w:basedOn w:val="DefaultParagraphFont"/>
    <w:rsid w:val="0003388D"/>
    <w:rPr>
      <w:sz w:val="16"/>
      <w:szCs w:val="16"/>
    </w:rPr>
  </w:style>
  <w:style w:type="paragraph" w:styleId="CommentText">
    <w:name w:val="annotation text"/>
    <w:basedOn w:val="Normal"/>
    <w:link w:val="CommentTextChar"/>
    <w:rsid w:val="0003388D"/>
    <w:rPr>
      <w:sz w:val="20"/>
    </w:rPr>
  </w:style>
  <w:style w:type="character" w:customStyle="1" w:styleId="CommentTextChar">
    <w:name w:val="Comment Text Char"/>
    <w:basedOn w:val="DefaultParagraphFont"/>
    <w:link w:val="CommentText"/>
    <w:rsid w:val="0003388D"/>
    <w:rPr>
      <w:lang w:val="da-DK"/>
    </w:rPr>
  </w:style>
  <w:style w:type="paragraph" w:styleId="CommentSubject">
    <w:name w:val="annotation subject"/>
    <w:basedOn w:val="CommentText"/>
    <w:next w:val="CommentText"/>
    <w:link w:val="CommentSubjectChar"/>
    <w:unhideWhenUsed/>
    <w:rsid w:val="0003388D"/>
    <w:rPr>
      <w:b/>
      <w:bCs/>
    </w:rPr>
  </w:style>
  <w:style w:type="character" w:customStyle="1" w:styleId="CommentSubjectChar">
    <w:name w:val="Comment Subject Char"/>
    <w:basedOn w:val="CommentTextChar"/>
    <w:link w:val="CommentSubject"/>
    <w:rsid w:val="0003388D"/>
    <w:rPr>
      <w:b/>
      <w:bCs/>
      <w:lang w:val="da-DK"/>
    </w:rPr>
  </w:style>
  <w:style w:type="paragraph" w:customStyle="1" w:styleId="ManualNumPar1">
    <w:name w:val="Manual NumPar 1"/>
    <w:basedOn w:val="Normal"/>
    <w:next w:val="Normal"/>
    <w:rsid w:val="0003388D"/>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03388D"/>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3388D"/>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3388D"/>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3388D"/>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3388D"/>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3388D"/>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3388D"/>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3388D"/>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3388D"/>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03388D"/>
    <w:pPr>
      <w:widowControl/>
      <w:numPr>
        <w:numId w:val="47"/>
      </w:numPr>
      <w:tabs>
        <w:tab w:val="clear" w:pos="709"/>
        <w:tab w:val="num" w:pos="360"/>
      </w:tabs>
      <w:spacing w:before="120" w:after="120"/>
      <w:ind w:left="0" w:firstLine="0"/>
      <w:jc w:val="both"/>
    </w:pPr>
    <w:rPr>
      <w:rFonts w:eastAsiaTheme="minorHAnsi"/>
      <w:szCs w:val="22"/>
      <w:lang w:eastAsia="en-US"/>
    </w:rPr>
  </w:style>
  <w:style w:type="paragraph" w:customStyle="1" w:styleId="Normal12a">
    <w:name w:val="Normal12a"/>
    <w:basedOn w:val="Normal"/>
    <w:rsid w:val="0003388D"/>
    <w:pPr>
      <w:spacing w:after="240"/>
    </w:pPr>
  </w:style>
  <w:style w:type="paragraph" w:customStyle="1" w:styleId="RollCallVotes">
    <w:name w:val="RollCallVotes"/>
    <w:basedOn w:val="Normal"/>
    <w:rsid w:val="0003388D"/>
    <w:pPr>
      <w:spacing w:before="120" w:after="120"/>
      <w:jc w:val="center"/>
    </w:pPr>
    <w:rPr>
      <w:b/>
      <w:bCs/>
      <w:snapToGrid w:val="0"/>
      <w:sz w:val="16"/>
      <w:lang w:eastAsia="en-US"/>
    </w:rPr>
  </w:style>
  <w:style w:type="paragraph" w:customStyle="1" w:styleId="RollCallTabs">
    <w:name w:val="RollCallTabs"/>
    <w:basedOn w:val="Normal"/>
    <w:qFormat/>
    <w:rsid w:val="0003388D"/>
    <w:pPr>
      <w:tabs>
        <w:tab w:val="center" w:pos="284"/>
        <w:tab w:val="left" w:pos="426"/>
      </w:tabs>
    </w:pPr>
    <w:rPr>
      <w:snapToGrid w:val="0"/>
      <w:lang w:eastAsia="en-US"/>
    </w:rPr>
  </w:style>
  <w:style w:type="paragraph" w:customStyle="1" w:styleId="RollCallSymbols14pt">
    <w:name w:val="RollCallSymbols14pt"/>
    <w:basedOn w:val="Normal"/>
    <w:rsid w:val="0003388D"/>
    <w:pPr>
      <w:spacing w:before="120" w:after="120"/>
      <w:jc w:val="center"/>
    </w:pPr>
    <w:rPr>
      <w:rFonts w:ascii="Arial" w:hAnsi="Arial"/>
      <w:b/>
      <w:bCs/>
      <w:snapToGrid w:val="0"/>
      <w:sz w:val="28"/>
      <w:lang w:eastAsia="en-US"/>
    </w:rPr>
  </w:style>
  <w:style w:type="paragraph" w:customStyle="1" w:styleId="RollCallTable">
    <w:name w:val="RollCallTable"/>
    <w:basedOn w:val="Normal"/>
    <w:rsid w:val="0003388D"/>
    <w:pPr>
      <w:spacing w:before="120" w:after="120"/>
    </w:pPr>
    <w:rPr>
      <w:snapToGrid w:val="0"/>
      <w:sz w:val="16"/>
      <w:lang w:eastAsia="en-US"/>
    </w:rPr>
  </w:style>
  <w:style w:type="paragraph" w:customStyle="1" w:styleId="PageHeadingNotTOC">
    <w:name w:val="PageHeadingNotTOC"/>
    <w:basedOn w:val="Normal"/>
    <w:rsid w:val="0003388D"/>
    <w:pPr>
      <w:keepNext/>
      <w:spacing w:after="480"/>
      <w:jc w:val="center"/>
    </w:pPr>
    <w:rPr>
      <w:rFonts w:ascii="Arial" w:hAnsi="Arial" w:cs="Arial"/>
      <w:b/>
    </w:rPr>
  </w:style>
  <w:style w:type="paragraph" w:customStyle="1" w:styleId="AmHeadingPA">
    <w:name w:val="AmHeadingPA"/>
    <w:basedOn w:val="Normal"/>
    <w:next w:val="Normal"/>
    <w:rsid w:val="0003388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3388D"/>
    <w:pPr>
      <w:spacing w:after="480"/>
    </w:pPr>
  </w:style>
  <w:style w:type="character" w:customStyle="1" w:styleId="Normal24aChar">
    <w:name w:val="Normal24a Char"/>
    <w:basedOn w:val="DefaultParagraphFont"/>
    <w:link w:val="Normal24a"/>
    <w:rsid w:val="0003388D"/>
    <w:rPr>
      <w:sz w:val="24"/>
      <w:lang w:val="da-DK"/>
    </w:rPr>
  </w:style>
  <w:style w:type="paragraph" w:customStyle="1" w:styleId="Text1">
    <w:name w:val="Text 1"/>
    <w:basedOn w:val="Normal"/>
    <w:uiPriority w:val="99"/>
    <w:rsid w:val="0003388D"/>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03388D"/>
    <w:pPr>
      <w:widowControl/>
      <w:tabs>
        <w:tab w:val="right" w:pos="9299"/>
      </w:tabs>
      <w:jc w:val="both"/>
    </w:pPr>
    <w:rPr>
      <w:rFonts w:ascii="Arial" w:hAnsi="Arial"/>
      <w:snapToGrid w:val="0"/>
    </w:rPr>
  </w:style>
  <w:style w:type="paragraph" w:customStyle="1" w:styleId="NormalBoldCenter">
    <w:name w:val="NormalBoldCenter"/>
    <w:basedOn w:val="Normal"/>
    <w:rsid w:val="0003388D"/>
    <w:pPr>
      <w:jc w:val="center"/>
    </w:pPr>
    <w:rPr>
      <w:b/>
    </w:rPr>
  </w:style>
  <w:style w:type="character" w:customStyle="1" w:styleId="null1">
    <w:name w:val="null1"/>
    <w:basedOn w:val="DefaultParagraphFont"/>
    <w:rsid w:val="0003388D"/>
  </w:style>
  <w:style w:type="character" w:styleId="FollowedHyperlink">
    <w:name w:val="FollowedHyperlink"/>
    <w:basedOn w:val="DefaultParagraphFont"/>
    <w:uiPriority w:val="99"/>
    <w:unhideWhenUsed/>
    <w:rsid w:val="0003388D"/>
    <w:rPr>
      <w:color w:val="954F72" w:themeColor="followedHyperlink"/>
      <w:u w:val="single"/>
    </w:rPr>
  </w:style>
  <w:style w:type="paragraph" w:customStyle="1" w:styleId="msonormal0">
    <w:name w:val="msonormal"/>
    <w:basedOn w:val="Normal"/>
    <w:rsid w:val="0003388D"/>
    <w:pPr>
      <w:widowControl/>
      <w:spacing w:before="100" w:beforeAutospacing="1" w:after="100" w:afterAutospacing="1"/>
    </w:pPr>
    <w:rPr>
      <w:szCs w:val="24"/>
    </w:rPr>
  </w:style>
  <w:style w:type="paragraph" w:customStyle="1" w:styleId="title-bold">
    <w:name w:val="title-bold"/>
    <w:basedOn w:val="Normal"/>
    <w:rsid w:val="0003388D"/>
    <w:pPr>
      <w:widowControl/>
      <w:spacing w:before="100" w:beforeAutospacing="1" w:after="100" w:afterAutospacing="1"/>
    </w:pPr>
    <w:rPr>
      <w:szCs w:val="24"/>
    </w:rPr>
  </w:style>
  <w:style w:type="paragraph" w:styleId="Footer">
    <w:name w:val="footer"/>
    <w:basedOn w:val="Normal"/>
    <w:link w:val="FooterChar"/>
    <w:rsid w:val="0003388D"/>
    <w:pPr>
      <w:tabs>
        <w:tab w:val="center" w:pos="4513"/>
        <w:tab w:val="right" w:pos="9026"/>
      </w:tabs>
    </w:pPr>
  </w:style>
  <w:style w:type="character" w:customStyle="1" w:styleId="FooterChar">
    <w:name w:val="Footer Char"/>
    <w:basedOn w:val="DefaultParagraphFont"/>
    <w:link w:val="Footer"/>
    <w:rsid w:val="0003388D"/>
    <w:rPr>
      <w:sz w:val="24"/>
      <w:lang w:val="da-DK"/>
    </w:rPr>
  </w:style>
  <w:style w:type="paragraph" w:customStyle="1" w:styleId="Normal12Hanging">
    <w:name w:val="Normal12Hanging"/>
    <w:basedOn w:val="Normal"/>
    <w:rsid w:val="00847D5D"/>
    <w:pPr>
      <w:spacing w:after="240"/>
      <w:ind w:left="567" w:hanging="567"/>
    </w:pPr>
  </w:style>
  <w:style w:type="paragraph" w:customStyle="1" w:styleId="Typedudocument">
    <w:name w:val="Type du document"/>
    <w:basedOn w:val="Normal"/>
    <w:next w:val="Normal"/>
    <w:rsid w:val="003E0486"/>
    <w:pPr>
      <w:widowControl/>
      <w:spacing w:before="360"/>
      <w:jc w:val="center"/>
    </w:pPr>
    <w:rPr>
      <w:rFonts w:eastAsiaTheme="minorHAnsi"/>
      <w:b/>
      <w:szCs w:val="22"/>
      <w:lang w:eastAsia="en-US"/>
    </w:rPr>
  </w:style>
  <w:style w:type="numbering" w:customStyle="1" w:styleId="NoList1">
    <w:name w:val="No List1"/>
    <w:next w:val="NoList"/>
    <w:uiPriority w:val="99"/>
    <w:semiHidden/>
    <w:unhideWhenUsed/>
    <w:rsid w:val="003E0486"/>
  </w:style>
  <w:style w:type="paragraph" w:customStyle="1" w:styleId="SignaturePersonne">
    <w:name w:val="Signature Personne"/>
    <w:basedOn w:val="Normal"/>
    <w:rsid w:val="003E0486"/>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3E0486"/>
    <w:pPr>
      <w:keepNext/>
      <w:spacing w:before="600" w:after="120" w:line="360" w:lineRule="auto"/>
    </w:pPr>
    <w:rPr>
      <w:szCs w:val="24"/>
      <w:lang w:val="en-GB" w:eastAsia="en-US"/>
    </w:rPr>
  </w:style>
  <w:style w:type="paragraph" w:customStyle="1" w:styleId="Institutionquisigne">
    <w:name w:val="Institution qui signe"/>
    <w:basedOn w:val="Normal"/>
    <w:next w:val="Normal"/>
    <w:rsid w:val="003E0486"/>
    <w:pPr>
      <w:keepNext/>
      <w:tabs>
        <w:tab w:val="left" w:pos="4252"/>
      </w:tabs>
      <w:spacing w:before="720" w:line="360" w:lineRule="auto"/>
    </w:pPr>
    <w:rPr>
      <w:i/>
      <w:szCs w:val="24"/>
      <w:lang w:val="en-GB" w:eastAsia="en-US"/>
    </w:rPr>
  </w:style>
  <w:style w:type="paragraph" w:customStyle="1" w:styleId="Fait">
    <w:name w:val="Fait à"/>
    <w:basedOn w:val="Normal"/>
    <w:rsid w:val="003E0486"/>
    <w:pPr>
      <w:keepNext/>
      <w:widowControl/>
      <w:spacing w:before="120" w:line="360" w:lineRule="auto"/>
    </w:pPr>
    <w:rPr>
      <w:szCs w:val="24"/>
      <w:lang w:val="en-GB" w:eastAsia="en-US"/>
    </w:rPr>
  </w:style>
  <w:style w:type="paragraph" w:customStyle="1" w:styleId="FootnoteTextForceStyle">
    <w:name w:val="Footnote Text ForceStyle"/>
    <w:rsid w:val="003E0486"/>
    <w:pPr>
      <w:keepLines/>
      <w:widowControl w:val="0"/>
      <w:ind w:left="850" w:hanging="850"/>
    </w:pPr>
    <w:rPr>
      <w:sz w:val="24"/>
      <w:lang w:eastAsia="en-US"/>
    </w:rPr>
  </w:style>
  <w:style w:type="character" w:customStyle="1" w:styleId="Footer2">
    <w:name w:val="Footer2"/>
    <w:rsid w:val="003E0486"/>
    <w:rPr>
      <w:rFonts w:ascii="Arial" w:hAnsi="Arial"/>
      <w:b/>
      <w:sz w:val="48"/>
    </w:rPr>
  </w:style>
  <w:style w:type="paragraph" w:customStyle="1" w:styleId="Applicationdirecte">
    <w:name w:val="Application directe"/>
    <w:basedOn w:val="Normal"/>
    <w:next w:val="Normal"/>
    <w:rsid w:val="003E0486"/>
    <w:pPr>
      <w:spacing w:before="120" w:after="120" w:line="360" w:lineRule="auto"/>
    </w:pPr>
    <w:rPr>
      <w:szCs w:val="24"/>
      <w:lang w:val="en-GB" w:eastAsia="en-US"/>
    </w:rPr>
  </w:style>
  <w:style w:type="paragraph" w:customStyle="1" w:styleId="Normale">
    <w:name w:val="Normale"/>
    <w:rsid w:val="003E0486"/>
    <w:pPr>
      <w:widowControl w:val="0"/>
      <w:spacing w:before="120" w:after="120" w:line="360" w:lineRule="auto"/>
    </w:pPr>
    <w:rPr>
      <w:sz w:val="24"/>
      <w:lang w:eastAsia="en-US"/>
    </w:rPr>
  </w:style>
  <w:style w:type="paragraph" w:customStyle="1" w:styleId="Formuledadoption">
    <w:name w:val="Formule d'adoption"/>
    <w:basedOn w:val="Normal"/>
    <w:next w:val="Normal"/>
    <w:rsid w:val="003E048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E0486"/>
    <w:pPr>
      <w:widowControl/>
      <w:spacing w:after="240" w:line="360" w:lineRule="auto"/>
      <w:ind w:left="5102"/>
    </w:pPr>
    <w:rPr>
      <w:szCs w:val="24"/>
      <w:lang w:val="en-GB" w:eastAsia="en-US"/>
    </w:rPr>
  </w:style>
  <w:style w:type="paragraph" w:customStyle="1" w:styleId="Footer1">
    <w:name w:val="Footer1"/>
    <w:basedOn w:val="Normal"/>
    <w:rsid w:val="003E048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E048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E0486"/>
    <w:pPr>
      <w:widowControl/>
      <w:spacing w:before="840" w:line="360" w:lineRule="auto"/>
      <w:jc w:val="center"/>
    </w:pPr>
    <w:rPr>
      <w:szCs w:val="24"/>
      <w:lang w:val="en-GB" w:eastAsia="en-US"/>
    </w:rPr>
  </w:style>
  <w:style w:type="paragraph" w:customStyle="1" w:styleId="Titreobjet">
    <w:name w:val="Titre objet"/>
    <w:basedOn w:val="Normal"/>
    <w:next w:val="Normal"/>
    <w:rsid w:val="003E048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E0486"/>
    <w:pPr>
      <w:widowControl/>
      <w:spacing w:before="360" w:after="240" w:line="360" w:lineRule="auto"/>
      <w:jc w:val="center"/>
    </w:pPr>
    <w:rPr>
      <w:szCs w:val="24"/>
      <w:lang w:val="en-GB" w:eastAsia="en-US"/>
    </w:rPr>
  </w:style>
  <w:style w:type="character" w:customStyle="1" w:styleId="CMissingStyle">
    <w:name w:val="C_MissingStyle"/>
    <w:rsid w:val="003E0486"/>
    <w:rPr>
      <w:color w:val="FFFFFF"/>
      <w:sz w:val="22"/>
      <w:shd w:val="clear" w:color="000000" w:fill="000000"/>
    </w:rPr>
  </w:style>
  <w:style w:type="paragraph" w:customStyle="1" w:styleId="PMissingStyle">
    <w:name w:val="P_MissingStyle"/>
    <w:basedOn w:val="Normal"/>
    <w:rsid w:val="003E0486"/>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E04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TXT/?uri=OJ:L:2014:150:TOC" TargetMode="External"/><Relationship Id="rId2" Type="http://schemas.openxmlformats.org/officeDocument/2006/relationships/hyperlink" Target="https://eur-lex.europa.eu/legal-content/DA/TXT/?uri=OJ:L:2009:286:TOC" TargetMode="External"/><Relationship Id="rId1" Type="http://schemas.openxmlformats.org/officeDocument/2006/relationships/hyperlink" Target="https://eur-lex.europa.eu/legal-content/DA/TXT/?uri=OJ:L:2018:150:TOC" TargetMode="External"/><Relationship Id="rId4" Type="http://schemas.openxmlformats.org/officeDocument/2006/relationships/hyperlink" Target="https://eur-lex.europa.eu/legal-content/DA/TXT/?uri=OJ:L:2019:151:TO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76188-BB0F-4A23-9B42-BB46DBF0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564</Pages>
  <Words>79588</Words>
  <Characters>497117</Characters>
  <Application>Microsoft Office Word</Application>
  <DocSecurity>0</DocSecurity>
  <Lines>4142</Lines>
  <Paragraphs>1151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2024-12-02T09:08:00Z</dcterms:created>
  <dcterms:modified xsi:type="dcterms:W3CDTF">2024-12-02T09:08:00Z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P9_TA(2024)0151_</vt:lpwstr>
  </property>
  <property fmtid="{D5CDD505-2E9C-101B-9397-08002B2CF9AE}" pid="4" name="&lt;Type&gt;">
    <vt:lpwstr>RR</vt:lpwstr>
  </property>
</Properties>
</file>