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0921" w14:paraId="457D48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C06DE4" w14:textId="77777777" w:rsidR="00751A4A" w:rsidRPr="009F0921" w:rsidRDefault="00E20CDC" w:rsidP="0010095E">
            <w:pPr>
              <w:pStyle w:val="EPName"/>
            </w:pPr>
            <w:r w:rsidRPr="009F0921">
              <w:t>Evropský parlament</w:t>
            </w:r>
          </w:p>
          <w:p w14:paraId="3A449D12" w14:textId="77777777" w:rsidR="00751A4A" w:rsidRPr="009F09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5F5F">
              <w:t>2019</w:t>
            </w:r>
            <w:r w:rsidRPr="009F0921">
              <w:t>-</w:t>
            </w:r>
            <w:r w:rsidRPr="00E45F5F">
              <w:t>2024</w:t>
            </w:r>
          </w:p>
        </w:tc>
        <w:tc>
          <w:tcPr>
            <w:tcW w:w="2268" w:type="dxa"/>
            <w:shd w:val="clear" w:color="auto" w:fill="auto"/>
          </w:tcPr>
          <w:p w14:paraId="754A7BD3" w14:textId="77777777" w:rsidR="00751A4A" w:rsidRPr="009F0921" w:rsidRDefault="00187494" w:rsidP="0010095E">
            <w:pPr>
              <w:pStyle w:val="EPLogo"/>
            </w:pPr>
            <w:r w:rsidRPr="009F0921">
              <w:rPr>
                <w:noProof/>
                <w:lang w:val="en-GB"/>
              </w:rPr>
              <w:drawing>
                <wp:inline distT="0" distB="0" distL="0" distR="0" wp14:anchorId="354E2CDD" wp14:editId="131BD8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06664" w14:textId="77777777" w:rsidR="00D058B8" w:rsidRPr="009F0921" w:rsidRDefault="00D058B8" w:rsidP="004C5D52">
      <w:pPr>
        <w:pStyle w:val="LineTop"/>
      </w:pPr>
    </w:p>
    <w:p w14:paraId="2BA4F939" w14:textId="77777777" w:rsidR="00680577" w:rsidRPr="009F0921" w:rsidRDefault="00E20CDC" w:rsidP="00680577">
      <w:pPr>
        <w:pStyle w:val="EPBodyTA1"/>
      </w:pPr>
      <w:r w:rsidRPr="009F0921">
        <w:t>PŘIJATÉ TEXTY</w:t>
      </w:r>
    </w:p>
    <w:p w14:paraId="72F9D2F3" w14:textId="77777777" w:rsidR="00D058B8" w:rsidRPr="009F0921" w:rsidRDefault="00D058B8" w:rsidP="00D058B8">
      <w:pPr>
        <w:pStyle w:val="LineBottom"/>
      </w:pPr>
    </w:p>
    <w:p w14:paraId="751EACE9" w14:textId="56A24FA4" w:rsidR="00E20CDC" w:rsidRPr="009F0921" w:rsidRDefault="00E20CDC" w:rsidP="00E20CDC">
      <w:pPr>
        <w:pStyle w:val="ATHeading1"/>
      </w:pPr>
      <w:bookmarkStart w:id="0" w:name="TANumber"/>
      <w:r w:rsidRPr="009F0921">
        <w:t>P</w:t>
      </w:r>
      <w:r w:rsidRPr="00E45F5F">
        <w:t>9</w:t>
      </w:r>
      <w:r w:rsidRPr="009F0921">
        <w:t>_TA(</w:t>
      </w:r>
      <w:r w:rsidRPr="00E45F5F">
        <w:t>2024</w:t>
      </w:r>
      <w:r w:rsidRPr="009F0921">
        <w:t>)</w:t>
      </w:r>
      <w:r w:rsidRPr="00E45F5F">
        <w:t>0</w:t>
      </w:r>
      <w:r w:rsidR="009102C4" w:rsidRPr="00E45F5F">
        <w:t>153</w:t>
      </w:r>
      <w:bookmarkEnd w:id="0"/>
    </w:p>
    <w:p w14:paraId="34DC5191" w14:textId="77777777" w:rsidR="00E20CDC" w:rsidRPr="009F0921" w:rsidRDefault="00E20CDC" w:rsidP="00E20CDC">
      <w:pPr>
        <w:pStyle w:val="ATHeading2"/>
      </w:pPr>
      <w:bookmarkStart w:id="1" w:name="title"/>
      <w:r w:rsidRPr="009F0921">
        <w:t xml:space="preserve">Schvalování typu motorových vozidel a motorů z hlediska jejich emisí a životnosti baterie (Euro </w:t>
      </w:r>
      <w:r w:rsidRPr="00E45F5F">
        <w:t>7</w:t>
      </w:r>
      <w:r w:rsidRPr="009F0921">
        <w:t>)</w:t>
      </w:r>
      <w:bookmarkEnd w:id="1"/>
    </w:p>
    <w:p w14:paraId="03320950" w14:textId="77777777" w:rsidR="00E20CDC" w:rsidRPr="009F0921" w:rsidRDefault="00E20CDC" w:rsidP="00E20CDC">
      <w:pPr>
        <w:rPr>
          <w:i/>
          <w:vanish/>
        </w:rPr>
      </w:pPr>
      <w:r w:rsidRPr="009F0921">
        <w:rPr>
          <w:i/>
        </w:rPr>
        <w:fldChar w:fldCharType="begin"/>
      </w:r>
      <w:r w:rsidRPr="009F0921">
        <w:rPr>
          <w:i/>
        </w:rPr>
        <w:instrText xml:space="preserve"> TC"(</w:instrText>
      </w:r>
      <w:bookmarkStart w:id="2" w:name="DocNumber"/>
      <w:r w:rsidRPr="009F0921">
        <w:rPr>
          <w:i/>
        </w:rPr>
        <w:instrText>A</w:instrText>
      </w:r>
      <w:r w:rsidRPr="00E45F5F">
        <w:rPr>
          <w:i/>
        </w:rPr>
        <w:instrText>9</w:instrText>
      </w:r>
      <w:r w:rsidRPr="009F0921">
        <w:rPr>
          <w:i/>
        </w:rPr>
        <w:instrText>-</w:instrText>
      </w:r>
      <w:r w:rsidRPr="00E45F5F">
        <w:rPr>
          <w:i/>
        </w:rPr>
        <w:instrText>0298</w:instrText>
      </w:r>
      <w:r w:rsidRPr="009F0921">
        <w:rPr>
          <w:i/>
        </w:rPr>
        <w:instrText>/</w:instrText>
      </w:r>
      <w:r w:rsidRPr="00E45F5F">
        <w:rPr>
          <w:i/>
        </w:rPr>
        <w:instrText>2023</w:instrText>
      </w:r>
      <w:bookmarkEnd w:id="2"/>
      <w:r w:rsidRPr="009F0921">
        <w:rPr>
          <w:i/>
        </w:rPr>
        <w:instrText xml:space="preserve"> - Zpravodaj: Alexandr Vondra)"\l</w:instrText>
      </w:r>
      <w:r w:rsidRPr="00E45F5F">
        <w:rPr>
          <w:i/>
        </w:rPr>
        <w:instrText>3</w:instrText>
      </w:r>
      <w:r w:rsidRPr="009F0921">
        <w:rPr>
          <w:i/>
        </w:rPr>
        <w:instrText xml:space="preserve"> \n&gt; \* MERGEFORMAT </w:instrText>
      </w:r>
      <w:r w:rsidRPr="009F0921">
        <w:rPr>
          <w:i/>
        </w:rPr>
        <w:fldChar w:fldCharType="end"/>
      </w:r>
    </w:p>
    <w:p w14:paraId="319BE92D" w14:textId="77777777" w:rsidR="00E20CDC" w:rsidRPr="009F0921" w:rsidRDefault="00E20CDC" w:rsidP="00E20CDC">
      <w:pPr>
        <w:rPr>
          <w:vanish/>
        </w:rPr>
      </w:pPr>
      <w:bookmarkStart w:id="3" w:name="Commission"/>
      <w:r w:rsidRPr="009F0921">
        <w:rPr>
          <w:vanish/>
        </w:rPr>
        <w:t>Výbor pro životní prostředí, veřejné zdraví a bezpečnost potravin</w:t>
      </w:r>
      <w:bookmarkEnd w:id="3"/>
    </w:p>
    <w:p w14:paraId="454D3625" w14:textId="77777777" w:rsidR="00E20CDC" w:rsidRPr="009F0921" w:rsidRDefault="00E20CDC" w:rsidP="00E20CDC">
      <w:pPr>
        <w:rPr>
          <w:vanish/>
        </w:rPr>
      </w:pPr>
      <w:bookmarkStart w:id="4" w:name="PE"/>
      <w:r w:rsidRPr="009F0921">
        <w:rPr>
          <w:vanish/>
        </w:rPr>
        <w:t>PE</w:t>
      </w:r>
      <w:r w:rsidRPr="00E45F5F">
        <w:rPr>
          <w:vanish/>
        </w:rPr>
        <w:t>746</w:t>
      </w:r>
      <w:r w:rsidRPr="009F0921">
        <w:rPr>
          <w:vanish/>
        </w:rPr>
        <w:t>.</w:t>
      </w:r>
      <w:r w:rsidRPr="00E45F5F">
        <w:rPr>
          <w:vanish/>
        </w:rPr>
        <w:t>876</w:t>
      </w:r>
      <w:bookmarkEnd w:id="4"/>
    </w:p>
    <w:p w14:paraId="3E230F45" w14:textId="77777777" w:rsidR="00E20CDC" w:rsidRPr="009F0921" w:rsidRDefault="00E20CDC" w:rsidP="00E20CDC">
      <w:pPr>
        <w:pStyle w:val="ATHeading3"/>
      </w:pPr>
      <w:bookmarkStart w:id="5" w:name="Sujet"/>
      <w:r w:rsidRPr="009F0921">
        <w:t xml:space="preserve">Legislativní usnesení Evropského parlamentu ze dne </w:t>
      </w:r>
      <w:r w:rsidRPr="00E45F5F">
        <w:t>13</w:t>
      </w:r>
      <w:r w:rsidRPr="009F0921">
        <w:t xml:space="preserve">. března </w:t>
      </w:r>
      <w:r w:rsidRPr="00E45F5F">
        <w:t>2024</w:t>
      </w:r>
      <w:r w:rsidRPr="009F0921">
        <w:t xml:space="preserve"> o návrhu nařízení Evropského parlamentu a Rady o schvalování typu motorových vozidel a motorů, jakož i systémů, konstrukčních částí a samostatných technických celků určených pro tato vozidla z hlediska jejich emisí a životnosti baterie (Euro </w:t>
      </w:r>
      <w:r w:rsidRPr="00E45F5F">
        <w:t>7</w:t>
      </w:r>
      <w:r w:rsidRPr="009F0921">
        <w:t xml:space="preserve">) a o zrušení nařízení (ES) č. </w:t>
      </w:r>
      <w:r w:rsidRPr="00E45F5F">
        <w:t>715</w:t>
      </w:r>
      <w:r w:rsidRPr="009F0921">
        <w:t>/</w:t>
      </w:r>
      <w:r w:rsidRPr="00E45F5F">
        <w:t>2007</w:t>
      </w:r>
      <w:r w:rsidRPr="009F0921">
        <w:t xml:space="preserve"> a nařízení (ES) č. </w:t>
      </w:r>
      <w:r w:rsidRPr="00E45F5F">
        <w:t>595</w:t>
      </w:r>
      <w:r w:rsidRPr="009F0921">
        <w:t>/</w:t>
      </w:r>
      <w:r w:rsidRPr="00E45F5F">
        <w:t>2009</w:t>
      </w:r>
      <w:bookmarkEnd w:id="5"/>
      <w:r w:rsidRPr="009F0921">
        <w:t xml:space="preserve"> </w:t>
      </w:r>
      <w:bookmarkStart w:id="6" w:name="References"/>
      <w:r w:rsidRPr="009F0921">
        <w:t>(</w:t>
      </w:r>
      <w:proofErr w:type="gramStart"/>
      <w:r w:rsidRPr="009F0921">
        <w:t>COM(</w:t>
      </w:r>
      <w:r w:rsidRPr="00E45F5F">
        <w:t>2022</w:t>
      </w:r>
      <w:proofErr w:type="gramEnd"/>
      <w:r w:rsidRPr="009F0921">
        <w:t>)</w:t>
      </w:r>
      <w:r w:rsidRPr="00E45F5F">
        <w:t>0586</w:t>
      </w:r>
      <w:r w:rsidRPr="009F0921">
        <w:t xml:space="preserve"> – C</w:t>
      </w:r>
      <w:r w:rsidRPr="00E45F5F">
        <w:t>9</w:t>
      </w:r>
      <w:r w:rsidRPr="009F0921">
        <w:t>-</w:t>
      </w:r>
      <w:r w:rsidRPr="00E45F5F">
        <w:t>0375</w:t>
      </w:r>
      <w:r w:rsidRPr="009F0921">
        <w:t>/</w:t>
      </w:r>
      <w:r w:rsidRPr="00E45F5F">
        <w:t>2022</w:t>
      </w:r>
      <w:r w:rsidRPr="009F0921">
        <w:t xml:space="preserve"> – </w:t>
      </w:r>
      <w:r w:rsidRPr="00E45F5F">
        <w:t>2022</w:t>
      </w:r>
      <w:r w:rsidRPr="009F0921">
        <w:t>/</w:t>
      </w:r>
      <w:r w:rsidRPr="00E45F5F">
        <w:t>0365</w:t>
      </w:r>
      <w:r w:rsidRPr="009F0921">
        <w:t>(COD))</w:t>
      </w:r>
      <w:bookmarkEnd w:id="6"/>
    </w:p>
    <w:p w14:paraId="620D9E22" w14:textId="77777777" w:rsidR="00E20CDC" w:rsidRPr="009F0921" w:rsidRDefault="00E20CDC" w:rsidP="00E20CDC"/>
    <w:p w14:paraId="3F7876E9" w14:textId="77777777" w:rsidR="00A10F92" w:rsidRPr="009F0921" w:rsidRDefault="00A10F92" w:rsidP="00A10F92">
      <w:pPr>
        <w:pStyle w:val="NormalBold"/>
      </w:pPr>
      <w:bookmarkStart w:id="7" w:name="TextBodyBegin"/>
      <w:bookmarkEnd w:id="7"/>
      <w:r w:rsidRPr="009F0921">
        <w:t>(Řádný legislativní postup: první čtení)</w:t>
      </w:r>
    </w:p>
    <w:p w14:paraId="0B76AC74" w14:textId="77777777" w:rsidR="00A10F92" w:rsidRPr="009F0921" w:rsidRDefault="00A10F92" w:rsidP="00A10F92">
      <w:pPr>
        <w:pStyle w:val="EPComma"/>
      </w:pPr>
      <w:r w:rsidRPr="009F0921">
        <w:rPr>
          <w:i/>
        </w:rPr>
        <w:t>Evropský parlament</w:t>
      </w:r>
      <w:r w:rsidRPr="009F0921">
        <w:t>,</w:t>
      </w:r>
    </w:p>
    <w:p w14:paraId="62C28F84" w14:textId="77777777" w:rsidR="00A10F92" w:rsidRPr="009F0921" w:rsidRDefault="00A10F92" w:rsidP="00A10F92">
      <w:pPr>
        <w:pStyle w:val="NormalHanging12a"/>
      </w:pPr>
      <w:r w:rsidRPr="009F0921">
        <w:t>–</w:t>
      </w:r>
      <w:r w:rsidRPr="009F0921">
        <w:tab/>
        <w:t>s ohledem na návrh Komise předložený Evropskému parlamentu a Radě (</w:t>
      </w:r>
      <w:proofErr w:type="gramStart"/>
      <w:r w:rsidRPr="009F0921">
        <w:t>COM(</w:t>
      </w:r>
      <w:r w:rsidRPr="00E45F5F">
        <w:t>2022</w:t>
      </w:r>
      <w:proofErr w:type="gramEnd"/>
      <w:r w:rsidRPr="009F0921">
        <w:t>)</w:t>
      </w:r>
      <w:r w:rsidRPr="00E45F5F">
        <w:t>0586</w:t>
      </w:r>
      <w:r w:rsidRPr="009F0921">
        <w:t>),</w:t>
      </w:r>
    </w:p>
    <w:p w14:paraId="5D08AFB1" w14:textId="6BBB736D" w:rsidR="00A10F92" w:rsidRPr="009F0921" w:rsidRDefault="00A10F92" w:rsidP="00A10F92">
      <w:pPr>
        <w:pStyle w:val="NormalHanging12a"/>
      </w:pPr>
      <w:r w:rsidRPr="009F0921">
        <w:t>–</w:t>
      </w:r>
      <w:r w:rsidRPr="009F0921">
        <w:tab/>
        <w:t xml:space="preserve">s ohledem na čl. </w:t>
      </w:r>
      <w:r w:rsidRPr="00E45F5F">
        <w:t>294</w:t>
      </w:r>
      <w:r w:rsidRPr="009F0921">
        <w:t xml:space="preserve"> odst. </w:t>
      </w:r>
      <w:r w:rsidRPr="00E45F5F">
        <w:t>2</w:t>
      </w:r>
      <w:r w:rsidRPr="009F0921">
        <w:t xml:space="preserve"> a článek </w:t>
      </w:r>
      <w:r w:rsidRPr="00E45F5F">
        <w:t>114</w:t>
      </w:r>
      <w:r w:rsidRPr="009F0921">
        <w:t xml:space="preserve"> Smlouvy o fungování Evropské unie, v souladu s</w:t>
      </w:r>
      <w:r w:rsidR="00DE619E">
        <w:t>e</w:t>
      </w:r>
      <w:r w:rsidRPr="009F0921">
        <w:t xml:space="preserve"> </w:t>
      </w:r>
      <w:r w:rsidR="00DE619E">
        <w:t>kterými</w:t>
      </w:r>
      <w:r w:rsidRPr="009F0921">
        <w:t xml:space="preserve"> Komise předložila svůj návrh Parlamentu (C</w:t>
      </w:r>
      <w:r w:rsidRPr="00E45F5F">
        <w:t>9</w:t>
      </w:r>
      <w:r w:rsidRPr="009F0921">
        <w:noBreakHyphen/>
      </w:r>
      <w:r w:rsidRPr="00E45F5F">
        <w:t>0375</w:t>
      </w:r>
      <w:r w:rsidRPr="009F0921">
        <w:t>/</w:t>
      </w:r>
      <w:r w:rsidRPr="00E45F5F">
        <w:t>2022</w:t>
      </w:r>
      <w:r w:rsidRPr="009F0921">
        <w:t>),</w:t>
      </w:r>
    </w:p>
    <w:p w14:paraId="3148F2FE" w14:textId="77777777" w:rsidR="00A10F92" w:rsidRPr="009F0921" w:rsidRDefault="00A10F92" w:rsidP="00A10F92">
      <w:pPr>
        <w:pStyle w:val="NormalHanging12a"/>
      </w:pPr>
      <w:r w:rsidRPr="009F0921">
        <w:t>–</w:t>
      </w:r>
      <w:r w:rsidRPr="009F0921">
        <w:tab/>
        <w:t xml:space="preserve">s ohledem na čl. </w:t>
      </w:r>
      <w:r w:rsidRPr="00E45F5F">
        <w:t>294</w:t>
      </w:r>
      <w:r w:rsidRPr="009F0921">
        <w:t xml:space="preserve"> odst. </w:t>
      </w:r>
      <w:r w:rsidRPr="00E45F5F">
        <w:t>3</w:t>
      </w:r>
      <w:r w:rsidRPr="009F0921">
        <w:t xml:space="preserve"> Smlouvy o fungování Evropské unie,</w:t>
      </w:r>
    </w:p>
    <w:p w14:paraId="569EBE02" w14:textId="77777777" w:rsidR="00A10F92" w:rsidRPr="009F0921" w:rsidRDefault="00A10F92" w:rsidP="00A10F92">
      <w:pPr>
        <w:pStyle w:val="NormalHanging12a"/>
      </w:pPr>
      <w:r w:rsidRPr="009F0921">
        <w:t>–</w:t>
      </w:r>
      <w:r w:rsidRPr="009F0921">
        <w:tab/>
        <w:t xml:space="preserve">s ohledem na stanovisko Evropského hospodářského a sociálního výboru ze dne </w:t>
      </w:r>
      <w:r w:rsidRPr="00E45F5F">
        <w:t>27</w:t>
      </w:r>
      <w:r w:rsidRPr="009F0921">
        <w:t xml:space="preserve">. dubna </w:t>
      </w:r>
      <w:r w:rsidRPr="00E45F5F">
        <w:t>2023</w:t>
      </w:r>
      <w:r w:rsidRPr="009F0921">
        <w:rPr>
          <w:rStyle w:val="FootnoteReference"/>
        </w:rPr>
        <w:footnoteReference w:id="1"/>
      </w:r>
      <w:r w:rsidRPr="009F0921">
        <w:t>,</w:t>
      </w:r>
    </w:p>
    <w:p w14:paraId="4DBE0BC4" w14:textId="72F55ACF" w:rsidR="00897124" w:rsidRDefault="00897124" w:rsidP="00A10F92">
      <w:pPr>
        <w:pStyle w:val="NormalHanging12a"/>
      </w:pPr>
      <w:r>
        <w:t>–</w:t>
      </w:r>
      <w:r>
        <w:tab/>
      </w:r>
      <w:r w:rsidRPr="00897124">
        <w:t xml:space="preserve">s ohledem na předběžnou dohodu přijatou příslušným výborem (příslušnými výbory) podle čl. </w:t>
      </w:r>
      <w:r w:rsidRPr="00E45F5F">
        <w:t>74</w:t>
      </w:r>
      <w:r w:rsidRPr="00897124">
        <w:t xml:space="preserve"> odst. </w:t>
      </w:r>
      <w:r w:rsidRPr="00E45F5F">
        <w:t>4</w:t>
      </w:r>
      <w:r w:rsidRPr="00897124">
        <w:t xml:space="preserve"> jednacího řádu a s ohledem na to, že se zástupce Rady dopisem ze dne </w:t>
      </w:r>
      <w:r w:rsidR="00092B6C" w:rsidRPr="00E45F5F">
        <w:t>8</w:t>
      </w:r>
      <w:r w:rsidRPr="00897124">
        <w:t xml:space="preserve">. </w:t>
      </w:r>
      <w:r w:rsidR="00092B6C">
        <w:t xml:space="preserve">ledna </w:t>
      </w:r>
      <w:r w:rsidR="00092B6C" w:rsidRPr="00E45F5F">
        <w:t>2024</w:t>
      </w:r>
      <w:r w:rsidRPr="00897124">
        <w:t xml:space="preserve"> zavázal schválit postoj Parlamentu v souladu s čl. </w:t>
      </w:r>
      <w:r w:rsidRPr="00E45F5F">
        <w:t>294</w:t>
      </w:r>
      <w:r w:rsidRPr="00897124">
        <w:t xml:space="preserve"> odst. </w:t>
      </w:r>
      <w:r w:rsidRPr="00E45F5F">
        <w:t>4</w:t>
      </w:r>
      <w:r w:rsidRPr="00897124">
        <w:t xml:space="preserve"> Smlouvy o fungování Evropské unie,</w:t>
      </w:r>
    </w:p>
    <w:p w14:paraId="49A9BC32" w14:textId="62F2F09E" w:rsidR="00513CBF" w:rsidRDefault="00513CBF" w:rsidP="00513CBF">
      <w:pPr>
        <w:pStyle w:val="NormalHanging12a"/>
      </w:pPr>
      <w:r w:rsidRPr="009F0921">
        <w:t>–</w:t>
      </w:r>
      <w:r w:rsidRPr="009F0921">
        <w:tab/>
        <w:t xml:space="preserve">s ohledem na článek </w:t>
      </w:r>
      <w:r w:rsidRPr="00E45F5F">
        <w:t>59</w:t>
      </w:r>
      <w:r w:rsidRPr="009F0921">
        <w:t xml:space="preserve"> jednacího řádu,</w:t>
      </w:r>
    </w:p>
    <w:p w14:paraId="5AA17AE5" w14:textId="3938A927" w:rsidR="00A10F92" w:rsidRPr="009F0921" w:rsidRDefault="00A10F92" w:rsidP="00A10F92">
      <w:pPr>
        <w:pStyle w:val="NormalHanging12a"/>
      </w:pPr>
      <w:r w:rsidRPr="009F0921">
        <w:t>–</w:t>
      </w:r>
      <w:r w:rsidRPr="009F0921">
        <w:tab/>
        <w:t>s ohledem na stanovisko Výboru pro průmysl, výzkum a energetiku, Výboru pro vnitřní trh a ochranu spotřebitelů a Výboru pro dopravu a cestovní ruch,</w:t>
      </w:r>
    </w:p>
    <w:p w14:paraId="7FF49C59" w14:textId="77777777" w:rsidR="00A10F92" w:rsidRPr="009F0921" w:rsidRDefault="00A10F92" w:rsidP="00A10F92">
      <w:pPr>
        <w:pStyle w:val="NormalHanging12a"/>
      </w:pPr>
      <w:r w:rsidRPr="009F0921">
        <w:lastRenderedPageBreak/>
        <w:t>–</w:t>
      </w:r>
      <w:r w:rsidRPr="009F0921">
        <w:tab/>
        <w:t>s ohledem na zprávu Výboru pro životní prostředí, veřejné zdraví a bezpečnost potravin (A</w:t>
      </w:r>
      <w:r w:rsidRPr="00E45F5F">
        <w:t>9</w:t>
      </w:r>
      <w:r w:rsidRPr="009F0921">
        <w:noBreakHyphen/>
      </w:r>
      <w:r w:rsidRPr="00E45F5F">
        <w:t>0298</w:t>
      </w:r>
      <w:r w:rsidRPr="009F0921">
        <w:t>/</w:t>
      </w:r>
      <w:r w:rsidRPr="00E45F5F">
        <w:t>2023</w:t>
      </w:r>
      <w:r w:rsidRPr="009F0921">
        <w:t>),</w:t>
      </w:r>
    </w:p>
    <w:p w14:paraId="4D0A8674" w14:textId="0F0F4ABB" w:rsidR="00A10F92" w:rsidRPr="009F0921" w:rsidRDefault="00A10F92" w:rsidP="00A10F92">
      <w:pPr>
        <w:pStyle w:val="NormalHanging12a"/>
      </w:pPr>
      <w:r w:rsidRPr="00E45F5F">
        <w:t>1</w:t>
      </w:r>
      <w:r w:rsidRPr="009F0921">
        <w:t>.</w:t>
      </w:r>
      <w:r w:rsidRPr="009F0921">
        <w:tab/>
        <w:t xml:space="preserve">přijímá níže uvedený postoj v prvním </w:t>
      </w:r>
      <w:r w:rsidRPr="005D2C82">
        <w:t>čtení</w:t>
      </w:r>
      <w:r w:rsidR="005D2C82" w:rsidRPr="0069686D">
        <w:rPr>
          <w:rStyle w:val="FootnoteReference"/>
        </w:rPr>
        <w:footnoteReference w:id="2"/>
      </w:r>
      <w:r w:rsidRPr="005D2C82">
        <w:t>;</w:t>
      </w:r>
    </w:p>
    <w:p w14:paraId="27D4E184" w14:textId="77777777" w:rsidR="00A10F92" w:rsidRPr="009F0921" w:rsidRDefault="00A10F92" w:rsidP="00A10F92">
      <w:pPr>
        <w:pStyle w:val="NormalHanging12a"/>
      </w:pPr>
      <w:r w:rsidRPr="00E45F5F">
        <w:t>2</w:t>
      </w:r>
      <w:r w:rsidRPr="009F0921">
        <w:t>.</w:t>
      </w:r>
      <w:r w:rsidRPr="009F0921">
        <w:tab/>
        <w:t>vyzývá Komisi, aby věc znovu postoupila Parlamentu, jestliže svůj návrh nahradí jiným textem, podstatně jej změní nebo má v úmyslu jej podstatně změnit;</w:t>
      </w:r>
    </w:p>
    <w:p w14:paraId="026538FF" w14:textId="789B046B" w:rsidR="003E1E26" w:rsidRDefault="00A10F92" w:rsidP="00A10F92">
      <w:pPr>
        <w:pStyle w:val="NormalHanging12a"/>
        <w:sectPr w:rsidR="003E1E26" w:rsidSect="009F0921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45F5F">
        <w:t>3</w:t>
      </w:r>
      <w:r w:rsidRPr="009F0921">
        <w:t>.</w:t>
      </w:r>
      <w:r w:rsidRPr="009F0921">
        <w:tab/>
        <w:t>pověřuje svou předsedkyni, aby předala postoj Parlamentu Radě</w:t>
      </w:r>
      <w:r w:rsidR="006E66D2">
        <w:t xml:space="preserve"> a</w:t>
      </w:r>
      <w:r w:rsidRPr="009F0921">
        <w:t xml:space="preserve"> Komisi, jakož i vnitrostátním parlamentům.</w:t>
      </w:r>
    </w:p>
    <w:p w14:paraId="76A483EE" w14:textId="77777777" w:rsidR="003E1E26" w:rsidRPr="00CA0650" w:rsidRDefault="003E1E26" w:rsidP="003E1E2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A0650">
        <w:rPr>
          <w:rFonts w:eastAsia="Calibri"/>
          <w:b/>
          <w:bCs/>
          <w:color w:val="000000"/>
          <w:szCs w:val="24"/>
        </w:rPr>
        <w:lastRenderedPageBreak/>
        <w:t>P</w:t>
      </w:r>
      <w:r w:rsidRPr="00E45F5F">
        <w:rPr>
          <w:rFonts w:eastAsia="Calibri"/>
          <w:b/>
          <w:bCs/>
          <w:color w:val="000000"/>
          <w:szCs w:val="24"/>
        </w:rPr>
        <w:t>9</w:t>
      </w:r>
      <w:r w:rsidRPr="00CA0650">
        <w:rPr>
          <w:rFonts w:eastAsia="Calibri"/>
          <w:b/>
          <w:bCs/>
          <w:color w:val="000000"/>
          <w:szCs w:val="24"/>
        </w:rPr>
        <w:t>_TC</w:t>
      </w:r>
      <w:r w:rsidRPr="00E45F5F">
        <w:rPr>
          <w:rFonts w:eastAsia="Calibri"/>
          <w:b/>
          <w:bCs/>
          <w:color w:val="000000"/>
          <w:szCs w:val="24"/>
        </w:rPr>
        <w:t>1</w:t>
      </w:r>
      <w:r w:rsidRPr="00CA0650">
        <w:rPr>
          <w:rFonts w:eastAsia="Calibri"/>
          <w:b/>
          <w:bCs/>
          <w:color w:val="000000"/>
          <w:szCs w:val="24"/>
        </w:rPr>
        <w:t>-COD(</w:t>
      </w:r>
      <w:r w:rsidRPr="00E45F5F">
        <w:rPr>
          <w:rFonts w:eastAsia="Calibri"/>
          <w:b/>
          <w:bCs/>
          <w:color w:val="000000"/>
          <w:szCs w:val="24"/>
        </w:rPr>
        <w:t>2022</w:t>
      </w:r>
      <w:r w:rsidRPr="00CA0650">
        <w:rPr>
          <w:rFonts w:eastAsia="Calibri"/>
          <w:b/>
          <w:bCs/>
          <w:color w:val="000000"/>
          <w:szCs w:val="24"/>
        </w:rPr>
        <w:t>)</w:t>
      </w:r>
      <w:r w:rsidRPr="00E45F5F">
        <w:rPr>
          <w:rFonts w:eastAsia="Calibri"/>
          <w:b/>
          <w:bCs/>
          <w:color w:val="000000"/>
          <w:szCs w:val="24"/>
        </w:rPr>
        <w:t>0365</w:t>
      </w:r>
    </w:p>
    <w:p w14:paraId="48AE2FE7" w14:textId="6B90DA12" w:rsidR="00153296" w:rsidRPr="000219F6" w:rsidRDefault="003E1E26" w:rsidP="00153296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3E1E26">
        <w:rPr>
          <w:rFonts w:eastAsia="Calibri"/>
          <w:b/>
          <w:bCs/>
          <w:szCs w:val="24"/>
        </w:rPr>
        <w:t>Postoj Evropského parlamentu přijatý v prvním čtení dne</w:t>
      </w:r>
      <w:r>
        <w:rPr>
          <w:rFonts w:eastAsia="Calibri"/>
          <w:b/>
          <w:bCs/>
          <w:szCs w:val="24"/>
        </w:rPr>
        <w:t xml:space="preserve"> </w:t>
      </w:r>
      <w:r w:rsidRPr="00E45F5F">
        <w:rPr>
          <w:rFonts w:eastAsia="Calibri"/>
          <w:b/>
          <w:bCs/>
          <w:szCs w:val="24"/>
        </w:rPr>
        <w:t>13</w:t>
      </w:r>
      <w:r>
        <w:rPr>
          <w:rFonts w:eastAsia="Calibri"/>
          <w:b/>
          <w:bCs/>
          <w:szCs w:val="24"/>
        </w:rPr>
        <w:t xml:space="preserve">. </w:t>
      </w:r>
      <w:r w:rsidR="00FE583B">
        <w:rPr>
          <w:rFonts w:eastAsia="Calibri"/>
          <w:b/>
          <w:bCs/>
          <w:szCs w:val="24"/>
        </w:rPr>
        <w:t>března</w:t>
      </w:r>
      <w:r>
        <w:rPr>
          <w:rFonts w:eastAsia="Calibri"/>
          <w:b/>
          <w:bCs/>
          <w:szCs w:val="24"/>
        </w:rPr>
        <w:t xml:space="preserve"> </w:t>
      </w:r>
      <w:r w:rsidRPr="00E45F5F">
        <w:rPr>
          <w:rFonts w:eastAsia="Calibri"/>
          <w:b/>
          <w:bCs/>
          <w:szCs w:val="24"/>
        </w:rPr>
        <w:t>2024</w:t>
      </w:r>
      <w:r>
        <w:rPr>
          <w:rFonts w:eastAsia="Calibri"/>
          <w:b/>
          <w:bCs/>
          <w:szCs w:val="24"/>
        </w:rPr>
        <w:t xml:space="preserve"> k</w:t>
      </w:r>
      <w:r w:rsidR="00153296">
        <w:rPr>
          <w:rFonts w:eastAsia="Calibri"/>
          <w:b/>
          <w:bCs/>
          <w:szCs w:val="24"/>
        </w:rPr>
        <w:t> </w:t>
      </w:r>
      <w:r>
        <w:rPr>
          <w:rFonts w:eastAsia="Calibri"/>
          <w:b/>
          <w:bCs/>
          <w:szCs w:val="24"/>
        </w:rPr>
        <w:t>přijetí</w:t>
      </w:r>
      <w:r w:rsidR="00153296">
        <w:rPr>
          <w:rFonts w:eastAsia="Calibri"/>
          <w:b/>
          <w:bCs/>
          <w:szCs w:val="24"/>
        </w:rPr>
        <w:t xml:space="preserve"> </w:t>
      </w:r>
      <w:r w:rsidR="00153296" w:rsidRPr="00153296">
        <w:rPr>
          <w:rFonts w:eastAsia="Calibri"/>
          <w:b/>
          <w:szCs w:val="22"/>
          <w:lang w:eastAsia="en-US"/>
        </w:rPr>
        <w:t xml:space="preserve">nařízení Evropského parlamentu a Rady (EU) </w:t>
      </w:r>
      <w:r w:rsidR="00153296" w:rsidRPr="00E45F5F">
        <w:rPr>
          <w:rFonts w:eastAsia="Calibri"/>
          <w:b/>
          <w:szCs w:val="22"/>
          <w:lang w:eastAsia="en-US"/>
        </w:rPr>
        <w:t>2024</w:t>
      </w:r>
      <w:r w:rsidR="00153296" w:rsidRPr="00153296">
        <w:rPr>
          <w:rFonts w:eastAsia="Calibri"/>
          <w:b/>
          <w:szCs w:val="22"/>
          <w:lang w:eastAsia="en-US"/>
        </w:rPr>
        <w:t>/...</w:t>
      </w:r>
      <w:r w:rsidR="00153296">
        <w:rPr>
          <w:rFonts w:eastAsia="Calibri"/>
          <w:b/>
          <w:szCs w:val="22"/>
          <w:lang w:eastAsia="en-US"/>
        </w:rPr>
        <w:t xml:space="preserve"> </w:t>
      </w:r>
      <w:r w:rsidR="00153296" w:rsidRPr="00153296">
        <w:rPr>
          <w:rFonts w:eastAsia="Calibri"/>
          <w:b/>
          <w:szCs w:val="22"/>
          <w:lang w:eastAsia="en-US"/>
        </w:rPr>
        <w:t xml:space="preserve">o schvalování typu motorových vozidel a motorů, jakož i systémů, konstrukčních částí a samostatných technických celků určených pro tato vozidla z hlediska jejich emisí a životnosti baterie (Euro </w:t>
      </w:r>
      <w:r w:rsidR="00153296" w:rsidRPr="00E45F5F">
        <w:rPr>
          <w:rFonts w:eastAsia="Calibri"/>
          <w:b/>
          <w:szCs w:val="22"/>
          <w:lang w:eastAsia="en-US"/>
        </w:rPr>
        <w:t>7</w:t>
      </w:r>
      <w:r w:rsidR="00153296" w:rsidRPr="00153296">
        <w:rPr>
          <w:rFonts w:eastAsia="Calibri"/>
          <w:b/>
          <w:szCs w:val="22"/>
          <w:lang w:eastAsia="en-US"/>
        </w:rPr>
        <w:t xml:space="preserve">), o změně nařízení Evropského parlamentu a Rady (EU) </w:t>
      </w:r>
      <w:r w:rsidR="00153296" w:rsidRPr="00E45F5F">
        <w:rPr>
          <w:rFonts w:eastAsia="Calibri"/>
          <w:b/>
          <w:szCs w:val="22"/>
          <w:lang w:eastAsia="en-US"/>
        </w:rPr>
        <w:t>2018</w:t>
      </w:r>
      <w:r w:rsidR="00153296" w:rsidRPr="00153296">
        <w:rPr>
          <w:rFonts w:eastAsia="Calibri"/>
          <w:b/>
          <w:szCs w:val="22"/>
          <w:lang w:eastAsia="en-US"/>
        </w:rPr>
        <w:t>/</w:t>
      </w:r>
      <w:r w:rsidR="00153296" w:rsidRPr="00E45F5F">
        <w:rPr>
          <w:rFonts w:eastAsia="Calibri"/>
          <w:b/>
          <w:szCs w:val="22"/>
          <w:lang w:eastAsia="en-US"/>
        </w:rPr>
        <w:t>858</w:t>
      </w:r>
      <w:r w:rsidR="00153296" w:rsidRPr="00153296">
        <w:rPr>
          <w:rFonts w:eastAsia="Calibri"/>
          <w:b/>
          <w:szCs w:val="22"/>
          <w:lang w:eastAsia="en-US"/>
        </w:rPr>
        <w:t xml:space="preserve"> a o zrušení nařízení Evropského parlamentu a Rady (ES) č. </w:t>
      </w:r>
      <w:r w:rsidR="00153296" w:rsidRPr="00E45F5F">
        <w:rPr>
          <w:rFonts w:eastAsia="Calibri"/>
          <w:b/>
          <w:szCs w:val="22"/>
          <w:lang w:eastAsia="en-US"/>
        </w:rPr>
        <w:t>715</w:t>
      </w:r>
      <w:r w:rsidR="00153296" w:rsidRPr="00153296">
        <w:rPr>
          <w:rFonts w:eastAsia="Calibri"/>
          <w:b/>
          <w:szCs w:val="22"/>
          <w:lang w:eastAsia="en-US"/>
        </w:rPr>
        <w:t>/</w:t>
      </w:r>
      <w:r w:rsidR="00153296" w:rsidRPr="00E45F5F">
        <w:rPr>
          <w:rFonts w:eastAsia="Calibri"/>
          <w:b/>
          <w:szCs w:val="22"/>
          <w:lang w:eastAsia="en-US"/>
        </w:rPr>
        <w:t>2007</w:t>
      </w:r>
      <w:r w:rsidR="00153296" w:rsidRPr="00153296">
        <w:rPr>
          <w:rFonts w:eastAsia="Calibri"/>
          <w:b/>
          <w:szCs w:val="22"/>
          <w:lang w:eastAsia="en-US"/>
        </w:rPr>
        <w:t xml:space="preserve"> a (ES) č. </w:t>
      </w:r>
      <w:r w:rsidR="00153296" w:rsidRPr="00E45F5F">
        <w:rPr>
          <w:rFonts w:eastAsia="Calibri"/>
          <w:b/>
          <w:szCs w:val="22"/>
          <w:lang w:eastAsia="en-US"/>
        </w:rPr>
        <w:t>595</w:t>
      </w:r>
      <w:r w:rsidR="00153296" w:rsidRPr="00153296">
        <w:rPr>
          <w:rFonts w:eastAsia="Calibri"/>
          <w:b/>
          <w:szCs w:val="22"/>
          <w:lang w:eastAsia="en-US"/>
        </w:rPr>
        <w:t>/</w:t>
      </w:r>
      <w:r w:rsidR="00153296" w:rsidRPr="00E45F5F">
        <w:rPr>
          <w:rFonts w:eastAsia="Calibri"/>
          <w:b/>
          <w:szCs w:val="22"/>
          <w:lang w:eastAsia="en-US"/>
        </w:rPr>
        <w:t>2009</w:t>
      </w:r>
      <w:r w:rsidR="00153296" w:rsidRPr="00153296">
        <w:rPr>
          <w:rFonts w:eastAsia="Calibri"/>
          <w:b/>
          <w:szCs w:val="22"/>
          <w:lang w:eastAsia="en-US"/>
        </w:rPr>
        <w:t xml:space="preserve">, </w:t>
      </w:r>
      <w:r w:rsidR="00153296" w:rsidRPr="000219F6">
        <w:rPr>
          <w:rFonts w:eastAsia="Calibri"/>
          <w:b/>
          <w:szCs w:val="22"/>
          <w:lang w:eastAsia="en-US"/>
        </w:rPr>
        <w:t xml:space="preserve">nařízení Komise (EU) </w:t>
      </w:r>
      <w:r w:rsidR="000620EA" w:rsidRPr="000219F6">
        <w:rPr>
          <w:rFonts w:eastAsia="Calibri"/>
          <w:b/>
          <w:szCs w:val="22"/>
          <w:lang w:eastAsia="en-US"/>
        </w:rPr>
        <w:t xml:space="preserve">č. </w:t>
      </w:r>
      <w:r w:rsidR="00153296" w:rsidRPr="000219F6">
        <w:rPr>
          <w:rFonts w:eastAsia="Calibri"/>
          <w:b/>
          <w:szCs w:val="22"/>
          <w:lang w:eastAsia="en-US"/>
        </w:rPr>
        <w:t>582/2011, (EU) 2017/1151 a (EU) 2017/2400 a prováděcího nařízení Komise (EU) 2022/1362</w:t>
      </w:r>
    </w:p>
    <w:p w14:paraId="2F0AD4C8" w14:textId="6DC5D546" w:rsidR="00AA2E7A" w:rsidRPr="00153296" w:rsidRDefault="00AA2E7A" w:rsidP="00AA2E7A">
      <w:pPr>
        <w:pStyle w:val="NormalHanging12a"/>
        <w:spacing w:before="360"/>
        <w:ind w:left="0" w:firstLine="0"/>
        <w:rPr>
          <w:rFonts w:eastAsia="Calibri"/>
          <w:b/>
          <w:szCs w:val="22"/>
          <w:lang w:eastAsia="en-US"/>
        </w:rPr>
      </w:pPr>
      <w:r w:rsidRPr="008977C0">
        <w:rPr>
          <w:i/>
        </w:rPr>
        <w:t>(Vzhledem k tomu, že bylo dosaženo dohody mezi Parlam</w:t>
      </w:r>
      <w:bookmarkStart w:id="8" w:name="_GoBack"/>
      <w:bookmarkEnd w:id="8"/>
      <w:r w:rsidRPr="008977C0">
        <w:rPr>
          <w:i/>
        </w:rPr>
        <w:t xml:space="preserve">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1257</w:t>
      </w:r>
      <w:r>
        <w:rPr>
          <w:i/>
        </w:rPr>
        <w:t>.)</w:t>
      </w:r>
    </w:p>
    <w:sectPr w:rsidR="00AA2E7A" w:rsidRPr="00153296" w:rsidSect="00AA2E7A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78719" w14:textId="77777777" w:rsidR="0044090B" w:rsidRPr="009F0921" w:rsidRDefault="0044090B">
      <w:r w:rsidRPr="009F0921">
        <w:separator/>
      </w:r>
    </w:p>
  </w:endnote>
  <w:endnote w:type="continuationSeparator" w:id="0">
    <w:p w14:paraId="30B4FEC7" w14:textId="77777777" w:rsidR="0044090B" w:rsidRPr="009F0921" w:rsidRDefault="0044090B">
      <w:r w:rsidRPr="009F09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3A638" w14:textId="77777777" w:rsidR="0044090B" w:rsidRPr="009F0921" w:rsidRDefault="0044090B">
      <w:r w:rsidRPr="009F0921">
        <w:separator/>
      </w:r>
    </w:p>
  </w:footnote>
  <w:footnote w:type="continuationSeparator" w:id="0">
    <w:p w14:paraId="697711C7" w14:textId="77777777" w:rsidR="0044090B" w:rsidRPr="009F0921" w:rsidRDefault="0044090B">
      <w:r w:rsidRPr="009F0921">
        <w:continuationSeparator/>
      </w:r>
    </w:p>
  </w:footnote>
  <w:footnote w:id="1">
    <w:p w14:paraId="29D89311" w14:textId="543A4546" w:rsidR="0044090B" w:rsidRPr="009F0921" w:rsidRDefault="0044090B" w:rsidP="009F0921">
      <w:pPr>
        <w:pStyle w:val="FootnoteText"/>
        <w:ind w:left="567" w:hanging="567"/>
        <w:rPr>
          <w:sz w:val="24"/>
          <w:lang w:val="cs-CZ"/>
        </w:rPr>
      </w:pPr>
      <w:r w:rsidRPr="009F0921">
        <w:rPr>
          <w:rStyle w:val="FootnoteReference"/>
          <w:sz w:val="24"/>
          <w:lang w:val="cs-CZ"/>
        </w:rPr>
        <w:footnoteRef/>
      </w:r>
      <w:r w:rsidRPr="009F0921">
        <w:rPr>
          <w:sz w:val="24"/>
          <w:lang w:val="cs-CZ"/>
        </w:rPr>
        <w:t xml:space="preserve"> </w:t>
      </w:r>
      <w:r w:rsidRPr="009F0921">
        <w:rPr>
          <w:sz w:val="24"/>
          <w:lang w:val="cs-CZ"/>
        </w:rPr>
        <w:tab/>
      </w:r>
      <w:proofErr w:type="spellStart"/>
      <w:r w:rsidRPr="00897124">
        <w:rPr>
          <w:sz w:val="24"/>
          <w:lang w:val="cs-CZ"/>
        </w:rPr>
        <w:t>Úř</w:t>
      </w:r>
      <w:proofErr w:type="spellEnd"/>
      <w:r w:rsidRPr="00897124">
        <w:rPr>
          <w:sz w:val="24"/>
          <w:lang w:val="cs-CZ"/>
        </w:rPr>
        <w:t xml:space="preserve">. </w:t>
      </w:r>
      <w:proofErr w:type="spellStart"/>
      <w:proofErr w:type="gramStart"/>
      <w:r w:rsidRPr="00897124">
        <w:rPr>
          <w:sz w:val="24"/>
          <w:lang w:val="cs-CZ"/>
        </w:rPr>
        <w:t>věst</w:t>
      </w:r>
      <w:proofErr w:type="spellEnd"/>
      <w:proofErr w:type="gramEnd"/>
      <w:r w:rsidRPr="00897124">
        <w:rPr>
          <w:sz w:val="24"/>
          <w:lang w:val="cs-CZ"/>
        </w:rPr>
        <w:t>.</w:t>
      </w:r>
      <w:r w:rsidRPr="0069686D">
        <w:rPr>
          <w:iCs/>
          <w:sz w:val="24"/>
          <w:szCs w:val="24"/>
          <w:lang w:val="en-GB"/>
        </w:rPr>
        <w:t xml:space="preserve"> C </w:t>
      </w:r>
      <w:r w:rsidRPr="00E45F5F">
        <w:rPr>
          <w:iCs/>
          <w:sz w:val="24"/>
          <w:szCs w:val="24"/>
          <w:lang w:val="en-GB"/>
        </w:rPr>
        <w:t>228</w:t>
      </w:r>
      <w:r w:rsidRPr="0069686D">
        <w:rPr>
          <w:iCs/>
          <w:sz w:val="24"/>
          <w:szCs w:val="24"/>
          <w:lang w:val="en-GB"/>
        </w:rPr>
        <w:t xml:space="preserve">, </w:t>
      </w:r>
      <w:r w:rsidRPr="00E45F5F">
        <w:rPr>
          <w:iCs/>
          <w:sz w:val="24"/>
          <w:szCs w:val="24"/>
          <w:lang w:val="en-GB"/>
        </w:rPr>
        <w:t>29</w:t>
      </w:r>
      <w:r w:rsidRPr="0069686D">
        <w:rPr>
          <w:iCs/>
          <w:sz w:val="24"/>
          <w:szCs w:val="24"/>
          <w:lang w:val="en-GB"/>
        </w:rPr>
        <w:t>.</w:t>
      </w:r>
      <w:r w:rsidRPr="00E45F5F">
        <w:rPr>
          <w:iCs/>
          <w:sz w:val="24"/>
          <w:szCs w:val="24"/>
          <w:lang w:val="en-GB"/>
        </w:rPr>
        <w:t>6</w:t>
      </w:r>
      <w:r w:rsidRPr="0069686D">
        <w:rPr>
          <w:iCs/>
          <w:sz w:val="24"/>
          <w:szCs w:val="24"/>
          <w:lang w:val="en-GB"/>
        </w:rPr>
        <w:t>.</w:t>
      </w:r>
      <w:r w:rsidRPr="00E45F5F">
        <w:rPr>
          <w:iCs/>
          <w:sz w:val="24"/>
          <w:szCs w:val="24"/>
          <w:lang w:val="en-GB"/>
        </w:rPr>
        <w:t>2023</w:t>
      </w:r>
      <w:r w:rsidRPr="0069686D">
        <w:rPr>
          <w:iCs/>
          <w:sz w:val="24"/>
          <w:szCs w:val="24"/>
          <w:lang w:val="en-GB"/>
        </w:rPr>
        <w:t xml:space="preserve">, s. </w:t>
      </w:r>
      <w:r w:rsidRPr="00E45F5F">
        <w:rPr>
          <w:iCs/>
          <w:sz w:val="24"/>
          <w:szCs w:val="24"/>
          <w:lang w:val="en-GB"/>
        </w:rPr>
        <w:t>103</w:t>
      </w:r>
      <w:r w:rsidRPr="009F0921">
        <w:rPr>
          <w:sz w:val="24"/>
          <w:lang w:val="cs-CZ"/>
        </w:rPr>
        <w:t>.</w:t>
      </w:r>
    </w:p>
  </w:footnote>
  <w:footnote w:id="2">
    <w:p w14:paraId="58B29C0C" w14:textId="02BEC0AA" w:rsidR="0044090B" w:rsidRPr="0069686D" w:rsidRDefault="0044090B" w:rsidP="0069686D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69686D">
        <w:rPr>
          <w:lang w:val="cs-CZ"/>
        </w:rPr>
        <w:t xml:space="preserve"> </w:t>
      </w:r>
      <w:r w:rsidRPr="0069686D">
        <w:rPr>
          <w:lang w:val="cs-CZ"/>
        </w:rPr>
        <w:tab/>
      </w:r>
      <w:r w:rsidRPr="0069686D">
        <w:rPr>
          <w:sz w:val="24"/>
          <w:szCs w:val="24"/>
          <w:lang w:val="cs-CZ"/>
        </w:rPr>
        <w:t xml:space="preserve">Tento postoj nahrazuje pozměňovací návrhy přijaté dne </w:t>
      </w:r>
      <w:r w:rsidRPr="00E45F5F">
        <w:rPr>
          <w:sz w:val="24"/>
          <w:szCs w:val="24"/>
          <w:lang w:val="cs-CZ"/>
        </w:rPr>
        <w:t>9</w:t>
      </w:r>
      <w:r w:rsidRPr="0069686D">
        <w:rPr>
          <w:sz w:val="24"/>
          <w:szCs w:val="24"/>
          <w:lang w:val="cs-CZ"/>
        </w:rPr>
        <w:t xml:space="preserve">. listopadu </w:t>
      </w:r>
      <w:r w:rsidRPr="00E45F5F">
        <w:rPr>
          <w:sz w:val="24"/>
          <w:szCs w:val="24"/>
          <w:lang w:val="cs-CZ"/>
        </w:rPr>
        <w:t>2023</w:t>
      </w:r>
      <w:r w:rsidRPr="0069686D">
        <w:rPr>
          <w:sz w:val="24"/>
          <w:szCs w:val="24"/>
          <w:lang w:val="cs-CZ"/>
        </w:rPr>
        <w:t xml:space="preserve"> (Přijaté texty, P</w:t>
      </w:r>
      <w:r w:rsidRPr="00E45F5F">
        <w:rPr>
          <w:sz w:val="24"/>
          <w:szCs w:val="24"/>
          <w:lang w:val="cs-CZ"/>
        </w:rPr>
        <w:t>9</w:t>
      </w:r>
      <w:r w:rsidRPr="0069686D">
        <w:rPr>
          <w:sz w:val="24"/>
          <w:szCs w:val="24"/>
          <w:lang w:val="cs-CZ"/>
        </w:rPr>
        <w:t>_TA(</w:t>
      </w:r>
      <w:r w:rsidRPr="00E45F5F">
        <w:rPr>
          <w:sz w:val="24"/>
          <w:szCs w:val="24"/>
          <w:lang w:val="cs-CZ"/>
        </w:rPr>
        <w:t>2023</w:t>
      </w:r>
      <w:r w:rsidRPr="0069686D">
        <w:rPr>
          <w:sz w:val="24"/>
          <w:szCs w:val="24"/>
          <w:lang w:val="cs-CZ"/>
        </w:rPr>
        <w:t>)</w:t>
      </w:r>
      <w:r w:rsidRPr="00E45F5F">
        <w:rPr>
          <w:sz w:val="24"/>
          <w:szCs w:val="24"/>
          <w:lang w:val="cs-CZ"/>
        </w:rPr>
        <w:t>0394</w:t>
      </w:r>
      <w:r w:rsidRPr="0069686D">
        <w:rPr>
          <w:sz w:val="24"/>
          <w:szCs w:val="24"/>
          <w:lang w:val="cs-CZ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5F36586"/>
    <w:multiLevelType w:val="hybridMultilevel"/>
    <w:tmpl w:val="5068143C"/>
    <w:lvl w:ilvl="0" w:tplc="8B76992C">
      <w:start w:val="1"/>
      <w:numFmt w:val="decimal"/>
      <w:lvlText w:val="%1."/>
      <w:lvlJc w:val="left"/>
      <w:pPr>
        <w:ind w:left="1215" w:hanging="360"/>
      </w:pPr>
      <w:rPr>
        <w:rFonts w:hint="default"/>
        <w:b/>
        <w:bCs/>
        <w:i/>
        <w:iCs/>
      </w:rPr>
    </w:lvl>
    <w:lvl w:ilvl="1" w:tplc="080C0019" w:tentative="1">
      <w:start w:val="1"/>
      <w:numFmt w:val="lowerLetter"/>
      <w:lvlText w:val="%2."/>
      <w:lvlJc w:val="left"/>
      <w:pPr>
        <w:ind w:left="1935" w:hanging="360"/>
      </w:pPr>
    </w:lvl>
    <w:lvl w:ilvl="2" w:tplc="080C001B" w:tentative="1">
      <w:start w:val="1"/>
      <w:numFmt w:val="lowerRoman"/>
      <w:lvlText w:val="%3."/>
      <w:lvlJc w:val="right"/>
      <w:pPr>
        <w:ind w:left="2655" w:hanging="180"/>
      </w:pPr>
    </w:lvl>
    <w:lvl w:ilvl="3" w:tplc="080C000F" w:tentative="1">
      <w:start w:val="1"/>
      <w:numFmt w:val="decimal"/>
      <w:lvlText w:val="%4."/>
      <w:lvlJc w:val="left"/>
      <w:pPr>
        <w:ind w:left="3375" w:hanging="360"/>
      </w:pPr>
    </w:lvl>
    <w:lvl w:ilvl="4" w:tplc="080C0019" w:tentative="1">
      <w:start w:val="1"/>
      <w:numFmt w:val="lowerLetter"/>
      <w:lvlText w:val="%5."/>
      <w:lvlJc w:val="left"/>
      <w:pPr>
        <w:ind w:left="4095" w:hanging="360"/>
      </w:pPr>
    </w:lvl>
    <w:lvl w:ilvl="5" w:tplc="080C001B" w:tentative="1">
      <w:start w:val="1"/>
      <w:numFmt w:val="lowerRoman"/>
      <w:lvlText w:val="%6."/>
      <w:lvlJc w:val="right"/>
      <w:pPr>
        <w:ind w:left="4815" w:hanging="180"/>
      </w:pPr>
    </w:lvl>
    <w:lvl w:ilvl="6" w:tplc="080C000F" w:tentative="1">
      <w:start w:val="1"/>
      <w:numFmt w:val="decimal"/>
      <w:lvlText w:val="%7."/>
      <w:lvlJc w:val="left"/>
      <w:pPr>
        <w:ind w:left="5535" w:hanging="360"/>
      </w:pPr>
    </w:lvl>
    <w:lvl w:ilvl="7" w:tplc="080C0019" w:tentative="1">
      <w:start w:val="1"/>
      <w:numFmt w:val="lowerLetter"/>
      <w:lvlText w:val="%8."/>
      <w:lvlJc w:val="left"/>
      <w:pPr>
        <w:ind w:left="6255" w:hanging="360"/>
      </w:pPr>
    </w:lvl>
    <w:lvl w:ilvl="8" w:tplc="080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3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1"/>
  </w:num>
  <w:num w:numId="3">
    <w:abstractNumId w:val="44"/>
  </w:num>
  <w:num w:numId="4">
    <w:abstractNumId w:val="2"/>
  </w:num>
  <w:num w:numId="5">
    <w:abstractNumId w:val="45"/>
  </w:num>
  <w:num w:numId="6">
    <w:abstractNumId w:val="39"/>
  </w:num>
  <w:num w:numId="7">
    <w:abstractNumId w:val="4"/>
  </w:num>
  <w:num w:numId="8">
    <w:abstractNumId w:val="50"/>
  </w:num>
  <w:num w:numId="9">
    <w:abstractNumId w:val="55"/>
  </w:num>
  <w:num w:numId="10">
    <w:abstractNumId w:val="34"/>
  </w:num>
  <w:num w:numId="11">
    <w:abstractNumId w:val="48"/>
  </w:num>
  <w:num w:numId="12">
    <w:abstractNumId w:val="41"/>
  </w:num>
  <w:num w:numId="13">
    <w:abstractNumId w:val="28"/>
  </w:num>
  <w:num w:numId="14">
    <w:abstractNumId w:val="10"/>
  </w:num>
  <w:num w:numId="15">
    <w:abstractNumId w:val="8"/>
  </w:num>
  <w:num w:numId="16">
    <w:abstractNumId w:val="43"/>
  </w:num>
  <w:num w:numId="17">
    <w:abstractNumId w:val="51"/>
  </w:num>
  <w:num w:numId="18">
    <w:abstractNumId w:val="1"/>
  </w:num>
  <w:num w:numId="19">
    <w:abstractNumId w:val="12"/>
  </w:num>
  <w:num w:numId="20">
    <w:abstractNumId w:val="7"/>
  </w:num>
  <w:num w:numId="21">
    <w:abstractNumId w:val="13"/>
  </w:num>
  <w:num w:numId="22">
    <w:abstractNumId w:val="35"/>
  </w:num>
  <w:num w:numId="23">
    <w:abstractNumId w:val="30"/>
  </w:num>
  <w:num w:numId="24">
    <w:abstractNumId w:val="11"/>
  </w:num>
  <w:num w:numId="25">
    <w:abstractNumId w:val="9"/>
  </w:num>
  <w:num w:numId="26">
    <w:abstractNumId w:val="56"/>
    <w:lvlOverride w:ilvl="0">
      <w:startOverride w:val="1"/>
    </w:lvlOverride>
  </w:num>
  <w:num w:numId="27">
    <w:abstractNumId w:val="0"/>
  </w:num>
  <w:num w:numId="28">
    <w:abstractNumId w:val="37"/>
  </w:num>
  <w:num w:numId="29">
    <w:abstractNumId w:val="17"/>
  </w:num>
  <w:num w:numId="30">
    <w:abstractNumId w:val="32"/>
  </w:num>
  <w:num w:numId="31">
    <w:abstractNumId w:val="46"/>
  </w:num>
  <w:num w:numId="32">
    <w:abstractNumId w:val="40"/>
  </w:num>
  <w:num w:numId="33">
    <w:abstractNumId w:val="47"/>
  </w:num>
  <w:num w:numId="34">
    <w:abstractNumId w:val="49"/>
  </w:num>
  <w:num w:numId="35">
    <w:abstractNumId w:val="5"/>
  </w:num>
  <w:num w:numId="36">
    <w:abstractNumId w:val="19"/>
  </w:num>
  <w:num w:numId="37">
    <w:abstractNumId w:val="6"/>
  </w:num>
  <w:num w:numId="38">
    <w:abstractNumId w:val="22"/>
  </w:num>
  <w:num w:numId="39">
    <w:abstractNumId w:val="18"/>
  </w:num>
  <w:num w:numId="40">
    <w:abstractNumId w:val="33"/>
  </w:num>
  <w:num w:numId="41">
    <w:abstractNumId w:val="38"/>
    <w:lvlOverride w:ilvl="0">
      <w:startOverride w:val="1"/>
    </w:lvlOverride>
  </w:num>
  <w:num w:numId="42">
    <w:abstractNumId w:val="42"/>
    <w:lvlOverride w:ilvl="0">
      <w:startOverride w:val="1"/>
    </w:lvlOverride>
  </w:num>
  <w:num w:numId="43">
    <w:abstractNumId w:val="25"/>
    <w:lvlOverride w:ilvl="0">
      <w:startOverride w:val="1"/>
    </w:lvlOverride>
  </w:num>
  <w:num w:numId="44">
    <w:abstractNumId w:val="14"/>
  </w:num>
  <w:num w:numId="45">
    <w:abstractNumId w:val="15"/>
  </w:num>
  <w:num w:numId="46">
    <w:abstractNumId w:val="26"/>
  </w:num>
  <w:num w:numId="47">
    <w:abstractNumId w:val="27"/>
  </w:num>
  <w:num w:numId="48">
    <w:abstractNumId w:val="29"/>
  </w:num>
  <w:num w:numId="49">
    <w:abstractNumId w:val="16"/>
  </w:num>
  <w:num w:numId="50">
    <w:abstractNumId w:val="23"/>
  </w:num>
  <w:num w:numId="51">
    <w:abstractNumId w:val="24"/>
  </w:num>
  <w:num w:numId="52">
    <w:abstractNumId w:val="31"/>
  </w:num>
  <w:num w:numId="53">
    <w:abstractNumId w:val="36"/>
  </w:num>
  <w:num w:numId="54">
    <w:abstractNumId w:val="53"/>
  </w:num>
  <w:num w:numId="55">
    <w:abstractNumId w:val="52"/>
  </w:num>
  <w:num w:numId="56">
    <w:abstractNumId w:val="54"/>
  </w:num>
  <w:num w:numId="57">
    <w:abstractNumId w:val="2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CS"/>
    <w:docVar w:name="dvnumam" w:val="528"/>
    <w:docVar w:name="dvpe" w:val="746.876"/>
    <w:docVar w:name="dvrapporteur" w:val="Zpravodaj: "/>
    <w:docVar w:name="dvstar" w:val="***I"/>
    <w:docVar w:name="dvtitre" w:val="Legislativní usnesení Evropského parlamentu ze dne 13. března 2024 o návrhu nařízení Evropského parlamentu a Rady o schvalování typu motorových vozidel a motorů, jakož i systémů, konstrukčních částí a samostatných technických celků určených pro tato vozidla z hlediska jejich emisí a životnosti baterie (Euro 7) a o zrušení nařízení (ES) č. 715/2007 a nařízení (ES) č. 595/2009(COM(2022)0586 – C9-0375/2022 – 2022/0365(COD))"/>
  </w:docVars>
  <w:rsids>
    <w:rsidRoot w:val="00E20CDC"/>
    <w:rsid w:val="00002272"/>
    <w:rsid w:val="000219F6"/>
    <w:rsid w:val="000226FE"/>
    <w:rsid w:val="0005076D"/>
    <w:rsid w:val="000620EA"/>
    <w:rsid w:val="00064002"/>
    <w:rsid w:val="000677B9"/>
    <w:rsid w:val="000831BA"/>
    <w:rsid w:val="00092B6C"/>
    <w:rsid w:val="000A42CC"/>
    <w:rsid w:val="000E7DD9"/>
    <w:rsid w:val="0010095E"/>
    <w:rsid w:val="00125B37"/>
    <w:rsid w:val="00153296"/>
    <w:rsid w:val="00187494"/>
    <w:rsid w:val="001F32AE"/>
    <w:rsid w:val="002767FF"/>
    <w:rsid w:val="002B18FE"/>
    <w:rsid w:val="002B5493"/>
    <w:rsid w:val="00343214"/>
    <w:rsid w:val="00361C00"/>
    <w:rsid w:val="00387785"/>
    <w:rsid w:val="00395FA1"/>
    <w:rsid w:val="003969B2"/>
    <w:rsid w:val="003E15D4"/>
    <w:rsid w:val="003E1E26"/>
    <w:rsid w:val="00411CCE"/>
    <w:rsid w:val="0041666E"/>
    <w:rsid w:val="00421060"/>
    <w:rsid w:val="0044090B"/>
    <w:rsid w:val="00471C19"/>
    <w:rsid w:val="004867E3"/>
    <w:rsid w:val="004926AB"/>
    <w:rsid w:val="00494A28"/>
    <w:rsid w:val="004C0004"/>
    <w:rsid w:val="004C5D52"/>
    <w:rsid w:val="0050519A"/>
    <w:rsid w:val="005072A1"/>
    <w:rsid w:val="00513CBF"/>
    <w:rsid w:val="00514517"/>
    <w:rsid w:val="00534665"/>
    <w:rsid w:val="00545827"/>
    <w:rsid w:val="00560270"/>
    <w:rsid w:val="005C2568"/>
    <w:rsid w:val="005D2C82"/>
    <w:rsid w:val="006037C0"/>
    <w:rsid w:val="006631B6"/>
    <w:rsid w:val="00680577"/>
    <w:rsid w:val="0069686D"/>
    <w:rsid w:val="006E34D0"/>
    <w:rsid w:val="006E66D2"/>
    <w:rsid w:val="006F74FA"/>
    <w:rsid w:val="0070387B"/>
    <w:rsid w:val="00731ADD"/>
    <w:rsid w:val="00734777"/>
    <w:rsid w:val="00747932"/>
    <w:rsid w:val="00751A4A"/>
    <w:rsid w:val="00756632"/>
    <w:rsid w:val="00762C74"/>
    <w:rsid w:val="00781C9D"/>
    <w:rsid w:val="00786EC0"/>
    <w:rsid w:val="007B1FE4"/>
    <w:rsid w:val="007D1690"/>
    <w:rsid w:val="007E22AD"/>
    <w:rsid w:val="00810BDA"/>
    <w:rsid w:val="00817416"/>
    <w:rsid w:val="00823346"/>
    <w:rsid w:val="00842779"/>
    <w:rsid w:val="00865F67"/>
    <w:rsid w:val="00875BD7"/>
    <w:rsid w:val="00881A7B"/>
    <w:rsid w:val="008840E5"/>
    <w:rsid w:val="00887B3E"/>
    <w:rsid w:val="00895C81"/>
    <w:rsid w:val="00897124"/>
    <w:rsid w:val="008C2AC6"/>
    <w:rsid w:val="009102C4"/>
    <w:rsid w:val="00930C23"/>
    <w:rsid w:val="0093193B"/>
    <w:rsid w:val="009509D8"/>
    <w:rsid w:val="00950B64"/>
    <w:rsid w:val="009513AC"/>
    <w:rsid w:val="00981893"/>
    <w:rsid w:val="009F0921"/>
    <w:rsid w:val="00A10F92"/>
    <w:rsid w:val="00A1687D"/>
    <w:rsid w:val="00A32654"/>
    <w:rsid w:val="00A43E52"/>
    <w:rsid w:val="00A4678D"/>
    <w:rsid w:val="00A6590F"/>
    <w:rsid w:val="00A778C7"/>
    <w:rsid w:val="00AA2E7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63C"/>
    <w:rsid w:val="00D834A0"/>
    <w:rsid w:val="00D872DF"/>
    <w:rsid w:val="00D91E21"/>
    <w:rsid w:val="00DA7FCD"/>
    <w:rsid w:val="00DE619E"/>
    <w:rsid w:val="00E20CDC"/>
    <w:rsid w:val="00E21925"/>
    <w:rsid w:val="00E30FA1"/>
    <w:rsid w:val="00E365E1"/>
    <w:rsid w:val="00E45F5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F96"/>
    <w:rsid w:val="00F74202"/>
    <w:rsid w:val="00F87713"/>
    <w:rsid w:val="00FB4360"/>
    <w:rsid w:val="00FB4DF6"/>
    <w:rsid w:val="00FD0C70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CB33E"/>
  <w15:chartTrackingRefBased/>
  <w15:docId w15:val="{EA4BF400-6D18-4886-A8A2-97F87E9C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Document Table,CV1,Gena,Tabellengitternetz,Deloitte,HTG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A10F92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A10F92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A10F9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A10F9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10F9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10F9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9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A10F9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A10F9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A10F9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10F9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10F9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10F92"/>
    <w:pPr>
      <w:spacing w:after="120"/>
    </w:pPr>
  </w:style>
  <w:style w:type="paragraph" w:customStyle="1" w:styleId="PageHeading">
    <w:name w:val="PageHeading"/>
    <w:basedOn w:val="Normal"/>
    <w:rsid w:val="00A10F9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10F9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10F92"/>
    <w:rPr>
      <w:b/>
      <w:sz w:val="24"/>
      <w:lang w:val="cs-CZ"/>
    </w:rPr>
  </w:style>
  <w:style w:type="paragraph" w:customStyle="1" w:styleId="NormalBold12a">
    <w:name w:val="NormalBold12a"/>
    <w:basedOn w:val="Normal"/>
    <w:rsid w:val="00A10F92"/>
    <w:pPr>
      <w:spacing w:after="240"/>
    </w:pPr>
    <w:rPr>
      <w:b/>
    </w:rPr>
  </w:style>
  <w:style w:type="paragraph" w:customStyle="1" w:styleId="AmJustText">
    <w:name w:val="AmJustText"/>
    <w:basedOn w:val="Normal"/>
    <w:rsid w:val="00A10F9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10F9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10F92"/>
    <w:pPr>
      <w:spacing w:after="480"/>
      <w:ind w:left="1417"/>
    </w:pPr>
  </w:style>
  <w:style w:type="paragraph" w:customStyle="1" w:styleId="CoverNormal">
    <w:name w:val="CoverNormal"/>
    <w:basedOn w:val="Normal"/>
    <w:rsid w:val="00A10F92"/>
    <w:pPr>
      <w:ind w:left="1418"/>
    </w:pPr>
  </w:style>
  <w:style w:type="paragraph" w:customStyle="1" w:styleId="AmCrossRef">
    <w:name w:val="AmCrossRef"/>
    <w:basedOn w:val="Normal"/>
    <w:rsid w:val="00A10F9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10F9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10F9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10F9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10F9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10F9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10F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F92"/>
    <w:rPr>
      <w:sz w:val="24"/>
      <w:lang w:val="cs-CZ"/>
    </w:rPr>
  </w:style>
  <w:style w:type="paragraph" w:customStyle="1" w:styleId="AmOrLang">
    <w:name w:val="AmOrLang"/>
    <w:basedOn w:val="Normal"/>
    <w:rsid w:val="00A10F9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10F9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10F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10F92"/>
    <w:rPr>
      <w:b/>
      <w:sz w:val="24"/>
      <w:lang w:val="cs-CZ"/>
    </w:rPr>
  </w:style>
  <w:style w:type="paragraph" w:customStyle="1" w:styleId="NormalBold12b">
    <w:name w:val="NormalBold12b"/>
    <w:basedOn w:val="Normal"/>
    <w:link w:val="NormalBold12bChar"/>
    <w:rsid w:val="00A10F92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A10F92"/>
    <w:rPr>
      <w:b/>
      <w:sz w:val="24"/>
      <w:lang w:val="cs-CZ"/>
    </w:rPr>
  </w:style>
  <w:style w:type="paragraph" w:customStyle="1" w:styleId="EPBody">
    <w:name w:val="EPBody"/>
    <w:basedOn w:val="Normal"/>
    <w:rsid w:val="00A10F9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10F9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10F92"/>
    <w:pPr>
      <w:spacing w:before="480" w:after="240"/>
    </w:pPr>
  </w:style>
  <w:style w:type="paragraph" w:customStyle="1" w:styleId="Lgendesigne">
    <w:name w:val="Légende signe"/>
    <w:basedOn w:val="Normal"/>
    <w:rsid w:val="00A10F9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10F9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10F92"/>
    <w:rPr>
      <w:sz w:val="18"/>
    </w:rPr>
  </w:style>
  <w:style w:type="paragraph" w:customStyle="1" w:styleId="msonormal0">
    <w:name w:val="msonormal"/>
    <w:basedOn w:val="Normal"/>
    <w:rsid w:val="00A10F9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A10F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F92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A10F92"/>
    <w:rPr>
      <w:noProof/>
      <w:sz w:val="24"/>
    </w:rPr>
  </w:style>
  <w:style w:type="paragraph" w:customStyle="1" w:styleId="Normal12">
    <w:name w:val="Normal12"/>
    <w:basedOn w:val="Normal"/>
    <w:link w:val="Normal12Char"/>
    <w:rsid w:val="00A10F9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10F9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10F9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10F9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10F9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10F9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10F92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A10F92"/>
    <w:pPr>
      <w:spacing w:after="120"/>
    </w:pPr>
  </w:style>
  <w:style w:type="paragraph" w:customStyle="1" w:styleId="Normal12Italic">
    <w:name w:val="Normal12Italic"/>
    <w:basedOn w:val="Normal12"/>
    <w:rsid w:val="00A10F92"/>
    <w:pPr>
      <w:jc w:val="both"/>
    </w:pPr>
  </w:style>
  <w:style w:type="paragraph" w:customStyle="1" w:styleId="JustificationTitle">
    <w:name w:val="JustificationTitle"/>
    <w:basedOn w:val="Normal"/>
    <w:next w:val="Normal12"/>
    <w:rsid w:val="00A10F9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10F9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10F9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10F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10F92"/>
    <w:pPr>
      <w:spacing w:before="240"/>
      <w:jc w:val="center"/>
    </w:pPr>
    <w:rPr>
      <w:i/>
    </w:rPr>
  </w:style>
  <w:style w:type="character" w:customStyle="1" w:styleId="Footer2Middle">
    <w:name w:val="Footer2Middle"/>
    <w:rsid w:val="00A10F9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10F9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A10F92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10F92"/>
    <w:rPr>
      <w:rFonts w:ascii="Segoe UI" w:hAnsi="Segoe UI" w:cs="Segoe UI"/>
      <w:sz w:val="18"/>
      <w:szCs w:val="18"/>
      <w:lang w:val="cs-CZ"/>
    </w:rPr>
  </w:style>
  <w:style w:type="paragraph" w:customStyle="1" w:styleId="Normal12Hanging">
    <w:name w:val="Normal12Hanging"/>
    <w:basedOn w:val="Normal"/>
    <w:uiPriority w:val="99"/>
    <w:rsid w:val="00A10F92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A10F92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A10F92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A10F9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10F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10F92"/>
    <w:rPr>
      <w:b/>
      <w:bCs/>
      <w:lang w:val="cs-CZ"/>
    </w:rPr>
  </w:style>
  <w:style w:type="paragraph" w:styleId="ListParagraph">
    <w:name w:val="List Paragraph"/>
    <w:basedOn w:val="Normal"/>
    <w:uiPriority w:val="34"/>
    <w:qFormat/>
    <w:rsid w:val="00A10F9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geHeadingNotTOC">
    <w:name w:val="PageHeadingNotTOC"/>
    <w:basedOn w:val="Normal"/>
    <w:rsid w:val="00A10F92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A10F92"/>
    <w:rPr>
      <w:sz w:val="24"/>
      <w:lang w:val="cs-CZ"/>
    </w:rPr>
  </w:style>
  <w:style w:type="paragraph" w:customStyle="1" w:styleId="TableParagraph">
    <w:name w:val="Table Paragraph"/>
    <w:basedOn w:val="Normal"/>
    <w:uiPriority w:val="1"/>
    <w:qFormat/>
    <w:rsid w:val="00A10F92"/>
    <w:pPr>
      <w:autoSpaceDE w:val="0"/>
      <w:autoSpaceDN w:val="0"/>
      <w:spacing w:before="114"/>
      <w:ind w:left="110"/>
    </w:pPr>
    <w:rPr>
      <w:sz w:val="22"/>
      <w:szCs w:val="22"/>
      <w:lang w:val="fr-FR" w:eastAsia="en-US"/>
    </w:rPr>
  </w:style>
  <w:style w:type="paragraph" w:customStyle="1" w:styleId="Default">
    <w:name w:val="Default"/>
    <w:rsid w:val="00A10F9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pasted0">
    <w:name w:val="contentpasted0"/>
    <w:rsid w:val="00A10F92"/>
  </w:style>
  <w:style w:type="table" w:customStyle="1" w:styleId="CV11">
    <w:name w:val="CV11"/>
    <w:basedOn w:val="TableNormal"/>
    <w:uiPriority w:val="39"/>
    <w:rsid w:val="00A10F92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A10F92"/>
    <w:pPr>
      <w:spacing w:after="240"/>
    </w:pPr>
    <w:rPr>
      <w:lang w:val="fr-FR"/>
    </w:rPr>
  </w:style>
  <w:style w:type="paragraph" w:customStyle="1" w:styleId="RollCallVotes">
    <w:name w:val="RollCallVotes"/>
    <w:basedOn w:val="Normal"/>
    <w:rsid w:val="00A10F92"/>
    <w:pPr>
      <w:spacing w:before="120" w:after="120"/>
      <w:jc w:val="center"/>
    </w:pPr>
    <w:rPr>
      <w:b/>
      <w:bCs/>
      <w:snapToGrid w:val="0"/>
      <w:sz w:val="16"/>
      <w:lang w:val="fr-FR" w:eastAsia="en-US"/>
    </w:rPr>
  </w:style>
  <w:style w:type="paragraph" w:customStyle="1" w:styleId="RollCallTabs">
    <w:name w:val="RollCallTabs"/>
    <w:basedOn w:val="Normal"/>
    <w:qFormat/>
    <w:rsid w:val="00A10F92"/>
    <w:pPr>
      <w:tabs>
        <w:tab w:val="center" w:pos="284"/>
        <w:tab w:val="left" w:pos="426"/>
      </w:tabs>
    </w:pPr>
    <w:rPr>
      <w:snapToGrid w:val="0"/>
      <w:lang w:val="fr-FR" w:eastAsia="en-US"/>
    </w:rPr>
  </w:style>
  <w:style w:type="paragraph" w:customStyle="1" w:styleId="RollCallSymbols14pt">
    <w:name w:val="RollCallSymbols14pt"/>
    <w:basedOn w:val="Normal"/>
    <w:rsid w:val="00A10F92"/>
    <w:pPr>
      <w:spacing w:before="120" w:after="120"/>
      <w:jc w:val="center"/>
    </w:pPr>
    <w:rPr>
      <w:rFonts w:ascii="Arial" w:hAnsi="Arial"/>
      <w:b/>
      <w:bCs/>
      <w:snapToGrid w:val="0"/>
      <w:sz w:val="28"/>
      <w:lang w:val="fr-FR" w:eastAsia="en-US"/>
    </w:rPr>
  </w:style>
  <w:style w:type="paragraph" w:customStyle="1" w:styleId="RollCallTable">
    <w:name w:val="RollCallTable"/>
    <w:basedOn w:val="Normal"/>
    <w:rsid w:val="00A10F92"/>
    <w:pPr>
      <w:spacing w:before="120" w:after="120"/>
    </w:pPr>
    <w:rPr>
      <w:snapToGrid w:val="0"/>
      <w:sz w:val="16"/>
      <w:lang w:val="fr-FR" w:eastAsia="en-US"/>
    </w:rPr>
  </w:style>
  <w:style w:type="paragraph" w:customStyle="1" w:styleId="AmHeadingPA">
    <w:name w:val="AmHeadingPA"/>
    <w:basedOn w:val="Normal"/>
    <w:next w:val="Normal"/>
    <w:rsid w:val="00A10F92"/>
    <w:pPr>
      <w:spacing w:before="480" w:after="240"/>
      <w:jc w:val="center"/>
    </w:pPr>
    <w:rPr>
      <w:rFonts w:ascii="Arial" w:hAnsi="Arial"/>
      <w:b/>
      <w:caps/>
      <w:snapToGrid w:val="0"/>
      <w:szCs w:val="24"/>
      <w:lang w:val="fr-FR" w:eastAsia="en-US"/>
    </w:rPr>
  </w:style>
  <w:style w:type="paragraph" w:customStyle="1" w:styleId="Normal24a">
    <w:name w:val="Normal24a"/>
    <w:basedOn w:val="Normal"/>
    <w:link w:val="Normal24aChar"/>
    <w:rsid w:val="00A10F92"/>
    <w:pPr>
      <w:spacing w:after="480"/>
    </w:pPr>
    <w:rPr>
      <w:lang w:val="fr-FR"/>
    </w:rPr>
  </w:style>
  <w:style w:type="character" w:customStyle="1" w:styleId="Normal24aChar">
    <w:name w:val="Normal24a Char"/>
    <w:basedOn w:val="DefaultParagraphFont"/>
    <w:link w:val="Normal24a"/>
    <w:rsid w:val="00A10F92"/>
    <w:rPr>
      <w:sz w:val="24"/>
      <w:lang w:val="fr-FR"/>
    </w:rPr>
  </w:style>
  <w:style w:type="paragraph" w:customStyle="1" w:styleId="Normal1">
    <w:name w:val="Normal1"/>
    <w:basedOn w:val="Normal"/>
    <w:rsid w:val="00A10F92"/>
    <w:pPr>
      <w:widowControl/>
      <w:spacing w:before="100" w:beforeAutospacing="1" w:after="100" w:afterAutospacing="1"/>
    </w:pPr>
    <w:rPr>
      <w:szCs w:val="24"/>
      <w:lang w:val="fr-FR"/>
    </w:rPr>
  </w:style>
  <w:style w:type="character" w:customStyle="1" w:styleId="footnotereference0">
    <w:name w:val="footnotereference"/>
    <w:basedOn w:val="DefaultParagraphFont"/>
    <w:rsid w:val="00A10F92"/>
  </w:style>
  <w:style w:type="paragraph" w:customStyle="1" w:styleId="CoverBold">
    <w:name w:val="CoverBold"/>
    <w:basedOn w:val="Normal"/>
    <w:rsid w:val="00A10F92"/>
    <w:pPr>
      <w:ind w:left="1417"/>
    </w:pPr>
    <w:rPr>
      <w:b/>
      <w:lang w:val="fr-FR"/>
    </w:rPr>
  </w:style>
  <w:style w:type="paragraph" w:styleId="EndnoteText">
    <w:name w:val="endnote text"/>
    <w:basedOn w:val="Normal"/>
    <w:link w:val="EndnoteTextChar"/>
    <w:unhideWhenUsed/>
    <w:rsid w:val="00A10F92"/>
    <w:rPr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10F92"/>
    <w:rPr>
      <w:lang w:val="fr-FR"/>
    </w:rPr>
  </w:style>
  <w:style w:type="character" w:styleId="EndnoteReference">
    <w:name w:val="endnote reference"/>
    <w:basedOn w:val="DefaultParagraphFont"/>
    <w:uiPriority w:val="99"/>
    <w:unhideWhenUsed/>
    <w:rsid w:val="00A10F92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A10F92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15329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53296"/>
    <w:pPr>
      <w:spacing w:after="240"/>
      <w:jc w:val="center"/>
    </w:pPr>
  </w:style>
  <w:style w:type="paragraph" w:customStyle="1" w:styleId="AmDateTab">
    <w:name w:val="AmDateTab"/>
    <w:basedOn w:val="Normal"/>
    <w:rsid w:val="0015329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5329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53296"/>
  </w:style>
  <w:style w:type="paragraph" w:customStyle="1" w:styleId="NormalCentered">
    <w:name w:val="Normal Centered"/>
    <w:basedOn w:val="Normal"/>
    <w:rsid w:val="0015329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5329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5329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5329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5329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5329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5329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5329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5329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5329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15329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5329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5329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5329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5329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5329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5329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5329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5329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5329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5329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5329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5329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5329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5329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5329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53296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53296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53296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53296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53296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53296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53296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53296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53296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53296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53296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53296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53296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53296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53296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53296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53296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53296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53296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53296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53296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53296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53296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53296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53296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53296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53296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53296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53296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15329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5329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5329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53296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53296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53296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53296"/>
    <w:pPr>
      <w:jc w:val="center"/>
    </w:pPr>
  </w:style>
  <w:style w:type="paragraph" w:customStyle="1" w:styleId="Jardin">
    <w:name w:val="Jardin"/>
    <w:basedOn w:val="Normal"/>
    <w:rsid w:val="0015329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5329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5329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5329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53296"/>
    <w:rPr>
      <w:b/>
    </w:rPr>
  </w:style>
  <w:style w:type="paragraph" w:customStyle="1" w:styleId="Annex">
    <w:name w:val="Annex"/>
    <w:basedOn w:val="Normal"/>
    <w:next w:val="Normal"/>
    <w:rsid w:val="0015329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5329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5329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5329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5329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153296"/>
    <w:pPr>
      <w:widowControl/>
    </w:pPr>
    <w:rPr>
      <w:sz w:val="20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5329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53296"/>
    <w:rPr>
      <w:rFonts w:eastAsia="Calibr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53296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15329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53296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153296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ListDash2">
    <w:name w:val="List Dash 2"/>
    <w:basedOn w:val="Normal"/>
    <w:qFormat/>
    <w:rsid w:val="00153296"/>
    <w:pPr>
      <w:widowControl/>
      <w:numPr>
        <w:numId w:val="23"/>
      </w:numPr>
      <w:spacing w:before="120" w:after="120"/>
      <w:ind w:hanging="567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1532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153296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153296"/>
    <w:pPr>
      <w:widowControl/>
      <w:numPr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153296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153296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153296"/>
    <w:pPr>
      <w:widowControl/>
      <w:numPr>
        <w:numId w:val="30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153296"/>
    <w:pPr>
      <w:widowControl/>
      <w:numPr>
        <w:ilvl w:val="1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153296"/>
    <w:pPr>
      <w:widowControl/>
      <w:numPr>
        <w:ilvl w:val="2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153296"/>
    <w:pPr>
      <w:widowControl/>
      <w:numPr>
        <w:ilvl w:val="3"/>
        <w:numId w:val="31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153296"/>
    <w:pPr>
      <w:spacing w:before="120" w:after="120"/>
      <w:jc w:val="both"/>
    </w:pPr>
    <w:rPr>
      <w:lang w:val="cs-CZ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53296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153296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153296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153296"/>
    <w:pPr>
      <w:widowControl/>
      <w:numPr>
        <w:numId w:val="3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153296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153296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153296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153296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153296"/>
    <w:pPr>
      <w:numPr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153296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153296"/>
    <w:pPr>
      <w:numPr>
        <w:ilvl w:val="1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153296"/>
    <w:pPr>
      <w:numPr>
        <w:ilvl w:val="1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153296"/>
    <w:pPr>
      <w:numPr>
        <w:ilvl w:val="1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153296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53296"/>
    <w:pPr>
      <w:numPr>
        <w:ilvl w:val="2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53296"/>
    <w:pPr>
      <w:numPr>
        <w:ilvl w:val="2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53296"/>
    <w:pPr>
      <w:numPr>
        <w:ilvl w:val="2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153296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53296"/>
    <w:pPr>
      <w:numPr>
        <w:ilvl w:val="3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53296"/>
    <w:pPr>
      <w:numPr>
        <w:ilvl w:val="3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53296"/>
    <w:pPr>
      <w:numPr>
        <w:ilvl w:val="3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153296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153296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153296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153296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153296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153296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53296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153296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153296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153296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153296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153296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153296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153296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153296"/>
    <w:rPr>
      <w:color w:val="800080"/>
      <w:u w:val="single"/>
    </w:rPr>
  </w:style>
  <w:style w:type="paragraph" w:customStyle="1" w:styleId="Sous-titreobjet">
    <w:name w:val="Sous-titre objet"/>
    <w:basedOn w:val="Normal"/>
    <w:rsid w:val="0015329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153296"/>
  </w:style>
  <w:style w:type="paragraph" w:customStyle="1" w:styleId="FooterCoverPage">
    <w:name w:val="Footer Cover Page"/>
    <w:basedOn w:val="Normal"/>
    <w:link w:val="FooterCoverPageChar"/>
    <w:rsid w:val="0015329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153296"/>
    <w:rPr>
      <w:rFonts w:eastAsia="Calibri"/>
      <w:sz w:val="24"/>
      <w:szCs w:val="22"/>
      <w:lang w:val="cs-CZ"/>
    </w:rPr>
  </w:style>
  <w:style w:type="paragraph" w:customStyle="1" w:styleId="HeaderCoverPage">
    <w:name w:val="Header Cover Page"/>
    <w:basedOn w:val="Normal"/>
    <w:link w:val="HeaderCoverPageChar"/>
    <w:rsid w:val="0015329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153296"/>
    <w:rPr>
      <w:rFonts w:eastAsia="Calibri"/>
      <w:sz w:val="24"/>
      <w:szCs w:val="22"/>
      <w:lang w:val="cs-CZ"/>
    </w:rPr>
  </w:style>
  <w:style w:type="character" w:customStyle="1" w:styleId="superscript">
    <w:name w:val="superscript"/>
    <w:basedOn w:val="DefaultParagraphFont"/>
    <w:rsid w:val="00153296"/>
  </w:style>
  <w:style w:type="character" w:customStyle="1" w:styleId="italics">
    <w:name w:val="italics"/>
    <w:basedOn w:val="DefaultParagraphFont"/>
    <w:rsid w:val="00153296"/>
  </w:style>
  <w:style w:type="paragraph" w:customStyle="1" w:styleId="title-article-norm">
    <w:name w:val="title-article-norm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153296"/>
    <w:rPr>
      <w:b/>
      <w:bCs/>
    </w:rPr>
  </w:style>
  <w:style w:type="paragraph" w:customStyle="1" w:styleId="sti-art">
    <w:name w:val="sti-art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153296"/>
  </w:style>
  <w:style w:type="character" w:customStyle="1" w:styleId="italic">
    <w:name w:val="italic"/>
    <w:basedOn w:val="DefaultParagraphFont"/>
    <w:rsid w:val="00153296"/>
  </w:style>
  <w:style w:type="paragraph" w:customStyle="1" w:styleId="Normal7">
    <w:name w:val="Normal7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153296"/>
    <w:rPr>
      <w:rFonts w:ascii="Calibri" w:eastAsia="Calibri" w:hAnsi="Calibri" w:cs="Arial"/>
      <w:lang w:val="cs-CZ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153296"/>
    <w:rPr>
      <w:i/>
      <w:iCs/>
    </w:rPr>
  </w:style>
  <w:style w:type="character" w:customStyle="1" w:styleId="italic1">
    <w:name w:val="italic1"/>
    <w:basedOn w:val="DefaultParagraphFont"/>
    <w:rsid w:val="00153296"/>
    <w:rPr>
      <w:i/>
      <w:iCs/>
    </w:rPr>
  </w:style>
  <w:style w:type="paragraph" w:customStyle="1" w:styleId="paragraph">
    <w:name w:val="paragraph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153296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153296"/>
  </w:style>
  <w:style w:type="paragraph" w:customStyle="1" w:styleId="Normal10">
    <w:name w:val="Normal10"/>
    <w:basedOn w:val="Normal"/>
    <w:rsid w:val="00153296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1"/>
    <w:uiPriority w:val="34"/>
    <w:qFormat/>
    <w:locked/>
    <w:rsid w:val="00153296"/>
    <w:rPr>
      <w:rFonts w:eastAsia="Calibri"/>
      <w:sz w:val="24"/>
      <w:szCs w:val="22"/>
      <w:lang w:val="cs-CZ" w:eastAsia="en-US"/>
    </w:rPr>
  </w:style>
  <w:style w:type="paragraph" w:customStyle="1" w:styleId="Normal11">
    <w:name w:val="Normal11"/>
    <w:basedOn w:val="Normal"/>
    <w:rsid w:val="00153296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153296"/>
  </w:style>
  <w:style w:type="character" w:customStyle="1" w:styleId="markedcontent">
    <w:name w:val="markedcontent"/>
    <w:basedOn w:val="DefaultParagraphFont"/>
    <w:rsid w:val="00153296"/>
  </w:style>
  <w:style w:type="character" w:customStyle="1" w:styleId="num">
    <w:name w:val="num"/>
    <w:basedOn w:val="DefaultParagraphFont"/>
    <w:rsid w:val="00153296"/>
  </w:style>
  <w:style w:type="paragraph" w:customStyle="1" w:styleId="norm">
    <w:name w:val="norm"/>
    <w:basedOn w:val="Normal"/>
    <w:rsid w:val="00153296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153296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153296"/>
  </w:style>
  <w:style w:type="table" w:customStyle="1" w:styleId="TableGrid1">
    <w:name w:val="Table Grid1"/>
    <w:basedOn w:val="TableNormal"/>
    <w:next w:val="TableGrid"/>
    <w:uiPriority w:val="59"/>
    <w:rsid w:val="00153296"/>
    <w:pPr>
      <w:spacing w:before="120" w:after="120"/>
      <w:jc w:val="both"/>
    </w:pPr>
    <w:rPr>
      <w:lang w:val="cs-CZ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153296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153296"/>
    <w:rPr>
      <w:rFonts w:ascii="Calibri" w:eastAsia="Calibri" w:hAnsi="Calibri" w:cs="Arial"/>
      <w:lang w:val="cs-CZ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153296"/>
  </w:style>
  <w:style w:type="character" w:customStyle="1" w:styleId="None">
    <w:name w:val="None"/>
    <w:rsid w:val="00153296"/>
  </w:style>
  <w:style w:type="paragraph" w:customStyle="1" w:styleId="nor">
    <w:name w:val="nor"/>
    <w:basedOn w:val="Normal"/>
    <w:rsid w:val="00153296"/>
    <w:pPr>
      <w:widowControl/>
      <w:numPr>
        <w:numId w:val="44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153296"/>
  </w:style>
  <w:style w:type="paragraph" w:customStyle="1" w:styleId="TOC11">
    <w:name w:val="TOC 1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15329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15329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5329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5329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15329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5329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5329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5329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5329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5329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5329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5329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53296"/>
    <w:pPr>
      <w:numPr>
        <w:numId w:val="41"/>
      </w:numPr>
      <w:tabs>
        <w:tab w:val="clear" w:pos="850"/>
        <w:tab w:val="num" w:pos="567"/>
      </w:tabs>
      <w:ind w:left="567" w:hanging="567"/>
    </w:pPr>
  </w:style>
  <w:style w:type="paragraph" w:customStyle="1" w:styleId="Tiret1">
    <w:name w:val="Tiret 1"/>
    <w:basedOn w:val="Point1"/>
    <w:rsid w:val="00153296"/>
    <w:pPr>
      <w:numPr>
        <w:numId w:val="43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153296"/>
    <w:pPr>
      <w:numPr>
        <w:numId w:val="42"/>
      </w:numPr>
      <w:tabs>
        <w:tab w:val="clear" w:pos="1984"/>
      </w:tabs>
      <w:ind w:left="567"/>
    </w:pPr>
  </w:style>
  <w:style w:type="paragraph" w:customStyle="1" w:styleId="Tiret3">
    <w:name w:val="Tiret 3"/>
    <w:basedOn w:val="Point3"/>
    <w:rsid w:val="00153296"/>
    <w:pPr>
      <w:numPr>
        <w:numId w:val="45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153296"/>
    <w:pPr>
      <w:numPr>
        <w:numId w:val="46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153296"/>
    <w:pPr>
      <w:numPr>
        <w:numId w:val="47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15329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5329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5329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5329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5329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53296"/>
    <w:pPr>
      <w:widowControl/>
      <w:numPr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53296"/>
    <w:pPr>
      <w:widowControl/>
      <w:numPr>
        <w:ilvl w:val="1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53296"/>
    <w:pPr>
      <w:widowControl/>
      <w:numPr>
        <w:ilvl w:val="2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53296"/>
    <w:pPr>
      <w:widowControl/>
      <w:numPr>
        <w:ilvl w:val="3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53296"/>
    <w:pPr>
      <w:widowControl/>
      <w:numPr>
        <w:ilvl w:val="4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53296"/>
    <w:pPr>
      <w:widowControl/>
      <w:numPr>
        <w:ilvl w:val="5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53296"/>
    <w:pPr>
      <w:widowControl/>
      <w:numPr>
        <w:ilvl w:val="6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5329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5329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5329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5329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5329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5329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5329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5329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5329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5329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5329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5329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5329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5329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5329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5329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5329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5329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5329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15329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153296"/>
    <w:pPr>
      <w:widowControl/>
      <w:numPr>
        <w:numId w:val="25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53296"/>
    <w:pPr>
      <w:widowControl/>
      <w:numPr>
        <w:ilvl w:val="2"/>
        <w:numId w:val="25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53296"/>
    <w:pPr>
      <w:widowControl/>
      <w:numPr>
        <w:ilvl w:val="4"/>
        <w:numId w:val="25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53296"/>
    <w:pPr>
      <w:widowControl/>
      <w:numPr>
        <w:ilvl w:val="6"/>
        <w:numId w:val="25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53296"/>
    <w:pPr>
      <w:widowControl/>
      <w:numPr>
        <w:ilvl w:val="1"/>
        <w:numId w:val="25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53296"/>
    <w:pPr>
      <w:widowControl/>
      <w:numPr>
        <w:ilvl w:val="3"/>
        <w:numId w:val="25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53296"/>
    <w:pPr>
      <w:widowControl/>
      <w:numPr>
        <w:ilvl w:val="5"/>
        <w:numId w:val="25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53296"/>
    <w:pPr>
      <w:widowControl/>
      <w:numPr>
        <w:ilvl w:val="7"/>
        <w:numId w:val="25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53296"/>
    <w:pPr>
      <w:widowControl/>
      <w:numPr>
        <w:ilvl w:val="8"/>
        <w:numId w:val="25"/>
      </w:numPr>
      <w:tabs>
        <w:tab w:val="clear" w:pos="3118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53296"/>
    <w:pPr>
      <w:widowControl/>
      <w:numPr>
        <w:numId w:val="4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5329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5329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5329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5329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5329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5329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15329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5329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5329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5329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5329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5329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5329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5329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5329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5329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5329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53296"/>
    <w:pPr>
      <w:widowControl/>
      <w:numPr>
        <w:numId w:val="26"/>
      </w:numPr>
      <w:tabs>
        <w:tab w:val="clear" w:pos="709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5329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5329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5329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5329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5329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5329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5329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5329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5329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5329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5329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5329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5329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5329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5329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15329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5329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5329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5329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5329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5329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15329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5329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5329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53296"/>
  </w:style>
  <w:style w:type="paragraph" w:customStyle="1" w:styleId="StatutPagedecouverture">
    <w:name w:val="Statut (Page de couverture)"/>
    <w:basedOn w:val="Statut"/>
    <w:next w:val="TypedudocumentPagedecouverture"/>
    <w:rsid w:val="00153296"/>
  </w:style>
  <w:style w:type="paragraph" w:customStyle="1" w:styleId="TitreobjetPagedecouverture">
    <w:name w:val="Titre objet (Page de couverture)"/>
    <w:basedOn w:val="Titreobjet"/>
    <w:next w:val="IntrtEEEPagedecouverture"/>
    <w:rsid w:val="0015329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53296"/>
  </w:style>
  <w:style w:type="paragraph" w:customStyle="1" w:styleId="Volume">
    <w:name w:val="Volume"/>
    <w:basedOn w:val="Normal"/>
    <w:next w:val="Confidentialit"/>
    <w:rsid w:val="0015329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53296"/>
    <w:pPr>
      <w:spacing w:after="240"/>
    </w:pPr>
  </w:style>
  <w:style w:type="paragraph" w:customStyle="1" w:styleId="Accompagnant">
    <w:name w:val="Accompagnant"/>
    <w:basedOn w:val="Normal"/>
    <w:next w:val="Typeacteprincipal"/>
    <w:rsid w:val="0015329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5329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5329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53296"/>
  </w:style>
  <w:style w:type="paragraph" w:customStyle="1" w:styleId="AccompagnantPagedecouverture">
    <w:name w:val="Accompagnant (Page de couverture)"/>
    <w:basedOn w:val="Accompagnant"/>
    <w:next w:val="TypeacteprincipalPagedecouverture"/>
    <w:rsid w:val="0015329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53296"/>
  </w:style>
  <w:style w:type="paragraph" w:customStyle="1" w:styleId="ObjetacteprincipalPagedecouverture">
    <w:name w:val="Objet acte principal (Page de couverture)"/>
    <w:basedOn w:val="Objetacteprincipal"/>
    <w:next w:val="Rfrencecroise"/>
    <w:rsid w:val="00153296"/>
  </w:style>
  <w:style w:type="paragraph" w:customStyle="1" w:styleId="LanguesfaisantfoiPagedecouverture">
    <w:name w:val="Langues faisant foi (Page de couverture)"/>
    <w:basedOn w:val="Normal"/>
    <w:next w:val="Normal"/>
    <w:rsid w:val="0015329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532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5329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15329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153296"/>
    <w:rPr>
      <w:rFonts w:eastAsia="Calibri"/>
      <w:b/>
      <w:sz w:val="24"/>
      <w:szCs w:val="22"/>
      <w:lang w:val="cs-CZ" w:eastAsia="en-US"/>
    </w:rPr>
  </w:style>
  <w:style w:type="character" w:customStyle="1" w:styleId="HeaderCouncilChar">
    <w:name w:val="Header Council Char"/>
    <w:basedOn w:val="DefaultParagraphFont"/>
    <w:rsid w:val="00153296"/>
    <w:rPr>
      <w:rFonts w:ascii="Times New Roman" w:hAnsi="Times New Roman" w:cs="Times New Roman"/>
      <w:sz w:val="2"/>
      <w:lang w:val="cs-CZ"/>
    </w:rPr>
  </w:style>
  <w:style w:type="character" w:customStyle="1" w:styleId="FooterCouncilChar">
    <w:name w:val="Footer Council Char"/>
    <w:basedOn w:val="DefaultParagraphFont"/>
    <w:rsid w:val="00153296"/>
    <w:rPr>
      <w:rFonts w:ascii="Times New Roman" w:hAnsi="Times New Roman" w:cs="Times New Roman"/>
      <w:sz w:val="2"/>
      <w:lang w:val="cs-CZ"/>
    </w:rPr>
  </w:style>
  <w:style w:type="paragraph" w:customStyle="1" w:styleId="title-bold">
    <w:name w:val="title-bold"/>
    <w:basedOn w:val="Normal"/>
    <w:uiPriority w:val="99"/>
    <w:semiHidden/>
    <w:rsid w:val="00153296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153296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153296"/>
    <w:rPr>
      <w:rFonts w:ascii="Times New Roman" w:hAnsi="Times New Roman" w:cs="Times New Roman"/>
      <w:b/>
      <w:sz w:val="28"/>
      <w:lang w:val="cs-CZ"/>
    </w:rPr>
  </w:style>
  <w:style w:type="character" w:customStyle="1" w:styleId="sub">
    <w:name w:val="sub"/>
    <w:basedOn w:val="DefaultParagraphFont"/>
    <w:rsid w:val="00153296"/>
  </w:style>
  <w:style w:type="character" w:customStyle="1" w:styleId="CRMarker">
    <w:name w:val="CR Marker"/>
    <w:basedOn w:val="DefaultParagraphFont"/>
    <w:uiPriority w:val="99"/>
    <w:rsid w:val="00153296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153296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CRReference">
    <w:name w:val="CR Reference"/>
    <w:basedOn w:val="Normal"/>
    <w:uiPriority w:val="99"/>
    <w:rsid w:val="00153296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character" w:customStyle="1" w:styleId="super">
    <w:name w:val="super"/>
    <w:basedOn w:val="DefaultParagraphFont"/>
    <w:rsid w:val="00153296"/>
  </w:style>
  <w:style w:type="paragraph" w:customStyle="1" w:styleId="doc-ti">
    <w:name w:val="doc-ti"/>
    <w:basedOn w:val="Normal"/>
    <w:rsid w:val="0015329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153296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153296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153296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153296"/>
    <w:pPr>
      <w:widowControl/>
      <w:numPr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153296"/>
    <w:pPr>
      <w:widowControl/>
      <w:numPr>
        <w:ilvl w:val="1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153296"/>
    <w:pPr>
      <w:widowControl/>
      <w:numPr>
        <w:ilvl w:val="2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153296"/>
    <w:rPr>
      <w:color w:val="00FF00"/>
      <w:sz w:val="40"/>
      <w:lang w:val="cs-CZ" w:eastAsia="en-GB"/>
    </w:rPr>
  </w:style>
  <w:style w:type="character" w:customStyle="1" w:styleId="tw4winTerm">
    <w:name w:val="tw4winTerm"/>
    <w:rsid w:val="00153296"/>
    <w:rPr>
      <w:color w:val="0000FF"/>
      <w:lang w:val="cs-CZ" w:eastAsia="en-GB"/>
    </w:rPr>
  </w:style>
  <w:style w:type="character" w:customStyle="1" w:styleId="tw4winPopup">
    <w:name w:val="tw4winPopup"/>
    <w:rsid w:val="00153296"/>
    <w:rPr>
      <w:noProof/>
      <w:color w:val="008000"/>
      <w:lang w:val="cs-CZ" w:eastAsia="en-GB"/>
    </w:rPr>
  </w:style>
  <w:style w:type="character" w:customStyle="1" w:styleId="tw4winJump">
    <w:name w:val="tw4winJump"/>
    <w:rsid w:val="00153296"/>
    <w:rPr>
      <w:noProof/>
      <w:color w:val="008080"/>
      <w:lang w:val="cs-CZ" w:eastAsia="en-GB"/>
    </w:rPr>
  </w:style>
  <w:style w:type="character" w:customStyle="1" w:styleId="tw4winExternal">
    <w:name w:val="tw4winExternal"/>
    <w:rsid w:val="00153296"/>
    <w:rPr>
      <w:noProof/>
      <w:color w:val="808080"/>
      <w:lang w:val="cs-CZ" w:eastAsia="en-GB"/>
    </w:rPr>
  </w:style>
  <w:style w:type="character" w:customStyle="1" w:styleId="tw4winInternal">
    <w:name w:val="tw4winInternal"/>
    <w:rsid w:val="00153296"/>
    <w:rPr>
      <w:noProof/>
      <w:color w:val="FF0000"/>
      <w:lang w:val="cs-CZ" w:eastAsia="en-GB"/>
    </w:rPr>
  </w:style>
  <w:style w:type="character" w:customStyle="1" w:styleId="DONOTTRANSLATE">
    <w:name w:val="DO_NOT_TRANSLATE"/>
    <w:rsid w:val="00153296"/>
    <w:rPr>
      <w:noProof/>
      <w:color w:val="800000"/>
      <w:lang w:val="cs-CZ" w:eastAsia="en-GB"/>
    </w:rPr>
  </w:style>
  <w:style w:type="paragraph" w:customStyle="1" w:styleId="Ttitrearticle">
    <w:name w:val="Ttitre article"/>
    <w:basedOn w:val="Text1"/>
    <w:rsid w:val="00153296"/>
    <w:pPr>
      <w:spacing w:line="240" w:lineRule="auto"/>
      <w:ind w:left="850"/>
      <w:jc w:val="center"/>
    </w:pPr>
    <w:rPr>
      <w:i/>
      <w:color w:val="000000"/>
    </w:rPr>
  </w:style>
  <w:style w:type="paragraph" w:customStyle="1" w:styleId="PointTriple0">
    <w:name w:val="PointTriple 0"/>
    <w:basedOn w:val="Normal"/>
    <w:rsid w:val="0015329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5329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5329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5329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5329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153296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153296"/>
    <w:rPr>
      <w:rFonts w:eastAsia="Calibri"/>
      <w:sz w:val="24"/>
      <w:szCs w:val="22"/>
      <w:lang w:val="cs-CZ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53296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153296"/>
  </w:style>
  <w:style w:type="character" w:customStyle="1" w:styleId="rynqvb">
    <w:name w:val="rynqvb"/>
    <w:basedOn w:val="DefaultParagraphFont"/>
    <w:rsid w:val="00153296"/>
  </w:style>
  <w:style w:type="character" w:customStyle="1" w:styleId="subscript">
    <w:name w:val="subscript"/>
    <w:basedOn w:val="DefaultParagraphFont"/>
    <w:rsid w:val="00153296"/>
  </w:style>
  <w:style w:type="character" w:customStyle="1" w:styleId="fontstyle01">
    <w:name w:val="fontstyle01"/>
    <w:basedOn w:val="DefaultParagraphFont"/>
    <w:rsid w:val="00153296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153296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15329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5329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5329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0">
    <w:name w:val="Text 10"/>
    <w:basedOn w:val="Normal"/>
    <w:rsid w:val="0015329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5329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5329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5329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5329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5329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5329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53296"/>
    <w:pPr>
      <w:widowControl/>
      <w:numPr>
        <w:numId w:val="50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53296"/>
    <w:pPr>
      <w:widowControl/>
      <w:numPr>
        <w:numId w:val="51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53296"/>
    <w:pPr>
      <w:widowControl/>
      <w:numPr>
        <w:numId w:val="52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53296"/>
    <w:pPr>
      <w:widowControl/>
      <w:numPr>
        <w:numId w:val="5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53296"/>
    <w:pPr>
      <w:widowControl/>
      <w:numPr>
        <w:numId w:val="5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53296"/>
    <w:pPr>
      <w:widowControl/>
      <w:numPr>
        <w:numId w:val="5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53296"/>
    <w:pPr>
      <w:widowControl/>
      <w:numPr>
        <w:numId w:val="5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5329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15329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5329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5329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5329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5329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5329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5329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5329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53296"/>
    <w:pPr>
      <w:spacing w:before="240"/>
    </w:pPr>
  </w:style>
  <w:style w:type="paragraph" w:customStyle="1" w:styleId="Accordtitre">
    <w:name w:val="Accord titre"/>
    <w:basedOn w:val="Normal"/>
    <w:rsid w:val="0015329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5329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5329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5329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5329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5329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5329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5329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5329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5329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5329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5329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5329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5329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5329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5329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5329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5329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5329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5329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5329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5329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5329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5329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5329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532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532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5329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15329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5329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53296"/>
    <w:rPr>
      <w:b/>
      <w:i/>
    </w:rPr>
  </w:style>
  <w:style w:type="character" w:customStyle="1" w:styleId="diff-tte-removed">
    <w:name w:val="diff-tte-removed"/>
    <w:basedOn w:val="DefaultParagraphFont"/>
    <w:rsid w:val="00153296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153296"/>
    <w:pPr>
      <w:widowControl/>
      <w:spacing w:after="120" w:line="259" w:lineRule="auto"/>
    </w:pPr>
    <w:rPr>
      <w:sz w:val="20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153296"/>
  </w:style>
  <w:style w:type="paragraph" w:customStyle="1" w:styleId="footnotedescription">
    <w:name w:val="footnote description"/>
    <w:next w:val="Normal"/>
    <w:link w:val="footnotedescriptionChar"/>
    <w:hidden/>
    <w:rsid w:val="00153296"/>
    <w:pPr>
      <w:spacing w:line="256" w:lineRule="auto"/>
      <w:ind w:left="720" w:hanging="720"/>
    </w:pPr>
    <w:rPr>
      <w:color w:val="000000"/>
      <w:sz w:val="24"/>
      <w:szCs w:val="22"/>
      <w:lang w:val="cs-CZ"/>
    </w:rPr>
  </w:style>
  <w:style w:type="character" w:customStyle="1" w:styleId="footnotedescriptionChar">
    <w:name w:val="footnote description Char"/>
    <w:link w:val="footnotedescription"/>
    <w:rsid w:val="00153296"/>
    <w:rPr>
      <w:color w:val="000000"/>
      <w:sz w:val="24"/>
      <w:szCs w:val="22"/>
      <w:lang w:val="cs-CZ"/>
    </w:rPr>
  </w:style>
  <w:style w:type="character" w:customStyle="1" w:styleId="footnotemark">
    <w:name w:val="footnote mark"/>
    <w:hidden/>
    <w:rsid w:val="00153296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153296"/>
    <w:rPr>
      <w:rFonts w:ascii="Calibri" w:hAnsi="Calibri" w:cs="Arial"/>
      <w:sz w:val="22"/>
      <w:szCs w:val="22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53296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153296"/>
    <w:rPr>
      <w:rFonts w:eastAsia="Calibri"/>
      <w:b/>
      <w:sz w:val="36"/>
      <w:szCs w:val="36"/>
      <w:u w:val="single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296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153296"/>
    <w:rPr>
      <w:rFonts w:eastAsia="Calibri"/>
      <w:b/>
      <w:i/>
      <w:sz w:val="36"/>
      <w:szCs w:val="36"/>
      <w:lang w:val="cs-CZ"/>
    </w:rPr>
  </w:style>
  <w:style w:type="character" w:customStyle="1" w:styleId="DeltaViewDeletion">
    <w:name w:val="DeltaView Deletion"/>
    <w:uiPriority w:val="99"/>
    <w:rsid w:val="00153296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5329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53296"/>
    <w:rPr>
      <w:color w:val="605E5C"/>
      <w:shd w:val="clear" w:color="auto" w:fill="E1DFDD"/>
    </w:rPr>
  </w:style>
  <w:style w:type="paragraph" w:customStyle="1" w:styleId="Footerlandscape0">
    <w:name w:val="Footer landscape"/>
    <w:basedOn w:val="Normal"/>
    <w:rsid w:val="00153296"/>
    <w:pPr>
      <w:widowControl/>
      <w:tabs>
        <w:tab w:val="center" w:pos="3119"/>
        <w:tab w:val="center" w:pos="6096"/>
        <w:tab w:val="left" w:pos="8931"/>
        <w:tab w:val="left" w:pos="9639"/>
      </w:tabs>
    </w:pPr>
    <w:rPr>
      <w:rFonts w:eastAsia="Calibri"/>
      <w:szCs w:val="22"/>
      <w:lang w:val="ro-RO" w:eastAsia="en-US"/>
    </w:rPr>
  </w:style>
  <w:style w:type="character" w:customStyle="1" w:styleId="EndnoteTextChar1">
    <w:name w:val="Endnote Text Char1"/>
    <w:basedOn w:val="DefaultParagraphFont"/>
    <w:rsid w:val="00153296"/>
    <w:rPr>
      <w:lang w:val="cs-CZ"/>
    </w:rPr>
  </w:style>
  <w:style w:type="character" w:styleId="Hyperlink">
    <w:name w:val="Hyperlink"/>
    <w:basedOn w:val="DefaultParagraphFont"/>
    <w:rsid w:val="00153296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15329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153296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15329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F90C5-B356-4552-9341-2838C6BF1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2024-06-19T12:31:00Z</dcterms:created>
  <dcterms:modified xsi:type="dcterms:W3CDTF">2024-06-19T12:31:00Z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