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40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40EB" w:rsidRDefault="009A2833" w:rsidP="0010095E">
            <w:pPr>
              <w:pStyle w:val="EPName"/>
            </w:pPr>
            <w:r w:rsidRPr="006040EB">
              <w:t>Europski parlament</w:t>
            </w:r>
          </w:p>
          <w:p w:rsidR="00751A4A" w:rsidRPr="006040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4F60">
              <w:t>2019</w:t>
            </w:r>
            <w:r w:rsidRPr="006040EB">
              <w:t>-</w:t>
            </w:r>
            <w:r w:rsidRPr="00D04F6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040EB" w:rsidRDefault="00187494" w:rsidP="0010095E">
            <w:pPr>
              <w:pStyle w:val="EPLogo"/>
            </w:pPr>
            <w:r w:rsidRPr="006040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40EB" w:rsidRDefault="00D058B8" w:rsidP="004C5D52">
      <w:pPr>
        <w:pStyle w:val="LineTop"/>
      </w:pPr>
    </w:p>
    <w:p w:rsidR="00680577" w:rsidRPr="006040EB" w:rsidRDefault="009A2833" w:rsidP="00680577">
      <w:pPr>
        <w:pStyle w:val="EPBodyTA1"/>
      </w:pPr>
      <w:r w:rsidRPr="006040EB">
        <w:t>USVOJENI TEKSTOVI</w:t>
      </w:r>
    </w:p>
    <w:p w:rsidR="00D058B8" w:rsidRPr="006040EB" w:rsidRDefault="00D058B8" w:rsidP="00D058B8">
      <w:pPr>
        <w:pStyle w:val="LineBottom"/>
      </w:pPr>
    </w:p>
    <w:p w:rsidR="009A2833" w:rsidRPr="006040EB" w:rsidRDefault="009A2833" w:rsidP="009A2833">
      <w:pPr>
        <w:pStyle w:val="ATHeading1"/>
      </w:pPr>
      <w:bookmarkStart w:id="0" w:name="TANumber"/>
      <w:r w:rsidRPr="006040EB">
        <w:t>P</w:t>
      </w:r>
      <w:r w:rsidRPr="00D04F60">
        <w:t>9</w:t>
      </w:r>
      <w:r w:rsidRPr="006040EB">
        <w:t>_TA(</w:t>
      </w:r>
      <w:r w:rsidRPr="00D04F60">
        <w:t>2024</w:t>
      </w:r>
      <w:r w:rsidRPr="006040EB">
        <w:t>)</w:t>
      </w:r>
      <w:r w:rsidRPr="00D04F60">
        <w:t>0</w:t>
      </w:r>
      <w:r w:rsidR="0082124E" w:rsidRPr="00D04F60">
        <w:t>153</w:t>
      </w:r>
      <w:bookmarkEnd w:id="0"/>
    </w:p>
    <w:p w:rsidR="009A2833" w:rsidRPr="006040EB" w:rsidRDefault="00D86B3B" w:rsidP="009A2833">
      <w:pPr>
        <w:pStyle w:val="ATHeading2"/>
      </w:pPr>
      <w:bookmarkStart w:id="1" w:name="title"/>
      <w:r w:rsidRPr="006040EB">
        <w:rPr>
          <w:bCs/>
        </w:rPr>
        <w:t xml:space="preserve">Homologacija motornih vozila i motora s obzirom na njihove emisije i trajnost baterija (Euro </w:t>
      </w:r>
      <w:r w:rsidRPr="00D04F60">
        <w:rPr>
          <w:bCs/>
        </w:rPr>
        <w:t>7</w:t>
      </w:r>
      <w:r w:rsidRPr="006040EB">
        <w:rPr>
          <w:bCs/>
        </w:rPr>
        <w:t>)</w:t>
      </w:r>
      <w:bookmarkEnd w:id="1"/>
    </w:p>
    <w:p w:rsidR="009A2833" w:rsidRPr="006040EB" w:rsidRDefault="009A2833" w:rsidP="009A2833">
      <w:pPr>
        <w:rPr>
          <w:i/>
          <w:vanish/>
        </w:rPr>
      </w:pPr>
      <w:r w:rsidRPr="006040EB">
        <w:rPr>
          <w:i/>
        </w:rPr>
        <w:fldChar w:fldCharType="begin"/>
      </w:r>
      <w:r w:rsidRPr="006040EB">
        <w:rPr>
          <w:i/>
        </w:rPr>
        <w:instrText xml:space="preserve"> TC"(</w:instrText>
      </w:r>
      <w:bookmarkStart w:id="2" w:name="DocNumber"/>
      <w:r w:rsidRPr="006040EB">
        <w:rPr>
          <w:i/>
        </w:rPr>
        <w:instrText>A</w:instrText>
      </w:r>
      <w:r w:rsidRPr="00D04F60">
        <w:rPr>
          <w:i/>
        </w:rPr>
        <w:instrText>9</w:instrText>
      </w:r>
      <w:r w:rsidRPr="006040EB">
        <w:rPr>
          <w:i/>
        </w:rPr>
        <w:instrText>-</w:instrText>
      </w:r>
      <w:r w:rsidRPr="00D04F60">
        <w:rPr>
          <w:i/>
        </w:rPr>
        <w:instrText>0298</w:instrText>
      </w:r>
      <w:r w:rsidRPr="006040EB">
        <w:rPr>
          <w:i/>
        </w:rPr>
        <w:instrText>/</w:instrText>
      </w:r>
      <w:r w:rsidRPr="00D04F60">
        <w:rPr>
          <w:i/>
        </w:rPr>
        <w:instrText>2023</w:instrText>
      </w:r>
      <w:bookmarkEnd w:id="2"/>
      <w:r w:rsidRPr="006040EB">
        <w:rPr>
          <w:i/>
        </w:rPr>
        <w:instrText xml:space="preserve"> - Izvjestitelj: </w:instrText>
      </w:r>
      <w:proofErr w:type="spellStart"/>
      <w:r w:rsidRPr="006040EB">
        <w:rPr>
          <w:i/>
        </w:rPr>
        <w:instrText>Alexandr</w:instrText>
      </w:r>
      <w:proofErr w:type="spellEnd"/>
      <w:r w:rsidRPr="006040EB">
        <w:rPr>
          <w:i/>
        </w:rPr>
        <w:instrText xml:space="preserve"> </w:instrText>
      </w:r>
      <w:proofErr w:type="spellStart"/>
      <w:r w:rsidRPr="006040EB">
        <w:rPr>
          <w:i/>
        </w:rPr>
        <w:instrText>Vondra</w:instrText>
      </w:r>
      <w:proofErr w:type="spellEnd"/>
      <w:r w:rsidRPr="006040EB">
        <w:rPr>
          <w:i/>
        </w:rPr>
        <w:instrText>)"\l</w:instrText>
      </w:r>
      <w:r w:rsidRPr="00D04F60">
        <w:rPr>
          <w:i/>
        </w:rPr>
        <w:instrText>3</w:instrText>
      </w:r>
      <w:r w:rsidRPr="006040EB">
        <w:rPr>
          <w:i/>
        </w:rPr>
        <w:instrText xml:space="preserve"> \n&gt; \* MERGEFORMAT </w:instrText>
      </w:r>
      <w:r w:rsidRPr="006040EB">
        <w:rPr>
          <w:i/>
        </w:rPr>
        <w:fldChar w:fldCharType="end"/>
      </w:r>
    </w:p>
    <w:p w:rsidR="009A2833" w:rsidRPr="006040EB" w:rsidRDefault="009A2833" w:rsidP="009A2833">
      <w:pPr>
        <w:rPr>
          <w:vanish/>
        </w:rPr>
      </w:pPr>
      <w:bookmarkStart w:id="3" w:name="Commission"/>
      <w:r w:rsidRPr="006040EB">
        <w:rPr>
          <w:vanish/>
        </w:rPr>
        <w:t>Odbor za okoliš, javno zdravlje i sigurnost hrane</w:t>
      </w:r>
      <w:bookmarkEnd w:id="3"/>
    </w:p>
    <w:p w:rsidR="009A2833" w:rsidRPr="006040EB" w:rsidRDefault="009A2833" w:rsidP="009A2833">
      <w:pPr>
        <w:rPr>
          <w:vanish/>
        </w:rPr>
      </w:pPr>
      <w:bookmarkStart w:id="4" w:name="PE"/>
      <w:r w:rsidRPr="006040EB">
        <w:rPr>
          <w:vanish/>
        </w:rPr>
        <w:t>PE</w:t>
      </w:r>
      <w:r w:rsidRPr="00D04F60">
        <w:rPr>
          <w:vanish/>
        </w:rPr>
        <w:t>746</w:t>
      </w:r>
      <w:r w:rsidRPr="006040EB">
        <w:rPr>
          <w:vanish/>
        </w:rPr>
        <w:t>.</w:t>
      </w:r>
      <w:r w:rsidRPr="00D04F60">
        <w:rPr>
          <w:vanish/>
        </w:rPr>
        <w:t>876</w:t>
      </w:r>
      <w:bookmarkEnd w:id="4"/>
    </w:p>
    <w:p w:rsidR="009A2833" w:rsidRPr="006040EB" w:rsidRDefault="009A2833" w:rsidP="009A2833">
      <w:pPr>
        <w:pStyle w:val="ATHeading3"/>
      </w:pPr>
      <w:bookmarkStart w:id="5" w:name="Sujet"/>
      <w:r w:rsidRPr="006040EB">
        <w:t xml:space="preserve">Zakonodavna rezolucija Europskog parlamenta od </w:t>
      </w:r>
      <w:r w:rsidR="00E01E2E" w:rsidRPr="00D04F60">
        <w:t>13</w:t>
      </w:r>
      <w:r w:rsidR="00E01E2E" w:rsidRPr="006040EB">
        <w:t>. ožujka</w:t>
      </w:r>
      <w:r w:rsidRPr="006040EB">
        <w:t xml:space="preserve"> </w:t>
      </w:r>
      <w:r w:rsidRPr="00D04F60">
        <w:t>2024</w:t>
      </w:r>
      <w:r w:rsidRPr="006040EB">
        <w:t xml:space="preserve">. o Prijedlogu uredbe Europskog parlamenta i Vijeća o homologaciji motornih vozila i motora te sustava, sastavnih dijelova i zasebnih tehničkih jedinica namijenjenih za takva vozila s obzirom na njihove emisije i trajnost baterija (Euro </w:t>
      </w:r>
      <w:r w:rsidRPr="00D04F60">
        <w:t>7</w:t>
      </w:r>
      <w:r w:rsidRPr="006040EB">
        <w:t xml:space="preserve">) i o stavljanju izvan snage uredaba (EZ) br. </w:t>
      </w:r>
      <w:r w:rsidRPr="00D04F60">
        <w:t>715</w:t>
      </w:r>
      <w:r w:rsidRPr="006040EB">
        <w:t>/</w:t>
      </w:r>
      <w:r w:rsidRPr="00D04F60">
        <w:t>2007</w:t>
      </w:r>
      <w:r w:rsidRPr="006040EB">
        <w:t xml:space="preserve"> i (EZ) br. </w:t>
      </w:r>
      <w:r w:rsidRPr="00D04F60">
        <w:t>595</w:t>
      </w:r>
      <w:r w:rsidRPr="006040EB">
        <w:t>/</w:t>
      </w:r>
      <w:r w:rsidRPr="00D04F60">
        <w:t>2009</w:t>
      </w:r>
      <w:bookmarkEnd w:id="5"/>
      <w:r w:rsidRPr="006040EB">
        <w:t xml:space="preserve"> </w:t>
      </w:r>
      <w:bookmarkStart w:id="6" w:name="References"/>
      <w:r w:rsidRPr="006040EB">
        <w:t>(COM(</w:t>
      </w:r>
      <w:r w:rsidRPr="00D04F60">
        <w:t>2022</w:t>
      </w:r>
      <w:r w:rsidRPr="006040EB">
        <w:t>)</w:t>
      </w:r>
      <w:r w:rsidRPr="00D04F60">
        <w:t>0586</w:t>
      </w:r>
      <w:r w:rsidRPr="006040EB">
        <w:t xml:space="preserve"> – C</w:t>
      </w:r>
      <w:r w:rsidRPr="00D04F60">
        <w:t>9</w:t>
      </w:r>
      <w:r w:rsidRPr="006040EB">
        <w:t>-</w:t>
      </w:r>
      <w:r w:rsidRPr="00D04F60">
        <w:t>0375</w:t>
      </w:r>
      <w:r w:rsidRPr="006040EB">
        <w:t>/</w:t>
      </w:r>
      <w:r w:rsidRPr="00D04F60">
        <w:t>2022</w:t>
      </w:r>
      <w:r w:rsidRPr="006040EB">
        <w:t xml:space="preserve"> – </w:t>
      </w:r>
      <w:r w:rsidRPr="00D04F60">
        <w:t>2022</w:t>
      </w:r>
      <w:r w:rsidRPr="006040EB">
        <w:t>/</w:t>
      </w:r>
      <w:r w:rsidRPr="00D04F60">
        <w:t>0365</w:t>
      </w:r>
      <w:r w:rsidRPr="006040EB">
        <w:t>(COD))</w:t>
      </w:r>
      <w:bookmarkEnd w:id="6"/>
    </w:p>
    <w:p w:rsidR="009A2833" w:rsidRPr="006040EB" w:rsidRDefault="009A2833" w:rsidP="009A2833"/>
    <w:p w:rsidR="00751EA5" w:rsidRPr="006040EB" w:rsidRDefault="00751EA5" w:rsidP="00751EA5">
      <w:pPr>
        <w:pStyle w:val="NormalBold"/>
      </w:pPr>
      <w:bookmarkStart w:id="7" w:name="TextBodyBegin"/>
      <w:bookmarkEnd w:id="7"/>
      <w:r w:rsidRPr="006040EB">
        <w:t>(Redovni zakonodavni postupak: prvo čitanje)</w:t>
      </w:r>
    </w:p>
    <w:p w:rsidR="00751EA5" w:rsidRPr="006040EB" w:rsidRDefault="00751EA5" w:rsidP="00751EA5">
      <w:pPr>
        <w:pStyle w:val="EPComma"/>
      </w:pPr>
      <w:r w:rsidRPr="006040EB">
        <w:rPr>
          <w:i/>
          <w:iCs/>
        </w:rPr>
        <w:t>Europski parlament,</w:t>
      </w:r>
    </w:p>
    <w:p w:rsidR="00751EA5" w:rsidRPr="006040EB" w:rsidRDefault="00751EA5" w:rsidP="00751EA5">
      <w:pPr>
        <w:pStyle w:val="NormalHanging12a"/>
      </w:pPr>
      <w:r w:rsidRPr="006040EB">
        <w:t>–</w:t>
      </w:r>
      <w:r w:rsidRPr="006040EB">
        <w:tab/>
        <w:t>uzimajući u obzir Prijedlog Komisije upućen Europskom parlamentu i Vijeću (COM(</w:t>
      </w:r>
      <w:r w:rsidRPr="00D04F60">
        <w:t>2022</w:t>
      </w:r>
      <w:r w:rsidRPr="006040EB">
        <w:t>)</w:t>
      </w:r>
      <w:r w:rsidRPr="00D04F60">
        <w:t>0586</w:t>
      </w:r>
      <w:r w:rsidRPr="006040EB">
        <w:t>),</w:t>
      </w:r>
    </w:p>
    <w:p w:rsidR="00751EA5" w:rsidRPr="006040EB" w:rsidRDefault="00751EA5" w:rsidP="00751EA5">
      <w:pPr>
        <w:pStyle w:val="NormalHanging12a"/>
      </w:pPr>
      <w:r w:rsidRPr="006040EB">
        <w:t>–</w:t>
      </w:r>
      <w:r w:rsidRPr="006040EB">
        <w:tab/>
        <w:t xml:space="preserve">uzimajući u obzir članak </w:t>
      </w:r>
      <w:r w:rsidRPr="00D04F60">
        <w:t>294</w:t>
      </w:r>
      <w:r w:rsidRPr="006040EB">
        <w:t xml:space="preserve">. stavak </w:t>
      </w:r>
      <w:r w:rsidRPr="00D04F60">
        <w:t>2</w:t>
      </w:r>
      <w:r w:rsidRPr="006040EB">
        <w:t xml:space="preserve">. i članak </w:t>
      </w:r>
      <w:r w:rsidRPr="00D04F60">
        <w:t>114</w:t>
      </w:r>
      <w:r w:rsidRPr="006040EB">
        <w:t>. Ugovora o funkcioniranju Europske unije, u skladu s kojima je Komisija podnijela Prijedlog Parlamentu (C</w:t>
      </w:r>
      <w:r w:rsidRPr="00D04F60">
        <w:t>9</w:t>
      </w:r>
      <w:r w:rsidRPr="006040EB">
        <w:noBreakHyphen/>
      </w:r>
      <w:r w:rsidRPr="00D04F60">
        <w:t>0375</w:t>
      </w:r>
      <w:r w:rsidRPr="006040EB">
        <w:t>/</w:t>
      </w:r>
      <w:r w:rsidRPr="00D04F60">
        <w:t>2022</w:t>
      </w:r>
      <w:r w:rsidRPr="006040EB">
        <w:t>),</w:t>
      </w:r>
    </w:p>
    <w:p w:rsidR="00751EA5" w:rsidRPr="006040EB" w:rsidRDefault="00751EA5" w:rsidP="00751EA5">
      <w:pPr>
        <w:pStyle w:val="NormalHanging12a"/>
      </w:pPr>
      <w:r w:rsidRPr="006040EB">
        <w:t>–</w:t>
      </w:r>
      <w:r w:rsidRPr="006040EB">
        <w:tab/>
        <w:t xml:space="preserve">uzimajući u obzir članak </w:t>
      </w:r>
      <w:r w:rsidRPr="00D04F60">
        <w:t>294</w:t>
      </w:r>
      <w:r w:rsidRPr="006040EB">
        <w:t xml:space="preserve">. stavak </w:t>
      </w:r>
      <w:r w:rsidRPr="00D04F60">
        <w:t>3</w:t>
      </w:r>
      <w:r w:rsidRPr="006040EB">
        <w:t>. Ugovora o funkcioniranju Europske unije,</w:t>
      </w:r>
    </w:p>
    <w:p w:rsidR="00751EA5" w:rsidRPr="006040EB" w:rsidRDefault="00751EA5" w:rsidP="00751EA5">
      <w:pPr>
        <w:pStyle w:val="NormalHanging12a"/>
      </w:pPr>
      <w:r w:rsidRPr="006040EB">
        <w:t>–</w:t>
      </w:r>
      <w:r w:rsidRPr="006040EB">
        <w:tab/>
        <w:t xml:space="preserve">uzimajući u obzir mišljenje Gospodarskog i socijalnog odbora od </w:t>
      </w:r>
      <w:r w:rsidRPr="00D04F60">
        <w:t>27</w:t>
      </w:r>
      <w:r w:rsidRPr="006040EB">
        <w:t xml:space="preserve">. travnja </w:t>
      </w:r>
      <w:r w:rsidRPr="00D04F60">
        <w:t>2023</w:t>
      </w:r>
      <w:r w:rsidRPr="006040EB">
        <w:t>.</w:t>
      </w:r>
      <w:r w:rsidRPr="006040EB">
        <w:rPr>
          <w:rStyle w:val="FootnoteReference"/>
        </w:rPr>
        <w:footnoteReference w:id="1"/>
      </w:r>
      <w:r w:rsidRPr="006040EB">
        <w:t>,</w:t>
      </w:r>
    </w:p>
    <w:p w:rsidR="00A6210B" w:rsidRPr="006040EB" w:rsidRDefault="00A6210B" w:rsidP="00A6210B">
      <w:pPr>
        <w:pStyle w:val="NormalHanging12a"/>
      </w:pPr>
      <w:r w:rsidRPr="006040EB">
        <w:t>–</w:t>
      </w:r>
      <w:r w:rsidRPr="006040EB">
        <w:tab/>
        <w:t xml:space="preserve">uzimajući u obzir privremeni sporazum koji je odobrio nadležni odbor u skladu s člankom </w:t>
      </w:r>
      <w:r w:rsidRPr="00D04F60">
        <w:t>74</w:t>
      </w:r>
      <w:r w:rsidRPr="006040EB">
        <w:t xml:space="preserve">. stavkom </w:t>
      </w:r>
      <w:r w:rsidRPr="00D04F60">
        <w:t>4</w:t>
      </w:r>
      <w:r w:rsidRPr="006040EB">
        <w:t xml:space="preserve">. Poslovnika te činjenicu da se predstavnik Vijeća pismom od </w:t>
      </w:r>
      <w:r w:rsidRPr="00D04F60">
        <w:t>8</w:t>
      </w:r>
      <w:r w:rsidRPr="006040EB">
        <w:t xml:space="preserve">. siječnja </w:t>
      </w:r>
      <w:r w:rsidRPr="00D04F60">
        <w:t>2024</w:t>
      </w:r>
      <w:r w:rsidRPr="006040EB">
        <w:t xml:space="preserve">. obvezao prihvatiti stajalište Europskog parlamenta u skladu s člankom </w:t>
      </w:r>
      <w:r w:rsidRPr="00D04F60">
        <w:t>294</w:t>
      </w:r>
      <w:r w:rsidRPr="006040EB">
        <w:t xml:space="preserve">. stavkom </w:t>
      </w:r>
      <w:r w:rsidRPr="00D04F60">
        <w:t>4</w:t>
      </w:r>
      <w:r w:rsidRPr="006040EB">
        <w:t>. Ugovora o funkcioniranju Europske unije,</w:t>
      </w:r>
    </w:p>
    <w:p w:rsidR="00A6210B" w:rsidRPr="006040EB" w:rsidRDefault="00A6210B" w:rsidP="00751EA5">
      <w:pPr>
        <w:pStyle w:val="NormalHanging12a"/>
      </w:pPr>
      <w:r w:rsidRPr="006040EB">
        <w:t>–</w:t>
      </w:r>
      <w:r w:rsidRPr="006040EB">
        <w:tab/>
        <w:t xml:space="preserve">uzimajući u obzir članak </w:t>
      </w:r>
      <w:r w:rsidRPr="00D04F60">
        <w:t>59</w:t>
      </w:r>
      <w:r w:rsidRPr="006040EB">
        <w:t>. Poslovnika,</w:t>
      </w:r>
    </w:p>
    <w:p w:rsidR="00751EA5" w:rsidRPr="006040EB" w:rsidRDefault="00751EA5" w:rsidP="00751EA5">
      <w:pPr>
        <w:pStyle w:val="NormalHanging12a"/>
      </w:pPr>
      <w:r w:rsidRPr="006040EB">
        <w:t>–</w:t>
      </w:r>
      <w:r w:rsidRPr="006040EB">
        <w:tab/>
        <w:t>uzimajući u obzir mišljenje Odbora za industriju, istraživanje i energetiku, Odbora za unutarnje tržište i zaštitu potrošača i Odbora za promet i turizam,</w:t>
      </w:r>
    </w:p>
    <w:p w:rsidR="00751EA5" w:rsidRPr="006040EB" w:rsidRDefault="00751EA5" w:rsidP="00751EA5">
      <w:pPr>
        <w:pStyle w:val="NormalHanging12a"/>
      </w:pPr>
      <w:r w:rsidRPr="006040EB">
        <w:t>–</w:t>
      </w:r>
      <w:r w:rsidRPr="006040EB">
        <w:tab/>
        <w:t>uzimajući u obzir izvješće Odbora za okoliš, javno zdravlje i sigurnost hrane (A</w:t>
      </w:r>
      <w:r w:rsidRPr="00D04F60">
        <w:t>9</w:t>
      </w:r>
      <w:r w:rsidRPr="006040EB">
        <w:noBreakHyphen/>
      </w:r>
      <w:r w:rsidRPr="00D04F60">
        <w:t>0298</w:t>
      </w:r>
      <w:r w:rsidRPr="006040EB">
        <w:t>/</w:t>
      </w:r>
      <w:r w:rsidRPr="00D04F60">
        <w:t>2023</w:t>
      </w:r>
      <w:r w:rsidRPr="006040EB">
        <w:t>),</w:t>
      </w:r>
    </w:p>
    <w:p w:rsidR="00751EA5" w:rsidRPr="006040EB" w:rsidRDefault="00751EA5" w:rsidP="00751EA5">
      <w:pPr>
        <w:pStyle w:val="NormalHanging12a"/>
      </w:pPr>
    </w:p>
    <w:p w:rsidR="00751EA5" w:rsidRPr="006040EB" w:rsidRDefault="00751EA5" w:rsidP="00751EA5">
      <w:pPr>
        <w:pStyle w:val="NormalHanging12a"/>
      </w:pPr>
      <w:r w:rsidRPr="00D04F60">
        <w:t>1</w:t>
      </w:r>
      <w:r w:rsidRPr="006040EB">
        <w:t>.</w:t>
      </w:r>
      <w:r w:rsidRPr="006040EB">
        <w:tab/>
        <w:t>usvaja sljedeće stajalište u prvom čitanju</w:t>
      </w:r>
      <w:r w:rsidR="00A6210B" w:rsidRPr="006040EB">
        <w:rPr>
          <w:rStyle w:val="FootnoteReference"/>
        </w:rPr>
        <w:footnoteReference w:id="2"/>
      </w:r>
      <w:r w:rsidRPr="006040EB">
        <w:t>;</w:t>
      </w:r>
    </w:p>
    <w:p w:rsidR="00751EA5" w:rsidRPr="006040EB" w:rsidRDefault="00751EA5" w:rsidP="00751EA5">
      <w:pPr>
        <w:pStyle w:val="NormalHanging12a"/>
      </w:pPr>
      <w:r w:rsidRPr="00D04F60">
        <w:t>2</w:t>
      </w:r>
      <w:r w:rsidRPr="006040EB">
        <w:t>.</w:t>
      </w:r>
      <w:r w:rsidRPr="006040EB">
        <w:tab/>
        <w:t>poziva Komisiju da predmet ponovno uputi Parlamentu ako zamijeni, bitno izmijeni ili namjerava bitno izmijeniti svoj Prijedlog;</w:t>
      </w:r>
    </w:p>
    <w:p w:rsidR="00751EA5" w:rsidRPr="006040EB" w:rsidRDefault="00751EA5" w:rsidP="00751EA5">
      <w:pPr>
        <w:pStyle w:val="NormalHanging12a"/>
      </w:pPr>
      <w:r w:rsidRPr="00D04F60">
        <w:t>3</w:t>
      </w:r>
      <w:r w:rsidRPr="006040EB">
        <w:t>.</w:t>
      </w:r>
      <w:r w:rsidRPr="006040EB">
        <w:tab/>
        <w:t>nalaže svojoj predsjednici da stajalište Parlamenta proslijedi Vijeću, Komisiji i nacionalnim parlamentima.</w:t>
      </w:r>
    </w:p>
    <w:p w:rsidR="00D85962" w:rsidRPr="006040EB" w:rsidRDefault="00D85962" w:rsidP="00E01E2E">
      <w:pPr>
        <w:rPr>
          <w:rFonts w:eastAsia="Calibri"/>
          <w:b/>
          <w:bCs/>
          <w:color w:val="000000"/>
          <w:szCs w:val="24"/>
        </w:rPr>
        <w:sectPr w:rsidR="00D85962" w:rsidRPr="006040EB" w:rsidSect="00E01E2E">
          <w:footerReference w:type="default" r:id="rId9"/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</w:p>
    <w:p w:rsidR="00A6210B" w:rsidRPr="006040EB" w:rsidRDefault="00A6210B" w:rsidP="00E01E2E">
      <w:pPr>
        <w:rPr>
          <w:b/>
        </w:rPr>
      </w:pPr>
      <w:r w:rsidRPr="006040EB">
        <w:rPr>
          <w:rFonts w:eastAsia="Calibri"/>
          <w:b/>
          <w:bCs/>
          <w:color w:val="000000"/>
          <w:szCs w:val="24"/>
        </w:rPr>
        <w:lastRenderedPageBreak/>
        <w:t>P</w:t>
      </w:r>
      <w:r w:rsidRPr="00D04F60">
        <w:rPr>
          <w:rFonts w:eastAsia="Calibri"/>
          <w:b/>
          <w:bCs/>
          <w:color w:val="000000"/>
          <w:szCs w:val="24"/>
        </w:rPr>
        <w:t>9</w:t>
      </w:r>
      <w:r w:rsidRPr="006040EB">
        <w:rPr>
          <w:rFonts w:eastAsia="Calibri"/>
          <w:b/>
          <w:bCs/>
          <w:color w:val="000000"/>
          <w:szCs w:val="24"/>
        </w:rPr>
        <w:t>_TC</w:t>
      </w:r>
      <w:r w:rsidRPr="00D04F60">
        <w:rPr>
          <w:rFonts w:eastAsia="Calibri"/>
          <w:b/>
          <w:bCs/>
          <w:color w:val="000000"/>
          <w:szCs w:val="24"/>
        </w:rPr>
        <w:t>1</w:t>
      </w:r>
      <w:r w:rsidRPr="006040EB">
        <w:rPr>
          <w:rFonts w:eastAsia="Calibri"/>
          <w:b/>
          <w:bCs/>
          <w:color w:val="000000"/>
          <w:szCs w:val="24"/>
        </w:rPr>
        <w:t>-COD(</w:t>
      </w:r>
      <w:r w:rsidRPr="00D04F60">
        <w:rPr>
          <w:rFonts w:eastAsia="Calibri"/>
          <w:b/>
          <w:bCs/>
          <w:color w:val="000000"/>
          <w:szCs w:val="24"/>
        </w:rPr>
        <w:t>2022</w:t>
      </w:r>
      <w:r w:rsidRPr="006040EB">
        <w:rPr>
          <w:rFonts w:eastAsia="Calibri"/>
          <w:b/>
          <w:bCs/>
          <w:color w:val="000000"/>
          <w:szCs w:val="24"/>
        </w:rPr>
        <w:t>)</w:t>
      </w:r>
      <w:r w:rsidRPr="00D04F60">
        <w:rPr>
          <w:rFonts w:eastAsia="Calibri"/>
          <w:b/>
          <w:bCs/>
          <w:color w:val="000000"/>
          <w:szCs w:val="24"/>
        </w:rPr>
        <w:t>0365</w:t>
      </w:r>
    </w:p>
    <w:p w:rsidR="00E01E2E" w:rsidRDefault="00A6210B" w:rsidP="00FD06B2">
      <w:pPr>
        <w:pStyle w:val="Titreobjet"/>
        <w:spacing w:before="240" w:after="240"/>
        <w:jc w:val="left"/>
      </w:pPr>
      <w:r w:rsidRPr="006040EB">
        <w:t xml:space="preserve">Stajalište Europskog parlamenta usvojeno u prvom čitanju </w:t>
      </w:r>
      <w:r w:rsidRPr="00D04F60">
        <w:t>1</w:t>
      </w:r>
      <w:r w:rsidR="00E01E2E" w:rsidRPr="00D04F60">
        <w:t>3</w:t>
      </w:r>
      <w:r w:rsidRPr="006040EB">
        <w:t xml:space="preserve">. ožujka </w:t>
      </w:r>
      <w:r w:rsidRPr="00D04F60">
        <w:t>2024</w:t>
      </w:r>
      <w:r w:rsidRPr="006040EB">
        <w:t xml:space="preserve">. radi donošenja </w:t>
      </w:r>
      <w:r w:rsidR="00E01E2E" w:rsidRPr="006040EB">
        <w:t>Uredbe</w:t>
      </w:r>
      <w:r w:rsidRPr="006040EB">
        <w:t xml:space="preserve"> (EU) </w:t>
      </w:r>
      <w:r w:rsidRPr="00D04F60">
        <w:t>2024</w:t>
      </w:r>
      <w:r w:rsidRPr="006040EB">
        <w:t xml:space="preserve">/... Europskog parlamenta i Vijeća </w:t>
      </w:r>
      <w:r w:rsidRPr="006040EB">
        <w:rPr>
          <w:rFonts w:eastAsiaTheme="minorHAnsi"/>
        </w:rPr>
        <w:t xml:space="preserve">o </w:t>
      </w:r>
      <w:bookmarkStart w:id="8" w:name="_Hlk160217782"/>
      <w:r w:rsidR="00E01E2E" w:rsidRPr="006040EB">
        <w:t>homologaciji motornih vozila</w:t>
      </w:r>
      <w:bookmarkEnd w:id="8"/>
      <w:r w:rsidR="00E01E2E" w:rsidRPr="006040EB">
        <w:t xml:space="preserve"> i motora te sustava, sastavnih dijelova i zasebnih tehničkih jedinica namijenjenih za takva vozila s obzirom na njihove emisije i trajnost baterija (Euro </w:t>
      </w:r>
      <w:r w:rsidR="00E01E2E" w:rsidRPr="00D04F60">
        <w:t>7</w:t>
      </w:r>
      <w:r w:rsidR="00E01E2E" w:rsidRPr="006040EB">
        <w:t xml:space="preserve">), izmjeni Uredbe (EU) </w:t>
      </w:r>
      <w:r w:rsidR="00E01E2E" w:rsidRPr="00D04F60">
        <w:t>2018</w:t>
      </w:r>
      <w:r w:rsidR="00E01E2E" w:rsidRPr="006040EB">
        <w:t>/</w:t>
      </w:r>
      <w:r w:rsidR="00E01E2E" w:rsidRPr="00D04F60">
        <w:t>858</w:t>
      </w:r>
      <w:r w:rsidR="00E01E2E" w:rsidRPr="006040EB">
        <w:t xml:space="preserve"> Europskog parlamenta i Vijeća i stavljanju izvan snage uredaba (EZ) br. </w:t>
      </w:r>
      <w:r w:rsidR="00E01E2E" w:rsidRPr="00D04F60">
        <w:t>715</w:t>
      </w:r>
      <w:r w:rsidR="00E01E2E" w:rsidRPr="006040EB">
        <w:t>/</w:t>
      </w:r>
      <w:r w:rsidR="00E01E2E" w:rsidRPr="00D04F60">
        <w:t>2007</w:t>
      </w:r>
      <w:r w:rsidR="00E01E2E" w:rsidRPr="006040EB">
        <w:t xml:space="preserve"> i (EZ) br. </w:t>
      </w:r>
      <w:r w:rsidR="00E01E2E" w:rsidRPr="00D04F60">
        <w:t>595</w:t>
      </w:r>
      <w:r w:rsidR="00E01E2E" w:rsidRPr="006040EB">
        <w:t>/</w:t>
      </w:r>
      <w:r w:rsidR="00E01E2E" w:rsidRPr="00D04F60">
        <w:t>2009</w:t>
      </w:r>
      <w:r w:rsidR="00E01E2E" w:rsidRPr="006040EB">
        <w:t xml:space="preserve"> Europskog parlamenta i Vijeća, </w:t>
      </w:r>
      <w:r w:rsidR="00404998" w:rsidRPr="00697742">
        <w:t xml:space="preserve">Uredbe Komisije </w:t>
      </w:r>
      <w:r w:rsidR="00404998" w:rsidRPr="00697742">
        <w:rPr>
          <w:lang w:val="en-GB"/>
        </w:rPr>
        <w:t xml:space="preserve">(EU) </w:t>
      </w:r>
      <w:r w:rsidR="00185D1F" w:rsidRPr="00697742">
        <w:rPr>
          <w:lang w:val="en-GB"/>
        </w:rPr>
        <w:t xml:space="preserve">br. </w:t>
      </w:r>
      <w:r w:rsidR="00404998" w:rsidRPr="00697742">
        <w:rPr>
          <w:lang w:val="en-GB"/>
        </w:rPr>
        <w:t xml:space="preserve">582/2011, </w:t>
      </w:r>
      <w:r w:rsidR="00E01E2E" w:rsidRPr="00697742">
        <w:t>Uredbe Komisije (EU) 2017/1151</w:t>
      </w:r>
      <w:r w:rsidR="00404998" w:rsidRPr="00697742">
        <w:t>, Uredbe Komisije (EU) 2017/2400</w:t>
      </w:r>
      <w:r w:rsidR="00E01E2E" w:rsidRPr="00697742">
        <w:t xml:space="preserve"> i Provedbene uredbe Komisije (EU) 2022/1362</w:t>
      </w:r>
    </w:p>
    <w:p w:rsidR="00697742" w:rsidRPr="008069AA" w:rsidRDefault="00697742" w:rsidP="00697742">
      <w:pPr>
        <w:spacing w:before="480"/>
        <w:rPr>
          <w:rFonts w:eastAsia="Calibri"/>
          <w:b/>
          <w:noProof/>
          <w:szCs w:val="22"/>
          <w:lang w:eastAsia="en-US"/>
        </w:rPr>
      </w:pPr>
      <w:r w:rsidRPr="005C255E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B73B04">
        <w:rPr>
          <w:rFonts w:eastAsia="Calibri"/>
          <w:i/>
          <w:szCs w:val="24"/>
          <w:lang w:eastAsia="en-US"/>
        </w:rPr>
        <w:t xml:space="preserve">(EU) </w:t>
      </w:r>
      <w:r w:rsidRPr="00697742">
        <w:rPr>
          <w:rFonts w:eastAsia="Calibri"/>
          <w:i/>
          <w:szCs w:val="24"/>
          <w:lang w:eastAsia="en-US"/>
        </w:rPr>
        <w:t>2024/1257</w:t>
      </w:r>
      <w:r>
        <w:rPr>
          <w:rFonts w:eastAsia="Calibri"/>
          <w:i/>
          <w:szCs w:val="24"/>
          <w:lang w:eastAsia="en-US"/>
        </w:rPr>
        <w:t>.)</w:t>
      </w:r>
      <w:bookmarkStart w:id="9" w:name="_GoBack"/>
      <w:bookmarkEnd w:id="9"/>
    </w:p>
    <w:p w:rsidR="00697742" w:rsidRPr="00697742" w:rsidRDefault="00697742" w:rsidP="00697742">
      <w:pPr>
        <w:pStyle w:val="IntrtEEE"/>
      </w:pPr>
    </w:p>
    <w:sectPr w:rsidR="00697742" w:rsidRPr="00697742" w:rsidSect="006977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D1F" w:rsidRPr="00D96261" w:rsidRDefault="00185D1F">
      <w:r w:rsidRPr="00D96261">
        <w:separator/>
      </w:r>
    </w:p>
  </w:endnote>
  <w:endnote w:type="continuationSeparator" w:id="0">
    <w:p w:rsidR="00185D1F" w:rsidRPr="00D96261" w:rsidRDefault="00185D1F">
      <w:r w:rsidRPr="00D962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D1F" w:rsidRPr="00157CBA" w:rsidRDefault="00185D1F" w:rsidP="00E01E2E">
    <w:pPr>
      <w:pStyle w:val="FooterCouncil"/>
      <w:rPr>
        <w:lang w:val="fr-B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D1F" w:rsidRPr="00D96261" w:rsidRDefault="00185D1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D1F" w:rsidRPr="00D96261" w:rsidRDefault="00185D1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D1F" w:rsidRPr="00D96261" w:rsidRDefault="00185D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D1F" w:rsidRPr="00D96261" w:rsidRDefault="00185D1F">
      <w:r w:rsidRPr="00D96261">
        <w:separator/>
      </w:r>
    </w:p>
  </w:footnote>
  <w:footnote w:type="continuationSeparator" w:id="0">
    <w:p w:rsidR="00185D1F" w:rsidRPr="00D96261" w:rsidRDefault="00185D1F">
      <w:r w:rsidRPr="00D96261">
        <w:continuationSeparator/>
      </w:r>
    </w:p>
  </w:footnote>
  <w:footnote w:id="1">
    <w:p w:rsidR="00185D1F" w:rsidRPr="00404998" w:rsidRDefault="00185D1F" w:rsidP="00E01E2E">
      <w:pPr>
        <w:pStyle w:val="FootnoteText"/>
        <w:ind w:left="567" w:hanging="567"/>
        <w:rPr>
          <w:sz w:val="24"/>
          <w:szCs w:val="24"/>
          <w:lang w:val="hr-HR"/>
        </w:rPr>
      </w:pPr>
      <w:r w:rsidRPr="00E01E2E">
        <w:rPr>
          <w:rStyle w:val="FootnoteReference"/>
          <w:sz w:val="24"/>
          <w:szCs w:val="24"/>
          <w:lang w:val="hr-HR"/>
        </w:rPr>
        <w:footnoteRef/>
      </w:r>
      <w:r w:rsidRPr="00E01E2E">
        <w:rPr>
          <w:sz w:val="24"/>
          <w:szCs w:val="24"/>
          <w:lang w:val="hr-HR"/>
        </w:rPr>
        <w:t xml:space="preserve"> </w:t>
      </w:r>
      <w:r w:rsidRPr="00E01E2E">
        <w:rPr>
          <w:sz w:val="24"/>
          <w:szCs w:val="24"/>
          <w:lang w:val="hr-HR"/>
        </w:rPr>
        <w:tab/>
      </w:r>
      <w:r w:rsidRPr="00404998">
        <w:rPr>
          <w:iCs/>
          <w:sz w:val="24"/>
          <w:szCs w:val="24"/>
          <w:lang w:val="en-GB"/>
        </w:rPr>
        <w:t xml:space="preserve">SL C </w:t>
      </w:r>
      <w:r w:rsidRPr="00D04F60">
        <w:rPr>
          <w:iCs/>
          <w:sz w:val="24"/>
          <w:szCs w:val="24"/>
          <w:lang w:val="en-GB"/>
        </w:rPr>
        <w:t>228</w:t>
      </w:r>
      <w:r w:rsidRPr="00404998">
        <w:rPr>
          <w:iCs/>
          <w:sz w:val="24"/>
          <w:szCs w:val="24"/>
          <w:lang w:val="en-GB"/>
        </w:rPr>
        <w:t xml:space="preserve">, </w:t>
      </w:r>
      <w:r w:rsidRPr="00D04F60">
        <w:rPr>
          <w:iCs/>
          <w:sz w:val="24"/>
          <w:szCs w:val="24"/>
          <w:lang w:val="en-GB"/>
        </w:rPr>
        <w:t>29</w:t>
      </w:r>
      <w:r w:rsidRPr="00404998">
        <w:rPr>
          <w:iCs/>
          <w:sz w:val="24"/>
          <w:szCs w:val="24"/>
          <w:lang w:val="en-GB"/>
        </w:rPr>
        <w:t>.</w:t>
      </w:r>
      <w:r w:rsidRPr="00D04F60">
        <w:rPr>
          <w:iCs/>
          <w:sz w:val="24"/>
          <w:szCs w:val="24"/>
          <w:lang w:val="en-GB"/>
        </w:rPr>
        <w:t>6</w:t>
      </w:r>
      <w:r w:rsidRPr="00404998">
        <w:rPr>
          <w:iCs/>
          <w:sz w:val="24"/>
          <w:szCs w:val="24"/>
          <w:lang w:val="en-GB"/>
        </w:rPr>
        <w:t>.</w:t>
      </w:r>
      <w:r w:rsidRPr="00D04F60">
        <w:rPr>
          <w:iCs/>
          <w:sz w:val="24"/>
          <w:szCs w:val="24"/>
          <w:lang w:val="en-GB"/>
        </w:rPr>
        <w:t>2023</w:t>
      </w:r>
      <w:r w:rsidRPr="00404998">
        <w:rPr>
          <w:iCs/>
          <w:sz w:val="24"/>
          <w:szCs w:val="24"/>
          <w:lang w:val="en-GB"/>
        </w:rPr>
        <w:t xml:space="preserve">., str. </w:t>
      </w:r>
      <w:r w:rsidRPr="00D04F60">
        <w:rPr>
          <w:iCs/>
          <w:sz w:val="24"/>
          <w:szCs w:val="24"/>
          <w:lang w:val="en-GB"/>
        </w:rPr>
        <w:t>103</w:t>
      </w:r>
      <w:r w:rsidRPr="00404998">
        <w:rPr>
          <w:sz w:val="24"/>
          <w:szCs w:val="24"/>
          <w:lang w:val="hr-HR"/>
        </w:rPr>
        <w:t>.</w:t>
      </w:r>
    </w:p>
  </w:footnote>
  <w:footnote w:id="2">
    <w:p w:rsidR="00185D1F" w:rsidRPr="00FD06B2" w:rsidRDefault="00185D1F" w:rsidP="00FD06B2">
      <w:pPr>
        <w:pStyle w:val="FootnoteText"/>
        <w:ind w:left="567" w:hanging="567"/>
        <w:rPr>
          <w:sz w:val="24"/>
          <w:szCs w:val="24"/>
          <w:lang w:val="sl-SI"/>
        </w:rPr>
      </w:pPr>
      <w:r w:rsidRPr="00FD06B2">
        <w:rPr>
          <w:rStyle w:val="FootnoteReference"/>
          <w:sz w:val="24"/>
          <w:szCs w:val="24"/>
        </w:rPr>
        <w:footnoteRef/>
      </w:r>
      <w:r w:rsidRPr="00FD06B2">
        <w:rPr>
          <w:sz w:val="24"/>
          <w:szCs w:val="24"/>
        </w:rPr>
        <w:t xml:space="preserve"> </w:t>
      </w:r>
      <w:r w:rsidRPr="00FD06B2">
        <w:rPr>
          <w:sz w:val="24"/>
          <w:szCs w:val="24"/>
        </w:rPr>
        <w:tab/>
      </w:r>
      <w:r w:rsidRPr="00FD06B2">
        <w:rPr>
          <w:sz w:val="24"/>
          <w:szCs w:val="24"/>
          <w:lang w:val="hr-HR"/>
        </w:rPr>
        <w:t xml:space="preserve">Ovo stajalište zamjenjuje amandmane usvojene na sjednici </w:t>
      </w:r>
      <w:r w:rsidRPr="00D04F60">
        <w:rPr>
          <w:sz w:val="24"/>
          <w:szCs w:val="24"/>
          <w:lang w:val="hr-HR"/>
        </w:rPr>
        <w:t>9</w:t>
      </w:r>
      <w:r w:rsidRPr="00FD06B2">
        <w:rPr>
          <w:sz w:val="24"/>
          <w:szCs w:val="24"/>
          <w:lang w:val="hr-HR"/>
        </w:rPr>
        <w:t xml:space="preserve">. studenoga </w:t>
      </w:r>
      <w:r w:rsidRPr="00D04F60">
        <w:rPr>
          <w:sz w:val="24"/>
          <w:szCs w:val="24"/>
          <w:lang w:val="hr-HR"/>
        </w:rPr>
        <w:t>2023</w:t>
      </w:r>
      <w:r w:rsidRPr="00FD06B2">
        <w:rPr>
          <w:sz w:val="24"/>
          <w:szCs w:val="24"/>
          <w:lang w:val="hr-HR"/>
        </w:rPr>
        <w:t xml:space="preserve">. (Usvojeni tekstovi </w:t>
      </w:r>
      <w:r w:rsidRPr="00FD06B2">
        <w:rPr>
          <w:sz w:val="24"/>
          <w:szCs w:val="24"/>
          <w:lang w:val="en-GB"/>
        </w:rPr>
        <w:t>P</w:t>
      </w:r>
      <w:r w:rsidRPr="00D04F60">
        <w:rPr>
          <w:sz w:val="24"/>
          <w:szCs w:val="24"/>
          <w:lang w:val="en-GB"/>
        </w:rPr>
        <w:t>9</w:t>
      </w:r>
      <w:r w:rsidRPr="00FD06B2">
        <w:rPr>
          <w:sz w:val="24"/>
          <w:szCs w:val="24"/>
          <w:lang w:val="en-GB"/>
        </w:rPr>
        <w:t>_TA(</w:t>
      </w:r>
      <w:r w:rsidRPr="00D04F60">
        <w:rPr>
          <w:sz w:val="24"/>
          <w:szCs w:val="24"/>
          <w:lang w:val="en-GB"/>
        </w:rPr>
        <w:t>2023</w:t>
      </w:r>
      <w:r w:rsidRPr="00FD06B2">
        <w:rPr>
          <w:sz w:val="24"/>
          <w:szCs w:val="24"/>
          <w:lang w:val="en-GB"/>
        </w:rPr>
        <w:t>)</w:t>
      </w:r>
      <w:r w:rsidRPr="00D04F60">
        <w:rPr>
          <w:sz w:val="24"/>
          <w:szCs w:val="24"/>
          <w:lang w:val="en-GB"/>
        </w:rPr>
        <w:t>0394</w:t>
      </w:r>
      <w:r w:rsidRPr="00FD06B2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D1F" w:rsidRPr="00D96261" w:rsidRDefault="00185D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D1F" w:rsidRPr="00D96261" w:rsidRDefault="00185D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D1F" w:rsidRPr="00D96261" w:rsidRDefault="00185D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0"/>
  </w:num>
  <w:num w:numId="3">
    <w:abstractNumId w:val="43"/>
  </w:num>
  <w:num w:numId="4">
    <w:abstractNumId w:val="2"/>
  </w:num>
  <w:num w:numId="5">
    <w:abstractNumId w:val="44"/>
  </w:num>
  <w:num w:numId="6">
    <w:abstractNumId w:val="38"/>
  </w:num>
  <w:num w:numId="7">
    <w:abstractNumId w:val="4"/>
  </w:num>
  <w:num w:numId="8">
    <w:abstractNumId w:val="49"/>
  </w:num>
  <w:num w:numId="9">
    <w:abstractNumId w:val="54"/>
  </w:num>
  <w:num w:numId="10">
    <w:abstractNumId w:val="33"/>
  </w:num>
  <w:num w:numId="11">
    <w:abstractNumId w:val="47"/>
  </w:num>
  <w:num w:numId="12">
    <w:abstractNumId w:val="40"/>
  </w:num>
  <w:num w:numId="13">
    <w:abstractNumId w:val="27"/>
  </w:num>
  <w:num w:numId="14">
    <w:abstractNumId w:val="10"/>
  </w:num>
  <w:num w:numId="15">
    <w:abstractNumId w:val="8"/>
  </w:num>
  <w:num w:numId="16">
    <w:abstractNumId w:val="42"/>
  </w:num>
  <w:num w:numId="17">
    <w:abstractNumId w:val="50"/>
  </w:num>
  <w:num w:numId="18">
    <w:abstractNumId w:val="1"/>
  </w:num>
  <w:num w:numId="19">
    <w:abstractNumId w:val="12"/>
  </w:num>
  <w:num w:numId="20">
    <w:abstractNumId w:val="7"/>
  </w:num>
  <w:num w:numId="21">
    <w:abstractNumId w:val="13"/>
  </w:num>
  <w:num w:numId="22">
    <w:abstractNumId w:val="34"/>
  </w:num>
  <w:num w:numId="23">
    <w:abstractNumId w:val="29"/>
  </w:num>
  <w:num w:numId="24">
    <w:abstractNumId w:val="11"/>
  </w:num>
  <w:num w:numId="25">
    <w:abstractNumId w:val="9"/>
  </w:num>
  <w:num w:numId="26">
    <w:abstractNumId w:val="55"/>
    <w:lvlOverride w:ilvl="0">
      <w:startOverride w:val="1"/>
    </w:lvlOverride>
  </w:num>
  <w:num w:numId="27">
    <w:abstractNumId w:val="0"/>
  </w:num>
  <w:num w:numId="28">
    <w:abstractNumId w:val="36"/>
  </w:num>
  <w:num w:numId="29">
    <w:abstractNumId w:val="17"/>
  </w:num>
  <w:num w:numId="30">
    <w:abstractNumId w:val="31"/>
  </w:num>
  <w:num w:numId="31">
    <w:abstractNumId w:val="45"/>
  </w:num>
  <w:num w:numId="32">
    <w:abstractNumId w:val="39"/>
  </w:num>
  <w:num w:numId="33">
    <w:abstractNumId w:val="46"/>
  </w:num>
  <w:num w:numId="34">
    <w:abstractNumId w:val="48"/>
  </w:num>
  <w:num w:numId="35">
    <w:abstractNumId w:val="5"/>
  </w:num>
  <w:num w:numId="36">
    <w:abstractNumId w:val="19"/>
  </w:num>
  <w:num w:numId="37">
    <w:abstractNumId w:val="6"/>
  </w:num>
  <w:num w:numId="38">
    <w:abstractNumId w:val="21"/>
  </w:num>
  <w:num w:numId="39">
    <w:abstractNumId w:val="18"/>
  </w:num>
  <w:num w:numId="40">
    <w:abstractNumId w:val="32"/>
  </w:num>
  <w:num w:numId="41">
    <w:abstractNumId w:val="37"/>
    <w:lvlOverride w:ilvl="0">
      <w:startOverride w:val="1"/>
    </w:lvlOverride>
  </w:num>
  <w:num w:numId="42">
    <w:abstractNumId w:val="41"/>
    <w:lvlOverride w:ilvl="0">
      <w:startOverride w:val="1"/>
    </w:lvlOverride>
  </w:num>
  <w:num w:numId="43">
    <w:abstractNumId w:val="24"/>
    <w:lvlOverride w:ilvl="0">
      <w:startOverride w:val="1"/>
    </w:lvlOverride>
  </w:num>
  <w:num w:numId="44">
    <w:abstractNumId w:val="14"/>
  </w:num>
  <w:num w:numId="45">
    <w:abstractNumId w:val="15"/>
  </w:num>
  <w:num w:numId="46">
    <w:abstractNumId w:val="25"/>
  </w:num>
  <w:num w:numId="47">
    <w:abstractNumId w:val="26"/>
  </w:num>
  <w:num w:numId="48">
    <w:abstractNumId w:val="28"/>
  </w:num>
  <w:num w:numId="49">
    <w:abstractNumId w:val="16"/>
  </w:num>
  <w:num w:numId="50">
    <w:abstractNumId w:val="22"/>
  </w:num>
  <w:num w:numId="51">
    <w:abstractNumId w:val="23"/>
  </w:num>
  <w:num w:numId="52">
    <w:abstractNumId w:val="30"/>
  </w:num>
  <w:num w:numId="53">
    <w:abstractNumId w:val="35"/>
  </w:num>
  <w:num w:numId="54">
    <w:abstractNumId w:val="52"/>
  </w:num>
  <w:num w:numId="55">
    <w:abstractNumId w:val="51"/>
  </w:num>
  <w:num w:numId="56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HR"/>
    <w:docVar w:name="dvnumam" w:val="528"/>
    <w:docVar w:name="dvpe" w:val="746.876"/>
    <w:docVar w:name="dvrapporteur" w:val="Izvjestitelj: "/>
    <w:docVar w:name="dvstar" w:val="***I"/>
    <w:docVar w:name="dvtitre" w:val="Zakonodavna rezolucija Europskog parlamenta od .... 2024. o Prijedlogu uredbe Europskog parlamenta i Vijeća o homologaciji motornih vozila i motora te sustava, sastavnih dijelova i zasebnih tehničkih jedinica namijenjenih za takva vozila s obzirom na njihove emisije i trajnost baterija (Euro 7) i o stavljanju izvan snage uredaba (EZ) br. 715/2007 i (EZ) br. 595/2009(COM(2022)0586 – C9-0375/2022 – 2022/0365(COD))"/>
  </w:docVars>
  <w:rsids>
    <w:rsidRoot w:val="009A2833"/>
    <w:rsid w:val="00002272"/>
    <w:rsid w:val="00064002"/>
    <w:rsid w:val="000677B9"/>
    <w:rsid w:val="000831BA"/>
    <w:rsid w:val="000A42CC"/>
    <w:rsid w:val="000E7DD9"/>
    <w:rsid w:val="0010095E"/>
    <w:rsid w:val="00125B37"/>
    <w:rsid w:val="00185D1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4998"/>
    <w:rsid w:val="00411CCE"/>
    <w:rsid w:val="0041666E"/>
    <w:rsid w:val="00421060"/>
    <w:rsid w:val="00471C19"/>
    <w:rsid w:val="004855D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1FF"/>
    <w:rsid w:val="006037C0"/>
    <w:rsid w:val="006040EB"/>
    <w:rsid w:val="006631B6"/>
    <w:rsid w:val="00680577"/>
    <w:rsid w:val="00685128"/>
    <w:rsid w:val="00697742"/>
    <w:rsid w:val="006F74FA"/>
    <w:rsid w:val="00731ADD"/>
    <w:rsid w:val="00734777"/>
    <w:rsid w:val="00747932"/>
    <w:rsid w:val="00751A4A"/>
    <w:rsid w:val="00751EA5"/>
    <w:rsid w:val="00755574"/>
    <w:rsid w:val="00756632"/>
    <w:rsid w:val="00762C74"/>
    <w:rsid w:val="00786EC0"/>
    <w:rsid w:val="007D1690"/>
    <w:rsid w:val="007E22AD"/>
    <w:rsid w:val="00817416"/>
    <w:rsid w:val="0082124E"/>
    <w:rsid w:val="00842779"/>
    <w:rsid w:val="00865F67"/>
    <w:rsid w:val="00881A7B"/>
    <w:rsid w:val="008840E5"/>
    <w:rsid w:val="00887B3E"/>
    <w:rsid w:val="008C2AC6"/>
    <w:rsid w:val="00914570"/>
    <w:rsid w:val="00930C23"/>
    <w:rsid w:val="0093193B"/>
    <w:rsid w:val="009509D8"/>
    <w:rsid w:val="00950B64"/>
    <w:rsid w:val="00981893"/>
    <w:rsid w:val="009A2833"/>
    <w:rsid w:val="009D197D"/>
    <w:rsid w:val="00A1687D"/>
    <w:rsid w:val="00A43E52"/>
    <w:rsid w:val="00A4678D"/>
    <w:rsid w:val="00A6210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F60"/>
    <w:rsid w:val="00D058B8"/>
    <w:rsid w:val="00D56C11"/>
    <w:rsid w:val="00D834A0"/>
    <w:rsid w:val="00D85962"/>
    <w:rsid w:val="00D86B3B"/>
    <w:rsid w:val="00D872DF"/>
    <w:rsid w:val="00D91E21"/>
    <w:rsid w:val="00D96261"/>
    <w:rsid w:val="00DA7FCD"/>
    <w:rsid w:val="00E01E2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6B2"/>
    <w:rsid w:val="00FD0C70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37CDF"/>
  <w15:chartTrackingRefBased/>
  <w15:docId w15:val="{549D6776-8A02-48E1-8DDD-D0DA4130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Body Text" w:uiPriority="99"/>
    <w:lsdException w:name="Subtitle" w:uiPriority="11" w:qFormat="1"/>
    <w:lsdException w:name="Hyperlink" w:uiPriority="99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751EA5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rsid w:val="00751EA5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rsid w:val="00751EA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751EA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751EA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751EA5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EA5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751EA5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751EA5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751EA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51E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51EA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51EA5"/>
    <w:pPr>
      <w:spacing w:after="120"/>
    </w:pPr>
  </w:style>
  <w:style w:type="paragraph" w:customStyle="1" w:styleId="PageHeading">
    <w:name w:val="PageHeading"/>
    <w:basedOn w:val="Normal"/>
    <w:rsid w:val="00751E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51EA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51EA5"/>
    <w:rPr>
      <w:b/>
      <w:sz w:val="24"/>
      <w:lang w:val="hr-HR"/>
    </w:rPr>
  </w:style>
  <w:style w:type="paragraph" w:customStyle="1" w:styleId="NormalBold12a">
    <w:name w:val="NormalBold12a"/>
    <w:basedOn w:val="Normal"/>
    <w:rsid w:val="00751EA5"/>
    <w:pPr>
      <w:spacing w:after="240"/>
    </w:pPr>
    <w:rPr>
      <w:b/>
    </w:rPr>
  </w:style>
  <w:style w:type="paragraph" w:customStyle="1" w:styleId="AmJustText">
    <w:name w:val="AmJustText"/>
    <w:basedOn w:val="Normal"/>
    <w:rsid w:val="00751EA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51EA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51EA5"/>
    <w:pPr>
      <w:spacing w:after="480"/>
      <w:ind w:left="1417"/>
    </w:pPr>
  </w:style>
  <w:style w:type="paragraph" w:customStyle="1" w:styleId="CoverNormal">
    <w:name w:val="CoverNormal"/>
    <w:basedOn w:val="Normal"/>
    <w:rsid w:val="00751EA5"/>
    <w:pPr>
      <w:ind w:left="1418"/>
    </w:pPr>
  </w:style>
  <w:style w:type="paragraph" w:customStyle="1" w:styleId="AmCrossRef">
    <w:name w:val="AmCrossRef"/>
    <w:basedOn w:val="Normal"/>
    <w:rsid w:val="00751EA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51EA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51EA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51EA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51EA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51EA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51E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EA5"/>
    <w:rPr>
      <w:sz w:val="24"/>
      <w:lang w:val="hr-HR"/>
    </w:rPr>
  </w:style>
  <w:style w:type="paragraph" w:customStyle="1" w:styleId="AmOrLang">
    <w:name w:val="AmOrLang"/>
    <w:basedOn w:val="Normal"/>
    <w:rsid w:val="00751EA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51E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51E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51EA5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751EA5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751EA5"/>
    <w:rPr>
      <w:b/>
      <w:sz w:val="24"/>
      <w:lang w:val="hr-HR"/>
    </w:rPr>
  </w:style>
  <w:style w:type="paragraph" w:customStyle="1" w:styleId="EPBody">
    <w:name w:val="EPBody"/>
    <w:basedOn w:val="Normal"/>
    <w:rsid w:val="00751EA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51E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51EA5"/>
    <w:pPr>
      <w:spacing w:before="480" w:after="240"/>
    </w:pPr>
  </w:style>
  <w:style w:type="paragraph" w:customStyle="1" w:styleId="Lgendesigne">
    <w:name w:val="Légende signe"/>
    <w:basedOn w:val="Normal"/>
    <w:rsid w:val="00751EA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51EA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51EA5"/>
    <w:rPr>
      <w:sz w:val="18"/>
    </w:rPr>
  </w:style>
  <w:style w:type="paragraph" w:customStyle="1" w:styleId="msonormal0">
    <w:name w:val="msonormal"/>
    <w:basedOn w:val="Normal"/>
    <w:rsid w:val="00751EA5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751EA5"/>
    <w:rPr>
      <w:noProof/>
      <w:sz w:val="24"/>
    </w:rPr>
  </w:style>
  <w:style w:type="paragraph" w:customStyle="1" w:styleId="Normal12">
    <w:name w:val="Normal12"/>
    <w:basedOn w:val="Normal"/>
    <w:link w:val="Normal12Char"/>
    <w:rsid w:val="00751EA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51EA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51EA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51EA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51EA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51EA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751EA5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751EA5"/>
    <w:pPr>
      <w:spacing w:after="120"/>
    </w:pPr>
  </w:style>
  <w:style w:type="paragraph" w:customStyle="1" w:styleId="Normal12Italic">
    <w:name w:val="Normal12Italic"/>
    <w:basedOn w:val="Normal12"/>
    <w:rsid w:val="00751EA5"/>
    <w:pPr>
      <w:jc w:val="both"/>
    </w:pPr>
  </w:style>
  <w:style w:type="paragraph" w:customStyle="1" w:styleId="JustificationTitle">
    <w:name w:val="JustificationTitle"/>
    <w:basedOn w:val="Normal"/>
    <w:next w:val="Normal12"/>
    <w:rsid w:val="00751EA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51EA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51EA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51E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51EA5"/>
    <w:pPr>
      <w:spacing w:before="240"/>
      <w:jc w:val="center"/>
    </w:pPr>
    <w:rPr>
      <w:i/>
    </w:rPr>
  </w:style>
  <w:style w:type="character" w:customStyle="1" w:styleId="Footer2Middle">
    <w:name w:val="Footer2Middle"/>
    <w:rsid w:val="00751EA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51EA5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751EA5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51EA5"/>
    <w:rPr>
      <w:rFonts w:ascii="Segoe UI" w:hAnsi="Segoe UI" w:cs="Segoe UI"/>
      <w:sz w:val="18"/>
      <w:szCs w:val="18"/>
      <w:lang w:val="hr-HR"/>
    </w:rPr>
  </w:style>
  <w:style w:type="paragraph" w:customStyle="1" w:styleId="Normal12Hanging">
    <w:name w:val="Normal12Hanging"/>
    <w:basedOn w:val="Normal"/>
    <w:uiPriority w:val="99"/>
    <w:rsid w:val="00751EA5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751EA5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751EA5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751EA5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51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1EA5"/>
    <w:rPr>
      <w:b/>
      <w:bCs/>
      <w:lang w:val="hr-HR"/>
    </w:r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751EA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PageHeadingNotTOC">
    <w:name w:val="PageHeadingNotTOC"/>
    <w:basedOn w:val="Normal"/>
    <w:rsid w:val="00751EA5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751EA5"/>
    <w:rPr>
      <w:sz w:val="24"/>
      <w:lang w:val="hr-HR"/>
    </w:rPr>
  </w:style>
  <w:style w:type="paragraph" w:customStyle="1" w:styleId="Normal12a">
    <w:name w:val="Normal12a"/>
    <w:basedOn w:val="Normal"/>
    <w:rsid w:val="00751EA5"/>
    <w:pPr>
      <w:spacing w:after="240"/>
    </w:pPr>
  </w:style>
  <w:style w:type="paragraph" w:customStyle="1" w:styleId="RollCallVotes">
    <w:name w:val="RollCallVotes"/>
    <w:basedOn w:val="Normal"/>
    <w:rsid w:val="00751EA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51EA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51EA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51EA5"/>
    <w:pPr>
      <w:spacing w:before="120" w:after="120"/>
    </w:pPr>
    <w:rPr>
      <w:snapToGrid w:val="0"/>
      <w:sz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751EA5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751EA5"/>
    <w:pPr>
      <w:autoSpaceDE w:val="0"/>
      <w:autoSpaceDN w:val="0"/>
      <w:adjustRightInd w:val="0"/>
    </w:pPr>
    <w:rPr>
      <w:color w:val="000000"/>
      <w:sz w:val="24"/>
      <w:szCs w:val="24"/>
      <w:lang w:val="hr-HR"/>
    </w:rPr>
  </w:style>
  <w:style w:type="character" w:customStyle="1" w:styleId="contentpasted0">
    <w:name w:val="contentpasted0"/>
    <w:rsid w:val="00751EA5"/>
  </w:style>
  <w:style w:type="table" w:customStyle="1" w:styleId="CV11">
    <w:name w:val="CV11"/>
    <w:basedOn w:val="TableNormal"/>
    <w:uiPriority w:val="39"/>
    <w:rsid w:val="00751EA5"/>
    <w:rPr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HeadingPA">
    <w:name w:val="AmHeadingPA"/>
    <w:basedOn w:val="Normal"/>
    <w:next w:val="Normal"/>
    <w:rsid w:val="00751EA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751EA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51EA5"/>
    <w:rPr>
      <w:sz w:val="24"/>
      <w:lang w:val="hr-HR"/>
    </w:rPr>
  </w:style>
  <w:style w:type="paragraph" w:customStyle="1" w:styleId="Normal1">
    <w:name w:val="Normal1"/>
    <w:basedOn w:val="Normal"/>
    <w:rsid w:val="00751EA5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751EA5"/>
  </w:style>
  <w:style w:type="paragraph" w:customStyle="1" w:styleId="CoverBold">
    <w:name w:val="CoverBold"/>
    <w:basedOn w:val="Normal"/>
    <w:rsid w:val="00751EA5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751EA5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51EA5"/>
    <w:rPr>
      <w:lang w:val="hr-HR"/>
    </w:rPr>
  </w:style>
  <w:style w:type="character" w:styleId="EndnoteReference">
    <w:name w:val="endnote reference"/>
    <w:basedOn w:val="DefaultParagraphFont"/>
    <w:uiPriority w:val="99"/>
    <w:unhideWhenUsed/>
    <w:rsid w:val="00751EA5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751EA5"/>
    <w:rPr>
      <w:color w:val="605E5C"/>
      <w:shd w:val="clear" w:color="auto" w:fill="E1DFDD"/>
    </w:rPr>
  </w:style>
  <w:style w:type="paragraph" w:styleId="Footer">
    <w:name w:val="footer"/>
    <w:link w:val="FooterChar"/>
    <w:uiPriority w:val="99"/>
    <w:unhideWhenUsed/>
    <w:rsid w:val="00751EA5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751EA5"/>
    <w:rPr>
      <w:sz w:val="22"/>
      <w:lang w:val="hr-HR"/>
    </w:rPr>
  </w:style>
  <w:style w:type="paragraph" w:customStyle="1" w:styleId="Footer2">
    <w:name w:val="Footer2"/>
    <w:basedOn w:val="Normal12"/>
    <w:rsid w:val="00751EA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styleId="Title">
    <w:name w:val="Title"/>
    <w:basedOn w:val="Normal"/>
    <w:next w:val="Normal"/>
    <w:link w:val="TitleChar"/>
    <w:uiPriority w:val="10"/>
    <w:qFormat/>
    <w:rsid w:val="00751EA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51EA5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EA5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51EA5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751EA5"/>
    <w:rPr>
      <w:b/>
      <w:bCs/>
    </w:rPr>
  </w:style>
  <w:style w:type="character" w:styleId="Emphasis">
    <w:name w:val="Emphasis"/>
    <w:basedOn w:val="DefaultParagraphFont"/>
    <w:uiPriority w:val="20"/>
    <w:qFormat/>
    <w:rsid w:val="00751EA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51EA5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51EA5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51EA5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EA5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EA5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751EA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51EA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51EA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51EA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51EA5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01E2E"/>
  </w:style>
  <w:style w:type="paragraph" w:customStyle="1" w:styleId="NormalCentered">
    <w:name w:val="Normal Centered"/>
    <w:basedOn w:val="Normal"/>
    <w:rsid w:val="00E01E2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01E2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01E2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01E2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01E2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01E2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01E2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01E2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01E2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01E2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E01E2E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01E2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01E2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01E2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01E2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01E2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01E2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01E2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01E2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01E2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01E2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01E2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01E2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01E2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01E2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01E2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01E2E"/>
    <w:pPr>
      <w:widowControl/>
      <w:numPr>
        <w:ilvl w:val="1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01E2E"/>
    <w:pPr>
      <w:widowControl/>
      <w:numPr>
        <w:ilvl w:val="3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01E2E"/>
    <w:pPr>
      <w:widowControl/>
      <w:numPr>
        <w:ilvl w:val="5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01E2E"/>
    <w:pPr>
      <w:widowControl/>
      <w:numPr>
        <w:ilvl w:val="7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01E2E"/>
    <w:pPr>
      <w:widowControl/>
      <w:numPr>
        <w:ilvl w:val="8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01E2E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01E2E"/>
    <w:pPr>
      <w:widowControl/>
      <w:numPr>
        <w:ilvl w:val="2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01E2E"/>
    <w:pPr>
      <w:widowControl/>
      <w:numPr>
        <w:ilvl w:val="4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01E2E"/>
    <w:pPr>
      <w:widowControl/>
      <w:numPr>
        <w:ilvl w:val="6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01E2E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01E2E"/>
    <w:pPr>
      <w:widowControl/>
      <w:numPr>
        <w:ilvl w:val="1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01E2E"/>
    <w:pPr>
      <w:widowControl/>
      <w:numPr>
        <w:ilvl w:val="2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01E2E"/>
    <w:pPr>
      <w:widowControl/>
      <w:numPr>
        <w:ilvl w:val="3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01E2E"/>
    <w:pPr>
      <w:widowControl/>
      <w:numPr>
        <w:ilvl w:val="4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01E2E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01E2E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01E2E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01E2E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01E2E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01E2E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01E2E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01E2E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01E2E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01E2E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01E2E"/>
    <w:pPr>
      <w:numPr>
        <w:numId w:val="8"/>
      </w:numPr>
    </w:pPr>
  </w:style>
  <w:style w:type="paragraph" w:customStyle="1" w:styleId="DashEqual1">
    <w:name w:val="Dash Equal 1"/>
    <w:basedOn w:val="Dash1"/>
    <w:rsid w:val="00E01E2E"/>
    <w:pPr>
      <w:numPr>
        <w:numId w:val="9"/>
      </w:numPr>
    </w:pPr>
  </w:style>
  <w:style w:type="paragraph" w:customStyle="1" w:styleId="DashEqual2">
    <w:name w:val="Dash Equal 2"/>
    <w:basedOn w:val="Dash2"/>
    <w:rsid w:val="00E01E2E"/>
    <w:pPr>
      <w:numPr>
        <w:numId w:val="10"/>
      </w:numPr>
    </w:pPr>
  </w:style>
  <w:style w:type="paragraph" w:customStyle="1" w:styleId="DashEqual3">
    <w:name w:val="Dash Equal 3"/>
    <w:basedOn w:val="Dash3"/>
    <w:rsid w:val="00E01E2E"/>
    <w:pPr>
      <w:numPr>
        <w:numId w:val="11"/>
      </w:numPr>
    </w:pPr>
  </w:style>
  <w:style w:type="paragraph" w:customStyle="1" w:styleId="DashEqual4">
    <w:name w:val="Dash Equal 4"/>
    <w:basedOn w:val="Dash4"/>
    <w:rsid w:val="00E01E2E"/>
    <w:pPr>
      <w:numPr>
        <w:numId w:val="12"/>
      </w:numPr>
    </w:pPr>
  </w:style>
  <w:style w:type="character" w:customStyle="1" w:styleId="Marker">
    <w:name w:val="Marker"/>
    <w:rsid w:val="00E01E2E"/>
    <w:rPr>
      <w:color w:val="0000FF"/>
      <w:shd w:val="clear" w:color="auto" w:fill="auto"/>
    </w:rPr>
  </w:style>
  <w:style w:type="character" w:customStyle="1" w:styleId="Marker1">
    <w:name w:val="Marker1"/>
    <w:rsid w:val="00E01E2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01E2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01E2E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E01E2E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E01E2E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E01E2E"/>
    <w:pPr>
      <w:jc w:val="center"/>
    </w:pPr>
  </w:style>
  <w:style w:type="paragraph" w:customStyle="1" w:styleId="Jardin">
    <w:name w:val="Jardin"/>
    <w:basedOn w:val="Normal"/>
    <w:rsid w:val="00E01E2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01E2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01E2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01E2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01E2E"/>
    <w:rPr>
      <w:b/>
    </w:rPr>
  </w:style>
  <w:style w:type="paragraph" w:customStyle="1" w:styleId="Annex">
    <w:name w:val="Annex"/>
    <w:basedOn w:val="Normal"/>
    <w:next w:val="Normal"/>
    <w:rsid w:val="00E01E2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01E2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01E2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E01E2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01E2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E01E2E"/>
    <w:pPr>
      <w:widowControl/>
      <w:spacing w:after="440" w:line="360" w:lineRule="auto"/>
      <w:ind w:left="-1134" w:right="-1134"/>
    </w:pPr>
    <w:rPr>
      <w:rFonts w:eastAsia="Calibri"/>
      <w:sz w:val="2"/>
      <w:lang w:eastAsia="fr-BE"/>
    </w:rPr>
  </w:style>
  <w:style w:type="character" w:customStyle="1" w:styleId="TechnicalBlockChar">
    <w:name w:val="Technical Block Char"/>
    <w:link w:val="TechnicalBlock"/>
    <w:rsid w:val="00E01E2E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link w:val="HeaderCouncilLarge"/>
    <w:rsid w:val="00E01E2E"/>
    <w:rPr>
      <w:rFonts w:eastAsia="Calibri"/>
      <w:sz w:val="2"/>
      <w:lang w:val="hr-HR" w:eastAsia="fr-BE"/>
    </w:rPr>
  </w:style>
  <w:style w:type="paragraph" w:customStyle="1" w:styleId="FooterText">
    <w:name w:val="Footer Text"/>
    <w:basedOn w:val="Normal"/>
    <w:rsid w:val="00E01E2E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E01E2E"/>
    <w:rPr>
      <w:color w:val="808080"/>
    </w:rPr>
  </w:style>
  <w:style w:type="paragraph" w:customStyle="1" w:styleId="ListDash2">
    <w:name w:val="List Dash 2"/>
    <w:basedOn w:val="Normal"/>
    <w:qFormat/>
    <w:rsid w:val="00E01E2E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de-DE"/>
    </w:rPr>
  </w:style>
  <w:style w:type="character" w:styleId="Hyperlink">
    <w:name w:val="Hyperlink"/>
    <w:uiPriority w:val="99"/>
    <w:unhideWhenUsed/>
    <w:qFormat/>
    <w:rsid w:val="00E01E2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E01E2E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E01E2E"/>
    <w:pPr>
      <w:widowControl/>
      <w:numPr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E01E2E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E01E2E"/>
    <w:pPr>
      <w:widowControl/>
      <w:numPr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E01E2E"/>
    <w:pPr>
      <w:widowControl/>
      <w:numPr>
        <w:numId w:val="30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E01E2E"/>
    <w:pPr>
      <w:widowControl/>
      <w:numPr>
        <w:ilvl w:val="1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E01E2E"/>
    <w:pPr>
      <w:widowControl/>
      <w:numPr>
        <w:ilvl w:val="2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E01E2E"/>
    <w:pPr>
      <w:widowControl/>
      <w:numPr>
        <w:ilvl w:val="3"/>
        <w:numId w:val="31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E01E2E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E01E2E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E01E2E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E01E2E"/>
    <w:pPr>
      <w:widowControl/>
      <w:numPr>
        <w:numId w:val="34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E01E2E"/>
    <w:pPr>
      <w:widowControl/>
      <w:numPr>
        <w:numId w:val="3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E01E2E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E01E2E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E01E2E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E01E2E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E01E2E"/>
    <w:pPr>
      <w:numPr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E01E2E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E01E2E"/>
    <w:pPr>
      <w:numPr>
        <w:ilvl w:val="1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E01E2E"/>
    <w:pPr>
      <w:numPr>
        <w:ilvl w:val="1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E01E2E"/>
    <w:pPr>
      <w:numPr>
        <w:ilvl w:val="1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E01E2E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E01E2E"/>
    <w:pPr>
      <w:numPr>
        <w:ilvl w:val="2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E01E2E"/>
    <w:pPr>
      <w:numPr>
        <w:ilvl w:val="2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E01E2E"/>
    <w:pPr>
      <w:numPr>
        <w:ilvl w:val="2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E01E2E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E01E2E"/>
    <w:pPr>
      <w:numPr>
        <w:ilvl w:val="3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E01E2E"/>
    <w:pPr>
      <w:numPr>
        <w:ilvl w:val="3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E01E2E"/>
    <w:pPr>
      <w:numPr>
        <w:ilvl w:val="3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E01E2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E01E2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E01E2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E01E2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E01E2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E01E2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E01E2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E01E2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E01E2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E01E2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E01E2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E01E2E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E01E2E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E01E2E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E01E2E"/>
    <w:rPr>
      <w:color w:val="800080"/>
      <w:u w:val="single"/>
    </w:rPr>
  </w:style>
  <w:style w:type="paragraph" w:customStyle="1" w:styleId="Sous-titreobjet">
    <w:name w:val="Sous-titre objet"/>
    <w:basedOn w:val="Normal"/>
    <w:rsid w:val="00E01E2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E01E2E"/>
  </w:style>
  <w:style w:type="paragraph" w:customStyle="1" w:styleId="FooterCoverPage">
    <w:name w:val="Footer Cover Page"/>
    <w:basedOn w:val="Normal"/>
    <w:link w:val="FooterCoverPageChar"/>
    <w:rsid w:val="00E01E2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E01E2E"/>
    <w:rPr>
      <w:rFonts w:eastAsia="Calibri"/>
      <w:sz w:val="24"/>
      <w:szCs w:val="22"/>
      <w:lang w:val="hr-HR"/>
    </w:rPr>
  </w:style>
  <w:style w:type="paragraph" w:customStyle="1" w:styleId="HeaderCoverPage">
    <w:name w:val="Header Cover Page"/>
    <w:basedOn w:val="Normal"/>
    <w:link w:val="HeaderCoverPageChar"/>
    <w:rsid w:val="00E01E2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E01E2E"/>
    <w:rPr>
      <w:rFonts w:eastAsia="Calibri"/>
      <w:sz w:val="24"/>
      <w:szCs w:val="22"/>
      <w:lang w:val="hr-HR"/>
    </w:rPr>
  </w:style>
  <w:style w:type="character" w:customStyle="1" w:styleId="superscript">
    <w:name w:val="superscript"/>
    <w:basedOn w:val="DefaultParagraphFont"/>
    <w:rsid w:val="00E01E2E"/>
  </w:style>
  <w:style w:type="character" w:customStyle="1" w:styleId="italics">
    <w:name w:val="italics"/>
    <w:basedOn w:val="DefaultParagraphFont"/>
    <w:rsid w:val="00E01E2E"/>
  </w:style>
  <w:style w:type="paragraph" w:customStyle="1" w:styleId="title-article-norm">
    <w:name w:val="title-article-norm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sti-art">
    <w:name w:val="sti-art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0">
    <w:name w:val="text1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E01E2E"/>
  </w:style>
  <w:style w:type="character" w:customStyle="1" w:styleId="italic">
    <w:name w:val="italic"/>
    <w:basedOn w:val="DefaultParagraphFont"/>
    <w:rsid w:val="00E01E2E"/>
  </w:style>
  <w:style w:type="paragraph" w:customStyle="1" w:styleId="Normal7">
    <w:name w:val="Normal7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table" w:styleId="GridTable1Light-Accent1">
    <w:name w:val="Grid Table 1 Light Accent 1"/>
    <w:basedOn w:val="TableNormal"/>
    <w:uiPriority w:val="46"/>
    <w:rsid w:val="00E01E2E"/>
    <w:rPr>
      <w:rFonts w:ascii="Calibri" w:eastAsia="Calibri" w:hAnsi="Calibri" w:cs="Arial"/>
      <w:lang w:val="hr-HR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italic1">
    <w:name w:val="italic1"/>
    <w:rsid w:val="00E01E2E"/>
    <w:rPr>
      <w:i/>
      <w:iCs/>
    </w:rPr>
  </w:style>
  <w:style w:type="paragraph" w:customStyle="1" w:styleId="paragraph">
    <w:name w:val="paragraph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E01E2E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E01E2E"/>
  </w:style>
  <w:style w:type="paragraph" w:customStyle="1" w:styleId="Normal10">
    <w:name w:val="Normal10"/>
    <w:basedOn w:val="Normal"/>
    <w:rsid w:val="00E01E2E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E01E2E"/>
    <w:rPr>
      <w:rFonts w:eastAsiaTheme="minorHAnsi"/>
      <w:sz w:val="24"/>
      <w:szCs w:val="24"/>
      <w:lang w:val="hr-HR" w:eastAsia="en-US"/>
    </w:rPr>
  </w:style>
  <w:style w:type="paragraph" w:customStyle="1" w:styleId="Normal11">
    <w:name w:val="Normal11"/>
    <w:basedOn w:val="Normal"/>
    <w:rsid w:val="00E01E2E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E01E2E"/>
  </w:style>
  <w:style w:type="character" w:customStyle="1" w:styleId="markedcontent">
    <w:name w:val="markedcontent"/>
    <w:basedOn w:val="DefaultParagraphFont"/>
    <w:rsid w:val="00E01E2E"/>
  </w:style>
  <w:style w:type="character" w:customStyle="1" w:styleId="num">
    <w:name w:val="num"/>
    <w:basedOn w:val="DefaultParagraphFont"/>
    <w:rsid w:val="00E01E2E"/>
  </w:style>
  <w:style w:type="paragraph" w:customStyle="1" w:styleId="norm">
    <w:name w:val="norm"/>
    <w:basedOn w:val="Normal"/>
    <w:rsid w:val="00E01E2E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rsid w:val="00E01E2E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E01E2E"/>
  </w:style>
  <w:style w:type="table" w:customStyle="1" w:styleId="TableGrid1">
    <w:name w:val="Table Grid1"/>
    <w:basedOn w:val="TableNormal"/>
    <w:next w:val="TableGrid"/>
    <w:uiPriority w:val="59"/>
    <w:rsid w:val="00E01E2E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E01E2E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E01E2E"/>
    <w:rPr>
      <w:rFonts w:ascii="Calibri" w:eastAsia="Calibri" w:hAnsi="Calibri" w:cs="Arial"/>
      <w:lang w:val="hr-HR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E01E2E"/>
  </w:style>
  <w:style w:type="character" w:customStyle="1" w:styleId="None">
    <w:name w:val="None"/>
    <w:rsid w:val="00E01E2E"/>
  </w:style>
  <w:style w:type="paragraph" w:customStyle="1" w:styleId="nor">
    <w:name w:val="nor"/>
    <w:basedOn w:val="Normal"/>
    <w:rsid w:val="00E01E2E"/>
    <w:pPr>
      <w:widowControl/>
      <w:numPr>
        <w:numId w:val="44"/>
      </w:numPr>
      <w:spacing w:before="120" w:after="120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E01E2E"/>
  </w:style>
  <w:style w:type="paragraph" w:styleId="TOC4">
    <w:name w:val="toc 4"/>
    <w:basedOn w:val="Normal"/>
    <w:next w:val="Normal"/>
    <w:uiPriority w:val="39"/>
    <w:unhideWhenUsed/>
    <w:rsid w:val="00E01E2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01E2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01E2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01E2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01E2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01E2E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01E2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01E2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01E2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E01E2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01E2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01E2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01E2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01E2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01E2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01E2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01E2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01E2E"/>
    <w:pPr>
      <w:numPr>
        <w:numId w:val="41"/>
      </w:numPr>
    </w:pPr>
  </w:style>
  <w:style w:type="paragraph" w:customStyle="1" w:styleId="Tiret1">
    <w:name w:val="Tiret 1"/>
    <w:basedOn w:val="Point1"/>
    <w:rsid w:val="00E01E2E"/>
    <w:pPr>
      <w:numPr>
        <w:numId w:val="43"/>
      </w:numPr>
    </w:pPr>
  </w:style>
  <w:style w:type="paragraph" w:customStyle="1" w:styleId="Tiret2">
    <w:name w:val="Tiret 2"/>
    <w:basedOn w:val="Point2"/>
    <w:rsid w:val="00E01E2E"/>
    <w:pPr>
      <w:numPr>
        <w:numId w:val="42"/>
      </w:numPr>
    </w:pPr>
  </w:style>
  <w:style w:type="paragraph" w:customStyle="1" w:styleId="Tiret3">
    <w:name w:val="Tiret 3"/>
    <w:basedOn w:val="Point3"/>
    <w:rsid w:val="00E01E2E"/>
    <w:pPr>
      <w:numPr>
        <w:numId w:val="45"/>
      </w:numPr>
    </w:pPr>
  </w:style>
  <w:style w:type="paragraph" w:customStyle="1" w:styleId="Tiret4">
    <w:name w:val="Tiret 4"/>
    <w:basedOn w:val="Point4"/>
    <w:rsid w:val="00E01E2E"/>
    <w:pPr>
      <w:numPr>
        <w:numId w:val="46"/>
      </w:numPr>
    </w:pPr>
  </w:style>
  <w:style w:type="paragraph" w:customStyle="1" w:styleId="Tiret5">
    <w:name w:val="Tiret 5"/>
    <w:basedOn w:val="Point5"/>
    <w:rsid w:val="00E01E2E"/>
    <w:pPr>
      <w:numPr>
        <w:numId w:val="47"/>
      </w:numPr>
    </w:pPr>
  </w:style>
  <w:style w:type="paragraph" w:customStyle="1" w:styleId="PointDouble0">
    <w:name w:val="PointDouble 0"/>
    <w:basedOn w:val="Normal"/>
    <w:rsid w:val="00E01E2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01E2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01E2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01E2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01E2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01E2E"/>
    <w:pPr>
      <w:widowControl/>
      <w:numPr>
        <w:numId w:val="2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01E2E"/>
    <w:pPr>
      <w:widowControl/>
      <w:numPr>
        <w:ilvl w:val="1"/>
        <w:numId w:val="2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01E2E"/>
    <w:pPr>
      <w:widowControl/>
      <w:numPr>
        <w:ilvl w:val="2"/>
        <w:numId w:val="2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01E2E"/>
    <w:pPr>
      <w:widowControl/>
      <w:numPr>
        <w:ilvl w:val="3"/>
        <w:numId w:val="2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01E2E"/>
    <w:pPr>
      <w:widowControl/>
      <w:numPr>
        <w:ilvl w:val="4"/>
        <w:numId w:val="2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01E2E"/>
    <w:pPr>
      <w:widowControl/>
      <w:numPr>
        <w:ilvl w:val="5"/>
        <w:numId w:val="2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01E2E"/>
    <w:pPr>
      <w:widowControl/>
      <w:numPr>
        <w:ilvl w:val="6"/>
        <w:numId w:val="2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01E2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01E2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01E2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01E2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01E2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01E2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01E2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01E2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01E2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01E2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01E2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01E2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01E2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01E2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01E2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01E2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01E2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01E2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01E2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E01E2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01E2E"/>
    <w:pPr>
      <w:widowControl/>
      <w:numPr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01E2E"/>
    <w:pPr>
      <w:widowControl/>
      <w:numPr>
        <w:ilvl w:val="2"/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01E2E"/>
    <w:pPr>
      <w:widowControl/>
      <w:numPr>
        <w:ilvl w:val="4"/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01E2E"/>
    <w:pPr>
      <w:widowControl/>
      <w:numPr>
        <w:ilvl w:val="6"/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01E2E"/>
    <w:pPr>
      <w:widowControl/>
      <w:numPr>
        <w:ilvl w:val="1"/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01E2E"/>
    <w:pPr>
      <w:widowControl/>
      <w:numPr>
        <w:ilvl w:val="3"/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01E2E"/>
    <w:pPr>
      <w:widowControl/>
      <w:numPr>
        <w:ilvl w:val="5"/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01E2E"/>
    <w:pPr>
      <w:widowControl/>
      <w:numPr>
        <w:ilvl w:val="7"/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01E2E"/>
    <w:pPr>
      <w:widowControl/>
      <w:numPr>
        <w:ilvl w:val="8"/>
        <w:numId w:val="2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01E2E"/>
    <w:pPr>
      <w:widowControl/>
      <w:numPr>
        <w:numId w:val="4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01E2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01E2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01E2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01E2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01E2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01E2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01E2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01E2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01E2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01E2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01E2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01E2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01E2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01E2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01E2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01E2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01E2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01E2E"/>
    <w:pPr>
      <w:widowControl/>
      <w:numPr>
        <w:numId w:val="2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01E2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01E2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01E2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01E2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01E2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01E2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01E2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01E2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01E2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01E2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01E2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01E2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01E2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01E2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01E2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E01E2E"/>
    <w:rPr>
      <w:b/>
      <w:u w:val="single"/>
      <w:shd w:val="clear" w:color="auto" w:fill="auto"/>
    </w:rPr>
  </w:style>
  <w:style w:type="character" w:customStyle="1" w:styleId="Deleted">
    <w:name w:val="Deleted"/>
    <w:rsid w:val="00E01E2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01E2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01E2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01E2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01E2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01E2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01E2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01E2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01E2E"/>
  </w:style>
  <w:style w:type="paragraph" w:customStyle="1" w:styleId="StatutPagedecouverture">
    <w:name w:val="Statut (Page de couverture)"/>
    <w:basedOn w:val="Statut"/>
    <w:next w:val="TypedudocumentPagedecouverture"/>
    <w:rsid w:val="00E01E2E"/>
  </w:style>
  <w:style w:type="paragraph" w:customStyle="1" w:styleId="TitreobjetPagedecouverture">
    <w:name w:val="Titre objet (Page de couverture)"/>
    <w:basedOn w:val="Titreobjet"/>
    <w:next w:val="IntrtEEEPagedecouverture"/>
    <w:rsid w:val="00E01E2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01E2E"/>
  </w:style>
  <w:style w:type="paragraph" w:customStyle="1" w:styleId="Volume">
    <w:name w:val="Volume"/>
    <w:basedOn w:val="Normal"/>
    <w:next w:val="Confidentialit"/>
    <w:rsid w:val="00E01E2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01E2E"/>
    <w:pPr>
      <w:spacing w:after="240"/>
    </w:pPr>
  </w:style>
  <w:style w:type="paragraph" w:customStyle="1" w:styleId="Accompagnant">
    <w:name w:val="Accompagnant"/>
    <w:basedOn w:val="Normal"/>
    <w:next w:val="Typeacteprincipal"/>
    <w:rsid w:val="00E01E2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01E2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01E2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01E2E"/>
  </w:style>
  <w:style w:type="paragraph" w:customStyle="1" w:styleId="AccompagnantPagedecouverture">
    <w:name w:val="Accompagnant (Page de couverture)"/>
    <w:basedOn w:val="Accompagnant"/>
    <w:next w:val="TypeacteprincipalPagedecouverture"/>
    <w:rsid w:val="00E01E2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01E2E"/>
  </w:style>
  <w:style w:type="paragraph" w:customStyle="1" w:styleId="ObjetacteprincipalPagedecouverture">
    <w:name w:val="Objet acte principal (Page de couverture)"/>
    <w:basedOn w:val="Objetacteprincipal"/>
    <w:next w:val="Rfrencecroise"/>
    <w:rsid w:val="00E01E2E"/>
  </w:style>
  <w:style w:type="paragraph" w:customStyle="1" w:styleId="LanguesfaisantfoiPagedecouverture">
    <w:name w:val="Langues faisant foi (Page de couverture)"/>
    <w:basedOn w:val="Normal"/>
    <w:next w:val="Normal"/>
    <w:rsid w:val="00E01E2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01E2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01E2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E01E2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link w:val="nbbordered"/>
    <w:rsid w:val="00E01E2E"/>
    <w:rPr>
      <w:rFonts w:eastAsia="Calibri"/>
      <w:b/>
      <w:sz w:val="24"/>
      <w:szCs w:val="22"/>
      <w:lang w:val="hr-HR" w:eastAsia="en-US"/>
    </w:rPr>
  </w:style>
  <w:style w:type="character" w:customStyle="1" w:styleId="HeaderCouncilChar">
    <w:name w:val="Header Council Char"/>
    <w:rsid w:val="00E01E2E"/>
    <w:rPr>
      <w:rFonts w:ascii="Times New Roman" w:hAnsi="Times New Roman" w:cs="Times New Roman"/>
      <w:sz w:val="2"/>
      <w:lang w:val="hr-HR"/>
    </w:rPr>
  </w:style>
  <w:style w:type="character" w:customStyle="1" w:styleId="FooterCouncilChar">
    <w:name w:val="Footer Council Char"/>
    <w:rsid w:val="00E01E2E"/>
    <w:rPr>
      <w:rFonts w:ascii="Times New Roman" w:hAnsi="Times New Roman" w:cs="Times New Roman"/>
      <w:sz w:val="2"/>
      <w:lang w:val="hr-HR"/>
    </w:rPr>
  </w:style>
  <w:style w:type="paragraph" w:customStyle="1" w:styleId="title-bold">
    <w:name w:val="title-bold"/>
    <w:basedOn w:val="Normal"/>
    <w:uiPriority w:val="99"/>
    <w:semiHidden/>
    <w:rsid w:val="00E01E2E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eastAsia="ko-KR"/>
    </w:rPr>
  </w:style>
  <w:style w:type="character" w:customStyle="1" w:styleId="tw4winMark">
    <w:name w:val="tw4winMark"/>
    <w:rsid w:val="00E01E2E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E01E2E"/>
    <w:rPr>
      <w:rFonts w:ascii="Times New Roman" w:hAnsi="Times New Roman" w:cs="Times New Roman"/>
      <w:b/>
      <w:sz w:val="28"/>
      <w:lang w:val="hr-HR"/>
    </w:rPr>
  </w:style>
  <w:style w:type="character" w:customStyle="1" w:styleId="sub">
    <w:name w:val="sub"/>
    <w:basedOn w:val="DefaultParagraphFont"/>
    <w:rsid w:val="00E01E2E"/>
  </w:style>
  <w:style w:type="character" w:customStyle="1" w:styleId="CRMarker">
    <w:name w:val="CR Marker"/>
    <w:uiPriority w:val="99"/>
    <w:rsid w:val="00E01E2E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E01E2E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</w:rPr>
  </w:style>
  <w:style w:type="paragraph" w:customStyle="1" w:styleId="CRReference">
    <w:name w:val="CR Reference"/>
    <w:basedOn w:val="Normal"/>
    <w:uiPriority w:val="99"/>
    <w:rsid w:val="00E01E2E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</w:rPr>
  </w:style>
  <w:style w:type="character" w:customStyle="1" w:styleId="super">
    <w:name w:val="super"/>
    <w:basedOn w:val="DefaultParagraphFont"/>
    <w:rsid w:val="00E01E2E"/>
  </w:style>
  <w:style w:type="paragraph" w:customStyle="1" w:styleId="doc-ti">
    <w:name w:val="doc-ti"/>
    <w:basedOn w:val="Normal"/>
    <w:rsid w:val="00E01E2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E01E2E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E01E2E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E01E2E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E01E2E"/>
    <w:pPr>
      <w:widowControl/>
      <w:numPr>
        <w:numId w:val="49"/>
      </w:numPr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E01E2E"/>
    <w:pPr>
      <w:widowControl/>
      <w:numPr>
        <w:ilvl w:val="1"/>
        <w:numId w:val="49"/>
      </w:numPr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E01E2E"/>
    <w:pPr>
      <w:widowControl/>
      <w:numPr>
        <w:ilvl w:val="2"/>
        <w:numId w:val="49"/>
      </w:numPr>
      <w:spacing w:before="120" w:after="120" w:line="360" w:lineRule="auto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E01E2E"/>
    <w:rPr>
      <w:color w:val="00FF00"/>
      <w:sz w:val="40"/>
      <w:lang w:val="hr-HR" w:eastAsia="en-GB"/>
    </w:rPr>
  </w:style>
  <w:style w:type="character" w:customStyle="1" w:styleId="tw4winTerm">
    <w:name w:val="tw4winTerm"/>
    <w:rsid w:val="00E01E2E"/>
    <w:rPr>
      <w:color w:val="0000FF"/>
      <w:lang w:val="hr-HR" w:eastAsia="en-GB"/>
    </w:rPr>
  </w:style>
  <w:style w:type="character" w:customStyle="1" w:styleId="tw4winPopup">
    <w:name w:val="tw4winPopup"/>
    <w:rsid w:val="00E01E2E"/>
    <w:rPr>
      <w:noProof/>
      <w:color w:val="008000"/>
      <w:lang w:val="hr-HR" w:eastAsia="en-GB"/>
    </w:rPr>
  </w:style>
  <w:style w:type="character" w:customStyle="1" w:styleId="tw4winJump">
    <w:name w:val="tw4winJump"/>
    <w:rsid w:val="00E01E2E"/>
    <w:rPr>
      <w:noProof/>
      <w:color w:val="008080"/>
      <w:lang w:val="hr-HR" w:eastAsia="en-GB"/>
    </w:rPr>
  </w:style>
  <w:style w:type="character" w:customStyle="1" w:styleId="tw4winExternal">
    <w:name w:val="tw4winExternal"/>
    <w:rsid w:val="00E01E2E"/>
    <w:rPr>
      <w:noProof/>
      <w:color w:val="808080"/>
      <w:lang w:val="hr-HR" w:eastAsia="en-GB"/>
    </w:rPr>
  </w:style>
  <w:style w:type="character" w:customStyle="1" w:styleId="tw4winInternal">
    <w:name w:val="tw4winInternal"/>
    <w:rsid w:val="00E01E2E"/>
    <w:rPr>
      <w:noProof/>
      <w:color w:val="FF0000"/>
      <w:lang w:val="hr-HR" w:eastAsia="en-GB"/>
    </w:rPr>
  </w:style>
  <w:style w:type="character" w:customStyle="1" w:styleId="DONOTTRANSLATE">
    <w:name w:val="DO_NOT_TRANSLATE"/>
    <w:rsid w:val="00E01E2E"/>
    <w:rPr>
      <w:noProof/>
      <w:color w:val="800000"/>
      <w:lang w:val="hr-HR" w:eastAsia="en-GB"/>
    </w:rPr>
  </w:style>
  <w:style w:type="paragraph" w:customStyle="1" w:styleId="Ttitrearticle">
    <w:name w:val="Ttitre article"/>
    <w:basedOn w:val="Text1"/>
    <w:rsid w:val="00E01E2E"/>
    <w:pPr>
      <w:spacing w:line="240" w:lineRule="auto"/>
      <w:ind w:left="850"/>
      <w:jc w:val="center"/>
    </w:pPr>
    <w:rPr>
      <w:i/>
      <w:color w:val="000000"/>
    </w:rPr>
  </w:style>
  <w:style w:type="paragraph" w:customStyle="1" w:styleId="PointTriple0">
    <w:name w:val="PointTriple 0"/>
    <w:basedOn w:val="Normal"/>
    <w:rsid w:val="00E01E2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01E2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01E2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01E2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01E2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E01E2E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link w:val="pj"/>
    <w:rsid w:val="00E01E2E"/>
    <w:rPr>
      <w:rFonts w:eastAsia="Calibri"/>
      <w:sz w:val="24"/>
      <w:szCs w:val="22"/>
      <w:lang w:val="hr-HR" w:eastAsia="en-US"/>
    </w:rPr>
  </w:style>
  <w:style w:type="table" w:customStyle="1" w:styleId="CV111">
    <w:name w:val="CV111"/>
    <w:basedOn w:val="TableNormal"/>
    <w:uiPriority w:val="39"/>
    <w:rsid w:val="00E01E2E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uiPriority w:val="99"/>
    <w:semiHidden/>
    <w:unhideWhenUsed/>
    <w:rsid w:val="00E01E2E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01E2E"/>
  </w:style>
  <w:style w:type="character" w:customStyle="1" w:styleId="rynqvb">
    <w:name w:val="rynqvb"/>
    <w:basedOn w:val="DefaultParagraphFont"/>
    <w:rsid w:val="00E01E2E"/>
  </w:style>
  <w:style w:type="character" w:customStyle="1" w:styleId="subscript">
    <w:name w:val="subscript"/>
    <w:basedOn w:val="DefaultParagraphFont"/>
    <w:rsid w:val="00E01E2E"/>
  </w:style>
  <w:style w:type="character" w:customStyle="1" w:styleId="fontstyle01">
    <w:name w:val="fontstyle01"/>
    <w:rsid w:val="00E01E2E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01E2E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Text7">
    <w:name w:val="Text 7"/>
    <w:basedOn w:val="Normal"/>
    <w:rsid w:val="00E01E2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01E2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01E2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0">
    <w:name w:val="Text 10"/>
    <w:basedOn w:val="Normal"/>
    <w:rsid w:val="00E01E2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01E2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01E2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01E2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01E2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01E2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01E2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01E2E"/>
    <w:pPr>
      <w:widowControl/>
      <w:numPr>
        <w:numId w:val="5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01E2E"/>
    <w:pPr>
      <w:widowControl/>
      <w:numPr>
        <w:numId w:val="5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01E2E"/>
    <w:pPr>
      <w:widowControl/>
      <w:numPr>
        <w:numId w:val="5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01E2E"/>
    <w:pPr>
      <w:widowControl/>
      <w:numPr>
        <w:numId w:val="5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01E2E"/>
    <w:pPr>
      <w:widowControl/>
      <w:numPr>
        <w:numId w:val="5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01E2E"/>
    <w:pPr>
      <w:widowControl/>
      <w:numPr>
        <w:numId w:val="5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01E2E"/>
    <w:pPr>
      <w:widowControl/>
      <w:numPr>
        <w:numId w:val="5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01E2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E01E2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01E2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01E2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01E2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01E2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01E2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01E2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01E2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01E2E"/>
    <w:pPr>
      <w:spacing w:before="240"/>
    </w:pPr>
  </w:style>
  <w:style w:type="paragraph" w:customStyle="1" w:styleId="Accordtitre">
    <w:name w:val="Accord titre"/>
    <w:basedOn w:val="Normal"/>
    <w:rsid w:val="00E01E2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01E2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01E2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01E2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01E2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01E2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01E2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01E2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01E2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01E2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01E2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01E2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01E2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01E2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01E2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01E2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01E2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01E2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01E2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01E2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01E2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01E2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01E2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01E2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01E2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01E2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01E2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01E2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E01E2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01E2E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E01E2E"/>
    <w:rPr>
      <w:b/>
      <w:i/>
    </w:rPr>
  </w:style>
  <w:style w:type="character" w:customStyle="1" w:styleId="diff-tte-removed">
    <w:name w:val="diff-tte-removed"/>
    <w:rsid w:val="00E01E2E"/>
    <w:rPr>
      <w:strike/>
    </w:rPr>
  </w:style>
  <w:style w:type="paragraph" w:styleId="BodyText">
    <w:name w:val="Body Text"/>
    <w:basedOn w:val="Normal"/>
    <w:link w:val="BodyTextChar"/>
    <w:uiPriority w:val="99"/>
    <w:unhideWhenUsed/>
    <w:rsid w:val="00E01E2E"/>
    <w:pPr>
      <w:widowControl/>
      <w:spacing w:after="12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01E2E"/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footnotedescription">
    <w:name w:val="footnote description"/>
    <w:next w:val="Normal"/>
    <w:link w:val="footnotedescriptionChar"/>
    <w:hidden/>
    <w:rsid w:val="00E01E2E"/>
    <w:pPr>
      <w:spacing w:line="256" w:lineRule="auto"/>
      <w:ind w:left="720" w:hanging="720"/>
    </w:pPr>
    <w:rPr>
      <w:color w:val="000000"/>
      <w:sz w:val="24"/>
      <w:szCs w:val="22"/>
      <w:lang w:val="hr-HR"/>
    </w:rPr>
  </w:style>
  <w:style w:type="character" w:customStyle="1" w:styleId="footnotedescriptionChar">
    <w:name w:val="footnote description Char"/>
    <w:link w:val="footnotedescription"/>
    <w:rsid w:val="00E01E2E"/>
    <w:rPr>
      <w:color w:val="000000"/>
      <w:sz w:val="24"/>
      <w:szCs w:val="22"/>
      <w:lang w:val="hr-HR"/>
    </w:rPr>
  </w:style>
  <w:style w:type="character" w:customStyle="1" w:styleId="footnotemark">
    <w:name w:val="footnote mark"/>
    <w:hidden/>
    <w:rsid w:val="00E01E2E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E01E2E"/>
    <w:rPr>
      <w:rFonts w:ascii="Calibri" w:hAnsi="Calibri" w:cs="Arial"/>
      <w:sz w:val="22"/>
      <w:szCs w:val="22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ltaViewDeletion">
    <w:name w:val="DeltaView Deletion"/>
    <w:uiPriority w:val="99"/>
    <w:rsid w:val="00E01E2E"/>
    <w:rPr>
      <w:strike/>
      <w:color w:val="000000"/>
    </w:rPr>
  </w:style>
  <w:style w:type="character" w:customStyle="1" w:styleId="UnresolvedMention3">
    <w:name w:val="Unresolved Mention3"/>
    <w:uiPriority w:val="99"/>
    <w:semiHidden/>
    <w:unhideWhenUsed/>
    <w:rsid w:val="00E01E2E"/>
    <w:rPr>
      <w:color w:val="605E5C"/>
      <w:shd w:val="clear" w:color="auto" w:fill="E1DFDD"/>
    </w:rPr>
  </w:style>
  <w:style w:type="character" w:customStyle="1" w:styleId="UnresolvedMention4">
    <w:name w:val="Unresolved Mention4"/>
    <w:uiPriority w:val="99"/>
    <w:semiHidden/>
    <w:unhideWhenUsed/>
    <w:rsid w:val="00E01E2E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1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8D0A5-9C82-4BFD-8F1E-6442330E8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2024-06-27T08:10:00Z</dcterms:created>
  <dcterms:modified xsi:type="dcterms:W3CDTF">2024-06-27T08:10:00Z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