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7DE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77DE7" w:rsidRDefault="00636711" w:rsidP="0010095E">
            <w:pPr>
              <w:pStyle w:val="EPName"/>
            </w:pPr>
            <w:r w:rsidRPr="00E77DE7">
              <w:t>Európai Parlament</w:t>
            </w:r>
          </w:p>
          <w:p w:rsidR="00751A4A" w:rsidRPr="00E77DE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2E5F">
              <w:t>2019</w:t>
            </w:r>
            <w:r w:rsidRPr="00E77DE7">
              <w:t>-</w:t>
            </w:r>
            <w:r w:rsidRPr="00B02E5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77DE7" w:rsidRDefault="00187494" w:rsidP="0010095E">
            <w:pPr>
              <w:pStyle w:val="EPLogo"/>
            </w:pPr>
            <w:r w:rsidRPr="00E77DE7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77DE7" w:rsidRDefault="00D058B8" w:rsidP="004C5D52">
      <w:pPr>
        <w:pStyle w:val="LineTop"/>
      </w:pPr>
    </w:p>
    <w:p w:rsidR="00680577" w:rsidRPr="00E77DE7" w:rsidRDefault="00636711" w:rsidP="00680577">
      <w:pPr>
        <w:pStyle w:val="EPBodyTA1"/>
      </w:pPr>
      <w:r w:rsidRPr="00E77DE7">
        <w:t>ELFOGADOTT SZÖVEGEK</w:t>
      </w:r>
    </w:p>
    <w:p w:rsidR="00D058B8" w:rsidRPr="00E77DE7" w:rsidRDefault="00D058B8" w:rsidP="00D058B8">
      <w:pPr>
        <w:pStyle w:val="LineBottom"/>
      </w:pPr>
    </w:p>
    <w:p w:rsidR="00636711" w:rsidRPr="00E77DE7" w:rsidRDefault="00636711" w:rsidP="00636711">
      <w:pPr>
        <w:pStyle w:val="ATHeading1"/>
      </w:pPr>
      <w:bookmarkStart w:id="0" w:name="TANumber"/>
      <w:r w:rsidRPr="00E77DE7">
        <w:t>P</w:t>
      </w:r>
      <w:r w:rsidRPr="00B02E5F">
        <w:t>9</w:t>
      </w:r>
      <w:r w:rsidRPr="00E77DE7">
        <w:t>_TA(</w:t>
      </w:r>
      <w:r w:rsidRPr="00B02E5F">
        <w:t>202</w:t>
      </w:r>
      <w:r w:rsidR="005E1D9A" w:rsidRPr="00B02E5F">
        <w:t>4</w:t>
      </w:r>
      <w:r w:rsidRPr="00E77DE7">
        <w:t>)</w:t>
      </w:r>
      <w:bookmarkEnd w:id="0"/>
      <w:r w:rsidR="00E77DE7" w:rsidRPr="00B02E5F">
        <w:t>0153</w:t>
      </w:r>
    </w:p>
    <w:p w:rsidR="00636711" w:rsidRPr="00E77DE7" w:rsidRDefault="00CD27F0" w:rsidP="00636711">
      <w:pPr>
        <w:pStyle w:val="ATHeading2"/>
      </w:pPr>
      <w:bookmarkStart w:id="1" w:name="title"/>
      <w:r w:rsidRPr="00E77DE7">
        <w:rPr>
          <w:bCs/>
        </w:rPr>
        <w:t xml:space="preserve">A gépjárművek és motorok a kibocsátásuk és az akkumulátor tartóssága tekintetében történő típusjóváhagyása (Euro </w:t>
      </w:r>
      <w:r w:rsidRPr="00B02E5F">
        <w:rPr>
          <w:bCs/>
        </w:rPr>
        <w:t>7</w:t>
      </w:r>
      <w:r w:rsidRPr="00E77DE7">
        <w:rPr>
          <w:bCs/>
        </w:rPr>
        <w:t>)</w:t>
      </w:r>
      <w:bookmarkEnd w:id="1"/>
    </w:p>
    <w:p w:rsidR="00636711" w:rsidRPr="00E77DE7" w:rsidRDefault="00636711" w:rsidP="00636711">
      <w:pPr>
        <w:rPr>
          <w:i/>
          <w:vanish/>
        </w:rPr>
      </w:pPr>
      <w:r w:rsidRPr="00E77DE7">
        <w:rPr>
          <w:i/>
        </w:rPr>
        <w:fldChar w:fldCharType="begin"/>
      </w:r>
      <w:r w:rsidRPr="00E77DE7">
        <w:rPr>
          <w:i/>
        </w:rPr>
        <w:instrText xml:space="preserve"> TC"(</w:instrText>
      </w:r>
      <w:bookmarkStart w:id="2" w:name="DocNumber"/>
      <w:r w:rsidRPr="00E77DE7">
        <w:rPr>
          <w:i/>
        </w:rPr>
        <w:instrText>A</w:instrText>
      </w:r>
      <w:r w:rsidRPr="00B02E5F">
        <w:rPr>
          <w:i/>
        </w:rPr>
        <w:instrText>9</w:instrText>
      </w:r>
      <w:r w:rsidRPr="00E77DE7">
        <w:rPr>
          <w:i/>
        </w:rPr>
        <w:instrText>-</w:instrText>
      </w:r>
      <w:r w:rsidRPr="00B02E5F">
        <w:rPr>
          <w:i/>
        </w:rPr>
        <w:instrText>0298</w:instrText>
      </w:r>
      <w:r w:rsidRPr="00E77DE7">
        <w:rPr>
          <w:i/>
        </w:rPr>
        <w:instrText>/</w:instrText>
      </w:r>
      <w:r w:rsidRPr="00B02E5F">
        <w:rPr>
          <w:i/>
        </w:rPr>
        <w:instrText>2023</w:instrText>
      </w:r>
      <w:bookmarkEnd w:id="2"/>
      <w:r w:rsidRPr="00E77DE7">
        <w:rPr>
          <w:i/>
        </w:rPr>
        <w:instrText xml:space="preserve"> - Előadó: Alexandr Vondra)"\l</w:instrText>
      </w:r>
      <w:r w:rsidRPr="00B02E5F">
        <w:rPr>
          <w:i/>
        </w:rPr>
        <w:instrText>3</w:instrText>
      </w:r>
      <w:r w:rsidRPr="00E77DE7">
        <w:rPr>
          <w:i/>
        </w:rPr>
        <w:instrText xml:space="preserve"> \n&gt; \* MERGEFORMAT </w:instrText>
      </w:r>
      <w:r w:rsidRPr="00E77DE7">
        <w:rPr>
          <w:i/>
        </w:rPr>
        <w:fldChar w:fldCharType="end"/>
      </w:r>
    </w:p>
    <w:p w:rsidR="00636711" w:rsidRPr="00E77DE7" w:rsidRDefault="00636711" w:rsidP="00636711">
      <w:pPr>
        <w:rPr>
          <w:vanish/>
        </w:rPr>
      </w:pPr>
      <w:bookmarkStart w:id="3" w:name="Commission"/>
      <w:r w:rsidRPr="00E77DE7">
        <w:rPr>
          <w:vanish/>
        </w:rPr>
        <w:t>Környezetvédelmi, Közegészségügyi és Élelmiszer-biztonsági Bizottság</w:t>
      </w:r>
      <w:bookmarkEnd w:id="3"/>
    </w:p>
    <w:p w:rsidR="00636711" w:rsidRPr="00E77DE7" w:rsidRDefault="00636711" w:rsidP="00636711">
      <w:pPr>
        <w:rPr>
          <w:vanish/>
        </w:rPr>
      </w:pPr>
      <w:bookmarkStart w:id="4" w:name="PE"/>
      <w:r w:rsidRPr="00E77DE7">
        <w:rPr>
          <w:vanish/>
        </w:rPr>
        <w:t>PE</w:t>
      </w:r>
      <w:r w:rsidRPr="00B02E5F">
        <w:rPr>
          <w:vanish/>
        </w:rPr>
        <w:t>746</w:t>
      </w:r>
      <w:r w:rsidRPr="00E77DE7">
        <w:rPr>
          <w:vanish/>
        </w:rPr>
        <w:t>.</w:t>
      </w:r>
      <w:r w:rsidRPr="00B02E5F">
        <w:rPr>
          <w:vanish/>
        </w:rPr>
        <w:t>876</w:t>
      </w:r>
      <w:bookmarkEnd w:id="4"/>
    </w:p>
    <w:p w:rsidR="00636711" w:rsidRPr="00E77DE7" w:rsidRDefault="00636711" w:rsidP="00636711">
      <w:pPr>
        <w:pStyle w:val="ATHeading3"/>
      </w:pPr>
      <w:bookmarkStart w:id="5" w:name="Sujet"/>
      <w:r w:rsidRPr="00E77DE7">
        <w:t xml:space="preserve">Az Európai Parlament </w:t>
      </w:r>
      <w:r w:rsidRPr="00B02E5F">
        <w:t>202</w:t>
      </w:r>
      <w:r w:rsidR="005E1D9A" w:rsidRPr="00B02E5F">
        <w:t>4</w:t>
      </w:r>
      <w:r w:rsidRPr="00E77DE7">
        <w:t xml:space="preserve">. </w:t>
      </w:r>
      <w:r w:rsidR="00683CE2" w:rsidRPr="00E77DE7">
        <w:t>március</w:t>
      </w:r>
      <w:r w:rsidR="006D38F3" w:rsidRPr="00E77DE7">
        <w:t xml:space="preserve"> </w:t>
      </w:r>
      <w:r w:rsidR="00683CE2" w:rsidRPr="00B02E5F">
        <w:t>13</w:t>
      </w:r>
      <w:r w:rsidRPr="00E77DE7">
        <w:t xml:space="preserve">-i jogalkotási állásfoglalása a gépjárművek és motorok, valamint az ilyen járművek rendszereinek, alkotóelemeinek és önálló műszaki egységeinek a kibocsátásuk és az akkumulátor tartóssága tekintetében történő típusjóváhagyásáról (Euro </w:t>
      </w:r>
      <w:r w:rsidRPr="00B02E5F">
        <w:t>7</w:t>
      </w:r>
      <w:r w:rsidRPr="00E77DE7">
        <w:t xml:space="preserve">), továbbá a </w:t>
      </w:r>
      <w:r w:rsidRPr="00B02E5F">
        <w:t>715</w:t>
      </w:r>
      <w:r w:rsidRPr="00E77DE7">
        <w:t>/</w:t>
      </w:r>
      <w:r w:rsidRPr="00B02E5F">
        <w:t>2007</w:t>
      </w:r>
      <w:r w:rsidRPr="00E77DE7">
        <w:t xml:space="preserve">/EK rendelet és az </w:t>
      </w:r>
      <w:r w:rsidRPr="00B02E5F">
        <w:t>595</w:t>
      </w:r>
      <w:r w:rsidRPr="00E77DE7">
        <w:t>/</w:t>
      </w:r>
      <w:r w:rsidRPr="00B02E5F">
        <w:t>2009</w:t>
      </w:r>
      <w:r w:rsidRPr="00E77DE7">
        <w:t>/EK rendelet hatályon kívül helyezéséről szóló európai parlamenti és tanácsi rendeletre irányuló javaslatról</w:t>
      </w:r>
      <w:bookmarkEnd w:id="5"/>
      <w:r w:rsidRPr="00E77DE7">
        <w:t xml:space="preserve"> </w:t>
      </w:r>
      <w:bookmarkStart w:id="6" w:name="References"/>
      <w:r w:rsidRPr="00E77DE7">
        <w:t>(COM(</w:t>
      </w:r>
      <w:r w:rsidRPr="00B02E5F">
        <w:t>2022</w:t>
      </w:r>
      <w:r w:rsidRPr="00E77DE7">
        <w:t>)</w:t>
      </w:r>
      <w:r w:rsidRPr="00B02E5F">
        <w:t>0586</w:t>
      </w:r>
      <w:r w:rsidRPr="00E77DE7">
        <w:t xml:space="preserve"> – C</w:t>
      </w:r>
      <w:r w:rsidRPr="00B02E5F">
        <w:t>9</w:t>
      </w:r>
      <w:r w:rsidRPr="00E77DE7">
        <w:t>-</w:t>
      </w:r>
      <w:r w:rsidRPr="00B02E5F">
        <w:t>0375</w:t>
      </w:r>
      <w:r w:rsidRPr="00E77DE7">
        <w:t>/</w:t>
      </w:r>
      <w:r w:rsidRPr="00B02E5F">
        <w:t>2022</w:t>
      </w:r>
      <w:r w:rsidRPr="00E77DE7">
        <w:t xml:space="preserve"> – </w:t>
      </w:r>
      <w:r w:rsidRPr="00B02E5F">
        <w:t>2022</w:t>
      </w:r>
      <w:r w:rsidRPr="00E77DE7">
        <w:t>/</w:t>
      </w:r>
      <w:r w:rsidRPr="00B02E5F">
        <w:t>0365</w:t>
      </w:r>
      <w:r w:rsidRPr="00E77DE7">
        <w:t>(COD))</w:t>
      </w:r>
      <w:bookmarkEnd w:id="6"/>
    </w:p>
    <w:p w:rsidR="00636711" w:rsidRPr="00E77DE7" w:rsidRDefault="00636711" w:rsidP="00636711"/>
    <w:p w:rsidR="00FF715E" w:rsidRPr="00E77DE7" w:rsidRDefault="00FF715E" w:rsidP="00FF715E">
      <w:pPr>
        <w:pStyle w:val="NormalBold"/>
      </w:pPr>
      <w:bookmarkStart w:id="7" w:name="TextBodyBegin"/>
      <w:bookmarkEnd w:id="7"/>
      <w:r w:rsidRPr="00E77DE7">
        <w:t>(Rendes jogalkotási eljárás: első olvasat)</w:t>
      </w:r>
    </w:p>
    <w:p w:rsidR="00CD27F0" w:rsidRPr="00E77DE7" w:rsidRDefault="00CD27F0" w:rsidP="00CD27F0">
      <w:pPr>
        <w:pStyle w:val="EPComma"/>
        <w:widowControl/>
        <w:spacing w:before="0"/>
        <w:ind w:left="567" w:hanging="567"/>
        <w:rPr>
          <w:i/>
        </w:rPr>
      </w:pPr>
    </w:p>
    <w:p w:rsidR="00FF715E" w:rsidRPr="00E77DE7" w:rsidRDefault="00FF715E" w:rsidP="00CD27F0">
      <w:pPr>
        <w:pStyle w:val="EPComma"/>
        <w:widowControl/>
        <w:spacing w:before="0"/>
        <w:ind w:left="567" w:hanging="567"/>
      </w:pPr>
      <w:r w:rsidRPr="00E77DE7">
        <w:rPr>
          <w:i/>
        </w:rPr>
        <w:t>Az Európai Parlament,</w:t>
      </w:r>
    </w:p>
    <w:p w:rsidR="00FF715E" w:rsidRPr="00E77DE7" w:rsidRDefault="00FF715E" w:rsidP="00CD27F0">
      <w:pPr>
        <w:pStyle w:val="NormalHanging12a"/>
        <w:widowControl/>
      </w:pPr>
      <w:r w:rsidRPr="00E77DE7">
        <w:t>–</w:t>
      </w:r>
      <w:r w:rsidRPr="00E77DE7">
        <w:tab/>
        <w:t>tekintettel a Bizottság Parlamenthez és Tanácshoz intézett javaslatára (COM(</w:t>
      </w:r>
      <w:r w:rsidRPr="00B02E5F">
        <w:t>2022</w:t>
      </w:r>
      <w:r w:rsidRPr="00E77DE7">
        <w:t>)</w:t>
      </w:r>
      <w:r w:rsidRPr="00B02E5F">
        <w:t>0586</w:t>
      </w:r>
      <w:r w:rsidRPr="00E77DE7">
        <w:t>),</w:t>
      </w:r>
    </w:p>
    <w:p w:rsidR="00FF715E" w:rsidRPr="00E77DE7" w:rsidRDefault="00FF715E" w:rsidP="00CD27F0">
      <w:pPr>
        <w:pStyle w:val="NormalHanging12a"/>
        <w:widowControl/>
      </w:pPr>
      <w:r w:rsidRPr="00E77DE7">
        <w:t>–</w:t>
      </w:r>
      <w:r w:rsidRPr="00E77DE7">
        <w:tab/>
        <w:t xml:space="preserve">tekintettel az Európai Unió működéséről szóló szerződés </w:t>
      </w:r>
      <w:r w:rsidRPr="00B02E5F">
        <w:t>294</w:t>
      </w:r>
      <w:r w:rsidRPr="00E77DE7">
        <w:t>. cikkének (</w:t>
      </w:r>
      <w:r w:rsidRPr="00B02E5F">
        <w:t>2</w:t>
      </w:r>
      <w:r w:rsidRPr="00E77DE7">
        <w:t xml:space="preserve">) bekezdésére és </w:t>
      </w:r>
      <w:r w:rsidRPr="00B02E5F">
        <w:t>114</w:t>
      </w:r>
      <w:r w:rsidRPr="00E77DE7">
        <w:t>. cikkére, amelyek alapján a Bizottság javaslatát benyújtotta a Parlamenthez (C</w:t>
      </w:r>
      <w:r w:rsidRPr="00B02E5F">
        <w:t>9</w:t>
      </w:r>
      <w:r w:rsidRPr="00E77DE7">
        <w:noBreakHyphen/>
      </w:r>
      <w:r w:rsidRPr="00B02E5F">
        <w:t>0375</w:t>
      </w:r>
      <w:r w:rsidRPr="00E77DE7">
        <w:t>/</w:t>
      </w:r>
      <w:r w:rsidRPr="00B02E5F">
        <w:t>2022</w:t>
      </w:r>
      <w:r w:rsidRPr="00E77DE7">
        <w:t>),</w:t>
      </w:r>
    </w:p>
    <w:p w:rsidR="00FF715E" w:rsidRPr="00E77DE7" w:rsidRDefault="00FF715E" w:rsidP="00CD27F0">
      <w:pPr>
        <w:pStyle w:val="NormalHanging12a"/>
        <w:widowControl/>
      </w:pPr>
      <w:r w:rsidRPr="00E77DE7">
        <w:t>–</w:t>
      </w:r>
      <w:r w:rsidRPr="00E77DE7">
        <w:tab/>
        <w:t xml:space="preserve">tekintettel az Európai Unió működéséről szóló szerződés </w:t>
      </w:r>
      <w:r w:rsidRPr="00B02E5F">
        <w:t>294</w:t>
      </w:r>
      <w:r w:rsidRPr="00E77DE7">
        <w:t>. cikkének (</w:t>
      </w:r>
      <w:r w:rsidRPr="00B02E5F">
        <w:t>3</w:t>
      </w:r>
      <w:r w:rsidRPr="00E77DE7">
        <w:t>) bekezdésére,</w:t>
      </w:r>
    </w:p>
    <w:p w:rsidR="00FF715E" w:rsidRPr="00E77DE7" w:rsidRDefault="00FF715E" w:rsidP="00CD27F0">
      <w:pPr>
        <w:pStyle w:val="NormalHanging12a"/>
        <w:widowControl/>
      </w:pPr>
      <w:r w:rsidRPr="00E77DE7">
        <w:t>–</w:t>
      </w:r>
      <w:r w:rsidRPr="00E77DE7">
        <w:tab/>
        <w:t xml:space="preserve">tekintettel az Európai Gazdasági és Szociális Bizottság </w:t>
      </w:r>
      <w:r w:rsidRPr="00B02E5F">
        <w:t>2023</w:t>
      </w:r>
      <w:r w:rsidRPr="00E77DE7">
        <w:t xml:space="preserve">. április </w:t>
      </w:r>
      <w:r w:rsidRPr="00B02E5F">
        <w:t>27</w:t>
      </w:r>
      <w:r w:rsidRPr="00E77DE7">
        <w:t>-i véleményére</w:t>
      </w:r>
      <w:r w:rsidRPr="00E77DE7">
        <w:rPr>
          <w:rStyle w:val="FootnoteReference"/>
        </w:rPr>
        <w:footnoteReference w:id="1"/>
      </w:r>
      <w:r w:rsidRPr="00E77DE7">
        <w:t xml:space="preserve">, </w:t>
      </w:r>
    </w:p>
    <w:p w:rsidR="00634A90" w:rsidRPr="00E77DE7" w:rsidRDefault="00634A90" w:rsidP="00CD27F0">
      <w:pPr>
        <w:pStyle w:val="NormalHanging12a"/>
        <w:widowControl/>
      </w:pPr>
      <w:r w:rsidRPr="00E77DE7">
        <w:t>–</w:t>
      </w:r>
      <w:r w:rsidRPr="00E77DE7">
        <w:tab/>
        <w:t xml:space="preserve">tekintettel az illetékes bizottság által az eljárási szabályzat </w:t>
      </w:r>
      <w:r w:rsidRPr="00B02E5F">
        <w:t>74</w:t>
      </w:r>
      <w:r w:rsidRPr="00E77DE7">
        <w:t>. cikkének (</w:t>
      </w:r>
      <w:r w:rsidRPr="00B02E5F">
        <w:t>4</w:t>
      </w:r>
      <w:r w:rsidRPr="00E77DE7">
        <w:t xml:space="preserve">) bekezdése alapján jóváhagyott ideiglenes megállapodásra és a Tanács képviselőjének </w:t>
      </w:r>
      <w:r w:rsidRPr="00B02E5F">
        <w:t>2024</w:t>
      </w:r>
      <w:r w:rsidRPr="00E77DE7">
        <w:t xml:space="preserve">. január </w:t>
      </w:r>
      <w:r w:rsidRPr="00B02E5F">
        <w:t>8</w:t>
      </w:r>
      <w:r w:rsidRPr="00E77DE7">
        <w:t xml:space="preserve">-i írásbeli kötelezettségvállalására, amely szerint egyetért a Parlament álláspontjával, az Európai Unió működéséről szóló szerződés </w:t>
      </w:r>
      <w:r w:rsidRPr="00B02E5F">
        <w:t>294</w:t>
      </w:r>
      <w:r w:rsidRPr="00E77DE7">
        <w:t>. cikkének (</w:t>
      </w:r>
      <w:r w:rsidRPr="00B02E5F">
        <w:t>4</w:t>
      </w:r>
      <w:r w:rsidRPr="00E77DE7">
        <w:t>) bekezdésével összhangban,</w:t>
      </w:r>
    </w:p>
    <w:p w:rsidR="00634A90" w:rsidRPr="00E77DE7" w:rsidRDefault="00634A90" w:rsidP="00634A90">
      <w:pPr>
        <w:pStyle w:val="NormalHanging12a"/>
        <w:widowControl/>
      </w:pPr>
      <w:r w:rsidRPr="00E77DE7">
        <w:t>–</w:t>
      </w:r>
      <w:r w:rsidRPr="00E77DE7">
        <w:tab/>
        <w:t xml:space="preserve">tekintettel eljárási szabályzata </w:t>
      </w:r>
      <w:r w:rsidRPr="00B02E5F">
        <w:t>59</w:t>
      </w:r>
      <w:r w:rsidRPr="00E77DE7">
        <w:t>. cikkére,</w:t>
      </w:r>
    </w:p>
    <w:p w:rsidR="00FF715E" w:rsidRPr="00E77DE7" w:rsidRDefault="006D38F3" w:rsidP="00CD27F0">
      <w:pPr>
        <w:pStyle w:val="NormalHanging12a"/>
        <w:widowControl/>
      </w:pPr>
      <w:r w:rsidRPr="00E77DE7">
        <w:lastRenderedPageBreak/>
        <w:t>–</w:t>
      </w:r>
      <w:r w:rsidR="00FF715E" w:rsidRPr="00E77DE7">
        <w:tab/>
        <w:t>tekintettel az Ipari, Kutatási és Energiaügyi Bizottság, a Belső Piaci és Fogyasztóvédelmi Bizottság és a Közlekedési és Idegenforgalmi Bizottság véleményére,</w:t>
      </w:r>
    </w:p>
    <w:p w:rsidR="00FF715E" w:rsidRPr="00E77DE7" w:rsidRDefault="00FF715E" w:rsidP="00CD27F0">
      <w:pPr>
        <w:pStyle w:val="NormalHanging12a"/>
        <w:widowControl/>
      </w:pPr>
      <w:r w:rsidRPr="00E77DE7">
        <w:t>–</w:t>
      </w:r>
      <w:r w:rsidRPr="00E77DE7">
        <w:tab/>
        <w:t>tekintettel a Környezetvédelmi, Közegészségügyi és Élelmiszer-biztonsági Bizottság jelentésére (A</w:t>
      </w:r>
      <w:r w:rsidRPr="00B02E5F">
        <w:t>9</w:t>
      </w:r>
      <w:r w:rsidRPr="00E77DE7">
        <w:t>-</w:t>
      </w:r>
      <w:r w:rsidRPr="00B02E5F">
        <w:t>0298</w:t>
      </w:r>
      <w:r w:rsidRPr="00E77DE7">
        <w:t>/</w:t>
      </w:r>
      <w:r w:rsidRPr="00B02E5F">
        <w:t>2023</w:t>
      </w:r>
      <w:r w:rsidRPr="00E77DE7">
        <w:t>),</w:t>
      </w:r>
    </w:p>
    <w:p w:rsidR="00FF715E" w:rsidRPr="00E77DE7" w:rsidRDefault="00FF715E" w:rsidP="00CD27F0">
      <w:pPr>
        <w:pStyle w:val="NormalHanging12a"/>
        <w:widowControl/>
      </w:pPr>
      <w:r w:rsidRPr="00B02E5F">
        <w:t>1</w:t>
      </w:r>
      <w:r w:rsidRPr="00E77DE7">
        <w:t>.</w:t>
      </w:r>
      <w:r w:rsidRPr="00E77DE7">
        <w:tab/>
        <w:t>elfogadja első olvasatban az alábbi álláspontot</w:t>
      </w:r>
      <w:r w:rsidR="00634A90" w:rsidRPr="00E77DE7">
        <w:rPr>
          <w:rStyle w:val="FootnoteReference"/>
        </w:rPr>
        <w:footnoteReference w:id="2"/>
      </w:r>
      <w:r w:rsidRPr="00E77DE7">
        <w:t>;</w:t>
      </w:r>
    </w:p>
    <w:p w:rsidR="00FF715E" w:rsidRPr="00E77DE7" w:rsidRDefault="00FF715E" w:rsidP="00CD27F0">
      <w:pPr>
        <w:pStyle w:val="NormalHanging12a"/>
        <w:widowControl/>
      </w:pPr>
      <w:r w:rsidRPr="00B02E5F">
        <w:t>2</w:t>
      </w:r>
      <w:r w:rsidRPr="00E77DE7">
        <w:t>.</w:t>
      </w:r>
      <w:r w:rsidRPr="00E77DE7">
        <w:tab/>
        <w:t>felkéri a Bizottságot, hogy utalja az ügyet újból a Parlamenthez, ha javaslatát másik szöveggel váltja fel, lényegesen módosítja vagy lényegesen módosítani kívánja;</w:t>
      </w:r>
    </w:p>
    <w:p w:rsidR="00FF715E" w:rsidRPr="00E77DE7" w:rsidRDefault="00FF715E" w:rsidP="00CD27F0">
      <w:pPr>
        <w:pStyle w:val="NormalHanging12a"/>
        <w:widowControl/>
      </w:pPr>
      <w:r w:rsidRPr="00B02E5F">
        <w:t>3</w:t>
      </w:r>
      <w:r w:rsidRPr="00E77DE7">
        <w:t>.</w:t>
      </w:r>
      <w:r w:rsidRPr="00E77DE7">
        <w:tab/>
        <w:t>utasítja elnökét, hogy továbbítsa a Parlament álláspontját a Tanácsnak és a Bizottságnak, valamint a nemzeti parlamenteknek.</w:t>
      </w:r>
    </w:p>
    <w:p w:rsidR="00683CE2" w:rsidRPr="00E77DE7" w:rsidRDefault="00683CE2" w:rsidP="00FF715E">
      <w:pPr>
        <w:sectPr w:rsidR="00683CE2" w:rsidRPr="00E77DE7" w:rsidSect="004321A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83CE2" w:rsidRPr="00E77DE7" w:rsidRDefault="00683CE2" w:rsidP="00683CE2">
      <w:pPr>
        <w:widowControl/>
        <w:spacing w:after="240"/>
        <w:ind w:left="567" w:hanging="567"/>
        <w:rPr>
          <w:b/>
          <w:bCs/>
        </w:rPr>
      </w:pPr>
      <w:r w:rsidRPr="00E77DE7">
        <w:rPr>
          <w:b/>
          <w:bCs/>
        </w:rPr>
        <w:lastRenderedPageBreak/>
        <w:t>P</w:t>
      </w:r>
      <w:r w:rsidRPr="00B02E5F">
        <w:rPr>
          <w:b/>
          <w:bCs/>
        </w:rPr>
        <w:t>9</w:t>
      </w:r>
      <w:r w:rsidRPr="00E77DE7">
        <w:rPr>
          <w:b/>
          <w:bCs/>
        </w:rPr>
        <w:t>_TC</w:t>
      </w:r>
      <w:r w:rsidRPr="00B02E5F">
        <w:rPr>
          <w:b/>
          <w:bCs/>
        </w:rPr>
        <w:t>1</w:t>
      </w:r>
      <w:r w:rsidRPr="00E77DE7">
        <w:rPr>
          <w:b/>
          <w:bCs/>
        </w:rPr>
        <w:t>-COD(</w:t>
      </w:r>
      <w:r w:rsidRPr="00B02E5F">
        <w:rPr>
          <w:b/>
          <w:bCs/>
        </w:rPr>
        <w:t>2022</w:t>
      </w:r>
      <w:r w:rsidRPr="00E77DE7">
        <w:rPr>
          <w:b/>
          <w:bCs/>
        </w:rPr>
        <w:t>)</w:t>
      </w:r>
      <w:r w:rsidRPr="00B02E5F">
        <w:rPr>
          <w:b/>
          <w:bCs/>
        </w:rPr>
        <w:t>0365</w:t>
      </w:r>
    </w:p>
    <w:p w:rsidR="00FF715E" w:rsidRPr="00E77DE7" w:rsidRDefault="00683CE2" w:rsidP="00FF715E">
      <w:r w:rsidRPr="00E77DE7">
        <w:rPr>
          <w:b/>
        </w:rPr>
        <w:t xml:space="preserve">Az Európai Parlament álláspontja, amely első olvasatban </w:t>
      </w:r>
      <w:r w:rsidRPr="00B02E5F">
        <w:rPr>
          <w:b/>
        </w:rPr>
        <w:t>2024</w:t>
      </w:r>
      <w:r w:rsidRPr="00E77DE7">
        <w:rPr>
          <w:b/>
        </w:rPr>
        <w:t xml:space="preserve">. március </w:t>
      </w:r>
      <w:r w:rsidRPr="00B02E5F">
        <w:rPr>
          <w:b/>
        </w:rPr>
        <w:t>13</w:t>
      </w:r>
      <w:r w:rsidRPr="00E77DE7">
        <w:rPr>
          <w:b/>
        </w:rPr>
        <w:t xml:space="preserve">-án került elfogadásra </w:t>
      </w:r>
      <w:bookmarkStart w:id="8" w:name="_GoBack"/>
      <w:bookmarkEnd w:id="8"/>
      <w:r w:rsidR="00377620" w:rsidRPr="00377620">
        <w:rPr>
          <w:b/>
        </w:rPr>
        <w:t>a gépjárművek és motorok, valamint az ilyen járművek rendszereinek, alkotóelemeinek és önálló műszaki egységeinek a kibocsátásuk és az akkumulátor tartóssága tekintetében történő típusjóváhagyásáról (Euro 7), az (EU) 2018/858 európai parlamenti és tanácsi rendelet módosításáról, továbbá a 715/2007/EK és az 595/2009/EK európai parlamenti és tanácsi rendelet, az 582/2011/EU bizottsági rendelet, az (EU) 2017/1151 bizottsági rendelet, az (EU) 2017/2400 bizottsági rendelet és az (EU) 2022/1362 bizottsági végrehajtási rendelet hatályon kívül helyezéséről</w:t>
      </w:r>
      <w:r w:rsidRPr="00E77DE7">
        <w:rPr>
          <w:b/>
        </w:rPr>
        <w:t xml:space="preserve"> szóló (EU) </w:t>
      </w:r>
      <w:r w:rsidRPr="00B02E5F">
        <w:rPr>
          <w:b/>
        </w:rPr>
        <w:t>2024</w:t>
      </w:r>
      <w:r w:rsidRPr="00E77DE7">
        <w:rPr>
          <w:b/>
        </w:rPr>
        <w:t>/... európai parlamenti és tanácsi rendelet elfogadására tekintettel</w:t>
      </w:r>
    </w:p>
    <w:p w:rsidR="00377620" w:rsidRPr="00DC1BC6" w:rsidRDefault="00377620" w:rsidP="00377620">
      <w:pPr>
        <w:spacing w:before="240"/>
        <w:rPr>
          <w:rFonts w:eastAsia="Calibri"/>
          <w:b/>
          <w:szCs w:val="22"/>
          <w:lang w:eastAsia="en-US"/>
        </w:rPr>
      </w:pPr>
      <w:bookmarkStart w:id="9" w:name="TextBodyEnd"/>
      <w:bookmarkEnd w:id="9"/>
      <w:r w:rsidRPr="008A5E68">
        <w:rPr>
          <w:i/>
        </w:rPr>
        <w:t>(</w:t>
      </w:r>
      <w:r w:rsidRPr="00377620">
        <w:rPr>
          <w:i/>
        </w:rPr>
        <w:t>A Parlament és a Tanács megállapodása következtében a Parlament álláspontja megegyezik a végleges jogalkotási aktussal, az (EU) 2024/</w:t>
      </w:r>
      <w:r>
        <w:rPr>
          <w:i/>
        </w:rPr>
        <w:t>1257 rendelettel</w:t>
      </w:r>
      <w:r w:rsidRPr="008A5E68">
        <w:rPr>
          <w:i/>
        </w:rPr>
        <w:t>.)</w:t>
      </w:r>
    </w:p>
    <w:sectPr w:rsidR="00377620" w:rsidRPr="00DC1BC6" w:rsidSect="00377620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CE2" w:rsidRPr="004321A9" w:rsidRDefault="00683CE2">
      <w:r w:rsidRPr="004321A9">
        <w:separator/>
      </w:r>
    </w:p>
  </w:endnote>
  <w:endnote w:type="continuationSeparator" w:id="0">
    <w:p w:rsidR="00683CE2" w:rsidRPr="004321A9" w:rsidRDefault="00683CE2">
      <w:r w:rsidRPr="004321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CE2" w:rsidRPr="004321A9" w:rsidRDefault="00683CE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CE2" w:rsidRPr="004321A9" w:rsidRDefault="00683CE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CE2" w:rsidRPr="004321A9" w:rsidRDefault="00683C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CE2" w:rsidRPr="004321A9" w:rsidRDefault="00683CE2">
      <w:r w:rsidRPr="004321A9">
        <w:separator/>
      </w:r>
    </w:p>
  </w:footnote>
  <w:footnote w:type="continuationSeparator" w:id="0">
    <w:p w:rsidR="00683CE2" w:rsidRPr="004321A9" w:rsidRDefault="00683CE2">
      <w:r w:rsidRPr="004321A9">
        <w:continuationSeparator/>
      </w:r>
    </w:p>
  </w:footnote>
  <w:footnote w:id="1">
    <w:p w:rsidR="00683CE2" w:rsidRPr="004321A9" w:rsidRDefault="00683CE2" w:rsidP="004321A9">
      <w:pPr>
        <w:pStyle w:val="FootnoteText"/>
        <w:ind w:left="567" w:hanging="567"/>
        <w:rPr>
          <w:sz w:val="24"/>
          <w:lang w:val="hu-HU"/>
        </w:rPr>
      </w:pPr>
      <w:r w:rsidRPr="004321A9">
        <w:rPr>
          <w:rStyle w:val="FootnoteReference"/>
          <w:sz w:val="24"/>
          <w:lang w:val="hu-HU"/>
        </w:rPr>
        <w:footnoteRef/>
      </w:r>
      <w:r w:rsidRPr="004321A9">
        <w:rPr>
          <w:sz w:val="24"/>
          <w:lang w:val="hu-HU"/>
        </w:rPr>
        <w:t xml:space="preserve"> </w:t>
      </w:r>
      <w:r w:rsidRPr="004321A9">
        <w:rPr>
          <w:sz w:val="24"/>
          <w:lang w:val="hu-HU"/>
        </w:rPr>
        <w:tab/>
      </w:r>
      <w:r w:rsidR="00634A90">
        <w:rPr>
          <w:sz w:val="24"/>
          <w:lang w:val="hu-HU"/>
        </w:rPr>
        <w:t xml:space="preserve">HL C </w:t>
      </w:r>
      <w:r w:rsidR="00634A90" w:rsidRPr="00B02E5F">
        <w:rPr>
          <w:sz w:val="24"/>
          <w:lang w:val="hu-HU"/>
        </w:rPr>
        <w:t>228</w:t>
      </w:r>
      <w:r w:rsidR="00634A90">
        <w:rPr>
          <w:sz w:val="24"/>
          <w:lang w:val="hu-HU"/>
        </w:rPr>
        <w:t xml:space="preserve">., </w:t>
      </w:r>
      <w:r w:rsidR="00634A90" w:rsidRPr="00B02E5F">
        <w:rPr>
          <w:sz w:val="24"/>
          <w:lang w:val="hu-HU"/>
        </w:rPr>
        <w:t>2023</w:t>
      </w:r>
      <w:r w:rsidR="00634A90">
        <w:rPr>
          <w:sz w:val="24"/>
          <w:lang w:val="hu-HU"/>
        </w:rPr>
        <w:t>.</w:t>
      </w:r>
      <w:r w:rsidR="00634A90" w:rsidRPr="00B02E5F">
        <w:rPr>
          <w:sz w:val="24"/>
          <w:lang w:val="hu-HU"/>
        </w:rPr>
        <w:t>6</w:t>
      </w:r>
      <w:r w:rsidR="00634A90">
        <w:rPr>
          <w:sz w:val="24"/>
          <w:lang w:val="hu-HU"/>
        </w:rPr>
        <w:t>.</w:t>
      </w:r>
      <w:r w:rsidR="00634A90" w:rsidRPr="00B02E5F">
        <w:rPr>
          <w:sz w:val="24"/>
          <w:lang w:val="hu-HU"/>
        </w:rPr>
        <w:t>29</w:t>
      </w:r>
      <w:r w:rsidR="00634A90">
        <w:rPr>
          <w:sz w:val="24"/>
          <w:lang w:val="hu-HU"/>
        </w:rPr>
        <w:t xml:space="preserve">., </w:t>
      </w:r>
      <w:r w:rsidR="00634A90" w:rsidRPr="00B02E5F">
        <w:rPr>
          <w:sz w:val="24"/>
          <w:lang w:val="hu-HU"/>
        </w:rPr>
        <w:t>103</w:t>
      </w:r>
      <w:r w:rsidR="00634A90">
        <w:rPr>
          <w:sz w:val="24"/>
          <w:lang w:val="hu-HU"/>
        </w:rPr>
        <w:t>. o</w:t>
      </w:r>
      <w:r w:rsidRPr="004321A9">
        <w:rPr>
          <w:sz w:val="24"/>
          <w:lang w:val="hu-HU"/>
        </w:rPr>
        <w:t>.</w:t>
      </w:r>
    </w:p>
  </w:footnote>
  <w:footnote w:id="2">
    <w:p w:rsidR="00634A90" w:rsidRPr="00E77DE7" w:rsidRDefault="00634A90">
      <w:pPr>
        <w:pStyle w:val="FootnoteText"/>
        <w:rPr>
          <w:lang w:val="hu-HU"/>
        </w:rPr>
      </w:pPr>
      <w:r>
        <w:rPr>
          <w:rStyle w:val="FootnoteReference"/>
        </w:rPr>
        <w:footnoteRef/>
      </w:r>
      <w:r w:rsidRPr="00E77DE7">
        <w:rPr>
          <w:lang w:val="hu-HU"/>
        </w:rPr>
        <w:tab/>
      </w:r>
      <w:r w:rsidR="003E6A58" w:rsidRPr="003E6A58">
        <w:rPr>
          <w:sz w:val="24"/>
          <w:szCs w:val="24"/>
          <w:lang w:val="hu-HU"/>
        </w:rPr>
        <w:t>Ez az á</w:t>
      </w:r>
      <w:r w:rsidR="003E6A58">
        <w:rPr>
          <w:sz w:val="24"/>
          <w:szCs w:val="24"/>
          <w:lang w:val="hu-HU"/>
        </w:rPr>
        <w:t>lláspont lép a 2023. november 9</w:t>
      </w:r>
      <w:r w:rsidR="003E6A58" w:rsidRPr="003E6A58">
        <w:rPr>
          <w:sz w:val="24"/>
          <w:szCs w:val="24"/>
          <w:lang w:val="hu-HU"/>
        </w:rPr>
        <w:t>-én elfogadott módosítások helyébe</w:t>
      </w:r>
      <w:r w:rsidR="003E6A58">
        <w:rPr>
          <w:sz w:val="24"/>
          <w:szCs w:val="24"/>
          <w:lang w:val="hu-HU"/>
        </w:rPr>
        <w:t xml:space="preserve"> </w:t>
      </w:r>
      <w:r w:rsidRPr="0045421F">
        <w:rPr>
          <w:sz w:val="24"/>
          <w:szCs w:val="24"/>
          <w:lang w:val="hu-HU"/>
        </w:rPr>
        <w:t>(Elfogadott szövegek, P</w:t>
      </w:r>
      <w:r w:rsidRPr="00B02E5F">
        <w:rPr>
          <w:sz w:val="24"/>
          <w:szCs w:val="24"/>
          <w:lang w:val="hu-HU"/>
        </w:rPr>
        <w:t>9</w:t>
      </w:r>
      <w:r w:rsidRPr="0045421F">
        <w:rPr>
          <w:sz w:val="24"/>
          <w:szCs w:val="24"/>
          <w:lang w:val="hu-HU"/>
        </w:rPr>
        <w:t>_TA(</w:t>
      </w:r>
      <w:r w:rsidRPr="00B02E5F">
        <w:rPr>
          <w:sz w:val="24"/>
          <w:szCs w:val="24"/>
          <w:lang w:val="hu-HU"/>
        </w:rPr>
        <w:t>2023</w:t>
      </w:r>
      <w:r w:rsidRPr="0045421F">
        <w:rPr>
          <w:sz w:val="24"/>
          <w:szCs w:val="24"/>
          <w:lang w:val="hu-HU"/>
        </w:rPr>
        <w:t>)</w:t>
      </w:r>
      <w:r w:rsidRPr="00B02E5F">
        <w:rPr>
          <w:sz w:val="24"/>
          <w:szCs w:val="24"/>
          <w:lang w:val="hu-HU"/>
        </w:rPr>
        <w:t>0394</w:t>
      </w:r>
      <w:r w:rsidRPr="0045421F">
        <w:rPr>
          <w:sz w:val="24"/>
          <w:szCs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CE2" w:rsidRPr="004321A9" w:rsidRDefault="00683CE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CE2" w:rsidRPr="004321A9" w:rsidRDefault="00683CE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CE2" w:rsidRPr="004321A9" w:rsidRDefault="00683CE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0263EB"/>
    <w:multiLevelType w:val="hybridMultilevel"/>
    <w:tmpl w:val="2B8AA7EC"/>
    <w:lvl w:ilvl="0" w:tplc="9EA46DB6">
      <w:start w:val="1"/>
      <w:numFmt w:val="lowerLetter"/>
      <w:pStyle w:val="nor"/>
      <w:lvlText w:val="(%1)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9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20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1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9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31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2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3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4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7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9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5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20"/>
  </w:num>
  <w:num w:numId="3">
    <w:abstractNumId w:val="43"/>
  </w:num>
  <w:num w:numId="4">
    <w:abstractNumId w:val="2"/>
  </w:num>
  <w:num w:numId="5">
    <w:abstractNumId w:val="44"/>
  </w:num>
  <w:num w:numId="6">
    <w:abstractNumId w:val="38"/>
  </w:num>
  <w:num w:numId="7">
    <w:abstractNumId w:val="4"/>
  </w:num>
  <w:num w:numId="8">
    <w:abstractNumId w:val="50"/>
  </w:num>
  <w:num w:numId="9">
    <w:abstractNumId w:val="55"/>
  </w:num>
  <w:num w:numId="10">
    <w:abstractNumId w:val="33"/>
  </w:num>
  <w:num w:numId="11">
    <w:abstractNumId w:val="48"/>
  </w:num>
  <w:num w:numId="12">
    <w:abstractNumId w:val="40"/>
  </w:num>
  <w:num w:numId="13">
    <w:abstractNumId w:val="27"/>
  </w:num>
  <w:num w:numId="14">
    <w:abstractNumId w:val="10"/>
  </w:num>
  <w:num w:numId="15">
    <w:abstractNumId w:val="8"/>
  </w:num>
  <w:num w:numId="16">
    <w:abstractNumId w:val="42"/>
  </w:num>
  <w:num w:numId="17">
    <w:abstractNumId w:val="51"/>
  </w:num>
  <w:num w:numId="18">
    <w:abstractNumId w:val="1"/>
  </w:num>
  <w:num w:numId="19">
    <w:abstractNumId w:val="12"/>
  </w:num>
  <w:num w:numId="20">
    <w:abstractNumId w:val="7"/>
  </w:num>
  <w:num w:numId="21">
    <w:abstractNumId w:val="13"/>
  </w:num>
  <w:num w:numId="22">
    <w:abstractNumId w:val="34"/>
  </w:num>
  <w:num w:numId="23">
    <w:abstractNumId w:val="29"/>
  </w:num>
  <w:num w:numId="24">
    <w:abstractNumId w:val="11"/>
  </w:num>
  <w:num w:numId="25">
    <w:abstractNumId w:val="9"/>
  </w:num>
  <w:num w:numId="26">
    <w:abstractNumId w:val="56"/>
    <w:lvlOverride w:ilvl="0">
      <w:startOverride w:val="1"/>
    </w:lvlOverride>
  </w:num>
  <w:num w:numId="27">
    <w:abstractNumId w:val="0"/>
  </w:num>
  <w:num w:numId="28">
    <w:abstractNumId w:val="36"/>
  </w:num>
  <w:num w:numId="29">
    <w:abstractNumId w:val="17"/>
  </w:num>
  <w:num w:numId="30">
    <w:abstractNumId w:val="31"/>
  </w:num>
  <w:num w:numId="31">
    <w:abstractNumId w:val="46"/>
  </w:num>
  <w:num w:numId="32">
    <w:abstractNumId w:val="39"/>
  </w:num>
  <w:num w:numId="33">
    <w:abstractNumId w:val="47"/>
  </w:num>
  <w:num w:numId="34">
    <w:abstractNumId w:val="49"/>
  </w:num>
  <w:num w:numId="35">
    <w:abstractNumId w:val="5"/>
  </w:num>
  <w:num w:numId="36">
    <w:abstractNumId w:val="19"/>
  </w:num>
  <w:num w:numId="37">
    <w:abstractNumId w:val="6"/>
  </w:num>
  <w:num w:numId="38">
    <w:abstractNumId w:val="21"/>
  </w:num>
  <w:num w:numId="39">
    <w:abstractNumId w:val="18"/>
  </w:num>
  <w:num w:numId="40">
    <w:abstractNumId w:val="32"/>
  </w:num>
  <w:num w:numId="41">
    <w:abstractNumId w:val="37"/>
    <w:lvlOverride w:ilvl="0">
      <w:startOverride w:val="1"/>
    </w:lvlOverride>
  </w:num>
  <w:num w:numId="42">
    <w:abstractNumId w:val="41"/>
    <w:lvlOverride w:ilvl="0">
      <w:startOverride w:val="1"/>
    </w:lvlOverride>
  </w:num>
  <w:num w:numId="43">
    <w:abstractNumId w:val="24"/>
    <w:lvlOverride w:ilvl="0">
      <w:startOverride w:val="1"/>
    </w:lvlOverride>
  </w:num>
  <w:num w:numId="44">
    <w:abstractNumId w:val="14"/>
  </w:num>
  <w:num w:numId="45">
    <w:abstractNumId w:val="15"/>
  </w:num>
  <w:num w:numId="46">
    <w:abstractNumId w:val="25"/>
  </w:num>
  <w:num w:numId="47">
    <w:abstractNumId w:val="26"/>
  </w:num>
  <w:num w:numId="48">
    <w:abstractNumId w:val="28"/>
  </w:num>
  <w:num w:numId="49">
    <w:abstractNumId w:val="16"/>
  </w:num>
  <w:num w:numId="50">
    <w:abstractNumId w:val="22"/>
  </w:num>
  <w:num w:numId="51">
    <w:abstractNumId w:val="23"/>
  </w:num>
  <w:num w:numId="52">
    <w:abstractNumId w:val="30"/>
  </w:num>
  <w:num w:numId="53">
    <w:abstractNumId w:val="35"/>
  </w:num>
  <w:num w:numId="54">
    <w:abstractNumId w:val="53"/>
  </w:num>
  <w:num w:numId="55">
    <w:abstractNumId w:val="52"/>
  </w:num>
  <w:num w:numId="56">
    <w:abstractNumId w:val="5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8/2023"/>
    <w:docVar w:name="dvlangue" w:val="HU"/>
    <w:docVar w:name="dvnumam" w:val="528"/>
    <w:docVar w:name="dvpe" w:val="746.876"/>
    <w:docVar w:name="dvrapporteur" w:val="Előadó: "/>
    <w:docVar w:name="dvstar" w:val="***I"/>
    <w:docVar w:name="dvtitre" w:val="Az Európai Parlament 2023.  ...-i jogalkotási állásfoglalása a gépjárművek és motorok, valamint az ilyen járművek rendszereinek, alkotóelemeinek és önálló műszaki egységeinek a kibocsátásuk és az akkumulátor tartóssága tekintetében történő típusjóváhagyásáról (Euro 7), továbbá a 715/2007/EK rendelet és az 595/2009/EK rendelet hatályon kívül helyezéséről szóló európai parlamenti és tanácsi rendeletre irányuló javaslatról(COM(2022)0586 – C9-0375/2022 – 2022/0365(COD))"/>
  </w:docVars>
  <w:rsids>
    <w:rsidRoot w:val="006367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467D"/>
    <w:rsid w:val="001F32AE"/>
    <w:rsid w:val="00270CD8"/>
    <w:rsid w:val="002767FF"/>
    <w:rsid w:val="002B18FE"/>
    <w:rsid w:val="002B5493"/>
    <w:rsid w:val="00343214"/>
    <w:rsid w:val="00361C00"/>
    <w:rsid w:val="00377620"/>
    <w:rsid w:val="00395FA1"/>
    <w:rsid w:val="003E15D4"/>
    <w:rsid w:val="003E6A58"/>
    <w:rsid w:val="00411CCE"/>
    <w:rsid w:val="0041666E"/>
    <w:rsid w:val="00421060"/>
    <w:rsid w:val="004321A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D9A"/>
    <w:rsid w:val="006037C0"/>
    <w:rsid w:val="00634A90"/>
    <w:rsid w:val="00636711"/>
    <w:rsid w:val="006631B6"/>
    <w:rsid w:val="00680577"/>
    <w:rsid w:val="00683CE2"/>
    <w:rsid w:val="006D38F3"/>
    <w:rsid w:val="006F74FA"/>
    <w:rsid w:val="00731ADD"/>
    <w:rsid w:val="00734777"/>
    <w:rsid w:val="00747932"/>
    <w:rsid w:val="00751A4A"/>
    <w:rsid w:val="00756632"/>
    <w:rsid w:val="00762C74"/>
    <w:rsid w:val="00786EC0"/>
    <w:rsid w:val="007A3AF7"/>
    <w:rsid w:val="007D1690"/>
    <w:rsid w:val="007E22AD"/>
    <w:rsid w:val="00817416"/>
    <w:rsid w:val="0082690B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10C"/>
    <w:rsid w:val="00981893"/>
    <w:rsid w:val="00A1687D"/>
    <w:rsid w:val="00A43E52"/>
    <w:rsid w:val="00A4678D"/>
    <w:rsid w:val="00A71D91"/>
    <w:rsid w:val="00A778C7"/>
    <w:rsid w:val="00AA028B"/>
    <w:rsid w:val="00AB441E"/>
    <w:rsid w:val="00AB6293"/>
    <w:rsid w:val="00AE0928"/>
    <w:rsid w:val="00AF3B82"/>
    <w:rsid w:val="00B02E5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A83"/>
    <w:rsid w:val="00CC2357"/>
    <w:rsid w:val="00CD27F0"/>
    <w:rsid w:val="00CF071A"/>
    <w:rsid w:val="00D058B8"/>
    <w:rsid w:val="00D56C11"/>
    <w:rsid w:val="00D834A0"/>
    <w:rsid w:val="00D872DF"/>
    <w:rsid w:val="00D91E21"/>
    <w:rsid w:val="00DA7FCD"/>
    <w:rsid w:val="00E365E1"/>
    <w:rsid w:val="00E77DE7"/>
    <w:rsid w:val="00E820A4"/>
    <w:rsid w:val="00E915C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2C49E"/>
  <w15:chartTrackingRefBased/>
  <w15:docId w15:val="{FD3A3777-D95F-4035-AA20-19F04609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qFormat="1"/>
    <w:lsdException w:name="endnote reference" w:uiPriority="99"/>
    <w:lsdException w:name="endnote text" w:uiPriority="99"/>
    <w:lsdException w:name="List Number" w:qFormat="1"/>
    <w:lsdException w:name="Title" w:uiPriority="10" w:qFormat="1"/>
    <w:lsdException w:name="Subtitle" w:uiPriority="11" w:qFormat="1"/>
    <w:lsdException w:name="Hyperlink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aliases w:val="Division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aliases w:val="Division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aliases w:val="Division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aliases w:val="Division 4"/>
    <w:basedOn w:val="Normal"/>
    <w:next w:val="Normal"/>
    <w:link w:val="Heading4Char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Document Table,CV1,Gena,Tabellengitternetz,Deloitte,HTG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aliases w:val="Division 1 Char"/>
    <w:basedOn w:val="DefaultParagraphFont"/>
    <w:link w:val="Heading1"/>
    <w:uiPriority w:val="9"/>
    <w:rsid w:val="00FF715E"/>
    <w:rPr>
      <w:b/>
      <w:kern w:val="28"/>
      <w:sz w:val="28"/>
      <w:lang w:val="fr-FR" w:eastAsia="fr-FR"/>
    </w:rPr>
  </w:style>
  <w:style w:type="character" w:customStyle="1" w:styleId="Heading2Char">
    <w:name w:val="Heading 2 Char"/>
    <w:aliases w:val="Division 2 Char"/>
    <w:basedOn w:val="DefaultParagraphFont"/>
    <w:link w:val="Heading2"/>
    <w:uiPriority w:val="9"/>
    <w:rsid w:val="00FF715E"/>
    <w:rPr>
      <w:sz w:val="24"/>
      <w:lang w:val="fr-FR" w:eastAsia="fr-FR"/>
    </w:rPr>
  </w:style>
  <w:style w:type="character" w:customStyle="1" w:styleId="Heading3Char">
    <w:name w:val="Heading 3 Char"/>
    <w:aliases w:val="Division 3 Char"/>
    <w:basedOn w:val="DefaultParagraphFont"/>
    <w:link w:val="Heading3"/>
    <w:uiPriority w:val="9"/>
    <w:rsid w:val="00FF715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aliases w:val="Division 4 Char"/>
    <w:basedOn w:val="DefaultParagraphFont"/>
    <w:link w:val="Heading4"/>
    <w:rsid w:val="00FF715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FF715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FF715E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15E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FF715E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FF715E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FF715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F715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F715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F715E"/>
    <w:pPr>
      <w:spacing w:after="120"/>
    </w:pPr>
  </w:style>
  <w:style w:type="paragraph" w:customStyle="1" w:styleId="PageHeading">
    <w:name w:val="PageHeading"/>
    <w:basedOn w:val="Normal"/>
    <w:rsid w:val="00FF715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F715E"/>
    <w:rPr>
      <w:b/>
    </w:rPr>
  </w:style>
  <w:style w:type="paragraph" w:customStyle="1" w:styleId="NormalBold12a">
    <w:name w:val="NormalBold12a"/>
    <w:basedOn w:val="Normal"/>
    <w:rsid w:val="00FF715E"/>
    <w:pPr>
      <w:spacing w:after="240"/>
    </w:pPr>
    <w:rPr>
      <w:b/>
    </w:rPr>
  </w:style>
  <w:style w:type="paragraph" w:customStyle="1" w:styleId="AmJustText">
    <w:name w:val="AmJustText"/>
    <w:basedOn w:val="Normal"/>
    <w:rsid w:val="00FF715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F715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F715E"/>
    <w:pPr>
      <w:spacing w:after="480"/>
      <w:ind w:left="1417"/>
    </w:pPr>
  </w:style>
  <w:style w:type="paragraph" w:customStyle="1" w:styleId="CoverNormal">
    <w:name w:val="CoverNormal"/>
    <w:basedOn w:val="Normal"/>
    <w:rsid w:val="00FF715E"/>
    <w:pPr>
      <w:ind w:left="1418"/>
    </w:pPr>
  </w:style>
  <w:style w:type="paragraph" w:customStyle="1" w:styleId="AmCrossRef">
    <w:name w:val="AmCrossRef"/>
    <w:basedOn w:val="Normal"/>
    <w:rsid w:val="00FF715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F715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F715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F715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F715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F715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F71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715E"/>
    <w:rPr>
      <w:sz w:val="24"/>
      <w:lang w:val="hu-HU"/>
    </w:rPr>
  </w:style>
  <w:style w:type="paragraph" w:customStyle="1" w:styleId="AmOrLang">
    <w:name w:val="AmOrLang"/>
    <w:basedOn w:val="Normal"/>
    <w:rsid w:val="00FF715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F715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FF71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FF715E"/>
    <w:pPr>
      <w:spacing w:before="240"/>
    </w:pPr>
    <w:rPr>
      <w:b/>
    </w:rPr>
  </w:style>
  <w:style w:type="paragraph" w:customStyle="1" w:styleId="EPBody">
    <w:name w:val="EPBody"/>
    <w:basedOn w:val="Normal"/>
    <w:rsid w:val="00FF71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F715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F715E"/>
    <w:pPr>
      <w:spacing w:before="480" w:after="240"/>
    </w:pPr>
  </w:style>
  <w:style w:type="paragraph" w:customStyle="1" w:styleId="Lgendesigne">
    <w:name w:val="Légende signe"/>
    <w:basedOn w:val="Normal"/>
    <w:rsid w:val="00FF715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F715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F715E"/>
    <w:rPr>
      <w:sz w:val="18"/>
    </w:rPr>
  </w:style>
  <w:style w:type="paragraph" w:customStyle="1" w:styleId="msonormal0">
    <w:name w:val="msonormal"/>
    <w:basedOn w:val="Normal"/>
    <w:rsid w:val="00FF715E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FF715E"/>
    <w:rPr>
      <w:noProof/>
      <w:sz w:val="24"/>
    </w:rPr>
  </w:style>
  <w:style w:type="paragraph" w:customStyle="1" w:styleId="Normal12">
    <w:name w:val="Normal12"/>
    <w:basedOn w:val="Normal"/>
    <w:link w:val="Normal12Char"/>
    <w:rsid w:val="00FF715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FF715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F715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F715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FF715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F715E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FF715E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FF715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FF715E"/>
    <w:rPr>
      <w:b/>
      <w:sz w:val="24"/>
      <w:lang w:val="hu-HU"/>
    </w:rPr>
  </w:style>
  <w:style w:type="paragraph" w:customStyle="1" w:styleId="Normal12Italic">
    <w:name w:val="Normal12Italic"/>
    <w:basedOn w:val="Normal12"/>
    <w:rsid w:val="00FF715E"/>
    <w:pPr>
      <w:jc w:val="both"/>
    </w:pPr>
  </w:style>
  <w:style w:type="paragraph" w:customStyle="1" w:styleId="JustificationTitle">
    <w:name w:val="JustificationTitle"/>
    <w:basedOn w:val="Normal"/>
    <w:next w:val="Normal12"/>
    <w:rsid w:val="00FF715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FF715E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FF715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F715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FF715E"/>
    <w:pPr>
      <w:spacing w:before="240"/>
      <w:jc w:val="center"/>
    </w:pPr>
    <w:rPr>
      <w:i/>
    </w:rPr>
  </w:style>
  <w:style w:type="character" w:customStyle="1" w:styleId="Footer2Middle">
    <w:name w:val="Footer2Middle"/>
    <w:rsid w:val="00FF715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FF715E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FF715E"/>
    <w:pPr>
      <w:widowControl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F715E"/>
    <w:rPr>
      <w:rFonts w:ascii="Segoe UI" w:hAnsi="Segoe UI" w:cs="Segoe UI"/>
      <w:sz w:val="18"/>
      <w:szCs w:val="18"/>
      <w:lang w:val="hu-HU"/>
    </w:rPr>
  </w:style>
  <w:style w:type="paragraph" w:customStyle="1" w:styleId="Normal12Hanging">
    <w:name w:val="Normal12Hanging"/>
    <w:basedOn w:val="Normal"/>
    <w:uiPriority w:val="99"/>
    <w:rsid w:val="00FF715E"/>
    <w:pPr>
      <w:spacing w:after="240"/>
      <w:ind w:left="567" w:hanging="567"/>
    </w:pPr>
  </w:style>
  <w:style w:type="character" w:styleId="CommentReference">
    <w:name w:val="annotation reference"/>
    <w:basedOn w:val="DefaultParagraphFont"/>
    <w:qFormat/>
    <w:rsid w:val="00FF715E"/>
    <w:rPr>
      <w:sz w:val="16"/>
      <w:szCs w:val="16"/>
    </w:rPr>
  </w:style>
  <w:style w:type="paragraph" w:styleId="CommentText">
    <w:name w:val="annotation text"/>
    <w:aliases w:val="Text poznámky"/>
    <w:basedOn w:val="Normal"/>
    <w:link w:val="CommentTextChar"/>
    <w:qFormat/>
    <w:rsid w:val="00FF715E"/>
    <w:rPr>
      <w:sz w:val="20"/>
    </w:rPr>
  </w:style>
  <w:style w:type="character" w:customStyle="1" w:styleId="CommentTextChar">
    <w:name w:val="Comment Text Char"/>
    <w:aliases w:val="Text poznámky Char"/>
    <w:basedOn w:val="DefaultParagraphFont"/>
    <w:link w:val="CommentText"/>
    <w:qFormat/>
    <w:rsid w:val="00FF715E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F71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15E"/>
    <w:rPr>
      <w:b/>
      <w:bCs/>
      <w:lang w:val="hu-HU"/>
    </w:rPr>
  </w:style>
  <w:style w:type="paragraph" w:styleId="ListParagraph">
    <w:name w:val="List Paragraph"/>
    <w:aliases w:val="Paragraphe EI,Paragraphe de liste1,EC,Paragraphe de liste,Issue Action POC,List Paragraph1,3,POCG Table Text,Dot pt,F5 List Paragraph,List Paragraph Char Char Char,Indicator Text,Colorful List - Accent 11,Numbered Para 1,Bullet Points,L"/>
    <w:basedOn w:val="Normal"/>
    <w:link w:val="ListParagraphChar"/>
    <w:uiPriority w:val="34"/>
    <w:qFormat/>
    <w:rsid w:val="00FF715E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PageHeadingNotTOC">
    <w:name w:val="PageHeadingNotTOC"/>
    <w:basedOn w:val="Normal"/>
    <w:rsid w:val="00FF715E"/>
    <w:pPr>
      <w:keepNext/>
      <w:spacing w:after="480"/>
      <w:jc w:val="center"/>
    </w:pPr>
    <w:rPr>
      <w:rFonts w:ascii="Arial" w:hAnsi="Arial" w:cs="Arial"/>
      <w:b/>
    </w:rPr>
  </w:style>
  <w:style w:type="paragraph" w:styleId="Revision">
    <w:name w:val="Revision"/>
    <w:uiPriority w:val="99"/>
    <w:semiHidden/>
    <w:rsid w:val="00FF715E"/>
    <w:rPr>
      <w:sz w:val="24"/>
      <w:lang w:val="hu-HU"/>
    </w:rPr>
  </w:style>
  <w:style w:type="character" w:customStyle="1" w:styleId="AmNumberTabsChar">
    <w:name w:val="AmNumberTabs Char"/>
    <w:basedOn w:val="DefaultParagraphFont"/>
    <w:link w:val="AmNumberTabs"/>
    <w:rsid w:val="00FF715E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FF715E"/>
    <w:rPr>
      <w:b/>
      <w:sz w:val="24"/>
      <w:lang w:val="hu-HU"/>
    </w:rPr>
  </w:style>
  <w:style w:type="paragraph" w:customStyle="1" w:styleId="TableParagraph">
    <w:name w:val="Table Paragraph"/>
    <w:basedOn w:val="Normal"/>
    <w:uiPriority w:val="1"/>
    <w:qFormat/>
    <w:rsid w:val="00FF715E"/>
    <w:pPr>
      <w:autoSpaceDE w:val="0"/>
      <w:autoSpaceDN w:val="0"/>
      <w:spacing w:before="114"/>
      <w:ind w:left="110"/>
    </w:pPr>
    <w:rPr>
      <w:sz w:val="22"/>
      <w:szCs w:val="22"/>
      <w:lang w:val="fr-FR" w:eastAsia="en-US"/>
    </w:rPr>
  </w:style>
  <w:style w:type="paragraph" w:customStyle="1" w:styleId="Default">
    <w:name w:val="Default"/>
    <w:rsid w:val="00FF71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pasted0">
    <w:name w:val="contentpasted0"/>
    <w:rsid w:val="00FF715E"/>
  </w:style>
  <w:style w:type="table" w:customStyle="1" w:styleId="CV11">
    <w:name w:val="CV11"/>
    <w:basedOn w:val="TableNormal"/>
    <w:uiPriority w:val="39"/>
    <w:rsid w:val="00FF715E"/>
    <w:rPr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a">
    <w:name w:val="Normal12a"/>
    <w:basedOn w:val="Normal"/>
    <w:rsid w:val="00FF715E"/>
    <w:pPr>
      <w:spacing w:after="240"/>
    </w:pPr>
    <w:rPr>
      <w:lang w:val="fr-FR"/>
    </w:rPr>
  </w:style>
  <w:style w:type="paragraph" w:customStyle="1" w:styleId="RollCallVotes">
    <w:name w:val="RollCallVotes"/>
    <w:basedOn w:val="Normal"/>
    <w:rsid w:val="00FF715E"/>
    <w:pPr>
      <w:spacing w:before="120" w:after="120"/>
      <w:jc w:val="center"/>
    </w:pPr>
    <w:rPr>
      <w:b/>
      <w:bCs/>
      <w:snapToGrid w:val="0"/>
      <w:sz w:val="16"/>
      <w:lang w:val="fr-FR" w:eastAsia="en-US"/>
    </w:rPr>
  </w:style>
  <w:style w:type="paragraph" w:customStyle="1" w:styleId="RollCallTabs">
    <w:name w:val="RollCallTabs"/>
    <w:basedOn w:val="Normal"/>
    <w:qFormat/>
    <w:rsid w:val="00FF715E"/>
    <w:pPr>
      <w:tabs>
        <w:tab w:val="center" w:pos="284"/>
        <w:tab w:val="left" w:pos="426"/>
      </w:tabs>
    </w:pPr>
    <w:rPr>
      <w:snapToGrid w:val="0"/>
      <w:lang w:val="fr-FR" w:eastAsia="en-US"/>
    </w:rPr>
  </w:style>
  <w:style w:type="paragraph" w:customStyle="1" w:styleId="RollCallSymbols14pt">
    <w:name w:val="RollCallSymbols14pt"/>
    <w:basedOn w:val="Normal"/>
    <w:rsid w:val="00FF715E"/>
    <w:pPr>
      <w:spacing w:before="120" w:after="120"/>
      <w:jc w:val="center"/>
    </w:pPr>
    <w:rPr>
      <w:rFonts w:ascii="Arial" w:hAnsi="Arial"/>
      <w:b/>
      <w:bCs/>
      <w:snapToGrid w:val="0"/>
      <w:sz w:val="28"/>
      <w:lang w:val="fr-FR" w:eastAsia="en-US"/>
    </w:rPr>
  </w:style>
  <w:style w:type="paragraph" w:customStyle="1" w:styleId="RollCallTable">
    <w:name w:val="RollCallTable"/>
    <w:basedOn w:val="Normal"/>
    <w:rsid w:val="00FF715E"/>
    <w:pPr>
      <w:spacing w:before="120" w:after="120"/>
    </w:pPr>
    <w:rPr>
      <w:snapToGrid w:val="0"/>
      <w:sz w:val="16"/>
      <w:lang w:val="fr-FR" w:eastAsia="en-US"/>
    </w:rPr>
  </w:style>
  <w:style w:type="paragraph" w:customStyle="1" w:styleId="AmHeadingPA">
    <w:name w:val="AmHeadingPA"/>
    <w:basedOn w:val="Normal"/>
    <w:next w:val="Normal"/>
    <w:rsid w:val="00FF715E"/>
    <w:pPr>
      <w:spacing w:before="480" w:after="240"/>
      <w:jc w:val="center"/>
    </w:pPr>
    <w:rPr>
      <w:rFonts w:ascii="Arial" w:hAnsi="Arial"/>
      <w:b/>
      <w:caps/>
      <w:snapToGrid w:val="0"/>
      <w:szCs w:val="24"/>
      <w:lang w:val="fr-FR" w:eastAsia="en-US"/>
    </w:rPr>
  </w:style>
  <w:style w:type="paragraph" w:customStyle="1" w:styleId="Normal24a">
    <w:name w:val="Normal24a"/>
    <w:basedOn w:val="Normal"/>
    <w:link w:val="Normal24aChar"/>
    <w:rsid w:val="00FF715E"/>
    <w:pPr>
      <w:spacing w:after="480"/>
    </w:pPr>
    <w:rPr>
      <w:lang w:val="fr-FR"/>
    </w:rPr>
  </w:style>
  <w:style w:type="character" w:customStyle="1" w:styleId="Normal24aChar">
    <w:name w:val="Normal24a Char"/>
    <w:basedOn w:val="DefaultParagraphFont"/>
    <w:link w:val="Normal24a"/>
    <w:rsid w:val="00FF715E"/>
    <w:rPr>
      <w:sz w:val="24"/>
      <w:lang w:val="fr-FR"/>
    </w:rPr>
  </w:style>
  <w:style w:type="paragraph" w:customStyle="1" w:styleId="Normal1">
    <w:name w:val="Normal1"/>
    <w:basedOn w:val="Normal"/>
    <w:rsid w:val="00FF715E"/>
    <w:pPr>
      <w:widowControl/>
      <w:spacing w:before="100" w:beforeAutospacing="1" w:after="100" w:afterAutospacing="1"/>
    </w:pPr>
    <w:rPr>
      <w:szCs w:val="24"/>
      <w:lang w:val="fr-FR"/>
    </w:rPr>
  </w:style>
  <w:style w:type="character" w:customStyle="1" w:styleId="footnotereference0">
    <w:name w:val="footnotereference"/>
    <w:basedOn w:val="DefaultParagraphFont"/>
    <w:rsid w:val="00FF715E"/>
  </w:style>
  <w:style w:type="paragraph" w:customStyle="1" w:styleId="CoverBold">
    <w:name w:val="CoverBold"/>
    <w:basedOn w:val="Normal"/>
    <w:rsid w:val="00FF715E"/>
    <w:pPr>
      <w:ind w:left="1417"/>
    </w:pPr>
    <w:rPr>
      <w:b/>
      <w:lang w:val="fr-FR"/>
    </w:rPr>
  </w:style>
  <w:style w:type="paragraph" w:styleId="EndnoteText">
    <w:name w:val="endnote text"/>
    <w:basedOn w:val="Normal"/>
    <w:link w:val="EndnoteTextChar"/>
    <w:uiPriority w:val="99"/>
    <w:unhideWhenUsed/>
    <w:rsid w:val="00FF715E"/>
    <w:rPr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uiPriority w:val="99"/>
    <w:rsid w:val="00FF715E"/>
    <w:rPr>
      <w:lang w:val="fr-FR"/>
    </w:rPr>
  </w:style>
  <w:style w:type="character" w:styleId="EndnoteReference">
    <w:name w:val="endnote reference"/>
    <w:basedOn w:val="DefaultParagraphFont"/>
    <w:uiPriority w:val="99"/>
    <w:unhideWhenUsed/>
    <w:rsid w:val="00FF715E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FF715E"/>
    <w:rPr>
      <w:color w:val="605E5C"/>
      <w:shd w:val="clear" w:color="auto" w:fill="E1DFDD"/>
    </w:rPr>
  </w:style>
  <w:style w:type="paragraph" w:styleId="Footer">
    <w:name w:val="footer"/>
    <w:link w:val="FooterChar"/>
    <w:uiPriority w:val="99"/>
    <w:unhideWhenUsed/>
    <w:rsid w:val="00FF715E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u-HU"/>
    </w:rPr>
  </w:style>
  <w:style w:type="character" w:customStyle="1" w:styleId="FooterChar">
    <w:name w:val="Footer Char"/>
    <w:basedOn w:val="DefaultParagraphFont"/>
    <w:link w:val="Footer"/>
    <w:uiPriority w:val="99"/>
    <w:rsid w:val="00FF715E"/>
    <w:rPr>
      <w:sz w:val="22"/>
      <w:lang w:val="hu-HU"/>
    </w:rPr>
  </w:style>
  <w:style w:type="paragraph" w:customStyle="1" w:styleId="Footer2">
    <w:name w:val="Footer2"/>
    <w:basedOn w:val="Normal12"/>
    <w:rsid w:val="00FF715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numbering" w:customStyle="1" w:styleId="NoList1">
    <w:name w:val="No List1"/>
    <w:next w:val="NoList"/>
    <w:uiPriority w:val="99"/>
    <w:semiHidden/>
    <w:unhideWhenUsed/>
    <w:rsid w:val="00683CE2"/>
  </w:style>
  <w:style w:type="paragraph" w:customStyle="1" w:styleId="NormalCentered">
    <w:name w:val="Normal Centered"/>
    <w:basedOn w:val="Normal"/>
    <w:rsid w:val="00683CE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83CE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83CE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83CE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83CE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83CE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83CE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683CE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83C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83C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683CE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83CE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83CE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83CE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83CE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83CE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83CE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83CE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83CE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83CE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83CE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83CE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83CE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83CE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83CE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83CE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83CE2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83CE2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83CE2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83CE2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83CE2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83CE2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83CE2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83CE2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83CE2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83CE2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83CE2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83CE2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83CE2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83CE2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83CE2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83CE2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83CE2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83CE2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83CE2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83CE2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83CE2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83CE2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83CE2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83CE2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83CE2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683CE2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683CE2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683CE2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683CE2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683CE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83CE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83CE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83CE2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683CE2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683CE2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683CE2"/>
    <w:pPr>
      <w:jc w:val="center"/>
    </w:pPr>
  </w:style>
  <w:style w:type="paragraph" w:customStyle="1" w:styleId="Jardin">
    <w:name w:val="Jardin"/>
    <w:basedOn w:val="Normal"/>
    <w:rsid w:val="00683CE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83CE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83CE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83CE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83CE2"/>
    <w:rPr>
      <w:b/>
    </w:rPr>
  </w:style>
  <w:style w:type="paragraph" w:customStyle="1" w:styleId="Annex">
    <w:name w:val="Annex"/>
    <w:basedOn w:val="Normal"/>
    <w:next w:val="Normal"/>
    <w:rsid w:val="00683CE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83CE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83CE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83CE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83CE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683CE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683CE2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683CE2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683CE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83CE2"/>
    <w:rPr>
      <w:color w:val="808080"/>
    </w:rPr>
  </w:style>
  <w:style w:type="paragraph" w:customStyle="1" w:styleId="ListDash2">
    <w:name w:val="List Dash 2"/>
    <w:basedOn w:val="Normal"/>
    <w:qFormat/>
    <w:rsid w:val="00683CE2"/>
    <w:pPr>
      <w:widowControl/>
      <w:numPr>
        <w:numId w:val="23"/>
      </w:numPr>
      <w:tabs>
        <w:tab w:val="clear" w:pos="1134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de-DE"/>
    </w:rPr>
  </w:style>
  <w:style w:type="character" w:customStyle="1" w:styleId="Hyperlink1">
    <w:name w:val="Hyperlink1"/>
    <w:basedOn w:val="DefaultParagraphFont"/>
    <w:uiPriority w:val="99"/>
    <w:unhideWhenUsed/>
    <w:qFormat/>
    <w:rsid w:val="00683CE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styleId="ListBullet4">
    <w:name w:val="List Bullet 4"/>
    <w:basedOn w:val="Normal"/>
    <w:rsid w:val="00683CE2"/>
    <w:pPr>
      <w:widowControl/>
      <w:numPr>
        <w:numId w:val="28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qFormat/>
    <w:rsid w:val="00683CE2"/>
    <w:pPr>
      <w:widowControl/>
      <w:numPr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683CE2"/>
    <w:pPr>
      <w:widowControl/>
      <w:numPr>
        <w:numId w:val="27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683CE2"/>
    <w:pPr>
      <w:widowControl/>
      <w:numPr>
        <w:numId w:val="2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683CE2"/>
    <w:pPr>
      <w:widowControl/>
      <w:numPr>
        <w:numId w:val="30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683CE2"/>
    <w:pPr>
      <w:widowControl/>
      <w:numPr>
        <w:ilvl w:val="1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683CE2"/>
    <w:pPr>
      <w:widowControl/>
      <w:numPr>
        <w:ilvl w:val="2"/>
        <w:numId w:val="3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683CE2"/>
    <w:pPr>
      <w:widowControl/>
      <w:numPr>
        <w:ilvl w:val="3"/>
        <w:numId w:val="31"/>
      </w:numPr>
      <w:spacing w:before="120" w:after="120"/>
      <w:jc w:val="both"/>
    </w:pPr>
    <w:rPr>
      <w:szCs w:val="22"/>
      <w:lang w:eastAsia="de-DE"/>
    </w:rPr>
  </w:style>
  <w:style w:type="table" w:customStyle="1" w:styleId="HTG1">
    <w:name w:val="HTG1"/>
    <w:basedOn w:val="TableNormal"/>
    <w:next w:val="TableGrid"/>
    <w:uiPriority w:val="39"/>
    <w:rsid w:val="00683CE2"/>
    <w:pPr>
      <w:spacing w:before="120" w:after="120"/>
      <w:jc w:val="both"/>
    </w:pPr>
    <w:rPr>
      <w:lang w:val="hu-HU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683CE2"/>
    <w:pPr>
      <w:widowControl/>
      <w:numPr>
        <w:numId w:val="32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683CE2"/>
    <w:pPr>
      <w:widowControl/>
      <w:numPr>
        <w:numId w:val="33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683CE2"/>
    <w:pPr>
      <w:widowControl/>
      <w:numPr>
        <w:numId w:val="34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683CE2"/>
    <w:pPr>
      <w:widowControl/>
      <w:numPr>
        <w:numId w:val="3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683CE2"/>
    <w:pPr>
      <w:widowControl/>
      <w:numPr>
        <w:numId w:val="3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683CE2"/>
    <w:pPr>
      <w:widowControl/>
      <w:numPr>
        <w:numId w:val="40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683CE2"/>
    <w:pPr>
      <w:widowControl/>
      <w:numPr>
        <w:numId w:val="3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683CE2"/>
    <w:pPr>
      <w:widowControl/>
      <w:numPr>
        <w:numId w:val="3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683CE2"/>
    <w:pPr>
      <w:numPr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683CE2"/>
    <w:pPr>
      <w:numPr>
        <w:ilvl w:val="1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683CE2"/>
    <w:pPr>
      <w:numPr>
        <w:ilvl w:val="1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683CE2"/>
    <w:pPr>
      <w:numPr>
        <w:ilvl w:val="1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683CE2"/>
    <w:pPr>
      <w:numPr>
        <w:ilvl w:val="1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683CE2"/>
    <w:pPr>
      <w:numPr>
        <w:ilvl w:val="2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683CE2"/>
    <w:pPr>
      <w:numPr>
        <w:ilvl w:val="2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683CE2"/>
    <w:pPr>
      <w:numPr>
        <w:ilvl w:val="2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683CE2"/>
    <w:pPr>
      <w:numPr>
        <w:ilvl w:val="2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683CE2"/>
    <w:pPr>
      <w:numPr>
        <w:ilvl w:val="3"/>
        <w:numId w:val="3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683CE2"/>
    <w:pPr>
      <w:numPr>
        <w:ilvl w:val="3"/>
        <w:numId w:val="3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683CE2"/>
    <w:pPr>
      <w:numPr>
        <w:ilvl w:val="3"/>
        <w:numId w:val="3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683CE2"/>
    <w:pPr>
      <w:numPr>
        <w:ilvl w:val="3"/>
        <w:numId w:val="4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683CE2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683CE2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683CE2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683CE2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683CE2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683CE2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683CE2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683CE2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683CE2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683CE2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683CE2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683CE2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683CE2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683CE2"/>
    <w:pPr>
      <w:widowControl/>
      <w:spacing w:before="120" w:after="120"/>
      <w:jc w:val="both"/>
    </w:pPr>
    <w:rPr>
      <w:szCs w:val="22"/>
    </w:rPr>
  </w:style>
  <w:style w:type="character" w:styleId="FollowedHyperlink">
    <w:name w:val="FollowedHyperlink"/>
    <w:uiPriority w:val="99"/>
    <w:rsid w:val="00683CE2"/>
    <w:rPr>
      <w:color w:val="800080"/>
      <w:u w:val="single"/>
    </w:rPr>
  </w:style>
  <w:style w:type="paragraph" w:customStyle="1" w:styleId="Sous-titreobjet">
    <w:name w:val="Sous-titre objet"/>
    <w:basedOn w:val="Normal"/>
    <w:rsid w:val="00683CE2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683CE2"/>
  </w:style>
  <w:style w:type="paragraph" w:customStyle="1" w:styleId="FooterCoverPage">
    <w:name w:val="Footer Cover Page"/>
    <w:basedOn w:val="Normal"/>
    <w:link w:val="FooterCoverPageChar"/>
    <w:rsid w:val="00683CE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FooterCoverPageChar">
    <w:name w:val="Footer Cover Page Char"/>
    <w:link w:val="FooterCoverPage"/>
    <w:rsid w:val="00683CE2"/>
    <w:rPr>
      <w:rFonts w:eastAsia="Calibri"/>
      <w:sz w:val="24"/>
      <w:szCs w:val="22"/>
      <w:lang w:val="hu-HU"/>
    </w:rPr>
  </w:style>
  <w:style w:type="paragraph" w:customStyle="1" w:styleId="HeaderCoverPage">
    <w:name w:val="Header Cover Page"/>
    <w:basedOn w:val="Normal"/>
    <w:link w:val="HeaderCoverPageChar"/>
    <w:rsid w:val="00683CE2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683CE2"/>
    <w:rPr>
      <w:rFonts w:eastAsia="Calibri"/>
      <w:sz w:val="24"/>
      <w:szCs w:val="22"/>
      <w:lang w:val="hu-HU"/>
    </w:rPr>
  </w:style>
  <w:style w:type="character" w:customStyle="1" w:styleId="superscript">
    <w:name w:val="superscript"/>
    <w:basedOn w:val="DefaultParagraphFont"/>
    <w:rsid w:val="00683CE2"/>
  </w:style>
  <w:style w:type="character" w:customStyle="1" w:styleId="italics">
    <w:name w:val="italics"/>
    <w:basedOn w:val="DefaultParagraphFont"/>
    <w:rsid w:val="00683CE2"/>
  </w:style>
  <w:style w:type="paragraph" w:customStyle="1" w:styleId="title-article-norm">
    <w:name w:val="title-article-norm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annex-1">
    <w:name w:val="title-annex-1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List1">
    <w:name w:val="List1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itle-table">
    <w:name w:val="title-table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footnote">
    <w:name w:val="footnote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Strong">
    <w:name w:val="Strong"/>
    <w:basedOn w:val="DefaultParagraphFont"/>
    <w:uiPriority w:val="22"/>
    <w:qFormat/>
    <w:rsid w:val="00683CE2"/>
    <w:rPr>
      <w:b/>
      <w:bCs/>
    </w:rPr>
  </w:style>
  <w:style w:type="paragraph" w:customStyle="1" w:styleId="sti-art">
    <w:name w:val="sti-art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2">
    <w:name w:val="Normal2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3">
    <w:name w:val="Normal3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5">
    <w:name w:val="Normal5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10">
    <w:name w:val="text1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ti-art">
    <w:name w:val="oj-ti-art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sti-art">
    <w:name w:val="oj-sti-art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oj-normal">
    <w:name w:val="oj-normal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oj-italic">
    <w:name w:val="oj-italic"/>
    <w:basedOn w:val="DefaultParagraphFont"/>
    <w:rsid w:val="00683CE2"/>
  </w:style>
  <w:style w:type="character" w:customStyle="1" w:styleId="italic">
    <w:name w:val="italic"/>
    <w:basedOn w:val="DefaultParagraphFont"/>
    <w:rsid w:val="00683CE2"/>
  </w:style>
  <w:style w:type="paragraph" w:customStyle="1" w:styleId="Normal7">
    <w:name w:val="Normal7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8">
    <w:name w:val="Normal8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683CE2"/>
    <w:rPr>
      <w:rFonts w:ascii="Calibri" w:eastAsia="Calibri" w:hAnsi="Calibri" w:cs="Arial"/>
      <w:lang w:val="hu-HU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9">
    <w:name w:val="Normal9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Emphasis">
    <w:name w:val="Emphasis"/>
    <w:basedOn w:val="DefaultParagraphFont"/>
    <w:uiPriority w:val="20"/>
    <w:qFormat/>
    <w:rsid w:val="00683CE2"/>
    <w:rPr>
      <w:i/>
      <w:iCs/>
    </w:rPr>
  </w:style>
  <w:style w:type="character" w:customStyle="1" w:styleId="italic1">
    <w:name w:val="italic1"/>
    <w:basedOn w:val="DefaultParagraphFont"/>
    <w:rsid w:val="00683CE2"/>
    <w:rPr>
      <w:i/>
      <w:iCs/>
    </w:rPr>
  </w:style>
  <w:style w:type="paragraph" w:customStyle="1" w:styleId="paragraph">
    <w:name w:val="paragraph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point0letterautonumber">
    <w:name w:val="point 0 letter autonumber"/>
    <w:basedOn w:val="Normal"/>
    <w:next w:val="Normal"/>
    <w:qFormat/>
    <w:rsid w:val="00683CE2"/>
    <w:pPr>
      <w:widowControl/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oj-super">
    <w:name w:val="oj-super"/>
    <w:basedOn w:val="DefaultParagraphFont"/>
    <w:rsid w:val="00683CE2"/>
  </w:style>
  <w:style w:type="paragraph" w:customStyle="1" w:styleId="Normal10">
    <w:name w:val="Normal10"/>
    <w:basedOn w:val="Normal"/>
    <w:rsid w:val="00683CE2"/>
    <w:pPr>
      <w:widowControl/>
      <w:spacing w:before="100" w:beforeAutospacing="1" w:after="100" w:afterAutospacing="1"/>
    </w:pPr>
    <w:rPr>
      <w:rFonts w:eastAsia="Calibri"/>
      <w:szCs w:val="24"/>
      <w:lang w:eastAsia="fr-BE"/>
    </w:rPr>
  </w:style>
  <w:style w:type="character" w:customStyle="1" w:styleId="ListParagraphChar">
    <w:name w:val="List Paragraph Char"/>
    <w:aliases w:val="Paragraphe EI Char,Paragraphe de liste1 Char,EC Char,Paragraphe de liste Char,Issue Action POC Char,List Paragraph1 Char,3 Char,POCG Table Text Char,Dot pt Char,F5 List Paragraph Char,List Paragraph Char Char Char Char,L Char"/>
    <w:link w:val="ListParagraph"/>
    <w:uiPriority w:val="34"/>
    <w:qFormat/>
    <w:locked/>
    <w:rsid w:val="00683CE2"/>
    <w:rPr>
      <w:rFonts w:eastAsiaTheme="minorHAnsi"/>
      <w:sz w:val="24"/>
      <w:szCs w:val="24"/>
      <w:lang w:val="hu-HU" w:eastAsia="en-US"/>
    </w:rPr>
  </w:style>
  <w:style w:type="paragraph" w:customStyle="1" w:styleId="Normal11">
    <w:name w:val="Normal11"/>
    <w:basedOn w:val="Normal"/>
    <w:rsid w:val="00683CE2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683CE2"/>
  </w:style>
  <w:style w:type="character" w:customStyle="1" w:styleId="markedcontent">
    <w:name w:val="markedcontent"/>
    <w:basedOn w:val="DefaultParagraphFont"/>
    <w:rsid w:val="00683CE2"/>
  </w:style>
  <w:style w:type="character" w:customStyle="1" w:styleId="num">
    <w:name w:val="num"/>
    <w:basedOn w:val="DefaultParagraphFont"/>
    <w:rsid w:val="00683CE2"/>
  </w:style>
  <w:style w:type="paragraph" w:customStyle="1" w:styleId="norm">
    <w:name w:val="norm"/>
    <w:basedOn w:val="Normal"/>
    <w:rsid w:val="00683CE2"/>
    <w:pPr>
      <w:widowControl/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efaultParagraphFont"/>
    <w:rsid w:val="00683CE2"/>
    <w:rPr>
      <w:rFonts w:ascii="Times New Roman" w:hAnsi="Times New Roman" w:cs="Times New Roman" w:hint="default"/>
    </w:rPr>
  </w:style>
  <w:style w:type="character" w:customStyle="1" w:styleId="contents">
    <w:name w:val="contents"/>
    <w:basedOn w:val="DefaultParagraphFont"/>
    <w:rsid w:val="00683CE2"/>
  </w:style>
  <w:style w:type="table" w:customStyle="1" w:styleId="TableGrid1">
    <w:name w:val="Table Grid1"/>
    <w:basedOn w:val="TableNormal"/>
    <w:next w:val="TableGrid"/>
    <w:uiPriority w:val="59"/>
    <w:rsid w:val="00683CE2"/>
    <w:pPr>
      <w:spacing w:before="120" w:after="120"/>
      <w:jc w:val="both"/>
    </w:pPr>
    <w:rPr>
      <w:lang w:val="hu-HU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tle-article-norm">
    <w:name w:val="stitle-article-norm"/>
    <w:basedOn w:val="Normal"/>
    <w:rsid w:val="00683CE2"/>
    <w:pPr>
      <w:widowControl/>
      <w:spacing w:before="100" w:beforeAutospacing="1" w:after="100" w:afterAutospacing="1"/>
    </w:pPr>
    <w:rPr>
      <w:szCs w:val="24"/>
      <w:lang w:eastAsia="fr-BE"/>
    </w:rPr>
  </w:style>
  <w:style w:type="table" w:customStyle="1" w:styleId="GridTable1Light-Accent111">
    <w:name w:val="Grid Table 1 Light - Accent 111"/>
    <w:basedOn w:val="TableNormal"/>
    <w:next w:val="GridTable1Light-Accent1"/>
    <w:uiPriority w:val="46"/>
    <w:rsid w:val="00683CE2"/>
    <w:rPr>
      <w:rFonts w:ascii="Calibri" w:eastAsia="Calibri" w:hAnsi="Calibri" w:cs="Arial"/>
      <w:lang w:val="hu-HU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ighlight">
    <w:name w:val="highlight"/>
    <w:basedOn w:val="DefaultParagraphFont"/>
    <w:rsid w:val="00683CE2"/>
  </w:style>
  <w:style w:type="character" w:customStyle="1" w:styleId="None">
    <w:name w:val="None"/>
    <w:rsid w:val="00683CE2"/>
  </w:style>
  <w:style w:type="paragraph" w:customStyle="1" w:styleId="nor">
    <w:name w:val="nor"/>
    <w:basedOn w:val="Normal"/>
    <w:rsid w:val="00683CE2"/>
    <w:pPr>
      <w:widowControl/>
      <w:numPr>
        <w:numId w:val="44"/>
      </w:numPr>
      <w:tabs>
        <w:tab w:val="num" w:pos="360"/>
      </w:tabs>
      <w:spacing w:before="120" w:after="120"/>
      <w:ind w:left="360"/>
      <w:jc w:val="both"/>
    </w:pPr>
    <w:rPr>
      <w:rFonts w:eastAsia="Calibri"/>
      <w:szCs w:val="22"/>
      <w:lang w:eastAsia="en-US"/>
    </w:rPr>
  </w:style>
  <w:style w:type="character" w:customStyle="1" w:styleId="hgkelc">
    <w:name w:val="hgkelc"/>
    <w:basedOn w:val="DefaultParagraphFont"/>
    <w:rsid w:val="00683CE2"/>
  </w:style>
  <w:style w:type="paragraph" w:customStyle="1" w:styleId="TOC41">
    <w:name w:val="TOC 41"/>
    <w:basedOn w:val="Normal"/>
    <w:next w:val="Normal"/>
    <w:uiPriority w:val="39"/>
    <w:unhideWhenUsed/>
    <w:rsid w:val="00683CE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683CE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683CE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683CE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683CE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683CE2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683C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83CE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83C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683CE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83CE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83C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83CE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83CE2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83CE2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83CE2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83CE2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683CE2"/>
    <w:pPr>
      <w:numPr>
        <w:numId w:val="41"/>
      </w:numPr>
      <w:tabs>
        <w:tab w:val="clear" w:pos="850"/>
        <w:tab w:val="num" w:pos="1492"/>
      </w:tabs>
      <w:ind w:left="1492" w:hanging="360"/>
    </w:pPr>
  </w:style>
  <w:style w:type="paragraph" w:customStyle="1" w:styleId="Tiret1">
    <w:name w:val="Tiret 1"/>
    <w:basedOn w:val="Point1"/>
    <w:rsid w:val="00683CE2"/>
    <w:pPr>
      <w:numPr>
        <w:numId w:val="43"/>
      </w:numPr>
      <w:tabs>
        <w:tab w:val="clear" w:pos="1417"/>
        <w:tab w:val="num" w:pos="360"/>
      </w:tabs>
      <w:ind w:left="360" w:hanging="360"/>
    </w:pPr>
  </w:style>
  <w:style w:type="paragraph" w:customStyle="1" w:styleId="Tiret2">
    <w:name w:val="Tiret 2"/>
    <w:basedOn w:val="Point2"/>
    <w:rsid w:val="00683CE2"/>
    <w:pPr>
      <w:numPr>
        <w:numId w:val="42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683CE2"/>
    <w:pPr>
      <w:numPr>
        <w:numId w:val="45"/>
      </w:numPr>
      <w:tabs>
        <w:tab w:val="clear" w:pos="2551"/>
        <w:tab w:val="num" w:pos="360"/>
      </w:tabs>
      <w:ind w:left="360" w:hanging="360"/>
    </w:pPr>
  </w:style>
  <w:style w:type="paragraph" w:customStyle="1" w:styleId="Tiret4">
    <w:name w:val="Tiret 4"/>
    <w:basedOn w:val="Point4"/>
    <w:rsid w:val="00683CE2"/>
    <w:pPr>
      <w:numPr>
        <w:numId w:val="46"/>
      </w:numPr>
      <w:tabs>
        <w:tab w:val="clear" w:pos="3118"/>
      </w:tabs>
      <w:ind w:left="360" w:hanging="360"/>
    </w:pPr>
  </w:style>
  <w:style w:type="paragraph" w:customStyle="1" w:styleId="Tiret5">
    <w:name w:val="Tiret 5"/>
    <w:basedOn w:val="Point5"/>
    <w:rsid w:val="00683CE2"/>
    <w:pPr>
      <w:numPr>
        <w:numId w:val="47"/>
      </w:numPr>
      <w:tabs>
        <w:tab w:val="clear" w:pos="3685"/>
      </w:tabs>
      <w:ind w:left="360" w:hanging="360"/>
    </w:pPr>
  </w:style>
  <w:style w:type="paragraph" w:customStyle="1" w:styleId="PointDouble0">
    <w:name w:val="PointDouble 0"/>
    <w:basedOn w:val="Normal"/>
    <w:rsid w:val="00683CE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83CE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83CE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83CE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83CE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83CE2"/>
    <w:pPr>
      <w:widowControl/>
      <w:numPr>
        <w:numId w:val="24"/>
      </w:numPr>
      <w:tabs>
        <w:tab w:val="clear" w:pos="850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83CE2"/>
    <w:pPr>
      <w:widowControl/>
      <w:numPr>
        <w:ilvl w:val="1"/>
        <w:numId w:val="24"/>
      </w:numPr>
      <w:tabs>
        <w:tab w:val="clear" w:pos="850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83CE2"/>
    <w:pPr>
      <w:widowControl/>
      <w:numPr>
        <w:ilvl w:val="2"/>
        <w:numId w:val="24"/>
      </w:numPr>
      <w:tabs>
        <w:tab w:val="clear" w:pos="850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83CE2"/>
    <w:pPr>
      <w:widowControl/>
      <w:numPr>
        <w:ilvl w:val="3"/>
        <w:numId w:val="24"/>
      </w:numPr>
      <w:tabs>
        <w:tab w:val="clear" w:pos="850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83CE2"/>
    <w:pPr>
      <w:widowControl/>
      <w:numPr>
        <w:ilvl w:val="4"/>
        <w:numId w:val="24"/>
      </w:numPr>
      <w:tabs>
        <w:tab w:val="clear" w:pos="1417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83CE2"/>
    <w:pPr>
      <w:widowControl/>
      <w:numPr>
        <w:ilvl w:val="5"/>
        <w:numId w:val="24"/>
      </w:numPr>
      <w:tabs>
        <w:tab w:val="clear" w:pos="1417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83CE2"/>
    <w:pPr>
      <w:widowControl/>
      <w:numPr>
        <w:ilvl w:val="6"/>
        <w:numId w:val="24"/>
      </w:numPr>
      <w:tabs>
        <w:tab w:val="clear" w:pos="1417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83C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83C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83C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83C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83CE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83CE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83CE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83CE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83CE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83C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83C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83C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683C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683C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683C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83CE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83CE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83CE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83CE2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683CE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683CE2"/>
    <w:pPr>
      <w:widowControl/>
      <w:numPr>
        <w:numId w:val="25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83CE2"/>
    <w:pPr>
      <w:widowControl/>
      <w:numPr>
        <w:ilvl w:val="2"/>
        <w:numId w:val="25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83CE2"/>
    <w:pPr>
      <w:widowControl/>
      <w:numPr>
        <w:ilvl w:val="4"/>
        <w:numId w:val="25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83CE2"/>
    <w:pPr>
      <w:widowControl/>
      <w:numPr>
        <w:ilvl w:val="6"/>
        <w:numId w:val="25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83CE2"/>
    <w:pPr>
      <w:widowControl/>
      <w:numPr>
        <w:ilvl w:val="1"/>
        <w:numId w:val="25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83CE2"/>
    <w:pPr>
      <w:widowControl/>
      <w:numPr>
        <w:ilvl w:val="3"/>
        <w:numId w:val="25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83CE2"/>
    <w:pPr>
      <w:widowControl/>
      <w:numPr>
        <w:ilvl w:val="5"/>
        <w:numId w:val="25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83CE2"/>
    <w:pPr>
      <w:widowControl/>
      <w:numPr>
        <w:ilvl w:val="7"/>
        <w:numId w:val="25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83CE2"/>
    <w:pPr>
      <w:widowControl/>
      <w:numPr>
        <w:ilvl w:val="8"/>
        <w:numId w:val="25"/>
      </w:numPr>
      <w:tabs>
        <w:tab w:val="clear" w:pos="3118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83CE2"/>
    <w:pPr>
      <w:widowControl/>
      <w:numPr>
        <w:numId w:val="48"/>
      </w:numPr>
      <w:tabs>
        <w:tab w:val="clear" w:pos="850"/>
      </w:tabs>
      <w:spacing w:before="120" w:after="120"/>
      <w:ind w:left="72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83CE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83CE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83CE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83CE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83CE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83CE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683CE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683CE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683CE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83CE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83C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83C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83C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83CE2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683CE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83CE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83CE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83CE2"/>
    <w:pPr>
      <w:widowControl/>
      <w:numPr>
        <w:numId w:val="26"/>
      </w:numPr>
      <w:tabs>
        <w:tab w:val="clear" w:pos="709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83CE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83CE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83C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683CE2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83CE2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83CE2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83CE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83CE2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83CE2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83CE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83CE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83CE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83CE2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83CE2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83CE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683CE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83CE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83CE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83CE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83CE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83CE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683CE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83C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83CE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83CE2"/>
  </w:style>
  <w:style w:type="paragraph" w:customStyle="1" w:styleId="StatutPagedecouverture">
    <w:name w:val="Statut (Page de couverture)"/>
    <w:basedOn w:val="Statut"/>
    <w:next w:val="TypedudocumentPagedecouverture"/>
    <w:rsid w:val="00683CE2"/>
  </w:style>
  <w:style w:type="paragraph" w:customStyle="1" w:styleId="TitreobjetPagedecouverture">
    <w:name w:val="Titre objet (Page de couverture)"/>
    <w:basedOn w:val="Titreobjet"/>
    <w:next w:val="IntrtEEEPagedecouverture"/>
    <w:rsid w:val="00683CE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83CE2"/>
  </w:style>
  <w:style w:type="paragraph" w:customStyle="1" w:styleId="Volume">
    <w:name w:val="Volume"/>
    <w:basedOn w:val="Normal"/>
    <w:next w:val="Confidentialit"/>
    <w:rsid w:val="00683CE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83CE2"/>
    <w:pPr>
      <w:spacing w:after="240"/>
    </w:pPr>
  </w:style>
  <w:style w:type="paragraph" w:customStyle="1" w:styleId="Accompagnant">
    <w:name w:val="Accompagnant"/>
    <w:basedOn w:val="Normal"/>
    <w:next w:val="Typeacteprincipal"/>
    <w:rsid w:val="00683CE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83CE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83CE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83CE2"/>
  </w:style>
  <w:style w:type="paragraph" w:customStyle="1" w:styleId="AccompagnantPagedecouverture">
    <w:name w:val="Accompagnant (Page de couverture)"/>
    <w:basedOn w:val="Accompagnant"/>
    <w:next w:val="TypeacteprincipalPagedecouverture"/>
    <w:rsid w:val="00683CE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83CE2"/>
  </w:style>
  <w:style w:type="paragraph" w:customStyle="1" w:styleId="ObjetacteprincipalPagedecouverture">
    <w:name w:val="Objet acte principal (Page de couverture)"/>
    <w:basedOn w:val="Objetacteprincipal"/>
    <w:next w:val="Rfrencecroise"/>
    <w:rsid w:val="00683CE2"/>
  </w:style>
  <w:style w:type="paragraph" w:customStyle="1" w:styleId="LanguesfaisantfoiPagedecouverture">
    <w:name w:val="Langues faisant foi (Page de couverture)"/>
    <w:basedOn w:val="Normal"/>
    <w:next w:val="Normal"/>
    <w:rsid w:val="00683CE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83C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83C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nbbordered">
    <w:name w:val="nb bordered"/>
    <w:basedOn w:val="Normal"/>
    <w:link w:val="nbborderedChar"/>
    <w:rsid w:val="00683C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683CE2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683CE2"/>
    <w:rPr>
      <w:rFonts w:ascii="Times New Roman" w:hAnsi="Times New Roman" w:cs="Times New Roman"/>
      <w:sz w:val="2"/>
      <w:lang w:val="hu-HU"/>
    </w:rPr>
  </w:style>
  <w:style w:type="character" w:customStyle="1" w:styleId="FooterCouncilChar">
    <w:name w:val="Footer Council Char"/>
    <w:basedOn w:val="DefaultParagraphFont"/>
    <w:rsid w:val="00683CE2"/>
    <w:rPr>
      <w:rFonts w:ascii="Times New Roman" w:hAnsi="Times New Roman" w:cs="Times New Roman"/>
      <w:sz w:val="2"/>
      <w:lang w:val="hu-HU"/>
    </w:rPr>
  </w:style>
  <w:style w:type="paragraph" w:customStyle="1" w:styleId="title-bold">
    <w:name w:val="title-bold"/>
    <w:basedOn w:val="Normal"/>
    <w:uiPriority w:val="99"/>
    <w:semiHidden/>
    <w:rsid w:val="00683CE2"/>
    <w:pPr>
      <w:widowControl/>
      <w:spacing w:before="100" w:beforeAutospacing="1" w:after="100" w:afterAutospacing="1"/>
    </w:pPr>
    <w:rPr>
      <w:rFonts w:ascii="Calibri" w:eastAsia="Malgun Gothic" w:hAnsi="Calibri" w:cs="Calibri"/>
      <w:sz w:val="22"/>
      <w:szCs w:val="22"/>
      <w:lang w:eastAsia="ko-KR"/>
    </w:rPr>
  </w:style>
  <w:style w:type="character" w:customStyle="1" w:styleId="tw4winMark">
    <w:name w:val="tw4winMark"/>
    <w:rsid w:val="00683CE2"/>
    <w:rPr>
      <w:vanish/>
      <w:color w:val="800080"/>
      <w:vertAlign w:val="subscript"/>
    </w:rPr>
  </w:style>
  <w:style w:type="character" w:customStyle="1" w:styleId="TOCHeadingChar">
    <w:name w:val="TOC Heading Char"/>
    <w:uiPriority w:val="39"/>
    <w:rsid w:val="00683CE2"/>
    <w:rPr>
      <w:rFonts w:ascii="Times New Roman" w:hAnsi="Times New Roman" w:cs="Times New Roman"/>
      <w:b/>
      <w:sz w:val="28"/>
      <w:lang w:val="hu-HU"/>
    </w:rPr>
  </w:style>
  <w:style w:type="character" w:customStyle="1" w:styleId="sub">
    <w:name w:val="sub"/>
    <w:basedOn w:val="DefaultParagraphFont"/>
    <w:rsid w:val="00683CE2"/>
  </w:style>
  <w:style w:type="character" w:customStyle="1" w:styleId="CRMarker">
    <w:name w:val="CR Marker"/>
    <w:basedOn w:val="DefaultParagraphFont"/>
    <w:uiPriority w:val="99"/>
    <w:rsid w:val="00683CE2"/>
    <w:rPr>
      <w:rFonts w:ascii="Wingdings" w:hAnsi="Wingdings" w:cs="Wingdings"/>
    </w:rPr>
  </w:style>
  <w:style w:type="paragraph" w:customStyle="1" w:styleId="CRSeparator">
    <w:name w:val="CR Separator"/>
    <w:basedOn w:val="Normal"/>
    <w:next w:val="CRReference"/>
    <w:uiPriority w:val="99"/>
    <w:rsid w:val="00683CE2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="Malgun Gothic"/>
      <w:szCs w:val="24"/>
    </w:rPr>
  </w:style>
  <w:style w:type="paragraph" w:customStyle="1" w:styleId="CRReference">
    <w:name w:val="CR Reference"/>
    <w:basedOn w:val="Normal"/>
    <w:uiPriority w:val="99"/>
    <w:rsid w:val="00683CE2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="Malgun Gothic"/>
      <w:szCs w:val="24"/>
    </w:rPr>
  </w:style>
  <w:style w:type="character" w:customStyle="1" w:styleId="super">
    <w:name w:val="super"/>
    <w:basedOn w:val="DefaultParagraphFont"/>
    <w:rsid w:val="00683CE2"/>
  </w:style>
  <w:style w:type="paragraph" w:customStyle="1" w:styleId="doc-ti">
    <w:name w:val="doc-ti"/>
    <w:basedOn w:val="Normal"/>
    <w:rsid w:val="00683C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683CE2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683CE2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683CE2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LegalNumPar">
    <w:name w:val="LegalNumPar"/>
    <w:basedOn w:val="Normal"/>
    <w:rsid w:val="00683CE2"/>
    <w:pPr>
      <w:widowControl/>
      <w:numPr>
        <w:numId w:val="49"/>
      </w:numPr>
      <w:tabs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egalNumPar2">
    <w:name w:val="LegalNumPar2"/>
    <w:basedOn w:val="Normal"/>
    <w:rsid w:val="00683CE2"/>
    <w:pPr>
      <w:widowControl/>
      <w:numPr>
        <w:ilvl w:val="1"/>
        <w:numId w:val="49"/>
      </w:numPr>
      <w:tabs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egalNumPar3">
    <w:name w:val="LegalNumPar3"/>
    <w:basedOn w:val="Normal"/>
    <w:rsid w:val="00683CE2"/>
    <w:pPr>
      <w:widowControl/>
      <w:numPr>
        <w:ilvl w:val="2"/>
        <w:numId w:val="49"/>
      </w:numPr>
      <w:tabs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character" w:customStyle="1" w:styleId="tw4winError">
    <w:name w:val="tw4winError"/>
    <w:rsid w:val="00683CE2"/>
    <w:rPr>
      <w:color w:val="00FF00"/>
      <w:sz w:val="40"/>
      <w:lang w:val="hu-HU" w:eastAsia="en-GB"/>
    </w:rPr>
  </w:style>
  <w:style w:type="character" w:customStyle="1" w:styleId="tw4winTerm">
    <w:name w:val="tw4winTerm"/>
    <w:rsid w:val="00683CE2"/>
    <w:rPr>
      <w:color w:val="0000FF"/>
      <w:lang w:val="hu-HU" w:eastAsia="en-GB"/>
    </w:rPr>
  </w:style>
  <w:style w:type="character" w:customStyle="1" w:styleId="tw4winPopup">
    <w:name w:val="tw4winPopup"/>
    <w:rsid w:val="00683CE2"/>
    <w:rPr>
      <w:noProof/>
      <w:color w:val="008000"/>
      <w:lang w:val="hu-HU" w:eastAsia="en-GB"/>
    </w:rPr>
  </w:style>
  <w:style w:type="character" w:customStyle="1" w:styleId="tw4winJump">
    <w:name w:val="tw4winJump"/>
    <w:rsid w:val="00683CE2"/>
    <w:rPr>
      <w:noProof/>
      <w:color w:val="008080"/>
      <w:lang w:val="hu-HU" w:eastAsia="en-GB"/>
    </w:rPr>
  </w:style>
  <w:style w:type="character" w:customStyle="1" w:styleId="tw4winExternal">
    <w:name w:val="tw4winExternal"/>
    <w:rsid w:val="00683CE2"/>
    <w:rPr>
      <w:noProof/>
      <w:color w:val="808080"/>
      <w:lang w:val="hu-HU" w:eastAsia="en-GB"/>
    </w:rPr>
  </w:style>
  <w:style w:type="character" w:customStyle="1" w:styleId="tw4winInternal">
    <w:name w:val="tw4winInternal"/>
    <w:rsid w:val="00683CE2"/>
    <w:rPr>
      <w:noProof/>
      <w:color w:val="FF0000"/>
      <w:lang w:val="hu-HU" w:eastAsia="en-GB"/>
    </w:rPr>
  </w:style>
  <w:style w:type="character" w:customStyle="1" w:styleId="DONOTTRANSLATE">
    <w:name w:val="DO_NOT_TRANSLATE"/>
    <w:rsid w:val="00683CE2"/>
    <w:rPr>
      <w:noProof/>
      <w:color w:val="800000"/>
      <w:lang w:val="hu-HU" w:eastAsia="en-GB"/>
    </w:rPr>
  </w:style>
  <w:style w:type="paragraph" w:customStyle="1" w:styleId="Ttitrearticle">
    <w:name w:val="Ttitre article"/>
    <w:basedOn w:val="Text1"/>
    <w:rsid w:val="00683CE2"/>
    <w:pPr>
      <w:spacing w:line="240" w:lineRule="auto"/>
      <w:ind w:left="850"/>
      <w:jc w:val="center"/>
    </w:pPr>
    <w:rPr>
      <w:i/>
      <w:color w:val="000000"/>
    </w:rPr>
  </w:style>
  <w:style w:type="paragraph" w:customStyle="1" w:styleId="PointTriple0">
    <w:name w:val="PointTriple 0"/>
    <w:basedOn w:val="Normal"/>
    <w:rsid w:val="00683CE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83CE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83CE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83CE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83CE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link w:val="pjChar"/>
    <w:rsid w:val="00683CE2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683CE2"/>
    <w:rPr>
      <w:rFonts w:eastAsia="Calibri"/>
      <w:sz w:val="24"/>
      <w:szCs w:val="22"/>
      <w:lang w:val="hu-HU" w:eastAsia="en-US"/>
    </w:rPr>
  </w:style>
  <w:style w:type="table" w:customStyle="1" w:styleId="CV111">
    <w:name w:val="CV111"/>
    <w:basedOn w:val="TableNormal"/>
    <w:uiPriority w:val="39"/>
    <w:rsid w:val="00683CE2"/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83CE2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683CE2"/>
  </w:style>
  <w:style w:type="character" w:customStyle="1" w:styleId="rynqvb">
    <w:name w:val="rynqvb"/>
    <w:basedOn w:val="DefaultParagraphFont"/>
    <w:rsid w:val="00683CE2"/>
  </w:style>
  <w:style w:type="character" w:customStyle="1" w:styleId="subscript">
    <w:name w:val="subscript"/>
    <w:basedOn w:val="DefaultParagraphFont"/>
    <w:rsid w:val="00683CE2"/>
  </w:style>
  <w:style w:type="character" w:customStyle="1" w:styleId="fontstyle01">
    <w:name w:val="fontstyle01"/>
    <w:basedOn w:val="DefaultParagraphFont"/>
    <w:rsid w:val="00683CE2"/>
    <w:rPr>
      <w:rFonts w:ascii="TimesNewRomanPS-BoldMT" w:hAnsi="TimesNewRomanPS-BoldMT" w:hint="default"/>
      <w:b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683CE2"/>
    <w:rPr>
      <w:rFonts w:ascii="TimesNewRomanPS-BoldItalicMT" w:hAnsi="TimesNewRomanPS-BoldItalicMT" w:hint="default"/>
      <w:b/>
      <w:bCs w:val="0"/>
      <w:i/>
      <w:iCs w:val="0"/>
      <w:color w:val="000000"/>
      <w:sz w:val="24"/>
      <w:szCs w:val="24"/>
    </w:rPr>
  </w:style>
  <w:style w:type="paragraph" w:customStyle="1" w:styleId="Text7">
    <w:name w:val="Text 7"/>
    <w:basedOn w:val="Normal"/>
    <w:rsid w:val="00683C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83C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83C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0">
    <w:name w:val="Text 10"/>
    <w:basedOn w:val="Normal"/>
    <w:rsid w:val="00683C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83C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83C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83C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83C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83CE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83CE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83CE2"/>
    <w:pPr>
      <w:widowControl/>
      <w:numPr>
        <w:numId w:val="50"/>
      </w:numPr>
      <w:tabs>
        <w:tab w:val="clear" w:pos="4252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83CE2"/>
    <w:pPr>
      <w:widowControl/>
      <w:numPr>
        <w:numId w:val="51"/>
      </w:numPr>
      <w:tabs>
        <w:tab w:val="clear" w:pos="4819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83CE2"/>
    <w:pPr>
      <w:widowControl/>
      <w:numPr>
        <w:numId w:val="52"/>
      </w:numPr>
      <w:tabs>
        <w:tab w:val="clear" w:pos="5386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83CE2"/>
    <w:pPr>
      <w:widowControl/>
      <w:numPr>
        <w:numId w:val="53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83CE2"/>
    <w:pPr>
      <w:widowControl/>
      <w:numPr>
        <w:numId w:val="54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83CE2"/>
    <w:pPr>
      <w:widowControl/>
      <w:numPr>
        <w:numId w:val="55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83CE2"/>
    <w:pPr>
      <w:widowControl/>
      <w:numPr>
        <w:numId w:val="56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83C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683CE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83CE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83CE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83CE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83CE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83C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83CE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83C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83CE2"/>
    <w:pPr>
      <w:spacing w:before="240"/>
    </w:pPr>
  </w:style>
  <w:style w:type="paragraph" w:customStyle="1" w:styleId="Accordtitre">
    <w:name w:val="Accord titre"/>
    <w:basedOn w:val="Normal"/>
    <w:rsid w:val="00683CE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83CE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83CE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83CE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683CE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83CE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83CE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83CE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83CE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83CE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83CE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83CE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83CE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83CE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83CE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83CE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83C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83C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83C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83C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83C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83C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83C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83C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83CE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83C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83C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83CE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u-HU" w:eastAsia="en-US"/>
    </w:rPr>
  </w:style>
  <w:style w:type="paragraph" w:customStyle="1" w:styleId="CommentFwdQuotedText">
    <w:name w:val="CommentFwdQuotedText"/>
    <w:basedOn w:val="Normal"/>
    <w:rsid w:val="00683CE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83CE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683CE2"/>
    <w:rPr>
      <w:b/>
      <w:i/>
    </w:rPr>
  </w:style>
  <w:style w:type="character" w:customStyle="1" w:styleId="diff-tte-removed">
    <w:name w:val="diff-tte-removed"/>
    <w:basedOn w:val="DefaultParagraphFont"/>
    <w:rsid w:val="00683CE2"/>
    <w:rPr>
      <w:strike/>
    </w:rPr>
  </w:style>
  <w:style w:type="paragraph" w:customStyle="1" w:styleId="BodyText1">
    <w:name w:val="Body Text1"/>
    <w:basedOn w:val="Normal"/>
    <w:next w:val="BodyText"/>
    <w:link w:val="BodyTextChar"/>
    <w:uiPriority w:val="99"/>
    <w:semiHidden/>
    <w:unhideWhenUsed/>
    <w:rsid w:val="00683CE2"/>
    <w:pPr>
      <w:widowControl/>
      <w:spacing w:after="120" w:line="259" w:lineRule="auto"/>
    </w:pPr>
    <w:rPr>
      <w:sz w:val="20"/>
      <w:lang w:val="en-GB"/>
    </w:rPr>
  </w:style>
  <w:style w:type="character" w:customStyle="1" w:styleId="BodyTextChar">
    <w:name w:val="Body Text Char"/>
    <w:basedOn w:val="DefaultParagraphFont"/>
    <w:link w:val="BodyText1"/>
    <w:uiPriority w:val="99"/>
    <w:semiHidden/>
    <w:rsid w:val="00683CE2"/>
  </w:style>
  <w:style w:type="paragraph" w:customStyle="1" w:styleId="footnotedescription">
    <w:name w:val="footnote description"/>
    <w:next w:val="Normal"/>
    <w:link w:val="footnotedescriptionChar"/>
    <w:hidden/>
    <w:rsid w:val="00683CE2"/>
    <w:pPr>
      <w:spacing w:line="256" w:lineRule="auto"/>
      <w:ind w:left="720" w:hanging="720"/>
    </w:pPr>
    <w:rPr>
      <w:color w:val="000000"/>
      <w:sz w:val="24"/>
      <w:szCs w:val="22"/>
      <w:lang w:val="hu-HU"/>
    </w:rPr>
  </w:style>
  <w:style w:type="character" w:customStyle="1" w:styleId="footnotedescriptionChar">
    <w:name w:val="footnote description Char"/>
    <w:link w:val="footnotedescription"/>
    <w:rsid w:val="00683CE2"/>
    <w:rPr>
      <w:color w:val="000000"/>
      <w:sz w:val="24"/>
      <w:szCs w:val="22"/>
      <w:lang w:val="hu-HU"/>
    </w:rPr>
  </w:style>
  <w:style w:type="character" w:customStyle="1" w:styleId="footnotemark">
    <w:name w:val="footnote mark"/>
    <w:hidden/>
    <w:rsid w:val="00683CE2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Grid1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9">
    <w:name w:val="TableGrid9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0">
    <w:name w:val="TableGrid10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2">
    <w:name w:val="TableGrid12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3">
    <w:name w:val="TableGrid13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4">
    <w:name w:val="TableGrid14"/>
    <w:rsid w:val="00683CE2"/>
    <w:rPr>
      <w:rFonts w:ascii="Calibri" w:eastAsia="Malgun Gothic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5">
    <w:name w:val="TableGrid15"/>
    <w:rsid w:val="00683CE2"/>
    <w:rPr>
      <w:rFonts w:ascii="Calibri" w:hAnsi="Calibri" w:cs="Arial"/>
      <w:sz w:val="22"/>
      <w:szCs w:val="22"/>
      <w:lang w:val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683CE2"/>
    <w:pPr>
      <w:widowControl/>
      <w:spacing w:before="120" w:after="120" w:line="360" w:lineRule="auto"/>
      <w:jc w:val="center"/>
    </w:pPr>
    <w:rPr>
      <w:rFonts w:eastAsia="Calibri"/>
      <w:b/>
      <w:sz w:val="36"/>
      <w:szCs w:val="3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683CE2"/>
    <w:rPr>
      <w:rFonts w:eastAsia="Calibri"/>
      <w:b/>
      <w:sz w:val="36"/>
      <w:szCs w:val="36"/>
      <w:u w:val="single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3CE2"/>
    <w:pPr>
      <w:widowControl/>
      <w:spacing w:before="120" w:after="120" w:line="360" w:lineRule="auto"/>
      <w:jc w:val="center"/>
    </w:pPr>
    <w:rPr>
      <w:rFonts w:eastAsia="Calibri"/>
      <w:b/>
      <w:i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683CE2"/>
    <w:rPr>
      <w:rFonts w:eastAsia="Calibri"/>
      <w:b/>
      <w:i/>
      <w:sz w:val="36"/>
      <w:szCs w:val="36"/>
      <w:lang w:val="hu-HU"/>
    </w:rPr>
  </w:style>
  <w:style w:type="character" w:customStyle="1" w:styleId="DeltaViewDeletion">
    <w:name w:val="DeltaView Deletion"/>
    <w:uiPriority w:val="99"/>
    <w:rsid w:val="00683CE2"/>
    <w:rPr>
      <w:strike/>
      <w:color w:val="000000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83CE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83CE2"/>
    <w:rPr>
      <w:color w:val="605E5C"/>
      <w:shd w:val="clear" w:color="auto" w:fill="E1DFDD"/>
    </w:rPr>
  </w:style>
  <w:style w:type="character" w:styleId="Hyperlink">
    <w:name w:val="Hyperlink"/>
    <w:basedOn w:val="DefaultParagraphFont"/>
    <w:qFormat/>
    <w:rsid w:val="00683CE2"/>
    <w:rPr>
      <w:color w:val="0563C1" w:themeColor="hyperlink"/>
      <w:u w:val="single"/>
    </w:rPr>
  </w:style>
  <w:style w:type="table" w:styleId="GridTable1Light-Accent1">
    <w:name w:val="Grid Table 1 Light Accent 1"/>
    <w:basedOn w:val="TableNormal"/>
    <w:uiPriority w:val="46"/>
    <w:rsid w:val="00683CE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1"/>
    <w:rsid w:val="00683CE2"/>
    <w:pPr>
      <w:spacing w:after="120"/>
    </w:pPr>
  </w:style>
  <w:style w:type="character" w:customStyle="1" w:styleId="BodyTextChar1">
    <w:name w:val="Body Text Char1"/>
    <w:basedOn w:val="DefaultParagraphFont"/>
    <w:link w:val="BodyText"/>
    <w:rsid w:val="00683CE2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DB0918-9445-4B3A-9404-5D3C60DE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ILLY_D_relec</cp:lastModifiedBy>
  <cp:revision>2</cp:revision>
  <cp:lastPrinted>2004-11-19T15:42:00Z</cp:lastPrinted>
  <dcterms:created xsi:type="dcterms:W3CDTF">2024-06-19T10:46:00Z</dcterms:created>
  <dcterms:modified xsi:type="dcterms:W3CDTF">2024-06-19T10:46:00Z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P9_TA(2024)0153_</vt:lpwstr>
  </property>
  <property fmtid="{D5CDD505-2E9C-101B-9397-08002B2CF9AE}" pid="4" name="&lt;Type&gt;">
    <vt:lpwstr>RR</vt:lpwstr>
  </property>
</Properties>
</file>