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A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1AF9" w:rsidRDefault="00F05092" w:rsidP="0010095E">
            <w:pPr>
              <w:pStyle w:val="EPName"/>
            </w:pPr>
            <w:r w:rsidRPr="003A1AF9">
              <w:t>Parlament Ewropew</w:t>
            </w:r>
          </w:p>
          <w:p w:rsidR="00751A4A" w:rsidRPr="003A1A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69C0">
              <w:t>2019</w:t>
            </w:r>
            <w:r w:rsidRPr="003A1AF9">
              <w:t>-</w:t>
            </w:r>
            <w:r w:rsidRPr="00E169C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A1AF9" w:rsidRDefault="00187494" w:rsidP="0010095E">
            <w:pPr>
              <w:pStyle w:val="EPLogo"/>
            </w:pPr>
            <w:r w:rsidRPr="003A1A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1AF9" w:rsidRDefault="00D058B8" w:rsidP="004C5D52">
      <w:pPr>
        <w:pStyle w:val="LineTop"/>
      </w:pPr>
    </w:p>
    <w:p w:rsidR="00680577" w:rsidRPr="003A1AF9" w:rsidRDefault="00F05092" w:rsidP="00680577">
      <w:pPr>
        <w:pStyle w:val="EPBodyTA1"/>
      </w:pPr>
      <w:r w:rsidRPr="003A1AF9">
        <w:t>TESTI ADOTTATI</w:t>
      </w:r>
    </w:p>
    <w:p w:rsidR="00D058B8" w:rsidRPr="003A1AF9" w:rsidRDefault="00D058B8" w:rsidP="00D058B8">
      <w:pPr>
        <w:pStyle w:val="LineBottom"/>
      </w:pPr>
    </w:p>
    <w:p w:rsidR="00F05092" w:rsidRPr="003A1AF9" w:rsidRDefault="00F05092" w:rsidP="00F05092">
      <w:pPr>
        <w:pStyle w:val="ATHeading1"/>
      </w:pPr>
      <w:bookmarkStart w:id="0" w:name="TANumber"/>
      <w:r w:rsidRPr="003A1AF9">
        <w:t>P</w:t>
      </w:r>
      <w:r w:rsidRPr="00E169C0">
        <w:t>9</w:t>
      </w:r>
      <w:r w:rsidRPr="003A1AF9">
        <w:t>_TA(</w:t>
      </w:r>
      <w:r w:rsidRPr="00E169C0">
        <w:t>2024</w:t>
      </w:r>
      <w:r w:rsidRPr="003A1AF9">
        <w:t>)</w:t>
      </w:r>
      <w:r w:rsidRPr="00E169C0">
        <w:t>0</w:t>
      </w:r>
      <w:r w:rsidR="003A1AF9" w:rsidRPr="00E169C0">
        <w:t>153</w:t>
      </w:r>
      <w:bookmarkEnd w:id="0"/>
    </w:p>
    <w:p w:rsidR="00F05092" w:rsidRPr="003A1AF9" w:rsidRDefault="0050646F" w:rsidP="0050646F">
      <w:pPr>
        <w:pStyle w:val="ATHeading2"/>
      </w:pPr>
      <w:r w:rsidRPr="003A1AF9">
        <w:t>L-approvazzjoni tat-tip ta’ vetturi bil-mutur u magni fir-rigward tal-emissjonijiet u d-</w:t>
      </w:r>
      <w:proofErr w:type="spellStart"/>
      <w:r w:rsidRPr="003A1AF9">
        <w:t>durabbiltà</w:t>
      </w:r>
      <w:proofErr w:type="spellEnd"/>
      <w:r w:rsidRPr="003A1AF9">
        <w:t xml:space="preserve"> tal-batterija tagħhom (Euro </w:t>
      </w:r>
      <w:r w:rsidRPr="00E169C0">
        <w:t>7</w:t>
      </w:r>
      <w:r w:rsidRPr="003A1AF9">
        <w:t>)</w:t>
      </w:r>
    </w:p>
    <w:p w:rsidR="00F05092" w:rsidRPr="003A1AF9" w:rsidRDefault="00F05092" w:rsidP="00F05092">
      <w:pPr>
        <w:rPr>
          <w:i/>
          <w:vanish/>
        </w:rPr>
      </w:pPr>
      <w:r w:rsidRPr="003A1AF9">
        <w:rPr>
          <w:i/>
        </w:rPr>
        <w:fldChar w:fldCharType="begin"/>
      </w:r>
      <w:r w:rsidRPr="003A1AF9">
        <w:rPr>
          <w:i/>
        </w:rPr>
        <w:instrText xml:space="preserve"> TC"(</w:instrText>
      </w:r>
      <w:bookmarkStart w:id="1" w:name="DocNumber"/>
      <w:r w:rsidRPr="003A1AF9">
        <w:rPr>
          <w:i/>
        </w:rPr>
        <w:instrText>A</w:instrText>
      </w:r>
      <w:r w:rsidRPr="00E169C0">
        <w:rPr>
          <w:i/>
        </w:rPr>
        <w:instrText>9</w:instrText>
      </w:r>
      <w:r w:rsidRPr="003A1AF9">
        <w:rPr>
          <w:i/>
        </w:rPr>
        <w:instrText>-</w:instrText>
      </w:r>
      <w:r w:rsidRPr="00E169C0">
        <w:rPr>
          <w:i/>
        </w:rPr>
        <w:instrText>0298</w:instrText>
      </w:r>
      <w:r w:rsidRPr="003A1AF9">
        <w:rPr>
          <w:i/>
        </w:rPr>
        <w:instrText>/</w:instrText>
      </w:r>
      <w:r w:rsidRPr="00E169C0">
        <w:rPr>
          <w:i/>
        </w:rPr>
        <w:instrText>2023</w:instrText>
      </w:r>
      <w:bookmarkEnd w:id="1"/>
      <w:r w:rsidRPr="003A1AF9">
        <w:rPr>
          <w:i/>
        </w:rPr>
        <w:instrText xml:space="preserve"> - </w:instrText>
      </w:r>
      <w:proofErr w:type="spellStart"/>
      <w:r w:rsidRPr="003A1AF9">
        <w:rPr>
          <w:i/>
        </w:rPr>
        <w:instrText>Rapporteur</w:instrText>
      </w:r>
      <w:proofErr w:type="spellEnd"/>
      <w:r w:rsidRPr="003A1AF9">
        <w:rPr>
          <w:i/>
        </w:rPr>
        <w:instrText xml:space="preserve">: </w:instrText>
      </w:r>
      <w:proofErr w:type="spellStart"/>
      <w:r w:rsidRPr="003A1AF9">
        <w:rPr>
          <w:i/>
        </w:rPr>
        <w:instrText>Alexandr</w:instrText>
      </w:r>
      <w:proofErr w:type="spellEnd"/>
      <w:r w:rsidRPr="003A1AF9">
        <w:rPr>
          <w:i/>
        </w:rPr>
        <w:instrText xml:space="preserve"> </w:instrText>
      </w:r>
      <w:proofErr w:type="spellStart"/>
      <w:r w:rsidRPr="003A1AF9">
        <w:rPr>
          <w:i/>
        </w:rPr>
        <w:instrText>Vondra</w:instrText>
      </w:r>
      <w:proofErr w:type="spellEnd"/>
      <w:r w:rsidRPr="003A1AF9">
        <w:rPr>
          <w:i/>
        </w:rPr>
        <w:instrText>)"\l</w:instrText>
      </w:r>
      <w:r w:rsidRPr="00E169C0">
        <w:rPr>
          <w:i/>
        </w:rPr>
        <w:instrText>3</w:instrText>
      </w:r>
      <w:r w:rsidRPr="003A1AF9">
        <w:rPr>
          <w:i/>
        </w:rPr>
        <w:instrText xml:space="preserve"> \n&gt; \* MERGEFORMAT </w:instrText>
      </w:r>
      <w:r w:rsidRPr="003A1AF9">
        <w:rPr>
          <w:i/>
        </w:rPr>
        <w:fldChar w:fldCharType="end"/>
      </w:r>
    </w:p>
    <w:p w:rsidR="00F05092" w:rsidRPr="003A1AF9" w:rsidRDefault="00F05092" w:rsidP="00F05092">
      <w:pPr>
        <w:rPr>
          <w:vanish/>
        </w:rPr>
      </w:pPr>
      <w:bookmarkStart w:id="2" w:name="Commission"/>
      <w:r w:rsidRPr="003A1AF9">
        <w:rPr>
          <w:vanish/>
        </w:rPr>
        <w:t>Kumitat għall-Ambjent, is-Saħħa Pubblika u s-Sikurezza tal-Ikel</w:t>
      </w:r>
      <w:bookmarkEnd w:id="2"/>
    </w:p>
    <w:p w:rsidR="00F05092" w:rsidRPr="003A1AF9" w:rsidRDefault="00F05092" w:rsidP="00F05092">
      <w:pPr>
        <w:rPr>
          <w:vanish/>
        </w:rPr>
      </w:pPr>
      <w:bookmarkStart w:id="3" w:name="PE"/>
      <w:r w:rsidRPr="003A1AF9">
        <w:rPr>
          <w:vanish/>
        </w:rPr>
        <w:t>PE</w:t>
      </w:r>
      <w:r w:rsidRPr="00E169C0">
        <w:rPr>
          <w:vanish/>
        </w:rPr>
        <w:t>746</w:t>
      </w:r>
      <w:r w:rsidRPr="003A1AF9">
        <w:rPr>
          <w:vanish/>
        </w:rPr>
        <w:t>.</w:t>
      </w:r>
      <w:r w:rsidRPr="00E169C0">
        <w:rPr>
          <w:vanish/>
        </w:rPr>
        <w:t>876</w:t>
      </w:r>
      <w:bookmarkEnd w:id="3"/>
    </w:p>
    <w:p w:rsidR="00F05092" w:rsidRPr="003A1AF9" w:rsidRDefault="00F05092" w:rsidP="00F05092">
      <w:pPr>
        <w:pStyle w:val="ATHeading3"/>
      </w:pPr>
      <w:bookmarkStart w:id="4" w:name="Sujet"/>
      <w:r w:rsidRPr="003A1AF9">
        <w:t xml:space="preserve">Riżoluzzjoni </w:t>
      </w:r>
      <w:proofErr w:type="spellStart"/>
      <w:r w:rsidRPr="003A1AF9">
        <w:t>leġiżlattiva</w:t>
      </w:r>
      <w:proofErr w:type="spellEnd"/>
      <w:r w:rsidRPr="003A1AF9">
        <w:t xml:space="preserve"> tal-Parlament Ewropew tat-</w:t>
      </w:r>
      <w:r w:rsidRPr="00E169C0">
        <w:t>13</w:t>
      </w:r>
      <w:r w:rsidRPr="003A1AF9">
        <w:t xml:space="preserve"> ta' Marzu </w:t>
      </w:r>
      <w:r w:rsidRPr="00E169C0">
        <w:t>2024</w:t>
      </w:r>
      <w:r w:rsidRPr="003A1AF9">
        <w:t xml:space="preserve"> dwar il-proposta għal regolament tal-Parlament Ewropew u tal-Kunsill dwar l-approvazzjoni tat-tip ta’ vetturi bil-mutur u magni u ta’ sistemi, komponenti u unitajiet tekniċi separati maħsuba għal tali vetturi, fir-rigward tal-emissjonijiet u d-</w:t>
      </w:r>
      <w:proofErr w:type="spellStart"/>
      <w:r w:rsidRPr="003A1AF9">
        <w:t>durabbiltà</w:t>
      </w:r>
      <w:proofErr w:type="spellEnd"/>
      <w:r w:rsidRPr="003A1AF9">
        <w:t xml:space="preserve"> tal-batterija tagħhom (Euro </w:t>
      </w:r>
      <w:r w:rsidRPr="00E169C0">
        <w:t>7</w:t>
      </w:r>
      <w:r w:rsidRPr="003A1AF9">
        <w:t>) u li jħassar ir-Regolamenti (KE) Nru </w:t>
      </w:r>
      <w:r w:rsidRPr="00E169C0">
        <w:t>715</w:t>
      </w:r>
      <w:r w:rsidRPr="003A1AF9">
        <w:t>/</w:t>
      </w:r>
      <w:r w:rsidRPr="00E169C0">
        <w:t>2007</w:t>
      </w:r>
      <w:r w:rsidRPr="003A1AF9">
        <w:t xml:space="preserve"> u (KE) Nru </w:t>
      </w:r>
      <w:r w:rsidRPr="00E169C0">
        <w:t>595</w:t>
      </w:r>
      <w:r w:rsidRPr="003A1AF9">
        <w:t>/</w:t>
      </w:r>
      <w:r w:rsidRPr="00E169C0">
        <w:t>2009</w:t>
      </w:r>
      <w:bookmarkEnd w:id="4"/>
      <w:r w:rsidRPr="003A1AF9">
        <w:t xml:space="preserve"> </w:t>
      </w:r>
      <w:bookmarkStart w:id="5" w:name="References"/>
      <w:r w:rsidRPr="003A1AF9">
        <w:t>(COM(</w:t>
      </w:r>
      <w:r w:rsidRPr="00E169C0">
        <w:t>2022</w:t>
      </w:r>
      <w:r w:rsidRPr="003A1AF9">
        <w:t>)</w:t>
      </w:r>
      <w:r w:rsidRPr="00E169C0">
        <w:t>0586</w:t>
      </w:r>
      <w:r w:rsidRPr="003A1AF9">
        <w:t xml:space="preserve"> – C</w:t>
      </w:r>
      <w:r w:rsidRPr="00E169C0">
        <w:t>9</w:t>
      </w:r>
      <w:r w:rsidRPr="003A1AF9">
        <w:t>-</w:t>
      </w:r>
      <w:r w:rsidRPr="00E169C0">
        <w:t>0375</w:t>
      </w:r>
      <w:r w:rsidRPr="003A1AF9">
        <w:t>/</w:t>
      </w:r>
      <w:r w:rsidRPr="00E169C0">
        <w:t>2022</w:t>
      </w:r>
      <w:r w:rsidRPr="003A1AF9">
        <w:t xml:space="preserve"> – </w:t>
      </w:r>
      <w:r w:rsidRPr="00E169C0">
        <w:t>2022</w:t>
      </w:r>
      <w:r w:rsidRPr="003A1AF9">
        <w:t>/</w:t>
      </w:r>
      <w:r w:rsidRPr="00E169C0">
        <w:t>0365</w:t>
      </w:r>
      <w:r w:rsidRPr="003A1AF9">
        <w:t>(COD))</w:t>
      </w:r>
      <w:bookmarkEnd w:id="5"/>
    </w:p>
    <w:p w:rsidR="00F05092" w:rsidRPr="003A1AF9" w:rsidRDefault="00F05092" w:rsidP="00F05092"/>
    <w:p w:rsidR="006A012F" w:rsidRPr="003A1AF9" w:rsidRDefault="006A012F" w:rsidP="006A012F">
      <w:pPr>
        <w:pStyle w:val="NormalBold"/>
      </w:pPr>
      <w:bookmarkStart w:id="6" w:name="TextBodyBegin"/>
      <w:bookmarkEnd w:id="6"/>
      <w:r w:rsidRPr="003A1AF9">
        <w:t xml:space="preserve">(Proċedura </w:t>
      </w:r>
      <w:proofErr w:type="spellStart"/>
      <w:r w:rsidRPr="003A1AF9">
        <w:t>leġiżlattiva</w:t>
      </w:r>
      <w:proofErr w:type="spellEnd"/>
      <w:r w:rsidRPr="003A1AF9">
        <w:t xml:space="preserve"> ordinarja: l-ewwel qari)</w:t>
      </w:r>
    </w:p>
    <w:p w:rsidR="006A012F" w:rsidRPr="003A1AF9" w:rsidRDefault="006A012F" w:rsidP="006A012F">
      <w:pPr>
        <w:pStyle w:val="EPComma"/>
      </w:pPr>
      <w:r w:rsidRPr="003A1AF9">
        <w:rPr>
          <w:i/>
        </w:rPr>
        <w:t>Il-Parlament Ewropew,</w:t>
      </w:r>
    </w:p>
    <w:p w:rsidR="006A012F" w:rsidRPr="003A1AF9" w:rsidRDefault="006A012F" w:rsidP="006A012F">
      <w:pPr>
        <w:pStyle w:val="NormalHanging12a"/>
      </w:pPr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l-proposta tal-Kummissjoni lill-Parlament Ewropew u lill-Kunsill (COM(</w:t>
      </w:r>
      <w:r w:rsidRPr="00E169C0">
        <w:t>2022</w:t>
      </w:r>
      <w:r w:rsidRPr="003A1AF9">
        <w:t>)</w:t>
      </w:r>
      <w:r w:rsidRPr="00E169C0">
        <w:t>0586</w:t>
      </w:r>
      <w:r w:rsidRPr="003A1AF9">
        <w:t>),</w:t>
      </w:r>
    </w:p>
    <w:p w:rsidR="006A012F" w:rsidRPr="003A1AF9" w:rsidRDefault="006A012F" w:rsidP="006A012F">
      <w:pPr>
        <w:pStyle w:val="NormalHanging12a"/>
      </w:pPr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l-Artikolu </w:t>
      </w:r>
      <w:r w:rsidRPr="00E169C0">
        <w:t>294</w:t>
      </w:r>
      <w:r w:rsidRPr="003A1AF9">
        <w:t>(</w:t>
      </w:r>
      <w:r w:rsidRPr="00E169C0">
        <w:t>2</w:t>
      </w:r>
      <w:r w:rsidRPr="003A1AF9">
        <w:t xml:space="preserve">) u l-Artikolu </w:t>
      </w:r>
      <w:r w:rsidRPr="00E169C0">
        <w:t>114</w:t>
      </w:r>
      <w:r w:rsidRPr="003A1AF9">
        <w:t xml:space="preserve"> tat-Trattat dwar il-Funzjonament tal-Unjoni Ewropea, skont liema artikoli l-Kummissjoni ppreżentat il-proposta lill-Parlament (C</w:t>
      </w:r>
      <w:r w:rsidRPr="00E169C0">
        <w:t>9</w:t>
      </w:r>
      <w:r w:rsidRPr="003A1AF9">
        <w:noBreakHyphen/>
      </w:r>
      <w:r w:rsidRPr="00E169C0">
        <w:t>0375</w:t>
      </w:r>
      <w:r w:rsidRPr="003A1AF9">
        <w:t>/</w:t>
      </w:r>
      <w:r w:rsidRPr="00E169C0">
        <w:t>2022</w:t>
      </w:r>
      <w:r w:rsidRPr="003A1AF9">
        <w:t>),</w:t>
      </w:r>
    </w:p>
    <w:p w:rsidR="006A012F" w:rsidRPr="003A1AF9" w:rsidRDefault="006A012F" w:rsidP="006A012F">
      <w:pPr>
        <w:pStyle w:val="NormalHanging12a"/>
      </w:pPr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l-Artikolu </w:t>
      </w:r>
      <w:r w:rsidRPr="00E169C0">
        <w:t>294</w:t>
      </w:r>
      <w:r w:rsidRPr="003A1AF9">
        <w:t>(</w:t>
      </w:r>
      <w:r w:rsidRPr="00E169C0">
        <w:t>3</w:t>
      </w:r>
      <w:r w:rsidRPr="003A1AF9">
        <w:t>) tat-Trattat dwar il-Funzjonament tal-Unjoni Ewropea,</w:t>
      </w:r>
    </w:p>
    <w:p w:rsidR="006A012F" w:rsidRPr="003A1AF9" w:rsidRDefault="006A012F" w:rsidP="006A012F">
      <w:pPr>
        <w:pStyle w:val="NormalHanging12a"/>
      </w:pPr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l-opinjoni tal-Kumitat Ekonomiku u Soċjali Ewropew tas-</w:t>
      </w:r>
      <w:r w:rsidRPr="00E169C0">
        <w:t>27</w:t>
      </w:r>
      <w:r w:rsidRPr="003A1AF9">
        <w:t xml:space="preserve"> ta’ April </w:t>
      </w:r>
      <w:r w:rsidRPr="00E169C0">
        <w:t>2023</w:t>
      </w:r>
      <w:r w:rsidRPr="003A1AF9">
        <w:rPr>
          <w:rStyle w:val="FootnoteReference"/>
        </w:rPr>
        <w:footnoteReference w:id="1"/>
      </w:r>
      <w:r w:rsidRPr="003A1AF9">
        <w:t xml:space="preserve">, </w:t>
      </w:r>
    </w:p>
    <w:p w:rsidR="00B552A1" w:rsidRPr="003A1AF9" w:rsidRDefault="00B552A1" w:rsidP="006A012F">
      <w:pPr>
        <w:pStyle w:val="NormalHanging12a"/>
      </w:pPr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l-ftehim </w:t>
      </w:r>
      <w:r w:rsidR="00714DB7" w:rsidRPr="003A1AF9">
        <w:t>proviżorju</w:t>
      </w:r>
      <w:r w:rsidRPr="003A1AF9">
        <w:t xml:space="preserve"> approvat mill-kumitat responsabbli </w:t>
      </w:r>
      <w:r w:rsidR="00714DB7" w:rsidRPr="003A1AF9">
        <w:t>fis-sens tal-</w:t>
      </w:r>
      <w:r w:rsidRPr="003A1AF9">
        <w:t xml:space="preserve">-Artikolu </w:t>
      </w:r>
      <w:r w:rsidRPr="00E169C0">
        <w:t>74</w:t>
      </w:r>
      <w:r w:rsidRPr="003A1AF9">
        <w:t>(</w:t>
      </w:r>
      <w:r w:rsidRPr="00E169C0">
        <w:t>4</w:t>
      </w:r>
      <w:r w:rsidRPr="003A1AF9">
        <w:t xml:space="preserve">) tar-Regoli ta' Proċedura </w:t>
      </w:r>
      <w:proofErr w:type="spellStart"/>
      <w:r w:rsidR="00714DB7" w:rsidRPr="003A1AF9">
        <w:t>Proċedura</w:t>
      </w:r>
      <w:proofErr w:type="spellEnd"/>
      <w:r w:rsidR="00714DB7" w:rsidRPr="003A1AF9">
        <w:t xml:space="preserve"> tiegħu u l-impenn meħud mir-rappreżentant tal-Kunsill,</w:t>
      </w:r>
      <w:r w:rsidR="00714DB7" w:rsidRPr="003A1AF9" w:rsidDel="00714DB7">
        <w:t xml:space="preserve"> </w:t>
      </w:r>
      <w:r w:rsidRPr="003A1AF9">
        <w:t>permezz tal-ittra tat-</w:t>
      </w:r>
      <w:r w:rsidRPr="00E169C0">
        <w:t>8</w:t>
      </w:r>
      <w:r w:rsidRPr="003A1AF9">
        <w:t xml:space="preserve"> ta' Jannar </w:t>
      </w:r>
      <w:r w:rsidRPr="00E169C0">
        <w:t>2024</w:t>
      </w:r>
      <w:r w:rsidR="00714DB7" w:rsidRPr="003A1AF9">
        <w:t>,</w:t>
      </w:r>
      <w:r w:rsidRPr="003A1AF9">
        <w:t xml:space="preserve"> li japprova l-pożizzjoni tal-Parlament, skond l-Artikolu </w:t>
      </w:r>
      <w:r w:rsidRPr="00E169C0">
        <w:t>294</w:t>
      </w:r>
      <w:r w:rsidRPr="003A1AF9">
        <w:t>(</w:t>
      </w:r>
      <w:r w:rsidRPr="00E169C0">
        <w:t>4</w:t>
      </w:r>
      <w:r w:rsidRPr="003A1AF9">
        <w:t>) tat-Trattat dwar il-Funzjonament tal-Unjoni Ewropea,</w:t>
      </w:r>
    </w:p>
    <w:p w:rsidR="00B552A1" w:rsidRPr="003A1AF9" w:rsidRDefault="00B552A1" w:rsidP="00B552A1">
      <w:pPr>
        <w:pStyle w:val="NormalHanging12a"/>
      </w:pPr>
      <w:r w:rsidRPr="003A1AF9">
        <w:lastRenderedPageBreak/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l-Artikolu </w:t>
      </w:r>
      <w:r w:rsidRPr="00E169C0">
        <w:t>59</w:t>
      </w:r>
      <w:r w:rsidRPr="003A1AF9">
        <w:t xml:space="preserve"> tar-Regoli ta’ Proċedura tiegħu,</w:t>
      </w:r>
    </w:p>
    <w:p w:rsidR="006A012F" w:rsidRPr="003A1AF9" w:rsidRDefault="006A012F" w:rsidP="006A012F">
      <w:pPr>
        <w:pStyle w:val="NormalHanging12a"/>
      </w:pPr>
      <w:bookmarkStart w:id="7" w:name="_GoBack"/>
      <w:bookmarkEnd w:id="7"/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l-opinjoni tal-Kumitat għall-Industrija, ir-Riċerka u l-Enerġija, il-Kumitat għas-Suq Intern u l-Ħarsien tal-Konsumatur u l-Kumitat għat-Trasport u t-Turiżmu,</w:t>
      </w:r>
    </w:p>
    <w:p w:rsidR="006A012F" w:rsidRPr="003A1AF9" w:rsidRDefault="006A012F" w:rsidP="006A012F">
      <w:pPr>
        <w:pStyle w:val="NormalHanging12a"/>
      </w:pPr>
      <w:r w:rsidRPr="003A1AF9">
        <w:t>–</w:t>
      </w:r>
      <w:r w:rsidRPr="003A1AF9">
        <w:tab/>
        <w:t xml:space="preserve">wara li </w:t>
      </w:r>
      <w:proofErr w:type="spellStart"/>
      <w:r w:rsidRPr="003A1AF9">
        <w:t>kkunsidra</w:t>
      </w:r>
      <w:proofErr w:type="spellEnd"/>
      <w:r w:rsidRPr="003A1AF9">
        <w:t xml:space="preserve"> r-rapport tal-Kumitat għall-Ambjent, is-Saħħa Pubblika u s-Sikurezza tal-Ikel (A</w:t>
      </w:r>
      <w:r w:rsidRPr="00E169C0">
        <w:t>9</w:t>
      </w:r>
      <w:r w:rsidRPr="003A1AF9">
        <w:t>-</w:t>
      </w:r>
      <w:r w:rsidRPr="00E169C0">
        <w:t>0298</w:t>
      </w:r>
      <w:r w:rsidRPr="003A1AF9">
        <w:t>/</w:t>
      </w:r>
      <w:r w:rsidRPr="00E169C0">
        <w:t>2023</w:t>
      </w:r>
      <w:r w:rsidRPr="003A1AF9">
        <w:t>),</w:t>
      </w:r>
    </w:p>
    <w:p w:rsidR="006A012F" w:rsidRPr="003A1AF9" w:rsidRDefault="006A012F" w:rsidP="006A012F">
      <w:pPr>
        <w:pStyle w:val="NormalHanging12a"/>
      </w:pPr>
      <w:r w:rsidRPr="00E169C0">
        <w:t>1</w:t>
      </w:r>
      <w:r w:rsidRPr="003A1AF9">
        <w:t>.</w:t>
      </w:r>
      <w:r w:rsidRPr="003A1AF9">
        <w:tab/>
        <w:t>Jadotta l-pożizzjoni fl-ewwel qari li tidher hawn taħt</w:t>
      </w:r>
      <w:r w:rsidR="00B552A1" w:rsidRPr="003A1AF9">
        <w:rPr>
          <w:rStyle w:val="FootnoteReference"/>
        </w:rPr>
        <w:footnoteReference w:id="2"/>
      </w:r>
      <w:r w:rsidRPr="003A1AF9">
        <w:t>;</w:t>
      </w:r>
    </w:p>
    <w:p w:rsidR="006A012F" w:rsidRPr="003A1AF9" w:rsidRDefault="006A012F" w:rsidP="006A012F">
      <w:pPr>
        <w:pStyle w:val="NormalHanging12a"/>
      </w:pPr>
      <w:r w:rsidRPr="00E169C0">
        <w:t>2</w:t>
      </w:r>
      <w:r w:rsidRPr="003A1AF9">
        <w:t>.</w:t>
      </w:r>
      <w:r w:rsidRPr="003A1AF9">
        <w:tab/>
        <w:t xml:space="preserve">Jitlob lill-Kummissjoni </w:t>
      </w:r>
      <w:proofErr w:type="spellStart"/>
      <w:r w:rsidRPr="003A1AF9">
        <w:t>terġa</w:t>
      </w:r>
      <w:proofErr w:type="spellEnd"/>
      <w:r w:rsidRPr="003A1AF9">
        <w:t xml:space="preserve">’ tirreferi l-kwistjoni lill-Parlament jekk tibdel il-proposta tagħha, </w:t>
      </w:r>
      <w:proofErr w:type="spellStart"/>
      <w:r w:rsidRPr="003A1AF9">
        <w:t>temendaha</w:t>
      </w:r>
      <w:proofErr w:type="spellEnd"/>
      <w:r w:rsidRPr="003A1AF9">
        <w:t xml:space="preserve"> b’mod sustanzjali jew ikollha l-ħsieb li </w:t>
      </w:r>
      <w:proofErr w:type="spellStart"/>
      <w:r w:rsidRPr="003A1AF9">
        <w:t>temendaha</w:t>
      </w:r>
      <w:proofErr w:type="spellEnd"/>
      <w:r w:rsidRPr="003A1AF9">
        <w:t xml:space="preserve"> b’mod sustanzjali;</w:t>
      </w:r>
    </w:p>
    <w:p w:rsidR="006A012F" w:rsidRPr="003A1AF9" w:rsidRDefault="006A012F" w:rsidP="006A012F">
      <w:pPr>
        <w:pStyle w:val="NormalHanging12a"/>
      </w:pPr>
      <w:r w:rsidRPr="00E169C0">
        <w:t>3</w:t>
      </w:r>
      <w:r w:rsidRPr="003A1AF9">
        <w:t>.</w:t>
      </w:r>
      <w:r w:rsidRPr="003A1AF9">
        <w:tab/>
        <w:t>Jagħti istruzzjonijiet lill-President tiegħu tgħaddi l-pożizzjoni tal-Parlament lill-Kunsill u lill-Kummissjoni kif ukoll lill-parlamenti nazzjonali;</w:t>
      </w:r>
    </w:p>
    <w:p w:rsidR="00B552A1" w:rsidRPr="003A1AF9" w:rsidRDefault="00B552A1" w:rsidP="006A012F">
      <w:pPr>
        <w:sectPr w:rsidR="00B552A1" w:rsidRPr="003A1AF9" w:rsidSect="00F027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552A1" w:rsidRPr="003A1AF9" w:rsidRDefault="00B552A1" w:rsidP="00B552A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A1AF9">
        <w:rPr>
          <w:rFonts w:eastAsia="Calibri"/>
          <w:b/>
          <w:bCs/>
          <w:color w:val="000000"/>
          <w:szCs w:val="24"/>
        </w:rPr>
        <w:lastRenderedPageBreak/>
        <w:t>P</w:t>
      </w:r>
      <w:r w:rsidRPr="00E169C0">
        <w:rPr>
          <w:rFonts w:eastAsia="Calibri"/>
          <w:b/>
          <w:bCs/>
          <w:color w:val="000000"/>
          <w:szCs w:val="24"/>
        </w:rPr>
        <w:t>9</w:t>
      </w:r>
      <w:r w:rsidRPr="003A1AF9">
        <w:rPr>
          <w:rFonts w:eastAsia="Calibri"/>
          <w:b/>
          <w:bCs/>
          <w:color w:val="000000"/>
          <w:szCs w:val="24"/>
        </w:rPr>
        <w:t>_TC</w:t>
      </w:r>
      <w:r w:rsidRPr="00E169C0">
        <w:rPr>
          <w:rFonts w:eastAsia="Calibri"/>
          <w:b/>
          <w:bCs/>
          <w:color w:val="000000"/>
          <w:szCs w:val="24"/>
        </w:rPr>
        <w:t>1</w:t>
      </w:r>
      <w:r w:rsidRPr="003A1AF9">
        <w:rPr>
          <w:rFonts w:eastAsia="Calibri"/>
          <w:b/>
          <w:bCs/>
          <w:color w:val="000000"/>
          <w:szCs w:val="24"/>
        </w:rPr>
        <w:t>-COD(</w:t>
      </w:r>
      <w:r w:rsidRPr="00E169C0">
        <w:rPr>
          <w:rFonts w:eastAsia="Calibri"/>
          <w:b/>
          <w:bCs/>
          <w:color w:val="000000"/>
          <w:szCs w:val="24"/>
        </w:rPr>
        <w:t>2022</w:t>
      </w:r>
      <w:r w:rsidRPr="003A1AF9">
        <w:rPr>
          <w:rFonts w:eastAsia="Calibri"/>
          <w:b/>
          <w:bCs/>
          <w:color w:val="000000"/>
          <w:szCs w:val="24"/>
        </w:rPr>
        <w:t>)</w:t>
      </w:r>
      <w:r w:rsidRPr="00E169C0">
        <w:rPr>
          <w:rFonts w:eastAsia="Calibri"/>
          <w:b/>
          <w:bCs/>
          <w:color w:val="000000"/>
          <w:szCs w:val="24"/>
        </w:rPr>
        <w:t>0365</w:t>
      </w:r>
    </w:p>
    <w:p w:rsidR="00B552A1" w:rsidRPr="003A1AF9" w:rsidRDefault="00B552A1" w:rsidP="00B552A1">
      <w:pPr>
        <w:rPr>
          <w:rFonts w:eastAsia="Calibri"/>
          <w:b/>
          <w:szCs w:val="22"/>
        </w:rPr>
      </w:pPr>
      <w:r w:rsidRPr="003A1AF9">
        <w:rPr>
          <w:rFonts w:eastAsia="Calibri"/>
          <w:b/>
          <w:bCs/>
        </w:rPr>
        <w:t>Pożizzjoni tal-Parlament Ewropew adottata fl-ewwel qari tat-</w:t>
      </w:r>
      <w:r w:rsidRPr="00E169C0">
        <w:rPr>
          <w:rFonts w:eastAsia="Calibri"/>
          <w:b/>
          <w:bCs/>
        </w:rPr>
        <w:t>13</w:t>
      </w:r>
      <w:r w:rsidRPr="003A1AF9">
        <w:rPr>
          <w:b/>
        </w:rPr>
        <w:t xml:space="preserve"> </w:t>
      </w:r>
      <w:r w:rsidRPr="003A1AF9">
        <w:rPr>
          <w:rFonts w:eastAsia="Calibri"/>
          <w:b/>
          <w:bCs/>
        </w:rPr>
        <w:t xml:space="preserve">ta' Marzu </w:t>
      </w:r>
      <w:r w:rsidRPr="00E169C0">
        <w:rPr>
          <w:rFonts w:eastAsia="Calibri"/>
          <w:b/>
          <w:bCs/>
        </w:rPr>
        <w:t>2024</w:t>
      </w:r>
      <w:r w:rsidRPr="003A1AF9">
        <w:rPr>
          <w:rFonts w:eastAsia="Calibri"/>
          <w:b/>
          <w:bCs/>
        </w:rPr>
        <w:t xml:space="preserve"> bil-ħsieb tal-adozzjoni tar-Regolament (UE) </w:t>
      </w:r>
      <w:r w:rsidRPr="00E169C0">
        <w:rPr>
          <w:rFonts w:eastAsia="Calibri"/>
          <w:b/>
          <w:bCs/>
        </w:rPr>
        <w:t>2024</w:t>
      </w:r>
      <w:r w:rsidRPr="003A1AF9">
        <w:rPr>
          <w:rFonts w:eastAsia="Calibri"/>
          <w:b/>
          <w:bCs/>
        </w:rPr>
        <w:t xml:space="preserve">/... </w:t>
      </w:r>
      <w:r w:rsidRPr="003A1AF9">
        <w:rPr>
          <w:b/>
          <w:color w:val="000000"/>
          <w:szCs w:val="22"/>
        </w:rPr>
        <w:t>tal-Parlament Ewropew u tal-Kunsill</w:t>
      </w:r>
      <w:r w:rsidRPr="003A1AF9">
        <w:rPr>
          <w:rFonts w:eastAsia="Calibri"/>
          <w:b/>
          <w:szCs w:val="22"/>
        </w:rPr>
        <w:t xml:space="preserve"> dwar l-</w:t>
      </w:r>
      <w:r w:rsidRPr="009C5E3E">
        <w:rPr>
          <w:rFonts w:eastAsia="Calibri"/>
          <w:b/>
          <w:szCs w:val="22"/>
        </w:rPr>
        <w:t xml:space="preserve">approvazzjoni tat-tip ta' vetturi bil-mutur u magni u ta' sistemi, komponenti u unitajiet tekniċi separati maħsuba għal tali vetturi, fir-rigward tal-emissjonijiet u d </w:t>
      </w:r>
      <w:proofErr w:type="spellStart"/>
      <w:r w:rsidRPr="009C5E3E">
        <w:rPr>
          <w:rFonts w:eastAsia="Calibri"/>
          <w:b/>
          <w:szCs w:val="22"/>
        </w:rPr>
        <w:t>durabbiltà</w:t>
      </w:r>
      <w:proofErr w:type="spellEnd"/>
      <w:r w:rsidRPr="009C5E3E">
        <w:rPr>
          <w:rFonts w:eastAsia="Calibri"/>
          <w:b/>
          <w:szCs w:val="22"/>
        </w:rPr>
        <w:t xml:space="preserve"> tal-batterija tagħhom (Euro 7), li jemenda r-Regolament (UE) 2018/858 tal-Parlament Ewropew u tal-Kunsill u li jħassar ir-Regolamenti (KE) Nru 715/2007 u (KE) Nru 595/2009 tal-Parlament Ewropew u tal-Kunsill, ir-Regolament tal-Kummissjoni (UE) Nru 582/2011, ir-Rego</w:t>
      </w:r>
      <w:r w:rsidR="009C5E3E" w:rsidRPr="009C5E3E">
        <w:rPr>
          <w:rFonts w:eastAsia="Calibri"/>
          <w:b/>
          <w:szCs w:val="22"/>
        </w:rPr>
        <w:t xml:space="preserve">lament tal-Kummissjoni (UE) </w:t>
      </w:r>
      <w:r w:rsidRPr="009C5E3E">
        <w:rPr>
          <w:rFonts w:eastAsia="Calibri"/>
          <w:b/>
          <w:szCs w:val="22"/>
        </w:rPr>
        <w:t>2017/1151, ir-Regolament tal-Kummissjoni (UE) 2017/2400 u r-Regolament ta’ Implimentazzjoni tal-Kumissjoni (UE) 2022/1362</w:t>
      </w:r>
    </w:p>
    <w:p w:rsidR="006A012F" w:rsidRDefault="006A012F" w:rsidP="006A012F"/>
    <w:p w:rsidR="009C5E3E" w:rsidRPr="009C5E3E" w:rsidRDefault="009C5E3E" w:rsidP="006A012F">
      <w:r w:rsidRPr="009C5E3E">
        <w:rPr>
          <w:i/>
        </w:rPr>
        <w:t xml:space="preserve">(Peress li ntlaħaq ftehim bejn il-Parlament u l-Kunsill, il-pożizzjoni tal-Parlament taqbel mal-att </w:t>
      </w:r>
      <w:proofErr w:type="spellStart"/>
      <w:r w:rsidRPr="009C5E3E">
        <w:rPr>
          <w:i/>
        </w:rPr>
        <w:t>leġiżlattiv</w:t>
      </w:r>
      <w:proofErr w:type="spellEnd"/>
      <w:r w:rsidRPr="009C5E3E">
        <w:rPr>
          <w:i/>
        </w:rPr>
        <w:t xml:space="preserve"> finali, ir-Regolament (UE) 2024/1257.)</w:t>
      </w:r>
    </w:p>
    <w:sectPr w:rsidR="009C5E3E" w:rsidRPr="009C5E3E" w:rsidSect="009C5E3E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49A" w:rsidRPr="00F02740" w:rsidRDefault="0011249A">
      <w:r w:rsidRPr="00F02740">
        <w:separator/>
      </w:r>
    </w:p>
  </w:endnote>
  <w:endnote w:type="continuationSeparator" w:id="0">
    <w:p w:rsidR="0011249A" w:rsidRPr="00F02740" w:rsidRDefault="0011249A">
      <w:r w:rsidRPr="00F027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49A" w:rsidRPr="00F02740" w:rsidRDefault="001124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49A" w:rsidRPr="00F02740" w:rsidRDefault="0011249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49A" w:rsidRPr="00F02740" w:rsidRDefault="001124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49A" w:rsidRPr="00F02740" w:rsidRDefault="0011249A">
      <w:r w:rsidRPr="00F02740">
        <w:separator/>
      </w:r>
    </w:p>
  </w:footnote>
  <w:footnote w:type="continuationSeparator" w:id="0">
    <w:p w:rsidR="0011249A" w:rsidRPr="00F02740" w:rsidRDefault="0011249A">
      <w:r w:rsidRPr="00F02740">
        <w:continuationSeparator/>
      </w:r>
    </w:p>
  </w:footnote>
  <w:footnote w:id="1">
    <w:p w:rsidR="0011249A" w:rsidRPr="003A1AF9" w:rsidRDefault="0011249A" w:rsidP="00B552A1">
      <w:pPr>
        <w:pStyle w:val="FootnoteText"/>
        <w:ind w:left="709" w:hanging="709"/>
        <w:rPr>
          <w:sz w:val="24"/>
          <w:szCs w:val="24"/>
          <w:lang w:val="mt-MT"/>
        </w:rPr>
      </w:pPr>
      <w:r w:rsidRPr="003A1AF9">
        <w:rPr>
          <w:rStyle w:val="FootnoteReference"/>
          <w:sz w:val="24"/>
          <w:szCs w:val="24"/>
          <w:lang w:val="mt-MT"/>
        </w:rPr>
        <w:footnoteRef/>
      </w:r>
      <w:r w:rsidRPr="003A1AF9">
        <w:rPr>
          <w:sz w:val="24"/>
          <w:szCs w:val="24"/>
          <w:lang w:val="mt-MT"/>
        </w:rPr>
        <w:t xml:space="preserve"> </w:t>
      </w:r>
      <w:r w:rsidRPr="003A1AF9">
        <w:rPr>
          <w:sz w:val="24"/>
          <w:szCs w:val="24"/>
          <w:lang w:val="mt-MT"/>
        </w:rPr>
        <w:tab/>
        <w:t xml:space="preserve">ĠU C </w:t>
      </w:r>
      <w:r w:rsidRPr="00E169C0">
        <w:rPr>
          <w:sz w:val="24"/>
          <w:szCs w:val="24"/>
          <w:lang w:val="mt-MT"/>
        </w:rPr>
        <w:t>228</w:t>
      </w:r>
      <w:r w:rsidRPr="003A1AF9">
        <w:rPr>
          <w:sz w:val="24"/>
          <w:szCs w:val="24"/>
          <w:lang w:val="mt-MT"/>
        </w:rPr>
        <w:t xml:space="preserve">, </w:t>
      </w:r>
      <w:r w:rsidRPr="00E169C0">
        <w:rPr>
          <w:sz w:val="24"/>
          <w:szCs w:val="24"/>
          <w:lang w:val="mt-MT"/>
        </w:rPr>
        <w:t>29</w:t>
      </w:r>
      <w:r w:rsidRPr="003A1AF9">
        <w:rPr>
          <w:sz w:val="24"/>
          <w:szCs w:val="24"/>
          <w:lang w:val="mt-MT"/>
        </w:rPr>
        <w:t>.</w:t>
      </w:r>
      <w:r w:rsidRPr="00E169C0">
        <w:rPr>
          <w:sz w:val="24"/>
          <w:szCs w:val="24"/>
          <w:lang w:val="mt-MT"/>
        </w:rPr>
        <w:t>6</w:t>
      </w:r>
      <w:r w:rsidRPr="003A1AF9">
        <w:rPr>
          <w:sz w:val="24"/>
          <w:szCs w:val="24"/>
          <w:lang w:val="mt-MT"/>
        </w:rPr>
        <w:t>.</w:t>
      </w:r>
      <w:r w:rsidRPr="00E169C0">
        <w:rPr>
          <w:sz w:val="24"/>
          <w:szCs w:val="24"/>
          <w:lang w:val="mt-MT"/>
        </w:rPr>
        <w:t>2023</w:t>
      </w:r>
      <w:r w:rsidRPr="003A1AF9">
        <w:rPr>
          <w:sz w:val="24"/>
          <w:szCs w:val="24"/>
          <w:lang w:val="mt-MT"/>
        </w:rPr>
        <w:t xml:space="preserve">, p. </w:t>
      </w:r>
      <w:r w:rsidRPr="00E169C0">
        <w:rPr>
          <w:sz w:val="24"/>
          <w:szCs w:val="24"/>
          <w:lang w:val="mt-MT"/>
        </w:rPr>
        <w:t>103</w:t>
      </w:r>
      <w:r w:rsidRPr="003A1AF9">
        <w:rPr>
          <w:sz w:val="24"/>
          <w:szCs w:val="24"/>
          <w:lang w:val="mt-MT"/>
        </w:rPr>
        <w:t>.</w:t>
      </w:r>
    </w:p>
  </w:footnote>
  <w:footnote w:id="2">
    <w:p w:rsidR="0011249A" w:rsidRPr="003A1AF9" w:rsidRDefault="0011249A" w:rsidP="00B552A1">
      <w:pPr>
        <w:pStyle w:val="FootnoteText"/>
        <w:ind w:left="709" w:hanging="709"/>
        <w:rPr>
          <w:sz w:val="24"/>
          <w:szCs w:val="24"/>
          <w:lang w:val="it-IT"/>
        </w:rPr>
      </w:pPr>
      <w:r w:rsidRPr="003A1AF9">
        <w:rPr>
          <w:rStyle w:val="FootnoteReference"/>
          <w:sz w:val="24"/>
          <w:szCs w:val="24"/>
        </w:rPr>
        <w:footnoteRef/>
      </w:r>
      <w:r w:rsidRPr="003A1AF9">
        <w:rPr>
          <w:sz w:val="24"/>
          <w:szCs w:val="24"/>
          <w:lang w:val="it-IT"/>
        </w:rPr>
        <w:t xml:space="preserve"> </w:t>
      </w:r>
      <w:r w:rsidRPr="003A1AF9">
        <w:rPr>
          <w:sz w:val="24"/>
          <w:szCs w:val="24"/>
          <w:lang w:val="it-IT"/>
        </w:rPr>
        <w:tab/>
      </w:r>
      <w:proofErr w:type="spellStart"/>
      <w:r w:rsidRPr="003A1AF9">
        <w:rPr>
          <w:sz w:val="24"/>
          <w:szCs w:val="24"/>
          <w:lang w:val="it-IT"/>
        </w:rPr>
        <w:t>Din</w:t>
      </w:r>
      <w:proofErr w:type="spellEnd"/>
      <w:r w:rsidRPr="003A1AF9">
        <w:rPr>
          <w:sz w:val="24"/>
          <w:szCs w:val="24"/>
          <w:lang w:val="it-IT"/>
        </w:rPr>
        <w:t xml:space="preserve"> il-</w:t>
      </w:r>
      <w:proofErr w:type="spellStart"/>
      <w:r w:rsidRPr="003A1AF9">
        <w:rPr>
          <w:sz w:val="24"/>
          <w:szCs w:val="24"/>
          <w:lang w:val="it-IT"/>
        </w:rPr>
        <w:t>pożizzjoni</w:t>
      </w:r>
      <w:proofErr w:type="spellEnd"/>
      <w:r w:rsidRPr="003A1AF9">
        <w:rPr>
          <w:sz w:val="24"/>
          <w:szCs w:val="24"/>
          <w:lang w:val="it-IT"/>
        </w:rPr>
        <w:t xml:space="preserve"> </w:t>
      </w:r>
      <w:proofErr w:type="spellStart"/>
      <w:r w:rsidRPr="003A1AF9">
        <w:rPr>
          <w:sz w:val="24"/>
          <w:szCs w:val="24"/>
          <w:lang w:val="it-IT"/>
        </w:rPr>
        <w:t>tissostitwixxi</w:t>
      </w:r>
      <w:proofErr w:type="spellEnd"/>
      <w:r w:rsidRPr="003A1AF9">
        <w:rPr>
          <w:sz w:val="24"/>
          <w:szCs w:val="24"/>
          <w:lang w:val="it-IT"/>
        </w:rPr>
        <w:t xml:space="preserve"> l-emendi adottati fid-</w:t>
      </w:r>
      <w:r w:rsidRPr="00E169C0">
        <w:rPr>
          <w:sz w:val="24"/>
          <w:szCs w:val="24"/>
          <w:lang w:val="it-IT"/>
        </w:rPr>
        <w:t>9</w:t>
      </w:r>
      <w:r w:rsidRPr="003A1AF9">
        <w:rPr>
          <w:sz w:val="24"/>
          <w:szCs w:val="24"/>
          <w:lang w:val="it-IT"/>
        </w:rPr>
        <w:t xml:space="preserve"> </w:t>
      </w:r>
      <w:proofErr w:type="spellStart"/>
      <w:r w:rsidRPr="003A1AF9">
        <w:rPr>
          <w:sz w:val="24"/>
          <w:szCs w:val="24"/>
          <w:lang w:val="it-IT"/>
        </w:rPr>
        <w:t>ta</w:t>
      </w:r>
      <w:proofErr w:type="spellEnd"/>
      <w:r w:rsidRPr="003A1AF9">
        <w:rPr>
          <w:sz w:val="24"/>
          <w:szCs w:val="24"/>
          <w:lang w:val="it-IT"/>
        </w:rPr>
        <w:t xml:space="preserve">' </w:t>
      </w:r>
      <w:proofErr w:type="spellStart"/>
      <w:r w:rsidRPr="003A1AF9">
        <w:rPr>
          <w:sz w:val="24"/>
          <w:szCs w:val="24"/>
          <w:lang w:val="it-IT"/>
        </w:rPr>
        <w:t>Novembru</w:t>
      </w:r>
      <w:proofErr w:type="spellEnd"/>
      <w:r w:rsidRPr="003A1AF9">
        <w:rPr>
          <w:sz w:val="24"/>
          <w:szCs w:val="24"/>
          <w:lang w:val="it-IT"/>
        </w:rPr>
        <w:t xml:space="preserve"> </w:t>
      </w:r>
      <w:r w:rsidRPr="00E169C0">
        <w:rPr>
          <w:sz w:val="24"/>
          <w:szCs w:val="24"/>
          <w:lang w:val="it-IT"/>
        </w:rPr>
        <w:t>2023</w:t>
      </w:r>
      <w:r w:rsidRPr="003A1AF9">
        <w:rPr>
          <w:sz w:val="24"/>
          <w:szCs w:val="24"/>
          <w:lang w:val="it-IT"/>
        </w:rPr>
        <w:t xml:space="preserve"> (Testi adottati, P</w:t>
      </w:r>
      <w:r w:rsidRPr="00E169C0">
        <w:rPr>
          <w:sz w:val="24"/>
          <w:szCs w:val="24"/>
          <w:lang w:val="it-IT"/>
        </w:rPr>
        <w:t>9</w:t>
      </w:r>
      <w:r w:rsidRPr="003A1AF9">
        <w:rPr>
          <w:sz w:val="24"/>
          <w:szCs w:val="24"/>
          <w:lang w:val="it-IT"/>
        </w:rPr>
        <w:t>_</w:t>
      </w:r>
      <w:proofErr w:type="gramStart"/>
      <w:r w:rsidRPr="003A1AF9">
        <w:rPr>
          <w:sz w:val="24"/>
          <w:szCs w:val="24"/>
          <w:lang w:val="it-IT"/>
        </w:rPr>
        <w:t>TA(</w:t>
      </w:r>
      <w:proofErr w:type="gramEnd"/>
      <w:r w:rsidRPr="00E169C0">
        <w:rPr>
          <w:sz w:val="24"/>
          <w:szCs w:val="24"/>
          <w:lang w:val="it-IT"/>
        </w:rPr>
        <w:t>2023</w:t>
      </w:r>
      <w:r w:rsidRPr="003A1AF9">
        <w:rPr>
          <w:sz w:val="24"/>
          <w:szCs w:val="24"/>
          <w:lang w:val="it-IT"/>
        </w:rPr>
        <w:t>)</w:t>
      </w:r>
      <w:r w:rsidRPr="00E169C0">
        <w:rPr>
          <w:sz w:val="24"/>
          <w:szCs w:val="24"/>
          <w:lang w:val="it-IT"/>
        </w:rPr>
        <w:t>0394</w:t>
      </w:r>
      <w:r w:rsidRPr="003A1AF9">
        <w:rPr>
          <w:sz w:val="24"/>
          <w:szCs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49A" w:rsidRPr="00F02740" w:rsidRDefault="001124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49A" w:rsidRPr="00F02740" w:rsidRDefault="0011249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49A" w:rsidRPr="00F02740" w:rsidRDefault="001124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0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3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2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0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9"/>
  </w:num>
  <w:num w:numId="5">
    <w:abstractNumId w:val="34"/>
  </w:num>
  <w:num w:numId="6">
    <w:abstractNumId w:val="32"/>
  </w:num>
  <w:num w:numId="7">
    <w:abstractNumId w:val="55"/>
  </w:num>
  <w:num w:numId="8">
    <w:abstractNumId w:val="24"/>
  </w:num>
  <w:num w:numId="9">
    <w:abstractNumId w:val="25"/>
  </w:num>
  <w:num w:numId="10">
    <w:abstractNumId w:val="26"/>
  </w:num>
  <w:num w:numId="11">
    <w:abstractNumId w:val="30"/>
  </w:num>
  <w:num w:numId="12">
    <w:abstractNumId w:val="13"/>
  </w:num>
  <w:num w:numId="13">
    <w:abstractNumId w:val="56"/>
  </w:num>
  <w:num w:numId="14">
    <w:abstractNumId w:val="21"/>
  </w:num>
  <w:num w:numId="15">
    <w:abstractNumId w:val="7"/>
  </w:num>
  <w:num w:numId="16">
    <w:abstractNumId w:val="6"/>
  </w:num>
  <w:num w:numId="17">
    <w:abstractNumId w:val="48"/>
  </w:num>
  <w:num w:numId="18">
    <w:abstractNumId w:val="44"/>
  </w:num>
  <w:num w:numId="19">
    <w:abstractNumId w:val="37"/>
  </w:num>
  <w:num w:numId="20">
    <w:abstractNumId w:val="52"/>
  </w:num>
  <w:num w:numId="21">
    <w:abstractNumId w:val="51"/>
  </w:num>
  <w:num w:numId="22">
    <w:abstractNumId w:val="53"/>
  </w:num>
  <w:num w:numId="23">
    <w:abstractNumId w:val="8"/>
  </w:num>
  <w:num w:numId="24">
    <w:abstractNumId w:val="42"/>
  </w:num>
  <w:num w:numId="25">
    <w:abstractNumId w:val="3"/>
  </w:num>
  <w:num w:numId="26">
    <w:abstractNumId w:val="43"/>
  </w:num>
  <w:num w:numId="27">
    <w:abstractNumId w:val="39"/>
  </w:num>
  <w:num w:numId="28">
    <w:abstractNumId w:val="5"/>
  </w:num>
  <w:num w:numId="29">
    <w:abstractNumId w:val="50"/>
  </w:num>
  <w:num w:numId="30">
    <w:abstractNumId w:val="54"/>
  </w:num>
  <w:num w:numId="31">
    <w:abstractNumId w:val="35"/>
  </w:num>
  <w:num w:numId="32">
    <w:abstractNumId w:val="47"/>
  </w:num>
  <w:num w:numId="33">
    <w:abstractNumId w:val="41"/>
  </w:num>
  <w:num w:numId="34">
    <w:abstractNumId w:val="27"/>
  </w:num>
  <w:num w:numId="35">
    <w:abstractNumId w:val="2"/>
  </w:num>
  <w:num w:numId="36">
    <w:abstractNumId w:val="14"/>
  </w:num>
  <w:num w:numId="37">
    <w:abstractNumId w:val="12"/>
  </w:num>
  <w:num w:numId="38">
    <w:abstractNumId w:val="15"/>
  </w:num>
  <w:num w:numId="39">
    <w:abstractNumId w:val="36"/>
  </w:num>
  <w:num w:numId="40">
    <w:abstractNumId w:val="28"/>
  </w:num>
  <w:num w:numId="41">
    <w:abstractNumId w:val="1"/>
  </w:num>
  <w:num w:numId="42">
    <w:abstractNumId w:val="38"/>
  </w:num>
  <w:num w:numId="43">
    <w:abstractNumId w:val="18"/>
  </w:num>
  <w:num w:numId="44">
    <w:abstractNumId w:val="31"/>
  </w:num>
  <w:num w:numId="45">
    <w:abstractNumId w:val="45"/>
  </w:num>
  <w:num w:numId="46">
    <w:abstractNumId w:val="40"/>
  </w:num>
  <w:num w:numId="47">
    <w:abstractNumId w:val="46"/>
  </w:num>
  <w:num w:numId="48">
    <w:abstractNumId w:val="49"/>
  </w:num>
  <w:num w:numId="49">
    <w:abstractNumId w:val="10"/>
  </w:num>
  <w:num w:numId="50">
    <w:abstractNumId w:val="20"/>
  </w:num>
  <w:num w:numId="51">
    <w:abstractNumId w:val="11"/>
  </w:num>
  <w:num w:numId="52">
    <w:abstractNumId w:val="23"/>
  </w:num>
  <w:num w:numId="53">
    <w:abstractNumId w:val="19"/>
  </w:num>
  <w:num w:numId="54">
    <w:abstractNumId w:val="33"/>
  </w:num>
  <w:num w:numId="55">
    <w:abstractNumId w:val="16"/>
  </w:num>
  <w:num w:numId="56">
    <w:abstractNumId w:val="1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MT"/>
    <w:docVar w:name="dvnumam" w:val="528"/>
    <w:docVar w:name="dvpe" w:val="746.876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l-approvazzjoni tat-tip ta’ vetturi bil-mutur u magni u ta’ sistemi, komponenti u unitajiet tekniċi separati maħsuba għal tali vetturi, fir-rigward tal-emissjonijiet u d-durabbiltà tal-batterija tagħhom (Euro 7) u li jħassar ir-Regolamenti (KE) Nru 715/2007 u (KE) Nru 595/2009(COM(2022)0586 – C9-0375/2022 – 2022/0365(COD))"/>
  </w:docVars>
  <w:rsids>
    <w:rsidRoot w:val="00F05092"/>
    <w:rsid w:val="00002272"/>
    <w:rsid w:val="00064002"/>
    <w:rsid w:val="000677B9"/>
    <w:rsid w:val="000831BA"/>
    <w:rsid w:val="000A42CC"/>
    <w:rsid w:val="000E7DD9"/>
    <w:rsid w:val="0010095E"/>
    <w:rsid w:val="0011249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1A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5AD"/>
    <w:rsid w:val="0050519A"/>
    <w:rsid w:val="0050646F"/>
    <w:rsid w:val="005072A1"/>
    <w:rsid w:val="00514517"/>
    <w:rsid w:val="00545827"/>
    <w:rsid w:val="00560270"/>
    <w:rsid w:val="005C2568"/>
    <w:rsid w:val="006037C0"/>
    <w:rsid w:val="006631B6"/>
    <w:rsid w:val="00680577"/>
    <w:rsid w:val="006A012F"/>
    <w:rsid w:val="006F74FA"/>
    <w:rsid w:val="00714DB7"/>
    <w:rsid w:val="00731ADD"/>
    <w:rsid w:val="00734777"/>
    <w:rsid w:val="00747932"/>
    <w:rsid w:val="00751A4A"/>
    <w:rsid w:val="00756632"/>
    <w:rsid w:val="00762C74"/>
    <w:rsid w:val="00777E0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E09"/>
    <w:rsid w:val="00930C23"/>
    <w:rsid w:val="0093193B"/>
    <w:rsid w:val="009509D8"/>
    <w:rsid w:val="00950B64"/>
    <w:rsid w:val="00981893"/>
    <w:rsid w:val="009B0BAD"/>
    <w:rsid w:val="009C5E3E"/>
    <w:rsid w:val="00A1687D"/>
    <w:rsid w:val="00A43E52"/>
    <w:rsid w:val="00A4678D"/>
    <w:rsid w:val="00A778C7"/>
    <w:rsid w:val="00AB441E"/>
    <w:rsid w:val="00AB6293"/>
    <w:rsid w:val="00AB7CFB"/>
    <w:rsid w:val="00AE0928"/>
    <w:rsid w:val="00AF3B82"/>
    <w:rsid w:val="00B12E95"/>
    <w:rsid w:val="00B22876"/>
    <w:rsid w:val="00B531C1"/>
    <w:rsid w:val="00B552A1"/>
    <w:rsid w:val="00B558F0"/>
    <w:rsid w:val="00B732DA"/>
    <w:rsid w:val="00BD48FE"/>
    <w:rsid w:val="00BD7BD8"/>
    <w:rsid w:val="00BE6ADC"/>
    <w:rsid w:val="00C05BFE"/>
    <w:rsid w:val="00C23CD4"/>
    <w:rsid w:val="00C61C0C"/>
    <w:rsid w:val="00C941CB"/>
    <w:rsid w:val="00CC2357"/>
    <w:rsid w:val="00CE1259"/>
    <w:rsid w:val="00CF071A"/>
    <w:rsid w:val="00D058B8"/>
    <w:rsid w:val="00D56C11"/>
    <w:rsid w:val="00D834A0"/>
    <w:rsid w:val="00D872DF"/>
    <w:rsid w:val="00D91E21"/>
    <w:rsid w:val="00DA7FCD"/>
    <w:rsid w:val="00E1334D"/>
    <w:rsid w:val="00E169C0"/>
    <w:rsid w:val="00E365E1"/>
    <w:rsid w:val="00E820A4"/>
    <w:rsid w:val="00EB006A"/>
    <w:rsid w:val="00EB4772"/>
    <w:rsid w:val="00ED169E"/>
    <w:rsid w:val="00ED4235"/>
    <w:rsid w:val="00F02740"/>
    <w:rsid w:val="00F04346"/>
    <w:rsid w:val="00F05092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92988-39E3-4F87-8D65-705F0D73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A012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A012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A012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6A012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A012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A012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12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6A012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6A012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6A012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A012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A012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A012F"/>
    <w:pPr>
      <w:spacing w:after="120"/>
    </w:pPr>
  </w:style>
  <w:style w:type="paragraph" w:customStyle="1" w:styleId="PageHeading">
    <w:name w:val="PageHeading"/>
    <w:basedOn w:val="Normal"/>
    <w:rsid w:val="006A01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A012F"/>
    <w:rPr>
      <w:b/>
    </w:rPr>
  </w:style>
  <w:style w:type="paragraph" w:customStyle="1" w:styleId="NormalBold12a">
    <w:name w:val="NormalBold12a"/>
    <w:basedOn w:val="Normal"/>
    <w:rsid w:val="006A012F"/>
    <w:pPr>
      <w:spacing w:after="240"/>
    </w:pPr>
    <w:rPr>
      <w:b/>
    </w:rPr>
  </w:style>
  <w:style w:type="paragraph" w:customStyle="1" w:styleId="AmJustText">
    <w:name w:val="AmJustText"/>
    <w:basedOn w:val="Normal"/>
    <w:rsid w:val="006A012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A012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A012F"/>
    <w:pPr>
      <w:spacing w:after="480"/>
      <w:ind w:left="1417"/>
    </w:pPr>
  </w:style>
  <w:style w:type="paragraph" w:customStyle="1" w:styleId="CoverNormal">
    <w:name w:val="CoverNormal"/>
    <w:basedOn w:val="Normal"/>
    <w:rsid w:val="006A012F"/>
    <w:pPr>
      <w:ind w:left="1418"/>
    </w:pPr>
  </w:style>
  <w:style w:type="paragraph" w:customStyle="1" w:styleId="AmCrossRef">
    <w:name w:val="AmCrossRef"/>
    <w:basedOn w:val="Normal"/>
    <w:rsid w:val="006A012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A012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A012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A012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A012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A012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A01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12F"/>
    <w:rPr>
      <w:sz w:val="24"/>
      <w:lang w:val="mt-MT"/>
    </w:rPr>
  </w:style>
  <w:style w:type="paragraph" w:customStyle="1" w:styleId="AmOrLang">
    <w:name w:val="AmOrLang"/>
    <w:basedOn w:val="Normal"/>
    <w:rsid w:val="006A012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A012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A01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A012F"/>
    <w:pPr>
      <w:spacing w:before="240"/>
    </w:pPr>
    <w:rPr>
      <w:b/>
    </w:rPr>
  </w:style>
  <w:style w:type="paragraph" w:customStyle="1" w:styleId="EPBody">
    <w:name w:val="EPBody"/>
    <w:basedOn w:val="Normal"/>
    <w:rsid w:val="006A012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A012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A012F"/>
    <w:pPr>
      <w:spacing w:before="480" w:after="240"/>
    </w:pPr>
  </w:style>
  <w:style w:type="paragraph" w:customStyle="1" w:styleId="Lgendesigne">
    <w:name w:val="Légende signe"/>
    <w:basedOn w:val="Normal"/>
    <w:rsid w:val="006A012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A012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6A012F"/>
    <w:pPr>
      <w:ind w:left="0" w:firstLine="0"/>
    </w:pPr>
  </w:style>
  <w:style w:type="paragraph" w:customStyle="1" w:styleId="msonormal0">
    <w:name w:val="msonormal"/>
    <w:basedOn w:val="Normal"/>
    <w:rsid w:val="006A012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6A012F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6A012F"/>
    <w:rPr>
      <w:sz w:val="22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6A012F"/>
    <w:rPr>
      <w:noProof/>
      <w:sz w:val="24"/>
    </w:rPr>
  </w:style>
  <w:style w:type="paragraph" w:customStyle="1" w:styleId="Normal12">
    <w:name w:val="Normal12"/>
    <w:basedOn w:val="Normal"/>
    <w:link w:val="Normal12Char"/>
    <w:rsid w:val="006A012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A012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A012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A012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A012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A012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A012F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6A012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A012F"/>
    <w:rPr>
      <w:b/>
      <w:sz w:val="24"/>
      <w:lang w:val="mt-MT"/>
    </w:rPr>
  </w:style>
  <w:style w:type="paragraph" w:customStyle="1" w:styleId="Normal12Italic">
    <w:name w:val="Normal12Italic"/>
    <w:basedOn w:val="Normal12"/>
    <w:rsid w:val="006A012F"/>
    <w:pPr>
      <w:jc w:val="both"/>
    </w:pPr>
  </w:style>
  <w:style w:type="paragraph" w:customStyle="1" w:styleId="JustificationTitle">
    <w:name w:val="JustificationTitle"/>
    <w:basedOn w:val="Normal"/>
    <w:next w:val="Normal12"/>
    <w:rsid w:val="006A012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A012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A012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A01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A012F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A012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A012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A012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6A012F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A012F"/>
    <w:rPr>
      <w:rFonts w:ascii="Segoe UI" w:hAnsi="Segoe UI" w:cs="Segoe UI"/>
      <w:sz w:val="18"/>
      <w:szCs w:val="18"/>
      <w:lang w:val="mt-MT"/>
    </w:rPr>
  </w:style>
  <w:style w:type="paragraph" w:customStyle="1" w:styleId="Normal12Hanging">
    <w:name w:val="Normal12Hanging"/>
    <w:basedOn w:val="Normal"/>
    <w:uiPriority w:val="99"/>
    <w:rsid w:val="006A012F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6A012F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6A012F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6A012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A01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012F"/>
    <w:rPr>
      <w:b/>
      <w:bCs/>
      <w:lang w:val="mt-MT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6A012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6A012F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6A012F"/>
    <w:rPr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6A012F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6A012F"/>
    <w:rPr>
      <w:b/>
      <w:sz w:val="24"/>
      <w:lang w:val="mt-MT"/>
    </w:rPr>
  </w:style>
  <w:style w:type="paragraph" w:customStyle="1" w:styleId="TableParagraph">
    <w:name w:val="Table Paragraph"/>
    <w:basedOn w:val="Normal"/>
    <w:uiPriority w:val="1"/>
    <w:qFormat/>
    <w:rsid w:val="006A012F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6A012F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character" w:customStyle="1" w:styleId="contentpasted0">
    <w:name w:val="contentpasted0"/>
    <w:rsid w:val="006A012F"/>
  </w:style>
  <w:style w:type="table" w:customStyle="1" w:styleId="CV11">
    <w:name w:val="CV11"/>
    <w:basedOn w:val="TableNormal"/>
    <w:uiPriority w:val="39"/>
    <w:rsid w:val="006A012F"/>
    <w:rPr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6A012F"/>
    <w:pPr>
      <w:spacing w:after="240"/>
    </w:pPr>
  </w:style>
  <w:style w:type="paragraph" w:customStyle="1" w:styleId="RollCallVotes">
    <w:name w:val="RollCallVotes"/>
    <w:basedOn w:val="Normal"/>
    <w:rsid w:val="006A012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A012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A012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A012F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6A012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6A012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A012F"/>
    <w:rPr>
      <w:sz w:val="24"/>
      <w:lang w:val="mt-MT"/>
    </w:rPr>
  </w:style>
  <w:style w:type="paragraph" w:customStyle="1" w:styleId="Normal1">
    <w:name w:val="Normal1"/>
    <w:basedOn w:val="Normal"/>
    <w:rsid w:val="006A012F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6A012F"/>
  </w:style>
  <w:style w:type="paragraph" w:customStyle="1" w:styleId="CoverBold">
    <w:name w:val="CoverBold"/>
    <w:basedOn w:val="Normal"/>
    <w:rsid w:val="006A012F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6A012F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A012F"/>
    <w:rPr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6A012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6A012F"/>
    <w:rPr>
      <w:color w:val="605E5C"/>
      <w:shd w:val="clear" w:color="auto" w:fill="E1DFDD"/>
    </w:rPr>
  </w:style>
  <w:style w:type="paragraph" w:customStyle="1" w:styleId="Titel">
    <w:name w:val="Titel"/>
    <w:rsid w:val="006A012F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numbering" w:customStyle="1" w:styleId="NoList1">
    <w:name w:val="No List1"/>
    <w:next w:val="NoList"/>
    <w:uiPriority w:val="99"/>
    <w:semiHidden/>
    <w:unhideWhenUsed/>
    <w:rsid w:val="00B552A1"/>
  </w:style>
  <w:style w:type="paragraph" w:customStyle="1" w:styleId="Text1">
    <w:name w:val="Text 1"/>
    <w:basedOn w:val="Normal"/>
    <w:rsid w:val="00B552A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B552A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B552A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B552A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B552A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B552A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B552A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552A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552A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552A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552A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552A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552A1"/>
    <w:rPr>
      <w:rFonts w:eastAsia="Calibri"/>
      <w:sz w:val="24"/>
      <w:szCs w:val="22"/>
      <w:lang w:val="mt-MT" w:eastAsia="en-US"/>
    </w:rPr>
  </w:style>
  <w:style w:type="character" w:customStyle="1" w:styleId="Marker">
    <w:name w:val="Marker"/>
    <w:basedOn w:val="DefaultParagraphFont"/>
    <w:rsid w:val="00B552A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552A1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B552A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552A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552A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552A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552A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552A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552A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552A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552A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552A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552A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552A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552A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552A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552A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552A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552A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552A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552A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552A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552A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552A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552A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552A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552A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552A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552A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552A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552A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552A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552A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552A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552A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552A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552A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552A1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552A1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552A1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552A1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552A1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552A1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552A1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552A1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552A1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552A1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552A1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552A1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552A1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552A1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552A1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552A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552A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552A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552A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552A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552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552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552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552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552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552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552A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552A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552A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552A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552A1"/>
    <w:pPr>
      <w:widowControl/>
      <w:numPr>
        <w:ilvl w:val="2"/>
        <w:numId w:val="13"/>
      </w:numPr>
      <w:tabs>
        <w:tab w:val="clear" w:pos="1417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552A1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552A1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552A1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552A1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552A1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552A1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552A1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552A1"/>
    <w:pPr>
      <w:widowControl/>
      <w:tabs>
        <w:tab w:val="num" w:pos="3118"/>
      </w:tabs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552A1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552A1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552A1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552A1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552A1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552A1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552A1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552A1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552A1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552A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552A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552A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552A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552A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552A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Considrant">
    <w:name w:val="Considérant"/>
    <w:basedOn w:val="Normal"/>
    <w:rsid w:val="00B552A1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552A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552A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B552A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552A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552A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552A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552A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552A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552A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552A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552A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552A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552A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552A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552A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552A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552A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552A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552A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552A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552A1"/>
    <w:pPr>
      <w:spacing w:before="240"/>
    </w:pPr>
  </w:style>
  <w:style w:type="paragraph" w:customStyle="1" w:styleId="Accordtitre">
    <w:name w:val="Accord titre"/>
    <w:basedOn w:val="Normal"/>
    <w:rsid w:val="00B552A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552A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552A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552A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552A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552A1"/>
    <w:pPr>
      <w:spacing w:after="240"/>
    </w:pPr>
  </w:style>
  <w:style w:type="paragraph" w:customStyle="1" w:styleId="Annexetitre">
    <w:name w:val="Annexe titre"/>
    <w:basedOn w:val="Normal"/>
    <w:next w:val="Normal"/>
    <w:rsid w:val="00B552A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552A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552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552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552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552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552A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552A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552A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552A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552A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552A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552A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552A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552A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552A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552A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552A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552A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552A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552A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552A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552A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552A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552A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552A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552A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552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552A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552A1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B552A1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552A1"/>
    <w:rPr>
      <w:color w:val="808080"/>
    </w:rPr>
  </w:style>
  <w:style w:type="paragraph" w:customStyle="1" w:styleId="NormalJustified">
    <w:name w:val="Normal Justified"/>
    <w:basedOn w:val="Normal"/>
    <w:rsid w:val="00B552A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552A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552A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552A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552A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552A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552A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552A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552A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552A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552A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552A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552A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552A1"/>
    <w:pPr>
      <w:widowControl/>
      <w:numPr>
        <w:ilvl w:val="1"/>
        <w:numId w:val="35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552A1"/>
    <w:pPr>
      <w:widowControl/>
      <w:numPr>
        <w:ilvl w:val="3"/>
        <w:numId w:val="35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552A1"/>
    <w:pPr>
      <w:widowControl/>
      <w:numPr>
        <w:ilvl w:val="5"/>
        <w:numId w:val="35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552A1"/>
    <w:pPr>
      <w:widowControl/>
      <w:numPr>
        <w:ilvl w:val="7"/>
        <w:numId w:val="35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552A1"/>
    <w:pPr>
      <w:widowControl/>
      <w:numPr>
        <w:ilvl w:val="8"/>
        <w:numId w:val="35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552A1"/>
    <w:pPr>
      <w:widowControl/>
      <w:numPr>
        <w:numId w:val="35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552A1"/>
    <w:pPr>
      <w:widowControl/>
      <w:numPr>
        <w:ilvl w:val="2"/>
        <w:numId w:val="35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552A1"/>
    <w:pPr>
      <w:widowControl/>
      <w:numPr>
        <w:ilvl w:val="4"/>
        <w:numId w:val="35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552A1"/>
    <w:pPr>
      <w:widowControl/>
      <w:numPr>
        <w:ilvl w:val="6"/>
        <w:numId w:val="35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552A1"/>
    <w:pPr>
      <w:widowControl/>
      <w:numPr>
        <w:numId w:val="36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552A1"/>
    <w:pPr>
      <w:widowControl/>
      <w:numPr>
        <w:ilvl w:val="1"/>
        <w:numId w:val="36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552A1"/>
    <w:pPr>
      <w:widowControl/>
      <w:numPr>
        <w:ilvl w:val="2"/>
        <w:numId w:val="36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552A1"/>
    <w:pPr>
      <w:widowControl/>
      <w:numPr>
        <w:ilvl w:val="3"/>
        <w:numId w:val="36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552A1"/>
    <w:pPr>
      <w:widowControl/>
      <w:numPr>
        <w:ilvl w:val="4"/>
        <w:numId w:val="36"/>
      </w:numPr>
      <w:tabs>
        <w:tab w:val="clear" w:pos="283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552A1"/>
    <w:pPr>
      <w:widowControl/>
      <w:numPr>
        <w:numId w:val="3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552A1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552A1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552A1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552A1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552A1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552A1"/>
    <w:pPr>
      <w:numPr>
        <w:numId w:val="29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B552A1"/>
    <w:pPr>
      <w:numPr>
        <w:numId w:val="30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B552A1"/>
    <w:pPr>
      <w:numPr>
        <w:numId w:val="31"/>
      </w:numPr>
      <w:tabs>
        <w:tab w:val="clear" w:pos="1701"/>
        <w:tab w:val="num" w:pos="1492"/>
      </w:tabs>
      <w:ind w:left="1492" w:hanging="360"/>
    </w:pPr>
  </w:style>
  <w:style w:type="paragraph" w:customStyle="1" w:styleId="DashEqual3">
    <w:name w:val="Dash Equal 3"/>
    <w:basedOn w:val="Dash3"/>
    <w:rsid w:val="00B552A1"/>
    <w:pPr>
      <w:numPr>
        <w:numId w:val="32"/>
      </w:numPr>
      <w:tabs>
        <w:tab w:val="clear" w:pos="2268"/>
        <w:tab w:val="num" w:pos="360"/>
      </w:tabs>
      <w:ind w:left="360" w:hanging="360"/>
    </w:pPr>
  </w:style>
  <w:style w:type="paragraph" w:customStyle="1" w:styleId="DashEqual4">
    <w:name w:val="Dash Equal 4"/>
    <w:basedOn w:val="Dash4"/>
    <w:rsid w:val="00B552A1"/>
    <w:pPr>
      <w:numPr>
        <w:numId w:val="33"/>
      </w:numPr>
      <w:tabs>
        <w:tab w:val="clear" w:pos="2835"/>
        <w:tab w:val="num" w:pos="643"/>
      </w:tabs>
      <w:ind w:left="643" w:hanging="360"/>
    </w:pPr>
  </w:style>
  <w:style w:type="paragraph" w:customStyle="1" w:styleId="HeadingLeft">
    <w:name w:val="Heading Left"/>
    <w:basedOn w:val="Normal"/>
    <w:next w:val="Normal"/>
    <w:rsid w:val="00B552A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552A1"/>
    <w:pPr>
      <w:numPr>
        <w:numId w:val="39"/>
      </w:numPr>
      <w:tabs>
        <w:tab w:val="clear" w:pos="567"/>
        <w:tab w:val="num" w:pos="926"/>
      </w:tabs>
      <w:ind w:left="926" w:hanging="360"/>
    </w:pPr>
  </w:style>
  <w:style w:type="paragraph" w:customStyle="1" w:styleId="Heading123">
    <w:name w:val="Heading 123"/>
    <w:basedOn w:val="HeadingLeft"/>
    <w:next w:val="Normal"/>
    <w:rsid w:val="00B552A1"/>
    <w:pPr>
      <w:numPr>
        <w:numId w:val="38"/>
      </w:numPr>
      <w:tabs>
        <w:tab w:val="clear" w:pos="567"/>
        <w:tab w:val="num" w:pos="643"/>
      </w:tabs>
      <w:ind w:left="643" w:hanging="360"/>
    </w:pPr>
  </w:style>
  <w:style w:type="paragraph" w:customStyle="1" w:styleId="HeadingABC">
    <w:name w:val="Heading ABC"/>
    <w:basedOn w:val="HeadingLeft"/>
    <w:next w:val="Normal"/>
    <w:rsid w:val="00B552A1"/>
    <w:pPr>
      <w:numPr>
        <w:numId w:val="37"/>
      </w:numPr>
      <w:tabs>
        <w:tab w:val="clear" w:pos="567"/>
        <w:tab w:val="num" w:pos="360"/>
      </w:tabs>
      <w:ind w:left="360" w:hanging="360"/>
    </w:pPr>
  </w:style>
  <w:style w:type="paragraph" w:customStyle="1" w:styleId="HeadingCentered">
    <w:name w:val="Heading Centered"/>
    <w:basedOn w:val="HeadingLeft"/>
    <w:next w:val="Normal"/>
    <w:rsid w:val="00B552A1"/>
    <w:pPr>
      <w:jc w:val="center"/>
    </w:pPr>
  </w:style>
  <w:style w:type="paragraph" w:customStyle="1" w:styleId="Jardin">
    <w:name w:val="Jardin"/>
    <w:basedOn w:val="Normal"/>
    <w:rsid w:val="00B552A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552A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552A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552A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552A1"/>
    <w:rPr>
      <w:b/>
    </w:rPr>
  </w:style>
  <w:style w:type="paragraph" w:customStyle="1" w:styleId="Annex">
    <w:name w:val="Annex"/>
    <w:basedOn w:val="Normal"/>
    <w:next w:val="Normal"/>
    <w:rsid w:val="00B552A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552A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552A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552A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552A1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B552A1"/>
    <w:rPr>
      <w:rFonts w:eastAsiaTheme="minorHAnsi"/>
      <w:sz w:val="24"/>
      <w:szCs w:val="24"/>
      <w:lang w:val="mt-MT" w:eastAsia="en-US"/>
    </w:rPr>
  </w:style>
  <w:style w:type="paragraph" w:customStyle="1" w:styleId="ListDash2">
    <w:name w:val="List Dash 2"/>
    <w:basedOn w:val="Normal"/>
    <w:qFormat/>
    <w:rsid w:val="00B552A1"/>
    <w:pPr>
      <w:widowControl/>
      <w:numPr>
        <w:numId w:val="40"/>
      </w:numPr>
      <w:tabs>
        <w:tab w:val="clear" w:pos="1134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B552A1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B552A1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B552A1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B552A1"/>
    <w:pPr>
      <w:widowControl/>
      <w:numPr>
        <w:numId w:val="4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B552A1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B552A1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B552A1"/>
    <w:pPr>
      <w:widowControl/>
      <w:numPr>
        <w:ilvl w:val="2"/>
        <w:numId w:val="45"/>
      </w:numPr>
      <w:tabs>
        <w:tab w:val="clear" w:pos="2126"/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B552A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B552A1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B552A1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B552A1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B552A1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B552A1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B552A1"/>
    <w:pPr>
      <w:widowControl/>
      <w:numPr>
        <w:numId w:val="52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B552A1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B552A1"/>
    <w:pPr>
      <w:widowControl/>
      <w:numPr>
        <w:numId w:val="54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B552A1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B552A1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B552A1"/>
    <w:pPr>
      <w:numPr>
        <w:ilvl w:val="1"/>
        <w:numId w:val="51"/>
      </w:numPr>
      <w:tabs>
        <w:tab w:val="clear" w:pos="2268"/>
        <w:tab w:val="num" w:pos="1560"/>
      </w:tabs>
      <w:spacing w:line="240" w:lineRule="auto"/>
      <w:ind w:left="1560" w:hanging="709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552A1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552A1"/>
    <w:pPr>
      <w:numPr>
        <w:ilvl w:val="1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552A1"/>
    <w:pPr>
      <w:numPr>
        <w:ilvl w:val="1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B552A1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B552A1"/>
    <w:pPr>
      <w:numPr>
        <w:ilvl w:val="2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552A1"/>
    <w:pPr>
      <w:numPr>
        <w:ilvl w:val="2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552A1"/>
    <w:pPr>
      <w:numPr>
        <w:ilvl w:val="2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552A1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552A1"/>
    <w:pPr>
      <w:numPr>
        <w:ilvl w:val="3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552A1"/>
    <w:pPr>
      <w:numPr>
        <w:ilvl w:val="3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552A1"/>
    <w:pPr>
      <w:numPr>
        <w:ilvl w:val="3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552A1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552A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552A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552A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552A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552A1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552A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552A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552A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552A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552A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552A1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B552A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B552A1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B552A1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B552A1"/>
    <w:pPr>
      <w:spacing w:line="240" w:lineRule="auto"/>
    </w:pPr>
    <w:rPr>
      <w:rFonts w:eastAsia="Times New Roman"/>
      <w:lang w:eastAsia="en-GB"/>
    </w:rPr>
  </w:style>
  <w:style w:type="paragraph" w:customStyle="1" w:styleId="FooterCoverPage">
    <w:name w:val="Footer Cover Page"/>
    <w:basedOn w:val="Normal"/>
    <w:link w:val="FooterCoverPageChar"/>
    <w:rsid w:val="00B552A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B552A1"/>
    <w:rPr>
      <w:rFonts w:eastAsia="Calibri"/>
      <w:sz w:val="24"/>
      <w:szCs w:val="22"/>
      <w:lang w:val="mt-MT"/>
    </w:rPr>
  </w:style>
  <w:style w:type="paragraph" w:customStyle="1" w:styleId="HeaderCoverPage">
    <w:name w:val="Header Cover Page"/>
    <w:basedOn w:val="Normal"/>
    <w:link w:val="HeaderCoverPageChar"/>
    <w:rsid w:val="00B552A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B552A1"/>
    <w:rPr>
      <w:rFonts w:eastAsia="Calibri"/>
      <w:sz w:val="24"/>
      <w:szCs w:val="22"/>
      <w:lang w:val="mt-MT"/>
    </w:rPr>
  </w:style>
  <w:style w:type="character" w:customStyle="1" w:styleId="superscript">
    <w:name w:val="superscript"/>
    <w:basedOn w:val="DefaultParagraphFont"/>
    <w:rsid w:val="00B552A1"/>
  </w:style>
  <w:style w:type="character" w:customStyle="1" w:styleId="italics">
    <w:name w:val="italics"/>
    <w:basedOn w:val="DefaultParagraphFont"/>
    <w:rsid w:val="00B552A1"/>
  </w:style>
  <w:style w:type="paragraph" w:customStyle="1" w:styleId="title-article-norm">
    <w:name w:val="title-article-norm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B552A1"/>
    <w:rPr>
      <w:b/>
      <w:bCs/>
    </w:rPr>
  </w:style>
  <w:style w:type="paragraph" w:customStyle="1" w:styleId="sti-art">
    <w:name w:val="sti-art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1">
    <w:name w:val="text1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B552A1"/>
  </w:style>
  <w:style w:type="character" w:customStyle="1" w:styleId="italic">
    <w:name w:val="italic"/>
    <w:basedOn w:val="DefaultParagraphFont"/>
    <w:rsid w:val="00B552A1"/>
  </w:style>
  <w:style w:type="paragraph" w:customStyle="1" w:styleId="Normal7">
    <w:name w:val="Normal7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B552A1"/>
    <w:rPr>
      <w:rFonts w:ascii="Calibri" w:eastAsia="Calibri" w:hAnsi="Calibri" w:cs="Arial"/>
      <w:lang w:val="mt-MT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B552A1"/>
    <w:rPr>
      <w:i/>
      <w:iCs/>
    </w:rPr>
  </w:style>
  <w:style w:type="character" w:customStyle="1" w:styleId="italic1">
    <w:name w:val="italic1"/>
    <w:basedOn w:val="DefaultParagraphFont"/>
    <w:rsid w:val="00B552A1"/>
    <w:rPr>
      <w:i/>
      <w:iCs/>
    </w:rPr>
  </w:style>
  <w:style w:type="paragraph" w:customStyle="1" w:styleId="paragraph">
    <w:name w:val="paragraph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B552A1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B552A1"/>
  </w:style>
  <w:style w:type="paragraph" w:customStyle="1" w:styleId="Normal10">
    <w:name w:val="Normal10"/>
    <w:basedOn w:val="Normal"/>
    <w:rsid w:val="00B552A1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11">
    <w:name w:val="Normal11"/>
    <w:basedOn w:val="Normal"/>
    <w:rsid w:val="00B552A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B552A1"/>
  </w:style>
  <w:style w:type="character" w:customStyle="1" w:styleId="markedcontent">
    <w:name w:val="markedcontent"/>
    <w:basedOn w:val="DefaultParagraphFont"/>
    <w:rsid w:val="00B552A1"/>
  </w:style>
  <w:style w:type="character" w:customStyle="1" w:styleId="num">
    <w:name w:val="num"/>
    <w:basedOn w:val="DefaultParagraphFont"/>
    <w:rsid w:val="00B552A1"/>
  </w:style>
  <w:style w:type="paragraph" w:customStyle="1" w:styleId="norm">
    <w:name w:val="norm"/>
    <w:basedOn w:val="Normal"/>
    <w:rsid w:val="00B552A1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B552A1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B552A1"/>
  </w:style>
  <w:style w:type="table" w:customStyle="1" w:styleId="TableGrid1">
    <w:name w:val="Table Grid1"/>
    <w:basedOn w:val="TableNormal"/>
    <w:next w:val="TableGrid"/>
    <w:uiPriority w:val="59"/>
    <w:rsid w:val="00B552A1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B552A1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B552A1"/>
    <w:rPr>
      <w:rFonts w:ascii="Calibri" w:eastAsia="Calibri" w:hAnsi="Calibri" w:cs="Arial"/>
      <w:lang w:val="mt-MT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B552A1"/>
  </w:style>
  <w:style w:type="character" w:customStyle="1" w:styleId="None">
    <w:name w:val="None"/>
    <w:rsid w:val="00B552A1"/>
  </w:style>
  <w:style w:type="paragraph" w:customStyle="1" w:styleId="nor">
    <w:name w:val="nor"/>
    <w:basedOn w:val="Normal"/>
    <w:rsid w:val="00B552A1"/>
    <w:pPr>
      <w:widowControl/>
      <w:numPr>
        <w:numId w:val="55"/>
      </w:numPr>
      <w:tabs>
        <w:tab w:val="num" w:pos="4819"/>
      </w:tabs>
      <w:spacing w:before="120" w:after="120"/>
      <w:ind w:left="4819" w:hanging="567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B552A1"/>
  </w:style>
  <w:style w:type="paragraph" w:customStyle="1" w:styleId="HeaderSensitivity">
    <w:name w:val="Header Sensitivity"/>
    <w:basedOn w:val="Normal"/>
    <w:rsid w:val="00B552A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552A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552A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B552A1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B552A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552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552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552A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552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552A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552A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552A1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B552A1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B552A1"/>
    <w:pPr>
      <w:spacing w:line="240" w:lineRule="auto"/>
    </w:pPr>
  </w:style>
  <w:style w:type="paragraph" w:customStyle="1" w:styleId="Rfrencecroise">
    <w:name w:val="Référence croisée"/>
    <w:basedOn w:val="Normal"/>
    <w:rsid w:val="00B552A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552A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552A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552A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552A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552A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552A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552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552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B552A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552A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552A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552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Added">
    <w:name w:val="Added"/>
    <w:basedOn w:val="DefaultParagraphFont"/>
    <w:rsid w:val="00B552A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552A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552A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552A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552A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552A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552A1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552A1"/>
  </w:style>
  <w:style w:type="paragraph" w:customStyle="1" w:styleId="StatutPagedecouverture">
    <w:name w:val="Statut (Page de couverture)"/>
    <w:basedOn w:val="Statut"/>
    <w:next w:val="TypedudocumentPagedecouverture"/>
    <w:rsid w:val="00B552A1"/>
    <w:pPr>
      <w:spacing w:line="240" w:lineRule="auto"/>
    </w:pPr>
  </w:style>
  <w:style w:type="paragraph" w:customStyle="1" w:styleId="Volume">
    <w:name w:val="Volume"/>
    <w:basedOn w:val="Normal"/>
    <w:next w:val="Confidentialit"/>
    <w:rsid w:val="00B552A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552A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552A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552A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B552A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552A1"/>
  </w:style>
  <w:style w:type="paragraph" w:customStyle="1" w:styleId="ObjetacteprincipalPagedecouverture">
    <w:name w:val="Objet acte principal (Page de couverture)"/>
    <w:basedOn w:val="Objetacteprincipal"/>
    <w:next w:val="Rfrencecroise"/>
    <w:rsid w:val="00B552A1"/>
  </w:style>
  <w:style w:type="paragraph" w:customStyle="1" w:styleId="LanguesfaisantfoiPagedecouverture">
    <w:name w:val="Langues faisant foi (Page de couverture)"/>
    <w:basedOn w:val="Normal"/>
    <w:next w:val="Normal"/>
    <w:rsid w:val="00B552A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B552A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B552A1"/>
    <w:rPr>
      <w:rFonts w:eastAsia="Calibri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B552A1"/>
    <w:rPr>
      <w:rFonts w:ascii="Times New Roman" w:hAnsi="Times New Roman" w:cs="Times New Roman"/>
      <w:sz w:val="2"/>
      <w:lang w:val="mt-MT"/>
    </w:rPr>
  </w:style>
  <w:style w:type="character" w:customStyle="1" w:styleId="FooterCouncilChar">
    <w:name w:val="Footer Council Char"/>
    <w:basedOn w:val="DefaultParagraphFont"/>
    <w:rsid w:val="00B552A1"/>
    <w:rPr>
      <w:rFonts w:ascii="Times New Roman" w:hAnsi="Times New Roman" w:cs="Times New Roman"/>
      <w:sz w:val="2"/>
      <w:lang w:val="mt-MT"/>
    </w:rPr>
  </w:style>
  <w:style w:type="paragraph" w:customStyle="1" w:styleId="title-bold">
    <w:name w:val="title-bold"/>
    <w:basedOn w:val="Normal"/>
    <w:uiPriority w:val="99"/>
    <w:semiHidden/>
    <w:rsid w:val="00B552A1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B552A1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B552A1"/>
    <w:rPr>
      <w:rFonts w:ascii="Times New Roman" w:hAnsi="Times New Roman" w:cs="Times New Roman"/>
      <w:b/>
      <w:sz w:val="28"/>
      <w:lang w:val="mt-MT"/>
    </w:rPr>
  </w:style>
  <w:style w:type="character" w:customStyle="1" w:styleId="sub">
    <w:name w:val="sub"/>
    <w:basedOn w:val="DefaultParagraphFont"/>
    <w:rsid w:val="00B552A1"/>
  </w:style>
  <w:style w:type="character" w:customStyle="1" w:styleId="super">
    <w:name w:val="super"/>
    <w:basedOn w:val="DefaultParagraphFont"/>
    <w:rsid w:val="00B552A1"/>
  </w:style>
  <w:style w:type="paragraph" w:customStyle="1" w:styleId="doc-ti">
    <w:name w:val="doc-ti"/>
    <w:basedOn w:val="Normal"/>
    <w:rsid w:val="00B552A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B552A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B552A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B552A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B552A1"/>
    <w:pPr>
      <w:widowControl/>
      <w:numPr>
        <w:numId w:val="56"/>
      </w:numPr>
      <w:tabs>
        <w:tab w:val="num" w:pos="5386"/>
      </w:tabs>
      <w:spacing w:before="120" w:after="120" w:line="360" w:lineRule="auto"/>
      <w:ind w:left="5386" w:hanging="567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B552A1"/>
    <w:pPr>
      <w:widowControl/>
      <w:numPr>
        <w:ilvl w:val="1"/>
        <w:numId w:val="56"/>
      </w:numPr>
      <w:tabs>
        <w:tab w:val="num" w:pos="5386"/>
      </w:tabs>
      <w:spacing w:before="120" w:after="120" w:line="360" w:lineRule="auto"/>
      <w:ind w:left="5386" w:hanging="567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B552A1"/>
    <w:pPr>
      <w:widowControl/>
      <w:numPr>
        <w:ilvl w:val="2"/>
        <w:numId w:val="56"/>
      </w:numPr>
      <w:tabs>
        <w:tab w:val="num" w:pos="5386"/>
      </w:tabs>
      <w:spacing w:before="120" w:after="120" w:line="360" w:lineRule="auto"/>
      <w:ind w:left="5386" w:hanging="567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B552A1"/>
    <w:rPr>
      <w:color w:val="00FF00"/>
      <w:sz w:val="40"/>
      <w:lang w:val="mt-MT" w:eastAsia="en-GB"/>
    </w:rPr>
  </w:style>
  <w:style w:type="character" w:customStyle="1" w:styleId="tw4winTerm">
    <w:name w:val="tw4winTerm"/>
    <w:rsid w:val="00B552A1"/>
    <w:rPr>
      <w:color w:val="0000FF"/>
      <w:lang w:val="mt-MT" w:eastAsia="en-GB"/>
    </w:rPr>
  </w:style>
  <w:style w:type="character" w:customStyle="1" w:styleId="tw4winPopup">
    <w:name w:val="tw4winPopup"/>
    <w:rsid w:val="00B552A1"/>
    <w:rPr>
      <w:noProof/>
      <w:color w:val="008000"/>
      <w:lang w:val="mt-MT" w:eastAsia="en-GB"/>
    </w:rPr>
  </w:style>
  <w:style w:type="character" w:customStyle="1" w:styleId="tw4winJump">
    <w:name w:val="tw4winJump"/>
    <w:rsid w:val="00B552A1"/>
    <w:rPr>
      <w:noProof/>
      <w:color w:val="008080"/>
      <w:lang w:val="mt-MT" w:eastAsia="en-GB"/>
    </w:rPr>
  </w:style>
  <w:style w:type="character" w:customStyle="1" w:styleId="tw4winExternal">
    <w:name w:val="tw4winExternal"/>
    <w:rsid w:val="00B552A1"/>
    <w:rPr>
      <w:noProof/>
      <w:color w:val="808080"/>
      <w:lang w:val="mt-MT" w:eastAsia="en-GB"/>
    </w:rPr>
  </w:style>
  <w:style w:type="character" w:customStyle="1" w:styleId="tw4winInternal">
    <w:name w:val="tw4winInternal"/>
    <w:rsid w:val="00B552A1"/>
    <w:rPr>
      <w:noProof/>
      <w:color w:val="FF0000"/>
      <w:lang w:val="mt-MT" w:eastAsia="en-GB"/>
    </w:rPr>
  </w:style>
  <w:style w:type="character" w:customStyle="1" w:styleId="DONOTTRANSLATE">
    <w:name w:val="DO_NOT_TRANSLATE"/>
    <w:rsid w:val="00B552A1"/>
    <w:rPr>
      <w:noProof/>
      <w:color w:val="800000"/>
      <w:lang w:val="mt-MT" w:eastAsia="en-GB"/>
    </w:rPr>
  </w:style>
  <w:style w:type="paragraph" w:customStyle="1" w:styleId="Ttitrearticle">
    <w:name w:val="Ttitre article"/>
    <w:basedOn w:val="Text1"/>
    <w:rsid w:val="00B552A1"/>
    <w:pPr>
      <w:spacing w:line="240" w:lineRule="auto"/>
      <w:jc w:val="center"/>
    </w:pPr>
    <w:rPr>
      <w:i/>
      <w:color w:val="000000"/>
    </w:rPr>
  </w:style>
  <w:style w:type="paragraph" w:customStyle="1" w:styleId="pj">
    <w:name w:val="p.j."/>
    <w:basedOn w:val="Normal"/>
    <w:link w:val="pjChar"/>
    <w:rsid w:val="00B552A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B552A1"/>
    <w:rPr>
      <w:rFonts w:eastAsia="Calibri"/>
      <w:sz w:val="24"/>
      <w:szCs w:val="22"/>
      <w:lang w:val="mt-MT" w:eastAsia="en-US"/>
    </w:rPr>
  </w:style>
  <w:style w:type="table" w:customStyle="1" w:styleId="CV111">
    <w:name w:val="CV111"/>
    <w:basedOn w:val="TableNormal"/>
    <w:uiPriority w:val="39"/>
    <w:rsid w:val="00B552A1"/>
    <w:rPr>
      <w:lang w:val="mt-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552A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B552A1"/>
  </w:style>
  <w:style w:type="character" w:customStyle="1" w:styleId="rynqvb">
    <w:name w:val="rynqvb"/>
    <w:basedOn w:val="DefaultParagraphFont"/>
    <w:rsid w:val="00B552A1"/>
  </w:style>
  <w:style w:type="character" w:customStyle="1" w:styleId="subscript">
    <w:name w:val="subscript"/>
    <w:basedOn w:val="DefaultParagraphFont"/>
    <w:rsid w:val="00B552A1"/>
  </w:style>
  <w:style w:type="character" w:customStyle="1" w:styleId="fontstyle01">
    <w:name w:val="fontstyle01"/>
    <w:basedOn w:val="DefaultParagraphFont"/>
    <w:rsid w:val="00B552A1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552A1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CommentQuotedText">
    <w:name w:val="CommentQuotedText"/>
    <w:rsid w:val="00B552A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B552A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552A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552A1"/>
    <w:rPr>
      <w:b/>
      <w:i/>
    </w:rPr>
  </w:style>
  <w:style w:type="character" w:customStyle="1" w:styleId="diff-tte-removed">
    <w:name w:val="diff-tte-removed"/>
    <w:basedOn w:val="DefaultParagraphFont"/>
    <w:rsid w:val="00B552A1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B552A1"/>
    <w:pPr>
      <w:widowControl/>
      <w:spacing w:after="120" w:line="259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B552A1"/>
    <w:rPr>
      <w:lang w:val="mt-MT"/>
    </w:rPr>
  </w:style>
  <w:style w:type="paragraph" w:customStyle="1" w:styleId="footnotedescription">
    <w:name w:val="footnote description"/>
    <w:next w:val="Normal"/>
    <w:link w:val="footnotedescriptionChar"/>
    <w:hidden/>
    <w:rsid w:val="00B552A1"/>
    <w:pPr>
      <w:spacing w:line="256" w:lineRule="auto"/>
      <w:ind w:left="720" w:hanging="720"/>
    </w:pPr>
    <w:rPr>
      <w:color w:val="000000"/>
      <w:sz w:val="24"/>
      <w:szCs w:val="22"/>
      <w:lang w:val="mt-MT"/>
    </w:rPr>
  </w:style>
  <w:style w:type="character" w:customStyle="1" w:styleId="footnotedescriptionChar">
    <w:name w:val="footnote description Char"/>
    <w:link w:val="footnotedescription"/>
    <w:rsid w:val="00B552A1"/>
    <w:rPr>
      <w:color w:val="000000"/>
      <w:sz w:val="24"/>
      <w:szCs w:val="22"/>
      <w:lang w:val="mt-MT"/>
    </w:rPr>
  </w:style>
  <w:style w:type="character" w:customStyle="1" w:styleId="footnotemark">
    <w:name w:val="footnote mark"/>
    <w:hidden/>
    <w:rsid w:val="00B552A1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B552A1"/>
    <w:rPr>
      <w:rFonts w:ascii="Calibri" w:hAnsi="Calibri" w:cs="Arial"/>
      <w:sz w:val="22"/>
      <w:szCs w:val="22"/>
      <w:lang w:val="mt-M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552A1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B552A1"/>
    <w:rPr>
      <w:rFonts w:eastAsia="Calibri"/>
      <w:b/>
      <w:sz w:val="36"/>
      <w:szCs w:val="36"/>
      <w:u w:val="single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A1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B552A1"/>
    <w:rPr>
      <w:rFonts w:eastAsia="Calibri"/>
      <w:b/>
      <w:i/>
      <w:sz w:val="36"/>
      <w:szCs w:val="36"/>
      <w:lang w:val="mt-MT"/>
    </w:rPr>
  </w:style>
  <w:style w:type="character" w:customStyle="1" w:styleId="DeltaViewDeletion">
    <w:name w:val="DeltaView Deletion"/>
    <w:uiPriority w:val="99"/>
    <w:rsid w:val="00B552A1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552A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552A1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B552A1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B552A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B552A1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552A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F99E3-850E-4C93-B23A-87A020AD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3025</Characters>
  <Application>Microsoft Office Word</Application>
  <DocSecurity>4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2</cp:revision>
  <cp:lastPrinted>2004-11-19T15:42:00Z</cp:lastPrinted>
  <dcterms:created xsi:type="dcterms:W3CDTF">2024-09-10T13:12:00Z</dcterms:created>
  <dcterms:modified xsi:type="dcterms:W3CDTF">2024-09-10T13:12:00Z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