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0E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A0E21" w:rsidRDefault="00BE7C37" w:rsidP="0010095E">
            <w:pPr>
              <w:pStyle w:val="EPName"/>
            </w:pPr>
            <w:r w:rsidRPr="007A0E21">
              <w:t>Evropský parlament</w:t>
            </w:r>
          </w:p>
          <w:p w:rsidR="00751A4A" w:rsidRPr="007A0E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0E2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A0E21" w:rsidRDefault="00187494" w:rsidP="0010095E">
            <w:pPr>
              <w:pStyle w:val="EPLogo"/>
            </w:pPr>
            <w:r w:rsidRPr="007A0E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A0E21" w:rsidRDefault="00D058B8" w:rsidP="004C5D52">
      <w:pPr>
        <w:pStyle w:val="LineTop"/>
      </w:pPr>
    </w:p>
    <w:p w:rsidR="00680577" w:rsidRPr="007A0E21" w:rsidRDefault="00BE7C37" w:rsidP="00680577">
      <w:pPr>
        <w:pStyle w:val="EPBodyTA1"/>
      </w:pPr>
      <w:r w:rsidRPr="007A0E21">
        <w:t>PŘIJATÉ TEXTY</w:t>
      </w:r>
    </w:p>
    <w:p w:rsidR="00D058B8" w:rsidRPr="007A0E21" w:rsidRDefault="00D058B8" w:rsidP="00D058B8">
      <w:pPr>
        <w:pStyle w:val="LineBottom"/>
      </w:pPr>
    </w:p>
    <w:p w:rsidR="00BE7C37" w:rsidRPr="007A0E21" w:rsidRDefault="00BE7C37" w:rsidP="00BE7C37">
      <w:pPr>
        <w:pStyle w:val="ATHeading1"/>
      </w:pPr>
      <w:bookmarkStart w:id="0" w:name="TANumber"/>
      <w:r w:rsidRPr="007A0E21">
        <w:t>P9_TA(2024)0</w:t>
      </w:r>
      <w:r w:rsidR="00975FC6">
        <w:t>154</w:t>
      </w:r>
      <w:bookmarkEnd w:id="0"/>
    </w:p>
    <w:p w:rsidR="00BE7C37" w:rsidRPr="007A0E21" w:rsidRDefault="00E03B2A" w:rsidP="00E03B2A">
      <w:pPr>
        <w:pStyle w:val="ATHeading2"/>
      </w:pPr>
      <w:bookmarkStart w:id="1" w:name="title"/>
      <w:r>
        <w:t>Dočasná opatření pro liberalizaci obchodu doplňující obchodní koncese použitelné pro ukrajinské výrobky podle Dohody o přidružení mezi EU/Euratomem a Ukrajinou</w:t>
      </w:r>
      <w:bookmarkEnd w:id="1"/>
    </w:p>
    <w:p w:rsidR="00BE7C37" w:rsidRPr="007A0E21" w:rsidRDefault="00BE7C37" w:rsidP="00BE7C37">
      <w:pPr>
        <w:rPr>
          <w:i/>
          <w:vanish/>
        </w:rPr>
      </w:pPr>
      <w:r w:rsidRPr="007A0E21">
        <w:rPr>
          <w:i/>
        </w:rPr>
        <w:fldChar w:fldCharType="begin"/>
      </w:r>
      <w:r w:rsidRPr="007A0E21">
        <w:rPr>
          <w:i/>
        </w:rPr>
        <w:instrText xml:space="preserve"> TC"(</w:instrText>
      </w:r>
      <w:bookmarkStart w:id="2" w:name="DocNumber"/>
      <w:r w:rsidRPr="007A0E21">
        <w:rPr>
          <w:i/>
        </w:rPr>
        <w:instrText>A9-0077/2024</w:instrText>
      </w:r>
      <w:bookmarkEnd w:id="2"/>
      <w:r w:rsidRPr="007A0E21">
        <w:rPr>
          <w:i/>
        </w:rPr>
        <w:instrText xml:space="preserve"> - Zpravodajka: Sandra </w:instrText>
      </w:r>
      <w:proofErr w:type="spellStart"/>
      <w:r w:rsidRPr="007A0E21">
        <w:rPr>
          <w:i/>
        </w:rPr>
        <w:instrText>Kalniete</w:instrText>
      </w:r>
      <w:proofErr w:type="spellEnd"/>
      <w:r w:rsidRPr="007A0E21">
        <w:rPr>
          <w:i/>
        </w:rPr>
        <w:instrText xml:space="preserve">)"\l3 \n&gt; \* MERGEFORMAT </w:instrText>
      </w:r>
      <w:r w:rsidRPr="007A0E21">
        <w:rPr>
          <w:i/>
        </w:rPr>
        <w:fldChar w:fldCharType="end"/>
      </w:r>
    </w:p>
    <w:p w:rsidR="00BE7C37" w:rsidRPr="007A0E21" w:rsidRDefault="00BE7C37" w:rsidP="00BE7C37">
      <w:pPr>
        <w:rPr>
          <w:vanish/>
        </w:rPr>
      </w:pPr>
      <w:bookmarkStart w:id="3" w:name="Commission"/>
      <w:r w:rsidRPr="007A0E21">
        <w:rPr>
          <w:vanish/>
        </w:rPr>
        <w:t>Výbor pro mezinárodní obchod</w:t>
      </w:r>
      <w:bookmarkEnd w:id="3"/>
    </w:p>
    <w:p w:rsidR="00BE7C37" w:rsidRPr="007A0E21" w:rsidRDefault="00BE7C37" w:rsidP="00BE7C37">
      <w:pPr>
        <w:rPr>
          <w:vanish/>
        </w:rPr>
      </w:pPr>
      <w:bookmarkStart w:id="4" w:name="PE"/>
      <w:r w:rsidRPr="007A0E21">
        <w:rPr>
          <w:vanish/>
        </w:rPr>
        <w:t>PE758.861</w:t>
      </w:r>
      <w:bookmarkEnd w:id="4"/>
    </w:p>
    <w:p w:rsidR="00BE7C37" w:rsidRPr="007D615C" w:rsidRDefault="008C7BB3" w:rsidP="00BE7C37">
      <w:pPr>
        <w:pStyle w:val="ATHeading3"/>
      </w:pPr>
      <w:bookmarkStart w:id="5" w:name="Sujet"/>
      <w:r w:rsidRPr="008C7BB3">
        <w:t>Pozměňovací návrh</w:t>
      </w:r>
      <w:r>
        <w:t>y přijaté Evropským parlamentem</w:t>
      </w:r>
      <w:r w:rsidR="0069537F">
        <w:t xml:space="preserve"> dne 13</w:t>
      </w:r>
      <w:r w:rsidR="007A2BDC">
        <w:t>. března</w:t>
      </w:r>
      <w:r w:rsidR="00BE7C37" w:rsidRPr="007A0E21">
        <w:t xml:space="preserve"> 2024 </w:t>
      </w:r>
      <w:r>
        <w:t>k</w:t>
      </w:r>
      <w:r w:rsidR="00BE7C37" w:rsidRPr="007A0E21">
        <w:t xml:space="preserve"> návrhu nařízení Evropského parlamentu a Rady o dočasných opatřeních pro liberalizaci obchodu, která doplňují obchodní koncese použitelné pro ukrajinské </w:t>
      </w:r>
      <w:r w:rsidR="00EA3CE0">
        <w:t>produkty</w:t>
      </w:r>
      <w:r w:rsidR="00EA3CE0" w:rsidRPr="007A0E21">
        <w:t xml:space="preserve"> </w:t>
      </w:r>
      <w:r w:rsidR="00BE7C37" w:rsidRPr="007A0E21">
        <w:t>podle Dohody o přidružení mezi Evropskou unií a Evropským společenstvím pro atomovou energii a jejich členskými státy na straně jedné a Ukrajinou na straně druhé</w:t>
      </w:r>
      <w:bookmarkEnd w:id="5"/>
      <w:r w:rsidR="00BE7C37" w:rsidRPr="007A0E21">
        <w:t xml:space="preserve"> </w:t>
      </w:r>
      <w:bookmarkStart w:id="6" w:name="References"/>
      <w:r w:rsidR="00BE7C37" w:rsidRPr="007A0E21">
        <w:t>(COM(2024)0050 – C9-0021/2024 – 2024/0028(COD))</w:t>
      </w:r>
      <w:bookmarkEnd w:id="6"/>
      <w:r w:rsidRPr="008C7BB3">
        <w:rPr>
          <w:b w:val="0"/>
          <w:vertAlign w:val="superscript"/>
          <w:lang w:val="fr-FR" w:eastAsia="en-GB"/>
        </w:rPr>
        <w:footnoteReference w:id="1"/>
      </w:r>
    </w:p>
    <w:p w:rsidR="00BE7C37" w:rsidRPr="007A0E21" w:rsidRDefault="00BE7C37" w:rsidP="00BE7C37"/>
    <w:p w:rsidR="00B74E80" w:rsidRPr="007A0E21" w:rsidRDefault="00B74E80" w:rsidP="00B74E80">
      <w:pPr>
        <w:pStyle w:val="NormalBold"/>
      </w:pPr>
      <w:bookmarkStart w:id="7" w:name="TextBodyBegin"/>
      <w:bookmarkEnd w:id="7"/>
      <w:r w:rsidRPr="007A0E21">
        <w:t>(Řádný legislativní postup: první čtení)</w:t>
      </w:r>
    </w:p>
    <w:p w:rsidR="00290E91" w:rsidRDefault="00290E91">
      <w:pPr>
        <w:widowControl/>
        <w:rPr>
          <w:b/>
        </w:rPr>
      </w:pPr>
      <w:bookmarkStart w:id="8" w:name="_Hlk101503899"/>
      <w:r>
        <w:br w:type="page"/>
      </w:r>
    </w:p>
    <w:p w:rsidR="007D615C" w:rsidRPr="00290E91" w:rsidRDefault="007D615C" w:rsidP="00290E91">
      <w:pPr>
        <w:pStyle w:val="AmNumberTabs"/>
        <w:tabs>
          <w:tab w:val="clear" w:pos="3374"/>
          <w:tab w:val="clear" w:pos="3430"/>
          <w:tab w:val="left" w:pos="2835"/>
        </w:tabs>
        <w:rPr>
          <w:lang w:val="cs-CZ"/>
        </w:rPr>
      </w:pPr>
      <w:r>
        <w:rPr>
          <w:lang w:val="cs-CZ"/>
        </w:rPr>
        <w:lastRenderedPageBreak/>
        <w:t>Pozměňovací návrhy</w:t>
      </w:r>
      <w:r>
        <w:rPr>
          <w:lang w:val="cs-CZ"/>
        </w:rPr>
        <w:tab/>
      </w:r>
      <w:r w:rsidRPr="00290E91">
        <w:rPr>
          <w:lang w:val="cs-CZ"/>
        </w:rPr>
        <w:t>23 a 26</w:t>
      </w:r>
    </w:p>
    <w:p w:rsidR="007D615C" w:rsidRDefault="007D615C" w:rsidP="0069537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</w:p>
    <w:p w:rsidR="007D615C" w:rsidRPr="007D615C" w:rsidRDefault="007D615C" w:rsidP="007D615C">
      <w:pPr>
        <w:rPr>
          <w:b/>
        </w:rPr>
      </w:pPr>
      <w:r w:rsidRPr="007D615C">
        <w:rPr>
          <w:rFonts w:ascii="Arial" w:hAnsi="Arial" w:cs="Arial"/>
          <w:noProof/>
          <w:vanish/>
          <w:color w:val="000080"/>
          <w:sz w:val="20"/>
        </w:rPr>
        <w:t>&lt;DocAmend&gt;</w:t>
      </w:r>
      <w:r w:rsidRPr="007D615C">
        <w:rPr>
          <w:b/>
        </w:rPr>
        <w:t>Návrh nařízení</w:t>
      </w:r>
      <w:r w:rsidRPr="007D615C">
        <w:rPr>
          <w:rFonts w:ascii="Arial" w:hAnsi="Arial" w:cs="Arial"/>
          <w:noProof/>
          <w:vanish/>
          <w:color w:val="000080"/>
          <w:sz w:val="20"/>
        </w:rPr>
        <w:t>&lt;/</w:t>
      </w:r>
      <w:proofErr w:type="spellStart"/>
      <w:r w:rsidRPr="007D615C">
        <w:rPr>
          <w:rFonts w:ascii="Arial" w:hAnsi="Arial" w:cs="Arial"/>
          <w:noProof/>
          <w:vanish/>
          <w:color w:val="000080"/>
          <w:sz w:val="20"/>
        </w:rPr>
        <w:t>DocAmend</w:t>
      </w:r>
      <w:proofErr w:type="spellEnd"/>
      <w:r w:rsidRPr="007D615C">
        <w:rPr>
          <w:rFonts w:ascii="Arial" w:hAnsi="Arial" w:cs="Arial"/>
          <w:noProof/>
          <w:vanish/>
          <w:color w:val="000080"/>
          <w:sz w:val="20"/>
        </w:rPr>
        <w:t>&gt;</w:t>
      </w:r>
    </w:p>
    <w:p w:rsidR="007D615C" w:rsidRPr="007D615C" w:rsidRDefault="007D615C" w:rsidP="007D615C">
      <w:pPr>
        <w:rPr>
          <w:b/>
        </w:rPr>
      </w:pPr>
      <w:r w:rsidRPr="007D615C">
        <w:rPr>
          <w:rFonts w:ascii="Arial" w:hAnsi="Arial" w:cs="Arial"/>
          <w:noProof/>
          <w:vanish/>
          <w:color w:val="000080"/>
          <w:sz w:val="20"/>
        </w:rPr>
        <w:t>&lt;Article&gt;</w:t>
      </w:r>
      <w:r w:rsidRPr="007D615C">
        <w:rPr>
          <w:b/>
        </w:rPr>
        <w:t>Bod odůvodnění 11</w:t>
      </w:r>
      <w:r w:rsidRPr="007D615C">
        <w:rPr>
          <w:rFonts w:ascii="Arial" w:hAnsi="Arial" w:cs="Arial"/>
          <w:noProof/>
          <w:vanish/>
          <w:color w:val="000080"/>
          <w:sz w:val="20"/>
        </w:rPr>
        <w:t>&lt;/</w:t>
      </w:r>
      <w:proofErr w:type="spellStart"/>
      <w:r w:rsidRPr="007D615C">
        <w:rPr>
          <w:rFonts w:ascii="Arial" w:hAnsi="Arial" w:cs="Arial"/>
          <w:noProof/>
          <w:vanish/>
          <w:color w:val="000080"/>
          <w:sz w:val="20"/>
        </w:rPr>
        <w:t>Article</w:t>
      </w:r>
      <w:proofErr w:type="spellEnd"/>
      <w:r w:rsidRPr="007D615C">
        <w:rPr>
          <w:rFonts w:ascii="Arial" w:hAnsi="Arial" w:cs="Arial"/>
          <w:noProof/>
          <w:vanish/>
          <w:color w:val="000080"/>
          <w:sz w:val="2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D615C" w:rsidRPr="007D615C" w:rsidTr="00925250">
        <w:trPr>
          <w:jc w:val="center"/>
        </w:trPr>
        <w:tc>
          <w:tcPr>
            <w:tcW w:w="9752" w:type="dxa"/>
            <w:gridSpan w:val="2"/>
          </w:tcPr>
          <w:p w:rsidR="007D615C" w:rsidRPr="007D615C" w:rsidRDefault="007D615C" w:rsidP="007D615C">
            <w:pPr>
              <w:keepNext/>
            </w:pPr>
          </w:p>
        </w:tc>
      </w:tr>
      <w:tr w:rsidR="007D615C" w:rsidRPr="007D615C" w:rsidTr="00925250">
        <w:trPr>
          <w:jc w:val="center"/>
        </w:trPr>
        <w:tc>
          <w:tcPr>
            <w:tcW w:w="4876" w:type="dxa"/>
          </w:tcPr>
          <w:p w:rsidR="007D615C" w:rsidRPr="007D615C" w:rsidRDefault="007D615C" w:rsidP="007D615C">
            <w:pPr>
              <w:keepNext/>
              <w:spacing w:after="240"/>
              <w:jc w:val="center"/>
              <w:rPr>
                <w:i/>
              </w:rPr>
            </w:pPr>
            <w:r w:rsidRPr="007D615C">
              <w:rPr>
                <w:i/>
              </w:rPr>
              <w:t>Znění navržené Komisí</w:t>
            </w:r>
          </w:p>
        </w:tc>
        <w:tc>
          <w:tcPr>
            <w:tcW w:w="4876" w:type="dxa"/>
          </w:tcPr>
          <w:p w:rsidR="007D615C" w:rsidRPr="007D615C" w:rsidRDefault="007D615C" w:rsidP="007D615C">
            <w:pPr>
              <w:keepNext/>
              <w:spacing w:after="240"/>
              <w:jc w:val="center"/>
              <w:rPr>
                <w:i/>
              </w:rPr>
            </w:pPr>
            <w:r w:rsidRPr="007D615C">
              <w:rPr>
                <w:i/>
              </w:rPr>
              <w:t>Pozměňovací návrh</w:t>
            </w:r>
          </w:p>
        </w:tc>
      </w:tr>
      <w:tr w:rsidR="007D615C" w:rsidRPr="007D615C" w:rsidTr="00925250">
        <w:trPr>
          <w:jc w:val="center"/>
        </w:trPr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t>(11)</w:t>
            </w:r>
            <w:r w:rsidRPr="007D615C">
              <w:tab/>
              <w:t xml:space="preserve">S výhradou posouzení provedeného Komisí v rámci pravidelného monitorování dopadu tohoto nařízení a zahájeného buď na základě řádně odůvodněné žádosti členského státu, nebo z vlastního podnětu Komise, je nezbytné stanovit možnost přijmout jakákoli nezbytná opatření týkající se dovozu jakýchkoli produktů, na které se vztahuje toto nařízení a které nepříznivě ovlivňují trh Unie nebo trh jednoho či několika členských států s obdobnými nebo přímo konkurujícími produkty. Na trzích s drůbeží, vejci a </w:t>
            </w:r>
            <w:r w:rsidRPr="007D615C">
              <w:rPr>
                <w:b/>
                <w:i/>
              </w:rPr>
              <w:t>cukrem</w:t>
            </w:r>
            <w:r w:rsidRPr="007D615C">
              <w:t xml:space="preserve"> je obzvláště nejistá situace, která může poškodit zemědělské producenty v Unii, pokud by dovoz z Ukrajiny vzrostl. Je vhodné zavést automatické ochranné opatření pro vejce, drůbež a </w:t>
            </w:r>
            <w:r w:rsidRPr="007D615C">
              <w:rPr>
                <w:b/>
                <w:i/>
              </w:rPr>
              <w:t>cukerné</w:t>
            </w:r>
            <w:r w:rsidRPr="007D615C">
              <w:t xml:space="preserve"> produkty, které se aktivuje, pokud množství dovezená podle tohoto nařízení překročí aritmetický průměr množství dovezených v letech 2022 a 2023.</w:t>
            </w:r>
          </w:p>
        </w:tc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t>(11)</w:t>
            </w:r>
            <w:r w:rsidRPr="007D615C">
              <w:tab/>
              <w:t xml:space="preserve">S výhradou posouzení provedeného Komisí v rámci pravidelného monitorování dopadu tohoto nařízení a zahájeného buď na základě řádně odůvodněné žádosti členského státu, nebo z vlastního podnětu Komise, je nezbytné stanovit možnost přijmout jakákoli nezbytná opatření týkající se dovozu jakýchkoli produktů, na které se vztahuje toto nařízení a které nepříznivě ovlivňují trh Unie nebo trh jednoho či několika členských států s obdobnými nebo přímo konkurujícími produkty. Na trzích s </w:t>
            </w:r>
            <w:r w:rsidRPr="007D615C">
              <w:rPr>
                <w:b/>
                <w:i/>
              </w:rPr>
              <w:t xml:space="preserve">obilovinami, </w:t>
            </w:r>
            <w:r w:rsidRPr="007D615C">
              <w:t>drůbeží, vejci</w:t>
            </w:r>
            <w:r w:rsidRPr="007D615C">
              <w:rPr>
                <w:b/>
                <w:i/>
              </w:rPr>
              <w:t>, cukrem</w:t>
            </w:r>
            <w:r w:rsidRPr="007D615C">
              <w:t xml:space="preserve"> a </w:t>
            </w:r>
            <w:r w:rsidRPr="007D615C">
              <w:rPr>
                <w:b/>
                <w:i/>
              </w:rPr>
              <w:t>medem</w:t>
            </w:r>
            <w:r w:rsidRPr="007D615C">
              <w:t xml:space="preserve"> je obzvláště nejistá situace, která může poškodit zemědělské producenty v Unii, pokud by dovoz z Ukrajiny vzrostl. Je vhodné zavést automatické ochranné opatření pro </w:t>
            </w:r>
            <w:r w:rsidRPr="007D615C">
              <w:rPr>
                <w:b/>
                <w:i/>
              </w:rPr>
              <w:t xml:space="preserve">pšenici, ječmen, oves, kukuřici, </w:t>
            </w:r>
            <w:r w:rsidRPr="007D615C">
              <w:t>vejce, drůbež</w:t>
            </w:r>
            <w:r w:rsidRPr="007D615C">
              <w:rPr>
                <w:b/>
                <w:i/>
              </w:rPr>
              <w:t>, cukr</w:t>
            </w:r>
            <w:r w:rsidRPr="007D615C">
              <w:t xml:space="preserve"> a </w:t>
            </w:r>
            <w:r w:rsidRPr="007D615C">
              <w:rPr>
                <w:b/>
                <w:i/>
              </w:rPr>
              <w:t>medové</w:t>
            </w:r>
            <w:r w:rsidRPr="007D615C">
              <w:t xml:space="preserve"> produkty, které se aktivuje, pokud množství dovezená podle tohoto nařízení překročí aritmetický průměr množství dovezených v letech</w:t>
            </w:r>
            <w:r w:rsidRPr="007D615C">
              <w:rPr>
                <w:b/>
                <w:i/>
              </w:rPr>
              <w:t xml:space="preserve"> 2021,</w:t>
            </w:r>
            <w:r w:rsidRPr="007D615C">
              <w:t xml:space="preserve"> 2022 a 2023.</w:t>
            </w:r>
          </w:p>
        </w:tc>
      </w:tr>
    </w:tbl>
    <w:p w:rsidR="007D615C" w:rsidRDefault="007D615C" w:rsidP="0069537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</w:p>
    <w:p w:rsidR="007D615C" w:rsidRPr="00925250" w:rsidRDefault="007D615C" w:rsidP="007D615C">
      <w:pPr>
        <w:pStyle w:val="AmNumberTabs"/>
        <w:tabs>
          <w:tab w:val="clear" w:pos="3374"/>
          <w:tab w:val="clear" w:pos="3430"/>
          <w:tab w:val="left" w:pos="2835"/>
        </w:tabs>
        <w:rPr>
          <w:lang w:val="cs-CZ"/>
        </w:rPr>
      </w:pPr>
      <w:r>
        <w:rPr>
          <w:lang w:val="cs-CZ"/>
        </w:rPr>
        <w:t>Pozměňovací návrhy</w:t>
      </w:r>
      <w:r>
        <w:rPr>
          <w:lang w:val="cs-CZ"/>
        </w:rPr>
        <w:tab/>
        <w:t>24</w:t>
      </w:r>
      <w:r w:rsidRPr="00925250">
        <w:rPr>
          <w:lang w:val="cs-CZ"/>
        </w:rPr>
        <w:t xml:space="preserve"> a </w:t>
      </w:r>
      <w:r>
        <w:rPr>
          <w:lang w:val="cs-CZ"/>
        </w:rPr>
        <w:t>28</w:t>
      </w:r>
    </w:p>
    <w:p w:rsidR="007D615C" w:rsidRDefault="007D615C" w:rsidP="0069537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</w:p>
    <w:p w:rsidR="007D615C" w:rsidRPr="007D615C" w:rsidRDefault="007D615C" w:rsidP="007D615C">
      <w:pPr>
        <w:rPr>
          <w:b/>
        </w:rPr>
      </w:pPr>
      <w:r w:rsidRPr="007D615C">
        <w:rPr>
          <w:rFonts w:ascii="Arial" w:hAnsi="Arial" w:cs="Arial"/>
          <w:noProof/>
          <w:vanish/>
          <w:color w:val="000080"/>
          <w:sz w:val="20"/>
        </w:rPr>
        <w:t>&lt;DocAmend&gt;</w:t>
      </w:r>
      <w:r w:rsidRPr="007D615C">
        <w:rPr>
          <w:b/>
        </w:rPr>
        <w:t>Návrh nařízení</w:t>
      </w:r>
      <w:r w:rsidRPr="007D615C">
        <w:rPr>
          <w:rFonts w:ascii="Arial" w:hAnsi="Arial" w:cs="Arial"/>
          <w:noProof/>
          <w:vanish/>
          <w:color w:val="000080"/>
          <w:sz w:val="20"/>
        </w:rPr>
        <w:t>&lt;/</w:t>
      </w:r>
      <w:proofErr w:type="spellStart"/>
      <w:r w:rsidRPr="007D615C">
        <w:rPr>
          <w:rFonts w:ascii="Arial" w:hAnsi="Arial" w:cs="Arial"/>
          <w:noProof/>
          <w:vanish/>
          <w:color w:val="000080"/>
          <w:sz w:val="20"/>
        </w:rPr>
        <w:t>DocAmend</w:t>
      </w:r>
      <w:proofErr w:type="spellEnd"/>
      <w:r w:rsidRPr="007D615C">
        <w:rPr>
          <w:rFonts w:ascii="Arial" w:hAnsi="Arial" w:cs="Arial"/>
          <w:noProof/>
          <w:vanish/>
          <w:color w:val="000080"/>
          <w:sz w:val="20"/>
        </w:rPr>
        <w:t>&gt;</w:t>
      </w:r>
    </w:p>
    <w:p w:rsidR="007D615C" w:rsidRPr="007D615C" w:rsidRDefault="007D615C" w:rsidP="007D615C">
      <w:pPr>
        <w:rPr>
          <w:b/>
        </w:rPr>
      </w:pPr>
      <w:r w:rsidRPr="007D615C">
        <w:rPr>
          <w:rFonts w:ascii="Arial" w:hAnsi="Arial" w:cs="Arial"/>
          <w:noProof/>
          <w:vanish/>
          <w:color w:val="000080"/>
          <w:sz w:val="20"/>
        </w:rPr>
        <w:t>&lt;Article&gt;</w:t>
      </w:r>
      <w:r w:rsidRPr="007D615C">
        <w:rPr>
          <w:b/>
        </w:rPr>
        <w:t>Čl. 4 – odst. 7</w:t>
      </w:r>
      <w:r w:rsidRPr="007D615C">
        <w:rPr>
          <w:rFonts w:ascii="Arial" w:hAnsi="Arial" w:cs="Arial"/>
          <w:noProof/>
          <w:vanish/>
          <w:color w:val="000080"/>
          <w:sz w:val="20"/>
        </w:rPr>
        <w:t>&lt;/</w:t>
      </w:r>
      <w:proofErr w:type="spellStart"/>
      <w:r w:rsidRPr="007D615C">
        <w:rPr>
          <w:rFonts w:ascii="Arial" w:hAnsi="Arial" w:cs="Arial"/>
          <w:noProof/>
          <w:vanish/>
          <w:color w:val="000080"/>
          <w:sz w:val="20"/>
        </w:rPr>
        <w:t>Article</w:t>
      </w:r>
      <w:proofErr w:type="spellEnd"/>
      <w:r w:rsidRPr="007D615C">
        <w:rPr>
          <w:rFonts w:ascii="Arial" w:hAnsi="Arial" w:cs="Arial"/>
          <w:noProof/>
          <w:vanish/>
          <w:color w:val="000080"/>
          <w:sz w:val="2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D615C" w:rsidRPr="007D615C" w:rsidTr="00925250">
        <w:trPr>
          <w:jc w:val="center"/>
        </w:trPr>
        <w:tc>
          <w:tcPr>
            <w:tcW w:w="9752" w:type="dxa"/>
            <w:gridSpan w:val="2"/>
          </w:tcPr>
          <w:p w:rsidR="007D615C" w:rsidRPr="007D615C" w:rsidRDefault="007D615C" w:rsidP="007D615C">
            <w:pPr>
              <w:keepNext/>
            </w:pPr>
          </w:p>
        </w:tc>
      </w:tr>
      <w:tr w:rsidR="007D615C" w:rsidRPr="007D615C" w:rsidTr="00925250">
        <w:trPr>
          <w:jc w:val="center"/>
        </w:trPr>
        <w:tc>
          <w:tcPr>
            <w:tcW w:w="4876" w:type="dxa"/>
          </w:tcPr>
          <w:p w:rsidR="007D615C" w:rsidRPr="007D615C" w:rsidRDefault="007D615C" w:rsidP="007D615C">
            <w:pPr>
              <w:keepNext/>
              <w:spacing w:after="240"/>
              <w:jc w:val="center"/>
              <w:rPr>
                <w:i/>
              </w:rPr>
            </w:pPr>
            <w:r w:rsidRPr="007D615C">
              <w:rPr>
                <w:i/>
              </w:rPr>
              <w:t>Znění navržené Komisí</w:t>
            </w:r>
          </w:p>
        </w:tc>
        <w:tc>
          <w:tcPr>
            <w:tcW w:w="4876" w:type="dxa"/>
          </w:tcPr>
          <w:p w:rsidR="007D615C" w:rsidRPr="007D615C" w:rsidRDefault="007D615C" w:rsidP="007D615C">
            <w:pPr>
              <w:keepNext/>
              <w:spacing w:after="240"/>
              <w:jc w:val="center"/>
              <w:rPr>
                <w:i/>
              </w:rPr>
            </w:pPr>
            <w:r w:rsidRPr="007D615C">
              <w:rPr>
                <w:i/>
              </w:rPr>
              <w:t>Pozměňovací návrh</w:t>
            </w:r>
          </w:p>
        </w:tc>
      </w:tr>
      <w:tr w:rsidR="007D615C" w:rsidRPr="007D615C" w:rsidTr="00925250">
        <w:trPr>
          <w:jc w:val="center"/>
        </w:trPr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rPr>
                <w:b/>
                <w:i/>
              </w:rPr>
              <w:t>7.</w:t>
            </w:r>
            <w:r w:rsidRPr="007D615C">
              <w:t xml:space="preserve"> Pokud v období od 6. června do 31. prosince 2024 kumulativní objemy dovozu buď vajec,</w:t>
            </w:r>
            <w:r w:rsidRPr="007D615C">
              <w:rPr>
                <w:b/>
                <w:i/>
              </w:rPr>
              <w:t xml:space="preserve"> nebo</w:t>
            </w:r>
            <w:r w:rsidRPr="007D615C">
              <w:t xml:space="preserve"> drůbeže, </w:t>
            </w:r>
            <w:r w:rsidRPr="007D615C">
              <w:rPr>
                <w:b/>
                <w:i/>
              </w:rPr>
              <w:t>či</w:t>
            </w:r>
            <w:r w:rsidRPr="007D615C">
              <w:t xml:space="preserve"> cukru od 1. ledna 2024 dosáhnou příslušného aritmetického průměru objemů dovozu zaznamenaných v letech 2022 a 2023, Komise poté, co informuje Výbor pro ochranná opatření zřízený podle čl. 3 </w:t>
            </w:r>
            <w:r w:rsidRPr="007D615C">
              <w:lastRenderedPageBreak/>
              <w:t xml:space="preserve">odst. 1 nařízení (EU) 2015/478, do </w:t>
            </w:r>
            <w:r w:rsidRPr="007D615C">
              <w:rPr>
                <w:b/>
                <w:i/>
              </w:rPr>
              <w:t>21</w:t>
            </w:r>
            <w:r w:rsidRPr="007D615C">
              <w:t xml:space="preserve"> dnů: </w:t>
            </w:r>
          </w:p>
        </w:tc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lastRenderedPageBreak/>
              <w:t xml:space="preserve">7. Pokud v období od 6. června do 31. prosince 2024 kumulativní objemy dovozu buď </w:t>
            </w:r>
            <w:r w:rsidRPr="007D615C">
              <w:rPr>
                <w:b/>
                <w:i/>
              </w:rPr>
              <w:t xml:space="preserve">pšenice obecné, pšeničné mouky a pelet, ječmene, ječné mouky a pelet, ovsa, kukuřice, kukuřičné mouky a pelet, ječné krupice a krupičky, obilných zrn jinak zpracovaných, medu, </w:t>
            </w:r>
            <w:r w:rsidRPr="007D615C">
              <w:t xml:space="preserve">vajec, drůbeže, </w:t>
            </w:r>
            <w:r w:rsidRPr="007D615C">
              <w:rPr>
                <w:b/>
                <w:i/>
              </w:rPr>
              <w:t>nebo</w:t>
            </w:r>
            <w:r w:rsidRPr="007D615C">
              <w:t xml:space="preserve"> cukru od 1. ledna 2024 dosáhnou </w:t>
            </w:r>
            <w:r w:rsidRPr="007D615C">
              <w:lastRenderedPageBreak/>
              <w:t>příslušného aritmetického průměru objemů dovozu zaznamenaných v letech</w:t>
            </w:r>
            <w:r w:rsidRPr="007D615C">
              <w:rPr>
                <w:b/>
                <w:i/>
              </w:rPr>
              <w:t xml:space="preserve"> 2021,</w:t>
            </w:r>
            <w:r w:rsidRPr="007D615C">
              <w:t xml:space="preserve"> 2022 a 2023, Komise poté, co informuje Výbor pro ochranná opatření zřízený podle čl. 3 odst. 1 nařízení (EU) 2015/478, do </w:t>
            </w:r>
            <w:r w:rsidRPr="007D615C">
              <w:rPr>
                <w:b/>
                <w:i/>
              </w:rPr>
              <w:t>14</w:t>
            </w:r>
            <w:r w:rsidRPr="007D615C">
              <w:t xml:space="preserve"> dnů: </w:t>
            </w:r>
          </w:p>
        </w:tc>
      </w:tr>
      <w:tr w:rsidR="007D615C" w:rsidRPr="007D615C" w:rsidTr="00925250">
        <w:trPr>
          <w:jc w:val="center"/>
        </w:trPr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lastRenderedPageBreak/>
              <w:t xml:space="preserve">a) znovu zavede pro tento produkt do 31. prosince 2024 odpovídající celní kvótu pozastavenou podle čl. 1 odst. 1 písm. b); a </w:t>
            </w:r>
          </w:p>
        </w:tc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t>a) znovu zavede pro tento produkt do 31. prosince 2024 odpovídající celní kvótu pozastavenou podle čl. 1 odst. 1 písm. b); a</w:t>
            </w:r>
          </w:p>
        </w:tc>
      </w:tr>
      <w:tr w:rsidR="007D615C" w:rsidRPr="007D615C" w:rsidTr="00925250">
        <w:trPr>
          <w:jc w:val="center"/>
        </w:trPr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t xml:space="preserve">b) zavede od 1. ledna </w:t>
            </w:r>
            <w:r w:rsidR="005E2050">
              <w:t xml:space="preserve">2025 </w:t>
            </w:r>
            <w:r w:rsidRPr="007D615C">
              <w:t xml:space="preserve">buď celní kvótu rovnající se pěti dvanáctinám uvedeného aritmetického průměru, nebo odpovídající celní kvótu pozastavenou na základě čl. 1 odst. 1 písm. b), a to podle toho, která hodnota je vyšší. </w:t>
            </w:r>
          </w:p>
        </w:tc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t xml:space="preserve">b) zavede od 1. ledna </w:t>
            </w:r>
            <w:r w:rsidR="005E2050">
              <w:t xml:space="preserve">2025 </w:t>
            </w:r>
            <w:bookmarkStart w:id="9" w:name="_GoBack"/>
            <w:bookmarkEnd w:id="9"/>
            <w:r w:rsidRPr="007D615C">
              <w:t>buď celní kvótu rovnající se pěti dvanáctinám uvedeného aritmetického průměru, nebo odpovídající celní kvótu pozastavenou na základě čl. 1 odst. 1 písm. b), a to podle toho, která hodnota je vyšší.</w:t>
            </w:r>
          </w:p>
        </w:tc>
      </w:tr>
      <w:tr w:rsidR="007D615C" w:rsidRPr="007D615C" w:rsidTr="00925250">
        <w:trPr>
          <w:jc w:val="center"/>
        </w:trPr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t xml:space="preserve">Pokud v období od 1. ledna do 5. června 2025 kumulativní objemy dovozu buď </w:t>
            </w:r>
            <w:r w:rsidRPr="007D615C">
              <w:rPr>
                <w:b/>
                <w:i/>
              </w:rPr>
              <w:t>vajec</w:t>
            </w:r>
            <w:r w:rsidRPr="007D615C">
              <w:t xml:space="preserve">, </w:t>
            </w:r>
            <w:r w:rsidRPr="007D615C">
              <w:rPr>
                <w:b/>
                <w:i/>
              </w:rPr>
              <w:t>nebo</w:t>
            </w:r>
            <w:r w:rsidRPr="007D615C">
              <w:t xml:space="preserve"> drůbeže, </w:t>
            </w:r>
            <w:r w:rsidRPr="007D615C">
              <w:rPr>
                <w:b/>
                <w:i/>
              </w:rPr>
              <w:t>či</w:t>
            </w:r>
            <w:r w:rsidRPr="007D615C">
              <w:t xml:space="preserve"> cukru pro období od 1. ledna 2025 dosáhnou pěti dvanáctin příslušného aritmetického průměru objemů dovozu zaznamenaných v letech 2022 a 2023, Komise poté, co informuje Výbor pro ochranná opatření, do </w:t>
            </w:r>
            <w:r w:rsidRPr="007D615C">
              <w:rPr>
                <w:b/>
                <w:i/>
              </w:rPr>
              <w:t>21</w:t>
            </w:r>
            <w:r w:rsidRPr="007D615C">
              <w:t xml:space="preserve"> dnů znovu zavede pro tento produkt odpovídající celní kvótu pozastavenou podle čl. 1 odst. 1 písm. b)</w:t>
            </w:r>
            <w:r w:rsidRPr="007D615C">
              <w:rPr>
                <w:b/>
                <w:i/>
              </w:rPr>
              <w:t>.</w:t>
            </w:r>
            <w:r w:rsidRPr="007D615C">
              <w:t xml:space="preserve"> </w:t>
            </w:r>
          </w:p>
        </w:tc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t xml:space="preserve">Pokud v období od 1. ledna do 5. června 2025 kumulativní objemy dovozu buď </w:t>
            </w:r>
            <w:r w:rsidRPr="007D615C">
              <w:rPr>
                <w:b/>
                <w:i/>
              </w:rPr>
              <w:t>pšenice obecné, pšeničné mouky a pelet, ječmene, ječné mouky a pelet</w:t>
            </w:r>
            <w:r w:rsidRPr="007D615C">
              <w:t xml:space="preserve">, </w:t>
            </w:r>
            <w:r w:rsidRPr="007D615C">
              <w:rPr>
                <w:b/>
                <w:i/>
              </w:rPr>
              <w:t>ovsa, kukuřice, kukuřičné mouky a pelet, ječné krupice a krupičky, obilných zrn jinak zpracovaných, medu, vajec,</w:t>
            </w:r>
            <w:r w:rsidRPr="007D615C">
              <w:t xml:space="preserve"> drůbeže, </w:t>
            </w:r>
            <w:r w:rsidRPr="007D615C">
              <w:rPr>
                <w:b/>
                <w:i/>
              </w:rPr>
              <w:t>nebo</w:t>
            </w:r>
            <w:r w:rsidRPr="007D615C">
              <w:t xml:space="preserve"> cukru pro období od 1. ledna 2025 dosáhnou pěti dvanáctin příslušného aritmetického průměru objemů dovozu zaznamenaných v letech </w:t>
            </w:r>
            <w:r w:rsidRPr="007D615C">
              <w:rPr>
                <w:b/>
                <w:i/>
              </w:rPr>
              <w:t xml:space="preserve">2021, </w:t>
            </w:r>
            <w:r w:rsidRPr="007D615C">
              <w:t xml:space="preserve">2022 a 2023, Komise poté, co informuje Výbor pro ochranná opatření, do </w:t>
            </w:r>
            <w:r w:rsidRPr="007D615C">
              <w:rPr>
                <w:b/>
                <w:i/>
              </w:rPr>
              <w:t>14</w:t>
            </w:r>
            <w:r w:rsidRPr="007D615C">
              <w:t xml:space="preserve"> dnů znovu zavede pro tento produkt odpovídající celní kvótu pozastavenou podle čl. 1 odst. 1 písm. b) </w:t>
            </w:r>
          </w:p>
        </w:tc>
      </w:tr>
      <w:tr w:rsidR="007D615C" w:rsidRPr="007D615C" w:rsidTr="00925250">
        <w:trPr>
          <w:jc w:val="center"/>
        </w:trPr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t xml:space="preserve">Pro účely tohoto odstavce se výrazy vejce, drůbež a cukr vztahují na všechny produkty, na které se vztahují příslušné celní kvóty uvedené v dodatku přílohy I-A dohody o přidružení pro vejce a albuminy, drůbeží maso a přípravky z drůbežího masa a cukry, a aritmetický průměr se vypočítá vydělením součtu objemů dovozu v letech 2022 a 2023 </w:t>
            </w:r>
            <w:r w:rsidRPr="007D615C">
              <w:rPr>
                <w:b/>
                <w:i/>
              </w:rPr>
              <w:t>dvěma</w:t>
            </w:r>
            <w:r w:rsidRPr="007D615C">
              <w:t>.</w:t>
            </w:r>
          </w:p>
        </w:tc>
        <w:tc>
          <w:tcPr>
            <w:tcW w:w="4876" w:type="dxa"/>
          </w:tcPr>
          <w:p w:rsidR="007D615C" w:rsidRPr="007D615C" w:rsidRDefault="007D615C" w:rsidP="007D615C">
            <w:pPr>
              <w:spacing w:after="120"/>
              <w:rPr>
                <w:szCs w:val="24"/>
              </w:rPr>
            </w:pPr>
            <w:r w:rsidRPr="007D615C">
              <w:t xml:space="preserve">Pro účely tohoto odstavce se výrazy </w:t>
            </w:r>
            <w:r w:rsidRPr="007D615C">
              <w:rPr>
                <w:b/>
                <w:i/>
              </w:rPr>
              <w:t xml:space="preserve">pšenice obecná, pšeničná mouka a pelety, ječmen, ječná mouka a pelety, oves, kukuřice, kukuřičná mouka a pelety, ječná krupice a krupička, obilná zrna jinak zpracovaná, med, </w:t>
            </w:r>
            <w:r w:rsidRPr="007D615C">
              <w:t xml:space="preserve">vejce, drůbež a cukr vztahují na všechny produkty, na které se vztahují příslušné celní kvóty uvedené v dodatku přílohy I-A dohody o přidružení pro </w:t>
            </w:r>
            <w:r w:rsidRPr="007D615C">
              <w:rPr>
                <w:b/>
                <w:i/>
              </w:rPr>
              <w:t xml:space="preserve">pšenici obecnou, pšeničnou mouku a pelety, ječmen, ječnou mouku a pelety, oves, kukuřici, kukuřičnou mouku a pelety, ječnou krupici a krupičku, obilná zrna jinak zpracovaná, med, </w:t>
            </w:r>
            <w:r w:rsidRPr="007D615C">
              <w:t xml:space="preserve">vejce a albuminy, drůbeží maso a přípravky z drůbežího masa a cukry, a aritmetický průměr se vypočítá vydělením součtu objemů dovozu v letech </w:t>
            </w:r>
            <w:r w:rsidRPr="007D615C">
              <w:rPr>
                <w:b/>
                <w:i/>
              </w:rPr>
              <w:t xml:space="preserve">2021, </w:t>
            </w:r>
            <w:r w:rsidRPr="007D615C">
              <w:t xml:space="preserve">2022 </w:t>
            </w:r>
            <w:r w:rsidRPr="007D615C">
              <w:lastRenderedPageBreak/>
              <w:t xml:space="preserve">a 2023 </w:t>
            </w:r>
            <w:r w:rsidRPr="007D615C">
              <w:rPr>
                <w:b/>
                <w:i/>
              </w:rPr>
              <w:t>třemi</w:t>
            </w:r>
            <w:r w:rsidRPr="007D615C">
              <w:t>.</w:t>
            </w:r>
          </w:p>
        </w:tc>
      </w:tr>
      <w:bookmarkEnd w:id="8"/>
    </w:tbl>
    <w:p w:rsidR="00B74E80" w:rsidRPr="007A0E21" w:rsidRDefault="00B74E80" w:rsidP="00B74E80">
      <w:pPr>
        <w:pStyle w:val="NormalHanging12a"/>
      </w:pPr>
    </w:p>
    <w:sectPr w:rsidR="00B74E80" w:rsidRPr="007A0E21" w:rsidSect="003938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C37" w:rsidRPr="007A0E21" w:rsidRDefault="00BE7C37">
      <w:r w:rsidRPr="007A0E21">
        <w:separator/>
      </w:r>
    </w:p>
  </w:endnote>
  <w:endnote w:type="continuationSeparator" w:id="0">
    <w:p w:rsidR="00BE7C37" w:rsidRPr="007A0E21" w:rsidRDefault="00BE7C37">
      <w:r w:rsidRPr="007A0E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0E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0E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0E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C37" w:rsidRPr="007A0E21" w:rsidRDefault="00BE7C37">
      <w:r w:rsidRPr="007A0E21">
        <w:separator/>
      </w:r>
    </w:p>
  </w:footnote>
  <w:footnote w:type="continuationSeparator" w:id="0">
    <w:p w:rsidR="00BE7C37" w:rsidRPr="007A0E21" w:rsidRDefault="00BE7C37">
      <w:r w:rsidRPr="007A0E21">
        <w:continuationSeparator/>
      </w:r>
    </w:p>
  </w:footnote>
  <w:footnote w:id="1">
    <w:p w:rsidR="008C7BB3" w:rsidRPr="00955026" w:rsidRDefault="008C7BB3" w:rsidP="008C7BB3">
      <w:pPr>
        <w:pStyle w:val="FootnoteText"/>
        <w:ind w:left="600" w:hanging="600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proofErr w:type="spellStart"/>
      <w:r w:rsidRPr="00955026">
        <w:rPr>
          <w:sz w:val="24"/>
          <w:szCs w:val="24"/>
        </w:rPr>
        <w:t>Věc</w:t>
      </w:r>
      <w:proofErr w:type="spellEnd"/>
      <w:r w:rsidRPr="00955026">
        <w:rPr>
          <w:sz w:val="24"/>
          <w:szCs w:val="24"/>
        </w:rPr>
        <w:t xml:space="preserve"> </w:t>
      </w:r>
      <w:proofErr w:type="spellStart"/>
      <w:r w:rsidRPr="00955026">
        <w:rPr>
          <w:sz w:val="24"/>
          <w:szCs w:val="24"/>
        </w:rPr>
        <w:t>byla</w:t>
      </w:r>
      <w:proofErr w:type="spellEnd"/>
      <w:r w:rsidRPr="00955026">
        <w:rPr>
          <w:sz w:val="24"/>
          <w:szCs w:val="24"/>
        </w:rPr>
        <w:t xml:space="preserve"> </w:t>
      </w:r>
      <w:proofErr w:type="spellStart"/>
      <w:r w:rsidRPr="00955026">
        <w:rPr>
          <w:sz w:val="24"/>
          <w:szCs w:val="24"/>
        </w:rPr>
        <w:t>vrácena</w:t>
      </w:r>
      <w:proofErr w:type="spellEnd"/>
      <w:r w:rsidRPr="00955026">
        <w:rPr>
          <w:sz w:val="24"/>
          <w:szCs w:val="24"/>
        </w:rPr>
        <w:t xml:space="preserve"> </w:t>
      </w:r>
      <w:proofErr w:type="spellStart"/>
      <w:r w:rsidRPr="00955026">
        <w:rPr>
          <w:sz w:val="24"/>
          <w:szCs w:val="24"/>
        </w:rPr>
        <w:t>příslušnému</w:t>
      </w:r>
      <w:proofErr w:type="spellEnd"/>
      <w:r w:rsidRPr="00955026">
        <w:rPr>
          <w:sz w:val="24"/>
          <w:szCs w:val="24"/>
        </w:rPr>
        <w:t xml:space="preserve"> </w:t>
      </w:r>
      <w:proofErr w:type="spellStart"/>
      <w:r w:rsidRPr="00955026">
        <w:rPr>
          <w:sz w:val="24"/>
          <w:szCs w:val="24"/>
        </w:rPr>
        <w:t>výboru</w:t>
      </w:r>
      <w:proofErr w:type="spellEnd"/>
      <w:r w:rsidRPr="00955026">
        <w:rPr>
          <w:sz w:val="24"/>
          <w:szCs w:val="24"/>
        </w:rPr>
        <w:t xml:space="preserve"> pro </w:t>
      </w:r>
      <w:proofErr w:type="spellStart"/>
      <w:r w:rsidRPr="00955026">
        <w:rPr>
          <w:sz w:val="24"/>
          <w:szCs w:val="24"/>
        </w:rPr>
        <w:t>účely</w:t>
      </w:r>
      <w:proofErr w:type="spellEnd"/>
      <w:r w:rsidRPr="00955026">
        <w:rPr>
          <w:sz w:val="24"/>
          <w:szCs w:val="24"/>
        </w:rPr>
        <w:t xml:space="preserve"> </w:t>
      </w:r>
      <w:proofErr w:type="spellStart"/>
      <w:r w:rsidRPr="00955026">
        <w:rPr>
          <w:sz w:val="24"/>
          <w:szCs w:val="24"/>
        </w:rPr>
        <w:t>interinstitucionálních</w:t>
      </w:r>
      <w:proofErr w:type="spellEnd"/>
      <w:r w:rsidRPr="00955026">
        <w:rPr>
          <w:sz w:val="24"/>
          <w:szCs w:val="24"/>
        </w:rPr>
        <w:t xml:space="preserve"> </w:t>
      </w:r>
      <w:proofErr w:type="spellStart"/>
      <w:r w:rsidRPr="00955026">
        <w:rPr>
          <w:sz w:val="24"/>
          <w:szCs w:val="24"/>
        </w:rPr>
        <w:t>jednání</w:t>
      </w:r>
      <w:proofErr w:type="spellEnd"/>
      <w:r w:rsidRPr="00955026">
        <w:rPr>
          <w:sz w:val="24"/>
          <w:szCs w:val="24"/>
        </w:rPr>
        <w:t xml:space="preserve"> </w:t>
      </w:r>
      <w:proofErr w:type="spellStart"/>
      <w:r w:rsidRPr="00955026">
        <w:rPr>
          <w:sz w:val="24"/>
          <w:szCs w:val="24"/>
        </w:rPr>
        <w:t>podle</w:t>
      </w:r>
      <w:proofErr w:type="spellEnd"/>
      <w:r w:rsidRPr="00955026">
        <w:rPr>
          <w:sz w:val="24"/>
          <w:szCs w:val="24"/>
        </w:rPr>
        <w:t xml:space="preserve"> </w:t>
      </w:r>
      <w:proofErr w:type="spellStart"/>
      <w:r w:rsidRPr="00955026">
        <w:rPr>
          <w:sz w:val="24"/>
          <w:szCs w:val="24"/>
        </w:rPr>
        <w:t>čl</w:t>
      </w:r>
      <w:proofErr w:type="spellEnd"/>
      <w:r w:rsidRPr="00955026">
        <w:rPr>
          <w:sz w:val="24"/>
          <w:szCs w:val="24"/>
        </w:rPr>
        <w:t xml:space="preserve">. 59 </w:t>
      </w:r>
      <w:proofErr w:type="spellStart"/>
      <w:r w:rsidRPr="00955026">
        <w:rPr>
          <w:sz w:val="24"/>
          <w:szCs w:val="24"/>
        </w:rPr>
        <w:t>odst</w:t>
      </w:r>
      <w:proofErr w:type="spellEnd"/>
      <w:r w:rsidRPr="00955026">
        <w:rPr>
          <w:sz w:val="24"/>
          <w:szCs w:val="24"/>
        </w:rPr>
        <w:t xml:space="preserve">. 4 </w:t>
      </w:r>
      <w:proofErr w:type="spellStart"/>
      <w:r w:rsidRPr="00955026">
        <w:rPr>
          <w:sz w:val="24"/>
          <w:szCs w:val="24"/>
        </w:rPr>
        <w:t>čtvrtého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pododstavce</w:t>
      </w:r>
      <w:proofErr w:type="spellEnd"/>
      <w:r>
        <w:rPr>
          <w:sz w:val="24"/>
          <w:szCs w:val="24"/>
        </w:rPr>
        <w:t xml:space="preserve"> (A9-0077/2024</w:t>
      </w:r>
      <w:r w:rsidRPr="00955026">
        <w:rPr>
          <w:sz w:val="24"/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0E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0E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0E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CS"/>
    <w:docVar w:name="dvnumam" w:val="26"/>
    <w:docVar w:name="dvpe" w:val="758.861"/>
    <w:docVar w:name="dvrapporteur" w:val="Zpravodajka: "/>
    <w:docVar w:name="dvstar" w:val="***I"/>
    <w:docVar w:name="dvtitre" w:val="Legislativní usnesení Evropského parlamentu ze dne.... 2024 o návrhu nařízení Evropského parlamentu a Rady o dočasných opatřeních pro liberalizaci obchodu, která doplňují obchodní koncese použitelné pro ukrajinské výrobky podle Dohody o přidružení mezi Evropskou unií a Evropským společenstvím pro atomovou energii a jejich členskými státy na straně jedné a Ukrajinou na straně druhé(COM(2024)0050 – C9-0021/2024 – 2024/0028(COD))"/>
  </w:docVars>
  <w:rsids>
    <w:rsidRoot w:val="00BE7C3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C75"/>
    <w:rsid w:val="002767FF"/>
    <w:rsid w:val="00290E9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050"/>
    <w:rsid w:val="006037C0"/>
    <w:rsid w:val="006631B6"/>
    <w:rsid w:val="00680577"/>
    <w:rsid w:val="0069537F"/>
    <w:rsid w:val="006F74FA"/>
    <w:rsid w:val="007220EA"/>
    <w:rsid w:val="00731ADD"/>
    <w:rsid w:val="00734777"/>
    <w:rsid w:val="00747932"/>
    <w:rsid w:val="00751A4A"/>
    <w:rsid w:val="00756632"/>
    <w:rsid w:val="00762C74"/>
    <w:rsid w:val="00786EC0"/>
    <w:rsid w:val="007A0E21"/>
    <w:rsid w:val="007A2BDC"/>
    <w:rsid w:val="007D1690"/>
    <w:rsid w:val="007D615C"/>
    <w:rsid w:val="007E22AD"/>
    <w:rsid w:val="00817416"/>
    <w:rsid w:val="00842779"/>
    <w:rsid w:val="00865F67"/>
    <w:rsid w:val="00881A7B"/>
    <w:rsid w:val="008840E5"/>
    <w:rsid w:val="00887B3E"/>
    <w:rsid w:val="008C2AC6"/>
    <w:rsid w:val="008C7BB3"/>
    <w:rsid w:val="00930C23"/>
    <w:rsid w:val="0093193B"/>
    <w:rsid w:val="009509D8"/>
    <w:rsid w:val="00950B64"/>
    <w:rsid w:val="00975FC6"/>
    <w:rsid w:val="00981893"/>
    <w:rsid w:val="009B75E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E80"/>
    <w:rsid w:val="00BD48FE"/>
    <w:rsid w:val="00BD7BD8"/>
    <w:rsid w:val="00BE6ADC"/>
    <w:rsid w:val="00BE7C3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3B2A"/>
    <w:rsid w:val="00E365E1"/>
    <w:rsid w:val="00E820A4"/>
    <w:rsid w:val="00EA3CE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A1EB18"/>
  <w15:chartTrackingRefBased/>
  <w15:docId w15:val="{751365BE-DC2C-4032-9A9F-59B9C54D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4E80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B74E80"/>
    <w:rPr>
      <w:b/>
    </w:rPr>
  </w:style>
  <w:style w:type="paragraph" w:customStyle="1" w:styleId="NormalHanging12a">
    <w:name w:val="NormalHanging12a"/>
    <w:basedOn w:val="Normal"/>
    <w:rsid w:val="00B74E80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B74E80"/>
    <w:rPr>
      <w:b/>
      <w:sz w:val="24"/>
      <w:lang w:val="cs-CZ"/>
    </w:rPr>
  </w:style>
  <w:style w:type="paragraph" w:styleId="BalloonText">
    <w:name w:val="Balloon Text"/>
    <w:basedOn w:val="Normal"/>
    <w:link w:val="BalloonTextChar"/>
    <w:rsid w:val="00975F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75FC6"/>
    <w:rPr>
      <w:rFonts w:ascii="Segoe UI" w:hAnsi="Segoe UI" w:cs="Segoe UI"/>
      <w:sz w:val="18"/>
      <w:szCs w:val="18"/>
      <w:lang w:val="cs-CZ"/>
    </w:rPr>
  </w:style>
  <w:style w:type="paragraph" w:customStyle="1" w:styleId="AmNumberTabs">
    <w:name w:val="AmNumberTabs"/>
    <w:basedOn w:val="Normal"/>
    <w:rsid w:val="007D61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94E12-5005-4461-BF37-C07800CAE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2024-06-19T12:35:00Z</dcterms:created>
  <dcterms:modified xsi:type="dcterms:W3CDTF">2024-06-19T12:35:00Z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P9_TA(2024)0154_</vt:lpwstr>
  </property>
  <property fmtid="{D5CDD505-2E9C-101B-9397-08002B2CF9AE}" pid="4" name="&lt;Type&gt;">
    <vt:lpwstr>RR</vt:lpwstr>
  </property>
</Properties>
</file>