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F38A4" w:rsidTr="0010095E">
        <w:trPr>
          <w:trHeight w:hRule="exact" w:val="1418"/>
        </w:trPr>
        <w:tc>
          <w:tcPr>
            <w:tcW w:w="6804" w:type="dxa"/>
            <w:shd w:val="clear" w:color="auto" w:fill="auto"/>
            <w:vAlign w:val="center"/>
          </w:tcPr>
          <w:p w:rsidR="00751A4A" w:rsidRPr="008F38A4" w:rsidRDefault="00800CCA" w:rsidP="0010095E">
            <w:pPr>
              <w:pStyle w:val="EPName"/>
            </w:pPr>
            <w:r w:rsidRPr="008F38A4">
              <w:t>Ευρωπαϊκό Κοινοβούλιο</w:t>
            </w:r>
          </w:p>
          <w:p w:rsidR="00751A4A" w:rsidRPr="008F38A4" w:rsidRDefault="00817416" w:rsidP="00756632">
            <w:pPr>
              <w:pStyle w:val="EPTerm"/>
              <w:rPr>
                <w:rStyle w:val="HideTWBExt"/>
                <w:noProof w:val="0"/>
                <w:vanish w:val="0"/>
                <w:color w:val="auto"/>
              </w:rPr>
            </w:pPr>
            <w:r w:rsidRPr="008F38A4">
              <w:t>2019-2024</w:t>
            </w:r>
          </w:p>
        </w:tc>
        <w:tc>
          <w:tcPr>
            <w:tcW w:w="2268" w:type="dxa"/>
            <w:shd w:val="clear" w:color="auto" w:fill="auto"/>
          </w:tcPr>
          <w:p w:rsidR="00751A4A" w:rsidRPr="008F38A4" w:rsidRDefault="00187494" w:rsidP="0010095E">
            <w:pPr>
              <w:pStyle w:val="EPLogo"/>
            </w:pPr>
            <w:r w:rsidRPr="008F38A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F38A4" w:rsidRDefault="00D058B8" w:rsidP="004C5D52">
      <w:pPr>
        <w:pStyle w:val="LineTop"/>
      </w:pPr>
    </w:p>
    <w:p w:rsidR="00680577" w:rsidRPr="008F38A4" w:rsidRDefault="00800CCA" w:rsidP="00680577">
      <w:pPr>
        <w:pStyle w:val="EPBodyTA1"/>
      </w:pPr>
      <w:r w:rsidRPr="008F38A4">
        <w:t>ΚΕΙΜΕΝΑ ΠΟΥ ΕΓΚΡΙΘΗΚΑΝ</w:t>
      </w:r>
    </w:p>
    <w:p w:rsidR="00D058B8" w:rsidRPr="008F38A4" w:rsidRDefault="00D058B8" w:rsidP="00D058B8">
      <w:pPr>
        <w:pStyle w:val="LineBottom"/>
      </w:pPr>
    </w:p>
    <w:p w:rsidR="00800CCA" w:rsidRPr="008F38A4" w:rsidRDefault="00800CCA" w:rsidP="00800CCA">
      <w:pPr>
        <w:pStyle w:val="ATHeading1"/>
      </w:pPr>
      <w:bookmarkStart w:id="0" w:name="TANumber"/>
      <w:r w:rsidRPr="008F38A4">
        <w:t>P9_TA(2024)0</w:t>
      </w:r>
      <w:r w:rsidR="00D208A3" w:rsidRPr="00100B89">
        <w:t>154</w:t>
      </w:r>
      <w:bookmarkEnd w:id="0"/>
    </w:p>
    <w:p w:rsidR="00800CCA" w:rsidRPr="008F38A4" w:rsidRDefault="00800CCA" w:rsidP="00800CCA">
      <w:pPr>
        <w:pStyle w:val="ATHeading2"/>
      </w:pPr>
      <w:bookmarkStart w:id="1" w:name="title"/>
      <w:r w:rsidRPr="008F38A4">
        <w:t>Προσωρινά μέτρα ελευθέρωσης του εμπορίου, τα οποία συμπληρώνουν τις εμπορικές παραχωρήσεις που εφαρμόζονται στα ουκρανικά προϊόντα βάσει της συμφωνίας σύνδεσης ΕΕ/Ευρατόμ/Ουκρανίας</w:t>
      </w:r>
      <w:bookmarkEnd w:id="1"/>
    </w:p>
    <w:p w:rsidR="00800CCA" w:rsidRPr="008F38A4" w:rsidRDefault="00800CCA" w:rsidP="00800CCA">
      <w:pPr>
        <w:rPr>
          <w:i/>
          <w:vanish/>
        </w:rPr>
      </w:pPr>
      <w:r w:rsidRPr="008F38A4">
        <w:rPr>
          <w:i/>
        </w:rPr>
        <w:fldChar w:fldCharType="begin"/>
      </w:r>
      <w:r w:rsidRPr="008F38A4">
        <w:rPr>
          <w:i/>
        </w:rPr>
        <w:instrText xml:space="preserve"> TC"(</w:instrText>
      </w:r>
      <w:bookmarkStart w:id="2" w:name="DocNumber"/>
      <w:r w:rsidRPr="008F38A4">
        <w:rPr>
          <w:i/>
        </w:rPr>
        <w:instrText>A9-0077/2024</w:instrText>
      </w:r>
      <w:bookmarkEnd w:id="2"/>
      <w:r w:rsidRPr="008F38A4">
        <w:rPr>
          <w:i/>
        </w:rPr>
        <w:instrText xml:space="preserve"> - Εισηγήτ</w:instrText>
      </w:r>
      <w:bookmarkStart w:id="3" w:name="_GoBack"/>
      <w:bookmarkEnd w:id="3"/>
      <w:r w:rsidRPr="008F38A4">
        <w:rPr>
          <w:i/>
        </w:rPr>
        <w:instrText xml:space="preserve">ρια: Sandra Kalniete)"\l3 \n&gt; \* MERGEFORMAT </w:instrText>
      </w:r>
      <w:r w:rsidRPr="008F38A4">
        <w:rPr>
          <w:i/>
        </w:rPr>
        <w:fldChar w:fldCharType="end"/>
      </w:r>
    </w:p>
    <w:p w:rsidR="00800CCA" w:rsidRPr="008F38A4" w:rsidRDefault="00800CCA" w:rsidP="00800CCA">
      <w:pPr>
        <w:rPr>
          <w:vanish/>
        </w:rPr>
      </w:pPr>
      <w:bookmarkStart w:id="4" w:name="Commission"/>
      <w:r w:rsidRPr="008F38A4">
        <w:rPr>
          <w:vanish/>
        </w:rPr>
        <w:t>Επιτροπή Διεθνούς Εμπορίου</w:t>
      </w:r>
      <w:bookmarkEnd w:id="4"/>
    </w:p>
    <w:p w:rsidR="00800CCA" w:rsidRPr="008F38A4" w:rsidRDefault="00800CCA" w:rsidP="00800CCA">
      <w:pPr>
        <w:rPr>
          <w:vanish/>
        </w:rPr>
      </w:pPr>
      <w:bookmarkStart w:id="5" w:name="PE"/>
      <w:r w:rsidRPr="008F38A4">
        <w:rPr>
          <w:vanish/>
        </w:rPr>
        <w:t>PE758.861</w:t>
      </w:r>
      <w:bookmarkEnd w:id="5"/>
    </w:p>
    <w:p w:rsidR="00800CCA" w:rsidRPr="008F38A4" w:rsidRDefault="00D208A3" w:rsidP="00800CCA">
      <w:pPr>
        <w:pStyle w:val="ATHeading3"/>
      </w:pPr>
      <w:bookmarkStart w:id="6" w:name="Sujet"/>
      <w:r>
        <w:t>Τροπολογίες</w:t>
      </w:r>
      <w:r w:rsidR="00800CCA" w:rsidRPr="008F38A4">
        <w:t xml:space="preserve"> του Ευρωπαϊκού Κοινοβουλίου </w:t>
      </w:r>
      <w:r w:rsidR="005655BB">
        <w:t xml:space="preserve">της 13ης Μαρτίου 2024 </w:t>
      </w:r>
      <w:r>
        <w:t>σ</w:t>
      </w:r>
      <w:r w:rsidR="00800CCA" w:rsidRPr="008F38A4">
        <w:t>την πρόταση κανονισμού του Ευρωπαϊκού Κοινοβουλίου και του Συμβουλίου για τα προσωρινά μέτρα ελευθέρωσης του εμπορίου, τα οποία συμπληρώνουν τις εμπορικές παραχωρήσεις που εφαρμόζονται στα ουκρανικά προϊόντα βάσει της συμφωνίας σύνδεσης μεταξύ της Ευρωπαϊκής Ένωσης και της Ευρωπαϊκής Κοινότητας Ατομικής Ενέργειας και των κρατών μελών τους, αφενός, και της Ουκρανίας, αφετέρου</w:t>
      </w:r>
      <w:bookmarkEnd w:id="6"/>
      <w:r w:rsidR="00800CCA" w:rsidRPr="008F38A4">
        <w:t xml:space="preserve"> </w:t>
      </w:r>
      <w:bookmarkStart w:id="7" w:name="References"/>
      <w:r w:rsidR="00800CCA" w:rsidRPr="008F38A4">
        <w:t>(COM(2024)0050 – C9-0021/2024 – 2024/0028(COD))</w:t>
      </w:r>
      <w:bookmarkEnd w:id="7"/>
      <w:r>
        <w:rPr>
          <w:rStyle w:val="FootnoteReference"/>
        </w:rPr>
        <w:footnoteReference w:id="1"/>
      </w:r>
    </w:p>
    <w:p w:rsidR="00800CCA" w:rsidRPr="008F38A4" w:rsidRDefault="00800CCA" w:rsidP="00800CCA"/>
    <w:p w:rsidR="00D208A3" w:rsidRPr="008F38A4" w:rsidRDefault="004D53D6" w:rsidP="004D53D6">
      <w:pPr>
        <w:pStyle w:val="NormalBold"/>
      </w:pPr>
      <w:bookmarkStart w:id="8" w:name="TextBodyBegin"/>
      <w:bookmarkEnd w:id="8"/>
      <w:r w:rsidRPr="008F38A4">
        <w:t>(Συνήθης νομοθετική διαδικασία: πρώτη ανάγνωση)</w:t>
      </w:r>
    </w:p>
    <w:p w:rsidR="00A36D98" w:rsidRDefault="00A36D98" w:rsidP="00571B5C">
      <w:pPr>
        <w:spacing w:line="360" w:lineRule="auto"/>
      </w:pPr>
      <w:bookmarkStart w:id="9" w:name="TextBodyEnd"/>
      <w:bookmarkEnd w:id="9"/>
    </w:p>
    <w:p w:rsidR="00100B89" w:rsidRPr="00ED01D2" w:rsidRDefault="00100B89" w:rsidP="00100B89">
      <w:pPr>
        <w:pStyle w:val="AmNumberTabs"/>
      </w:pPr>
      <w:r w:rsidRPr="00ED01D2">
        <w:t>Τροπολογί</w:t>
      </w:r>
      <w:r>
        <w:t>ες</w:t>
      </w:r>
      <w:r w:rsidRPr="00ED01D2">
        <w:tab/>
      </w:r>
      <w:r w:rsidRPr="00ED01D2">
        <w:tab/>
        <w:t>23</w:t>
      </w:r>
      <w:r>
        <w:t xml:space="preserve"> και 26</w:t>
      </w:r>
    </w:p>
    <w:p w:rsidR="00100B89" w:rsidRPr="00ED01D2" w:rsidRDefault="00100B89" w:rsidP="00100B89">
      <w:pPr>
        <w:pStyle w:val="NormalBold12b"/>
      </w:pPr>
      <w:r w:rsidRPr="00ED01D2">
        <w:t>Πρόταση κανονισμού</w:t>
      </w:r>
    </w:p>
    <w:p w:rsidR="00100B89" w:rsidRPr="00ED01D2" w:rsidRDefault="00100B89" w:rsidP="00100B89">
      <w:pPr>
        <w:pStyle w:val="NormalBold"/>
      </w:pPr>
      <w:r w:rsidRPr="00ED01D2">
        <w:t>Αιτιολογική σκέψη 11</w:t>
      </w:r>
    </w:p>
    <w:p w:rsidR="00100B89" w:rsidRPr="00ED01D2" w:rsidRDefault="00100B89" w:rsidP="00100B89"/>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00B89" w:rsidRPr="00ED01D2" w:rsidTr="007C224C">
        <w:trPr>
          <w:jc w:val="center"/>
        </w:trPr>
        <w:tc>
          <w:tcPr>
            <w:tcW w:w="9752" w:type="dxa"/>
            <w:gridSpan w:val="2"/>
          </w:tcPr>
          <w:p w:rsidR="00100B89" w:rsidRPr="00ED01D2" w:rsidRDefault="00100B89" w:rsidP="007C224C">
            <w:pPr>
              <w:keepNext/>
            </w:pPr>
          </w:p>
        </w:tc>
      </w:tr>
      <w:tr w:rsidR="00100B89" w:rsidRPr="00ED01D2" w:rsidTr="007C224C">
        <w:trPr>
          <w:jc w:val="center"/>
        </w:trPr>
        <w:tc>
          <w:tcPr>
            <w:tcW w:w="4876" w:type="dxa"/>
          </w:tcPr>
          <w:p w:rsidR="00100B89" w:rsidRPr="00ED01D2" w:rsidRDefault="00100B89" w:rsidP="007C224C">
            <w:pPr>
              <w:pStyle w:val="AmColumnHeading"/>
              <w:keepNext/>
            </w:pPr>
            <w:r w:rsidRPr="00ED01D2">
              <w:t>Κείμενο που προτείνει η Επιτροπή</w:t>
            </w:r>
          </w:p>
        </w:tc>
        <w:tc>
          <w:tcPr>
            <w:tcW w:w="4876" w:type="dxa"/>
          </w:tcPr>
          <w:p w:rsidR="00100B89" w:rsidRPr="00ED01D2" w:rsidRDefault="00100B89" w:rsidP="007C224C">
            <w:pPr>
              <w:pStyle w:val="AmColumnHeading"/>
              <w:keepNext/>
            </w:pPr>
            <w:r w:rsidRPr="00ED01D2">
              <w:t>Τροπολογία</w:t>
            </w:r>
          </w:p>
        </w:tc>
      </w:tr>
      <w:tr w:rsidR="00100B89" w:rsidRPr="00ED01D2" w:rsidTr="007C224C">
        <w:trPr>
          <w:jc w:val="center"/>
        </w:trPr>
        <w:tc>
          <w:tcPr>
            <w:tcW w:w="4876" w:type="dxa"/>
          </w:tcPr>
          <w:p w:rsidR="00100B89" w:rsidRPr="00ED01D2" w:rsidRDefault="00100B89" w:rsidP="007C224C">
            <w:pPr>
              <w:pStyle w:val="Normal6a"/>
              <w:rPr>
                <w:szCs w:val="24"/>
              </w:rPr>
            </w:pPr>
            <w:r w:rsidRPr="00ED01D2">
              <w:t>(11)</w:t>
            </w:r>
            <w:r w:rsidRPr="00ED01D2">
              <w:tab/>
              <w:t xml:space="preserve">Με την επιφύλαξη αξιολόγησης από την Επιτροπή που διενεργείται στο πλαίσιο της τακτικής παρακολούθησης των επιπτώσεων του παρόντος κανονισμού και ξεκινά είτε κατόπιν δεόντως αιτιολογημένου αιτήματος κράτους μέλους είτε με πρωτοβουλία της Επιτροπής, είναι αναγκαίο να προβλεφθεί η δυνατότητα λήψης όλων των αναγκαίων μέτρων για τις εισαγωγές προϊόντων που εμπίπτουν στο πεδίο εφαρμογής του παρόντος κανονισμού, τα οποία επηρεάζουν </w:t>
            </w:r>
            <w:r w:rsidRPr="00ED01D2">
              <w:lastRenderedPageBreak/>
              <w:t xml:space="preserve">δυσμενώς την αγορά της Ένωσης ή την αγορά ενός ή περισσότερων κρατών μελών για ομοειδή ή άμεσα ανταγωνιστικά προϊόντα. Η κατάσταση είναι ιδιαίτερα επισφαλής στις αγορές πουλερικών, αυγών και </w:t>
            </w:r>
            <w:r w:rsidRPr="00ED01D2">
              <w:rPr>
                <w:b/>
                <w:i/>
              </w:rPr>
              <w:t>ζάχαρης</w:t>
            </w:r>
            <w:r w:rsidRPr="00ED01D2">
              <w:t xml:space="preserve"> και μπορεί να βλάψει τους ενωσιακούς παραγωγούς γεωργικών προϊόντων εάν αυξηθούν οι εισαγωγές από την Ουκρανία. Είναι σκόπιμο να θεσπιστεί μηχανισμός αυτόματης διασφάλισης για τα αυγά, τα πουλερικά</w:t>
            </w:r>
            <w:r w:rsidRPr="00ED01D2">
              <w:rPr>
                <w:b/>
                <w:i/>
              </w:rPr>
              <w:t xml:space="preserve"> και</w:t>
            </w:r>
            <w:r w:rsidRPr="00ED01D2">
              <w:t xml:space="preserve"> τα προϊόντα ζάχαρης, ο οποίος θα ενεργοποιείται εάν οι ποσότητες που εισάγονται δυνάμει του παρόντος κανονισμού υπερβαίνουν τον αριθμητικό μέσο όρο των ποσοτήτων του 2022 και του 2023.</w:t>
            </w:r>
          </w:p>
        </w:tc>
        <w:tc>
          <w:tcPr>
            <w:tcW w:w="4876" w:type="dxa"/>
          </w:tcPr>
          <w:p w:rsidR="00100B89" w:rsidRPr="00ED01D2" w:rsidRDefault="00100B89" w:rsidP="007C224C">
            <w:pPr>
              <w:pStyle w:val="Normal6a"/>
              <w:rPr>
                <w:szCs w:val="24"/>
              </w:rPr>
            </w:pPr>
            <w:r w:rsidRPr="00ED01D2">
              <w:lastRenderedPageBreak/>
              <w:t>(11)</w:t>
            </w:r>
            <w:r w:rsidRPr="00ED01D2">
              <w:tab/>
              <w:t xml:space="preserve">Με την επιφύλαξη αξιολόγησης από την Επιτροπή που διενεργείται στο πλαίσιο της τακτικής παρακολούθησης των επιπτώσεων του παρόντος κανονισμού και ξεκινά είτε κατόπιν δεόντως αιτιολογημένου αιτήματος κράτους μέλους είτε με πρωτοβουλία της Επιτροπής, είναι αναγκαίο να προβλεφθεί η δυνατότητα λήψης όλων των αναγκαίων μέτρων για τις εισαγωγές προϊόντων που εμπίπτουν στο πεδίο εφαρμογής του παρόντος κανονισμού, τα οποία επηρεάζουν </w:t>
            </w:r>
            <w:r w:rsidRPr="00ED01D2">
              <w:lastRenderedPageBreak/>
              <w:t xml:space="preserve">δυσμενώς την αγορά της Ένωσης ή την αγορά ενός ή περισσότερων κρατών μελών για ομοειδή ή άμεσα ανταγωνιστικά προϊόντα. Η κατάσταση είναι ιδιαίτερα επισφαλής στις αγορές </w:t>
            </w:r>
            <w:r w:rsidRPr="00ED01D2">
              <w:rPr>
                <w:b/>
                <w:i/>
              </w:rPr>
              <w:t xml:space="preserve">σιτηρών, </w:t>
            </w:r>
            <w:r w:rsidRPr="00ED01D2">
              <w:t>πουλερικών, αυγών</w:t>
            </w:r>
            <w:r w:rsidRPr="00ED01D2">
              <w:rPr>
                <w:b/>
                <w:i/>
              </w:rPr>
              <w:t>, ζάχαρης</w:t>
            </w:r>
            <w:r w:rsidRPr="00ED01D2">
              <w:t xml:space="preserve"> και </w:t>
            </w:r>
            <w:r w:rsidRPr="00ED01D2">
              <w:rPr>
                <w:b/>
                <w:i/>
              </w:rPr>
              <w:t>μελιού,</w:t>
            </w:r>
            <w:r w:rsidRPr="00ED01D2">
              <w:t xml:space="preserve"> και μπορεί να βλάψει τους ενωσιακούς παραγωγούς γεωργικών προϊόντων εάν αυξηθούν οι εισαγωγές από την Ουκρανία. Είναι σκόπιμο να θεσπιστεί μηχανισμός αυτόματης διασφάλισης για </w:t>
            </w:r>
            <w:r w:rsidRPr="00ED01D2">
              <w:rPr>
                <w:b/>
                <w:i/>
              </w:rPr>
              <w:t xml:space="preserve">το σιτάρι, το κριθάρι, τη </w:t>
            </w:r>
            <w:proofErr w:type="spellStart"/>
            <w:r w:rsidRPr="00ED01D2">
              <w:rPr>
                <w:b/>
                <w:i/>
              </w:rPr>
              <w:t>βρώμη</w:t>
            </w:r>
            <w:proofErr w:type="spellEnd"/>
            <w:r w:rsidRPr="00ED01D2">
              <w:rPr>
                <w:b/>
                <w:i/>
              </w:rPr>
              <w:t xml:space="preserve">, τον αραβόσιτο, </w:t>
            </w:r>
            <w:r w:rsidRPr="00ED01D2">
              <w:t>τα αυγά, τα πουλερικά</w:t>
            </w:r>
            <w:r w:rsidRPr="00ED01D2">
              <w:rPr>
                <w:b/>
                <w:i/>
              </w:rPr>
              <w:t>,</w:t>
            </w:r>
            <w:r w:rsidRPr="00ED01D2">
              <w:t xml:space="preserve"> τα προϊόντα ζάχαρης</w:t>
            </w:r>
            <w:r w:rsidRPr="00ED01D2">
              <w:rPr>
                <w:b/>
                <w:i/>
              </w:rPr>
              <w:t xml:space="preserve"> και μελιού</w:t>
            </w:r>
            <w:r w:rsidRPr="00ED01D2">
              <w:t>, ο οποίος θα ενεργοποιείται εάν οι ποσότητες που εισάγονται δυνάμει του παρόντος κανονισμού υπερβαίνουν τον αριθμητικό μέσο όρο των ποσοτήτων</w:t>
            </w:r>
            <w:r w:rsidRPr="00ED01D2">
              <w:rPr>
                <w:b/>
                <w:i/>
              </w:rPr>
              <w:t xml:space="preserve"> του 2021,</w:t>
            </w:r>
            <w:r w:rsidRPr="00ED01D2">
              <w:t xml:space="preserve"> του 2022 και του 2023.</w:t>
            </w:r>
          </w:p>
        </w:tc>
      </w:tr>
    </w:tbl>
    <w:p w:rsidR="00100B89" w:rsidRDefault="00100B89" w:rsidP="00100B89"/>
    <w:p w:rsidR="00100B89" w:rsidRPr="00ED01D2" w:rsidRDefault="00100B89" w:rsidP="00100B89">
      <w:pPr>
        <w:pStyle w:val="AmNumberTabs"/>
      </w:pPr>
      <w:r w:rsidRPr="00ED01D2">
        <w:t>Τροπολογί</w:t>
      </w:r>
      <w:r>
        <w:t>ες</w:t>
      </w:r>
      <w:r w:rsidRPr="00ED01D2">
        <w:tab/>
      </w:r>
      <w:r w:rsidRPr="00ED01D2">
        <w:tab/>
        <w:t>24</w:t>
      </w:r>
      <w:r>
        <w:t xml:space="preserve"> και 28</w:t>
      </w:r>
    </w:p>
    <w:p w:rsidR="00100B89" w:rsidRPr="00ED01D2" w:rsidRDefault="00100B89" w:rsidP="00100B89">
      <w:pPr>
        <w:pStyle w:val="NormalBold12b"/>
      </w:pPr>
      <w:r w:rsidRPr="00ED01D2">
        <w:t>Πρόταση κανονισμού</w:t>
      </w:r>
    </w:p>
    <w:p w:rsidR="00100B89" w:rsidRPr="00ED01D2" w:rsidRDefault="00100B89" w:rsidP="00100B89">
      <w:pPr>
        <w:pStyle w:val="NormalBold"/>
      </w:pPr>
      <w:r w:rsidRPr="00ED01D2">
        <w:t>Άρθρο 4 – παράγραφος 7</w:t>
      </w:r>
    </w:p>
    <w:p w:rsidR="00100B89" w:rsidRPr="00ED01D2" w:rsidRDefault="00100B89" w:rsidP="00100B89"/>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00B89" w:rsidRPr="00ED01D2" w:rsidTr="007C224C">
        <w:trPr>
          <w:jc w:val="center"/>
        </w:trPr>
        <w:tc>
          <w:tcPr>
            <w:tcW w:w="9752" w:type="dxa"/>
            <w:gridSpan w:val="2"/>
          </w:tcPr>
          <w:p w:rsidR="00100B89" w:rsidRPr="00ED01D2" w:rsidRDefault="00100B89" w:rsidP="007C224C">
            <w:pPr>
              <w:keepNext/>
            </w:pPr>
          </w:p>
        </w:tc>
      </w:tr>
      <w:tr w:rsidR="00100B89" w:rsidRPr="00ED01D2" w:rsidTr="007C224C">
        <w:trPr>
          <w:jc w:val="center"/>
        </w:trPr>
        <w:tc>
          <w:tcPr>
            <w:tcW w:w="4876" w:type="dxa"/>
          </w:tcPr>
          <w:p w:rsidR="00100B89" w:rsidRPr="00ED01D2" w:rsidRDefault="00100B89" w:rsidP="007C224C">
            <w:pPr>
              <w:pStyle w:val="AmColumnHeading"/>
              <w:keepNext/>
            </w:pPr>
            <w:r w:rsidRPr="00ED01D2">
              <w:t>Κείμενο που προτείνει η Επιτροπή</w:t>
            </w:r>
          </w:p>
        </w:tc>
        <w:tc>
          <w:tcPr>
            <w:tcW w:w="4876" w:type="dxa"/>
          </w:tcPr>
          <w:p w:rsidR="00100B89" w:rsidRPr="00ED01D2" w:rsidRDefault="00100B89" w:rsidP="007C224C">
            <w:pPr>
              <w:pStyle w:val="AmColumnHeading"/>
              <w:keepNext/>
            </w:pPr>
            <w:r w:rsidRPr="00ED01D2">
              <w:t>Τροπολογία</w:t>
            </w:r>
          </w:p>
        </w:tc>
      </w:tr>
      <w:tr w:rsidR="00100B89" w:rsidRPr="00ED01D2" w:rsidTr="007C224C">
        <w:trPr>
          <w:jc w:val="center"/>
        </w:trPr>
        <w:tc>
          <w:tcPr>
            <w:tcW w:w="4876" w:type="dxa"/>
          </w:tcPr>
          <w:p w:rsidR="00100B89" w:rsidRPr="00ED01D2" w:rsidRDefault="00100B89" w:rsidP="007C224C">
            <w:pPr>
              <w:pStyle w:val="Normal6a"/>
              <w:rPr>
                <w:szCs w:val="24"/>
              </w:rPr>
            </w:pPr>
            <w:r w:rsidRPr="00ED01D2">
              <w:t>7.</w:t>
            </w:r>
            <w:r>
              <w:tab/>
            </w:r>
            <w:r w:rsidRPr="00ED01D2">
              <w:t xml:space="preserve">Εάν, κατά την περίοδο από την 6η Ιουνίου έως τις 31 Δεκεμβρίου 2024, οι σωρευτικοί όγκοι εισαγωγών αυγών, πουλερικών ή ζάχαρης από την 1η Ιανουαρίου 2024 φτάσουν τον αντίστοιχο αριθμητικό μέσο όρο των όγκων εισαγωγών που καταγράφηκαν το 2022 και το 2023, η Επιτροπή, εντός </w:t>
            </w:r>
            <w:r w:rsidRPr="00ED01D2">
              <w:rPr>
                <w:b/>
                <w:i/>
              </w:rPr>
              <w:t>21</w:t>
            </w:r>
            <w:r w:rsidRPr="00ED01D2">
              <w:t xml:space="preserve"> ημερών και αφού ενημερώσει την επιτροπή διασφαλίσεων που συστάθηκε με το άρθρο 3 παράγραφος 1 του κανονισμού (ΕΕ) 2015/478: </w:t>
            </w:r>
          </w:p>
        </w:tc>
        <w:tc>
          <w:tcPr>
            <w:tcW w:w="4876" w:type="dxa"/>
          </w:tcPr>
          <w:p w:rsidR="00100B89" w:rsidRPr="00ED01D2" w:rsidRDefault="00100B89" w:rsidP="00100B89">
            <w:pPr>
              <w:pStyle w:val="Normal6a"/>
              <w:rPr>
                <w:szCs w:val="24"/>
              </w:rPr>
            </w:pPr>
            <w:r w:rsidRPr="00ED01D2">
              <w:t>7.</w:t>
            </w:r>
            <w:r>
              <w:tab/>
            </w:r>
            <w:r w:rsidRPr="00ED01D2">
              <w:t xml:space="preserve">Εάν, κατά την περίοδο από την 6η Ιουνίου έως τις 31 Δεκεμβρίου 2024, οι σωρευτικοί όγκοι εισαγωγών </w:t>
            </w:r>
            <w:r w:rsidRPr="00ED01D2">
              <w:rPr>
                <w:b/>
                <w:i/>
              </w:rPr>
              <w:t xml:space="preserve">μαλακού σιταριού, σιτάλευρου και συσσωματωμάτων, κριθαριού, κριθάλευρου και συσσωματωμάτων, </w:t>
            </w:r>
            <w:proofErr w:type="spellStart"/>
            <w:r w:rsidRPr="00ED01D2">
              <w:rPr>
                <w:b/>
                <w:i/>
              </w:rPr>
              <w:t>βρώμης</w:t>
            </w:r>
            <w:proofErr w:type="spellEnd"/>
            <w:r w:rsidRPr="00ED01D2">
              <w:rPr>
                <w:b/>
                <w:i/>
              </w:rPr>
              <w:t xml:space="preserve">, αραβόσιτου, αραβοσιτάλευρου και συσσωματωμάτων, πλιγουριού και σιμιγδαλιού από κριθάρι, σπόρων δημητριακών αλλιώς κατεργασμένων, μελιού, </w:t>
            </w:r>
            <w:r w:rsidRPr="00ED01D2">
              <w:t xml:space="preserve">αυγών, πουλερικών ή ζάχαρης από την 1η Ιανουαρίου 2024 φτάσουν τον αντίστοιχο αριθμητικό μέσο όρο των όγκων εισαγωγών που καταγράφηκαν το </w:t>
            </w:r>
            <w:r w:rsidRPr="00ED01D2">
              <w:rPr>
                <w:b/>
                <w:i/>
              </w:rPr>
              <w:t xml:space="preserve">2021, το </w:t>
            </w:r>
            <w:r w:rsidRPr="00ED01D2">
              <w:t xml:space="preserve">2022 και το 2023, η Επιτροπή, εντός </w:t>
            </w:r>
            <w:r w:rsidRPr="00ED01D2">
              <w:rPr>
                <w:b/>
                <w:i/>
              </w:rPr>
              <w:t>14</w:t>
            </w:r>
            <w:r w:rsidRPr="00ED01D2">
              <w:t xml:space="preserve"> ημερών και αφού ενημερώσει την επιτροπή διασφαλίσεων που συστάθηκε με το άρθρο 3 παράγραφος 1 του κανονισμού (ΕΕ) 2015/478: </w:t>
            </w:r>
          </w:p>
        </w:tc>
      </w:tr>
      <w:tr w:rsidR="00100B89" w:rsidRPr="00ED01D2" w:rsidTr="007C224C">
        <w:trPr>
          <w:jc w:val="center"/>
        </w:trPr>
        <w:tc>
          <w:tcPr>
            <w:tcW w:w="4876" w:type="dxa"/>
          </w:tcPr>
          <w:p w:rsidR="00100B89" w:rsidRPr="00ED01D2" w:rsidRDefault="00100B89" w:rsidP="00100B89">
            <w:pPr>
              <w:pStyle w:val="Normal6a"/>
              <w:rPr>
                <w:szCs w:val="24"/>
              </w:rPr>
            </w:pPr>
            <w:r w:rsidRPr="00ED01D2">
              <w:t>α)</w:t>
            </w:r>
            <w:r>
              <w:tab/>
            </w:r>
            <w:r w:rsidRPr="00ED01D2">
              <w:t xml:space="preserve">επαναφέρει για το εν λόγω προϊόν την αντίστοιχη δασμολογική ποσόστωση που έχει ανασταλεί δυνάμει του άρθρου 1 </w:t>
            </w:r>
            <w:r w:rsidRPr="00ED01D2">
              <w:lastRenderedPageBreak/>
              <w:t xml:space="preserve">παράγραφος 1 στοιχείο β), έως τις 31 Δεκεμβρίου 2024· και </w:t>
            </w:r>
          </w:p>
        </w:tc>
        <w:tc>
          <w:tcPr>
            <w:tcW w:w="4876" w:type="dxa"/>
          </w:tcPr>
          <w:p w:rsidR="00100B89" w:rsidRPr="00ED01D2" w:rsidRDefault="00100B89" w:rsidP="00100B89">
            <w:pPr>
              <w:pStyle w:val="Normal6a"/>
              <w:rPr>
                <w:szCs w:val="24"/>
              </w:rPr>
            </w:pPr>
            <w:r w:rsidRPr="00ED01D2">
              <w:lastRenderedPageBreak/>
              <w:t>α)</w:t>
            </w:r>
            <w:r>
              <w:tab/>
            </w:r>
            <w:r w:rsidRPr="00ED01D2">
              <w:t xml:space="preserve">επαναφέρει για το εν λόγω προϊόν την αντίστοιχη δασμολογική ποσόστωση που έχει ανασταλεί δυνάμει του άρθρου 1 </w:t>
            </w:r>
            <w:r w:rsidRPr="00ED01D2">
              <w:lastRenderedPageBreak/>
              <w:t>παράγραφος 1 στοιχείο β), έως τις 31 Δεκεμβρίου 2024· και</w:t>
            </w:r>
          </w:p>
        </w:tc>
      </w:tr>
      <w:tr w:rsidR="00100B89" w:rsidRPr="00ED01D2" w:rsidTr="007C224C">
        <w:trPr>
          <w:jc w:val="center"/>
        </w:trPr>
        <w:tc>
          <w:tcPr>
            <w:tcW w:w="4876" w:type="dxa"/>
          </w:tcPr>
          <w:p w:rsidR="00100B89" w:rsidRPr="00ED01D2" w:rsidRDefault="00100B89" w:rsidP="007C224C">
            <w:pPr>
              <w:pStyle w:val="Normal6a"/>
              <w:rPr>
                <w:szCs w:val="24"/>
              </w:rPr>
            </w:pPr>
            <w:r>
              <w:lastRenderedPageBreak/>
              <w:t>β)</w:t>
            </w:r>
            <w:r>
              <w:tab/>
            </w:r>
            <w:r w:rsidRPr="00ED01D2">
              <w:t xml:space="preserve">θεσπίζει, από την 1η Ιανουαρίου 2025, είτε δασμολογική ποσόστωση ίση με τα πέντε δωδέκατα του εν λόγω αριθμητικού μέσου όρου είτε την αντίστοιχη δασμολογική ποσόστωση που αναστέλλεται βάσει του άρθρου 1 παράγραφος 1 στοιχείο β), ανάλογα με το ποια τιμή είναι υψηλότερη. </w:t>
            </w:r>
          </w:p>
        </w:tc>
        <w:tc>
          <w:tcPr>
            <w:tcW w:w="4876" w:type="dxa"/>
          </w:tcPr>
          <w:p w:rsidR="00100B89" w:rsidRPr="00ED01D2" w:rsidRDefault="00100B89" w:rsidP="00100B89">
            <w:pPr>
              <w:pStyle w:val="Normal6a"/>
              <w:rPr>
                <w:szCs w:val="24"/>
              </w:rPr>
            </w:pPr>
            <w:r w:rsidRPr="00ED01D2">
              <w:t>β)</w:t>
            </w:r>
            <w:r>
              <w:tab/>
            </w:r>
            <w:r w:rsidRPr="00ED01D2">
              <w:t>θεσπίζει, από την 1η Ιανουαρίου 2025, είτε δασμολογική ποσόστωση ίση με τα πέντε δωδέκατα του εν λόγω αριθμητικού μέσου όρου είτε την αντίστοιχη δασμολογική ποσόστωση που αναστέλλεται βάσει του άρθρου 1 παράγραφος 1 στοιχείο β), ανάλογα με το ποια τιμή είναι υψηλότερη.</w:t>
            </w:r>
          </w:p>
        </w:tc>
      </w:tr>
      <w:tr w:rsidR="00100B89" w:rsidRPr="00ED01D2" w:rsidTr="007C224C">
        <w:trPr>
          <w:jc w:val="center"/>
        </w:trPr>
        <w:tc>
          <w:tcPr>
            <w:tcW w:w="4876" w:type="dxa"/>
          </w:tcPr>
          <w:p w:rsidR="00100B89" w:rsidRPr="00ED01D2" w:rsidRDefault="00100B89" w:rsidP="007C224C">
            <w:pPr>
              <w:pStyle w:val="Normal6a"/>
              <w:rPr>
                <w:szCs w:val="24"/>
              </w:rPr>
            </w:pPr>
            <w:r w:rsidRPr="00ED01D2">
              <w:t xml:space="preserve">Εάν, κατά την περίοδο από την 1η Ιανουαρίου έως τις 5 Ιουνίου 2025, οι σωρευτικοί όγκοι εισαγωγών αυγών, πουλερικών ή ζάχαρης για την περίοδο από την 1η Ιανουαρίου 2025 φτάσουν τα πέντε δωδέκατα του αντίστοιχου αριθμητικού μέσου όρου των όγκων εισαγωγών που καταγράφηκαν για το 2022 και το 2023, η Επιτροπή, εντός </w:t>
            </w:r>
            <w:r w:rsidRPr="00ED01D2">
              <w:rPr>
                <w:b/>
                <w:i/>
              </w:rPr>
              <w:t>21</w:t>
            </w:r>
            <w:r w:rsidRPr="00ED01D2">
              <w:t xml:space="preserve"> ημερών και αφού ενημερώσει την επιτροπή διασφαλίσεων, επαναφέρει για το εν λόγω προϊόν την αντίστοιχη δασμολογική ποσόστωση που έχει ανασταλεί δυνάμει του άρθρου 1 παράγραφος 1 στοιχείο β). </w:t>
            </w:r>
          </w:p>
        </w:tc>
        <w:tc>
          <w:tcPr>
            <w:tcW w:w="4876" w:type="dxa"/>
          </w:tcPr>
          <w:p w:rsidR="00100B89" w:rsidRPr="00ED01D2" w:rsidRDefault="00100B89" w:rsidP="007C224C">
            <w:pPr>
              <w:pStyle w:val="Normal6a"/>
              <w:rPr>
                <w:szCs w:val="24"/>
              </w:rPr>
            </w:pPr>
            <w:r w:rsidRPr="00ED01D2">
              <w:t xml:space="preserve">Εάν, κατά την περίοδο από την 1η Ιανουαρίου έως τις 5 Ιουνίου 2025, οι σωρευτικοί όγκοι εισαγωγών </w:t>
            </w:r>
            <w:r w:rsidRPr="00ED01D2">
              <w:rPr>
                <w:b/>
                <w:i/>
              </w:rPr>
              <w:t xml:space="preserve">μαλακού σιταριού, σιτάλευρου και συσσωματωμάτων, κριθαριού, κριθάλευρου και συσσωματωμάτων, </w:t>
            </w:r>
            <w:proofErr w:type="spellStart"/>
            <w:r w:rsidRPr="00ED01D2">
              <w:rPr>
                <w:b/>
                <w:i/>
              </w:rPr>
              <w:t>βρώμης</w:t>
            </w:r>
            <w:proofErr w:type="spellEnd"/>
            <w:r w:rsidRPr="00ED01D2">
              <w:rPr>
                <w:b/>
                <w:i/>
              </w:rPr>
              <w:t xml:space="preserve">, αραβόσιτου, αραβοσιτάλευρου και συσσωματωμάτων, πλιγουριού και σιμιγδαλιού από κριθάρι, σπόρων δημητριακών αλλιώς κατεργασμένων, μελιού, </w:t>
            </w:r>
            <w:r w:rsidRPr="00ED01D2">
              <w:t xml:space="preserve">αυγών, πουλερικών ή ζάχαρης για την περίοδο από την 1η Ιανουαρίου 2025 φτάσουν τα πέντε δωδέκατα του αντίστοιχου αριθμητικού μέσου όρου των όγκων εισαγωγών που καταγράφηκαν για το </w:t>
            </w:r>
            <w:r w:rsidRPr="00ED01D2">
              <w:rPr>
                <w:b/>
                <w:i/>
              </w:rPr>
              <w:t xml:space="preserve">2021, το </w:t>
            </w:r>
            <w:r w:rsidRPr="00ED01D2">
              <w:t xml:space="preserve">2022 και το 2023, η Επιτροπή, εντός </w:t>
            </w:r>
            <w:r w:rsidRPr="00ED01D2">
              <w:rPr>
                <w:b/>
                <w:i/>
              </w:rPr>
              <w:t>14</w:t>
            </w:r>
            <w:r w:rsidRPr="00ED01D2">
              <w:t xml:space="preserve"> ημερών και αφού ενημερώσει την επιτροπή διασφαλίσεων, επαναφέρει για το εν λόγω προϊόν την αντίστοιχη δασμολογική ποσόστωση που έχει ανασταλεί δυνάμει του άρθρου 1 παράγραφος 1 στοιχείο β). </w:t>
            </w:r>
          </w:p>
        </w:tc>
      </w:tr>
      <w:tr w:rsidR="00100B89" w:rsidRPr="00ED01D2" w:rsidTr="007C224C">
        <w:trPr>
          <w:jc w:val="center"/>
        </w:trPr>
        <w:tc>
          <w:tcPr>
            <w:tcW w:w="4876" w:type="dxa"/>
          </w:tcPr>
          <w:p w:rsidR="00100B89" w:rsidRPr="00ED01D2" w:rsidRDefault="00100B89" w:rsidP="007C224C">
            <w:pPr>
              <w:pStyle w:val="Normal6a"/>
              <w:rPr>
                <w:szCs w:val="24"/>
              </w:rPr>
            </w:pPr>
            <w:r w:rsidRPr="00ED01D2">
              <w:t xml:space="preserve">Για τους σκοπούς της παρούσας παραγράφου, οι όροι αυγά, πουλερικά και ζάχαρη αναφέρονται σε όλα τα προϊόντα που καλύπτονται από τις δασμολογικές ποσοστώσεις του προσαρτήματος του παραρτήματος I-Α της συμφωνίας σύνδεσης για τα αυγά και τις </w:t>
            </w:r>
            <w:proofErr w:type="spellStart"/>
            <w:r w:rsidRPr="00ED01D2">
              <w:t>αλβουμίνες</w:t>
            </w:r>
            <w:proofErr w:type="spellEnd"/>
            <w:r w:rsidRPr="00ED01D2">
              <w:t xml:space="preserve">, το κρέας πουλερικών, τα παρασκευάσματα κρέατος πουλερικών και τα ζάχαρα αντίστοιχα, και ο αριθμητικός μέσος όρος υπολογίζεται διαιρώντας το άθροισμα των όγκων εισαγωγών το 2022 και το 2023 διά </w:t>
            </w:r>
            <w:r w:rsidRPr="00ED01D2">
              <w:rPr>
                <w:b/>
                <w:i/>
              </w:rPr>
              <w:t>δύο</w:t>
            </w:r>
            <w:r w:rsidRPr="00ED01D2">
              <w:t>.</w:t>
            </w:r>
          </w:p>
        </w:tc>
        <w:tc>
          <w:tcPr>
            <w:tcW w:w="4876" w:type="dxa"/>
          </w:tcPr>
          <w:p w:rsidR="00100B89" w:rsidRPr="00ED01D2" w:rsidRDefault="00100B89" w:rsidP="007C224C">
            <w:pPr>
              <w:pStyle w:val="Normal6a"/>
              <w:rPr>
                <w:szCs w:val="24"/>
              </w:rPr>
            </w:pPr>
            <w:r w:rsidRPr="00ED01D2">
              <w:t xml:space="preserve">Για τους σκοπούς της παρούσας παραγράφου, οι όροι </w:t>
            </w:r>
            <w:r w:rsidRPr="00ED01D2">
              <w:rPr>
                <w:b/>
                <w:i/>
              </w:rPr>
              <w:t xml:space="preserve">μαλακό σιτάρι, σιτάλευρο και συσσωματώματα, κριθάρι, κριθάλευρο και συσσωματώματα, </w:t>
            </w:r>
            <w:proofErr w:type="spellStart"/>
            <w:r w:rsidRPr="00ED01D2">
              <w:rPr>
                <w:b/>
                <w:i/>
              </w:rPr>
              <w:t>βρώμη</w:t>
            </w:r>
            <w:proofErr w:type="spellEnd"/>
            <w:r w:rsidRPr="00ED01D2">
              <w:rPr>
                <w:b/>
                <w:i/>
              </w:rPr>
              <w:t xml:space="preserve">, αραβόσιτος, αραβοσιτάλευρο και συσσωματώματα, πλιγούρι και σιμιγδάλι από κριθάρι, σπόροι δημητριακών αλλιώς κατεργασμένοι, μέλι, </w:t>
            </w:r>
            <w:r w:rsidRPr="00ED01D2">
              <w:t xml:space="preserve">αυγά, πουλερικά και ζάχαρη αναφέρονται σε όλα τα προϊόντα που καλύπτονται από τις δασμολογικές ποσοστώσεις του προσαρτήματος του παραρτήματος I-Α της συμφωνίας σύνδεσης για </w:t>
            </w:r>
            <w:r w:rsidRPr="00ED01D2">
              <w:rPr>
                <w:b/>
                <w:i/>
              </w:rPr>
              <w:t xml:space="preserve">το μαλακό σιτάρι, το σιτάλευρο και τα συσσωματώματα, το κριθάρι, το κριθάλευρο και τα συσσωματώματα, τη </w:t>
            </w:r>
            <w:proofErr w:type="spellStart"/>
            <w:r w:rsidRPr="00ED01D2">
              <w:rPr>
                <w:b/>
                <w:i/>
              </w:rPr>
              <w:t>βρώμη</w:t>
            </w:r>
            <w:proofErr w:type="spellEnd"/>
            <w:r w:rsidRPr="00ED01D2">
              <w:rPr>
                <w:b/>
                <w:i/>
              </w:rPr>
              <w:t xml:space="preserve">, τον αραβόσιτο, τα αραβοσιτάλευρο και τα </w:t>
            </w:r>
            <w:r w:rsidRPr="00ED01D2">
              <w:rPr>
                <w:b/>
                <w:i/>
              </w:rPr>
              <w:lastRenderedPageBreak/>
              <w:t xml:space="preserve">συσσωματώματα, το πλιγούρι και το σιμιγδάλι από κριθάρι, τους σπόρους δημητριακών αλλιώς κατεργασμένους, το μέλι, </w:t>
            </w:r>
            <w:r w:rsidRPr="00ED01D2">
              <w:t xml:space="preserve">τα αυγά και τις </w:t>
            </w:r>
            <w:proofErr w:type="spellStart"/>
            <w:r w:rsidRPr="00ED01D2">
              <w:t>αλβουμίνες</w:t>
            </w:r>
            <w:proofErr w:type="spellEnd"/>
            <w:r w:rsidRPr="00ED01D2">
              <w:t xml:space="preserve">, το κρέας πουλερικών, τα παρασκευάσματα κρέατος πουλερικών και τα ζάχαρα αντίστοιχα, και ο αριθμητικός μέσος όρος υπολογίζεται διαιρώντας το άθροισμα των όγκων εισαγωγών το </w:t>
            </w:r>
            <w:r w:rsidRPr="00ED01D2">
              <w:rPr>
                <w:b/>
                <w:i/>
              </w:rPr>
              <w:t xml:space="preserve">2021, το </w:t>
            </w:r>
            <w:r w:rsidRPr="00ED01D2">
              <w:t xml:space="preserve">2022 και το 2023 διά </w:t>
            </w:r>
            <w:r w:rsidRPr="00ED01D2">
              <w:rPr>
                <w:b/>
                <w:i/>
              </w:rPr>
              <w:t>τρία</w:t>
            </w:r>
            <w:r w:rsidRPr="00ED01D2">
              <w:t>.</w:t>
            </w:r>
          </w:p>
        </w:tc>
      </w:tr>
    </w:tbl>
    <w:p w:rsidR="00100B89" w:rsidRDefault="00100B89" w:rsidP="00100B89"/>
    <w:p w:rsidR="00100B89" w:rsidRPr="008F38A4" w:rsidRDefault="00100B89" w:rsidP="00100B89"/>
    <w:sectPr w:rsidR="00100B89" w:rsidRPr="008F38A4" w:rsidSect="008F38A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0CCA" w:rsidRPr="008F38A4" w:rsidRDefault="00800CCA">
      <w:r w:rsidRPr="008F38A4">
        <w:separator/>
      </w:r>
    </w:p>
  </w:endnote>
  <w:endnote w:type="continuationSeparator" w:id="0">
    <w:p w:rsidR="00800CCA" w:rsidRPr="008F38A4" w:rsidRDefault="00800CCA">
      <w:r w:rsidRPr="008F38A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F38A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F38A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F38A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0CCA" w:rsidRPr="008F38A4" w:rsidRDefault="00800CCA">
      <w:r w:rsidRPr="008F38A4">
        <w:separator/>
      </w:r>
    </w:p>
  </w:footnote>
  <w:footnote w:type="continuationSeparator" w:id="0">
    <w:p w:rsidR="00800CCA" w:rsidRPr="008F38A4" w:rsidRDefault="00800CCA">
      <w:r w:rsidRPr="008F38A4">
        <w:continuationSeparator/>
      </w:r>
    </w:p>
  </w:footnote>
  <w:footnote w:id="1">
    <w:p w:rsidR="00D208A3" w:rsidRPr="00100B89" w:rsidRDefault="00D208A3" w:rsidP="00100B89">
      <w:pPr>
        <w:pStyle w:val="FootnoteText"/>
        <w:ind w:left="851" w:hanging="851"/>
        <w:rPr>
          <w:lang w:val="el-GR"/>
        </w:rPr>
      </w:pPr>
      <w:r>
        <w:rPr>
          <w:rStyle w:val="FootnoteReference"/>
        </w:rPr>
        <w:footnoteRef/>
      </w:r>
      <w:r w:rsidRPr="00100B89">
        <w:rPr>
          <w:lang w:val="el-GR"/>
        </w:rPr>
        <w:t xml:space="preserve"> </w:t>
      </w:r>
      <w:r>
        <w:rPr>
          <w:lang w:val="el-GR"/>
        </w:rPr>
        <w:tab/>
      </w:r>
      <w:r w:rsidRPr="005C2A03">
        <w:rPr>
          <w:sz w:val="24"/>
          <w:szCs w:val="24"/>
          <w:lang w:val="el-GR"/>
        </w:rPr>
        <w:t>Το θέμα αναπέμφθηκε για διοργανικές διαπραγματεύσεις στην αρμόδια επιτροπή, σύμφωνα με το άρθρο 59 παράγραφος 4 τέταρτο εδάφιο του Κανονισμού (Α</w:t>
      </w:r>
      <w:r>
        <w:rPr>
          <w:sz w:val="24"/>
          <w:szCs w:val="24"/>
          <w:lang w:val="el-GR"/>
        </w:rPr>
        <w:t>9</w:t>
      </w:r>
      <w:r w:rsidRPr="005C2A03">
        <w:rPr>
          <w:sz w:val="24"/>
          <w:szCs w:val="24"/>
          <w:lang w:val="el-GR"/>
        </w:rPr>
        <w:t>-0</w:t>
      </w:r>
      <w:r>
        <w:rPr>
          <w:sz w:val="24"/>
          <w:szCs w:val="24"/>
          <w:lang w:val="el-GR"/>
        </w:rPr>
        <w:t>077</w:t>
      </w:r>
      <w:r w:rsidRPr="005C2A03">
        <w:rPr>
          <w:sz w:val="24"/>
          <w:szCs w:val="24"/>
          <w:lang w:val="el-GR"/>
        </w:rPr>
        <w:t>/20</w:t>
      </w:r>
      <w:r>
        <w:rPr>
          <w:sz w:val="24"/>
          <w:szCs w:val="24"/>
          <w:lang w:val="el-GR"/>
        </w:rPr>
        <w:t>24</w:t>
      </w:r>
      <w:r w:rsidRPr="005C2A03">
        <w:rPr>
          <w:sz w:val="24"/>
          <w:szCs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F38A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F38A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F38A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7/2024"/>
    <w:docVar w:name="dvlangue" w:val="EL"/>
    <w:docVar w:name="dvnumam" w:val="26"/>
    <w:docVar w:name="dvpe" w:val="758.861"/>
    <w:docVar w:name="dvrapporteur" w:val="Εισηγήτρια: "/>
    <w:docVar w:name="dvtitre" w:val="Νομοθετικό ψήφισμα του Ευρωπαϊκού Κοινοβουλίου σχετικά με την πρόταση κανονισμού του Ευρωπαϊκού Κοινοβουλίου και του Συμβουλίου για τα προσωρινά μέτρα ελευθέρωσης του εμπορίου, τα οποία συμπληρώνουν τις εμπορικές παραχωρήσεις που εφαρμόζονται στα ουκρανικά προϊόντα βάσει της συμφωνίας σύνδεσης μεταξύ της Ευρωπαϊκής Ένωσης και της Ευρωπαϊκής Κοινότητας Ατομικής Ενέργειας και των κρατών μελών τους, αφενός, και της Ουκρανίας, αφετέρου(COM(2024)0050 – C9-0021/2024 – 2024/0028(COD))"/>
  </w:docVars>
  <w:rsids>
    <w:rsidRoot w:val="00800CCA"/>
    <w:rsid w:val="00002272"/>
    <w:rsid w:val="00064002"/>
    <w:rsid w:val="000677B9"/>
    <w:rsid w:val="000831BA"/>
    <w:rsid w:val="000A42CC"/>
    <w:rsid w:val="000D5DA7"/>
    <w:rsid w:val="000E7DD9"/>
    <w:rsid w:val="0010095E"/>
    <w:rsid w:val="00100B89"/>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D53D6"/>
    <w:rsid w:val="0050519A"/>
    <w:rsid w:val="005072A1"/>
    <w:rsid w:val="00514517"/>
    <w:rsid w:val="00545827"/>
    <w:rsid w:val="00560270"/>
    <w:rsid w:val="005655BB"/>
    <w:rsid w:val="00571B5C"/>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00CCA"/>
    <w:rsid w:val="00817416"/>
    <w:rsid w:val="00842779"/>
    <w:rsid w:val="00865F67"/>
    <w:rsid w:val="00881A7B"/>
    <w:rsid w:val="008840E5"/>
    <w:rsid w:val="00887B3E"/>
    <w:rsid w:val="008C2AC6"/>
    <w:rsid w:val="008F38A4"/>
    <w:rsid w:val="00930C23"/>
    <w:rsid w:val="0093193B"/>
    <w:rsid w:val="009509D8"/>
    <w:rsid w:val="00950B64"/>
    <w:rsid w:val="00981893"/>
    <w:rsid w:val="009F7485"/>
    <w:rsid w:val="00A1687D"/>
    <w:rsid w:val="00A36D98"/>
    <w:rsid w:val="00A43E52"/>
    <w:rsid w:val="00A4678D"/>
    <w:rsid w:val="00A778C7"/>
    <w:rsid w:val="00AB441E"/>
    <w:rsid w:val="00AB6293"/>
    <w:rsid w:val="00AE0928"/>
    <w:rsid w:val="00AF3B82"/>
    <w:rsid w:val="00B008B6"/>
    <w:rsid w:val="00B12E95"/>
    <w:rsid w:val="00B22876"/>
    <w:rsid w:val="00B558F0"/>
    <w:rsid w:val="00BD48FE"/>
    <w:rsid w:val="00BD7BD8"/>
    <w:rsid w:val="00BE6ADC"/>
    <w:rsid w:val="00C05BFE"/>
    <w:rsid w:val="00C23CD4"/>
    <w:rsid w:val="00C61C0C"/>
    <w:rsid w:val="00C941CB"/>
    <w:rsid w:val="00CC2357"/>
    <w:rsid w:val="00CF071A"/>
    <w:rsid w:val="00D058B8"/>
    <w:rsid w:val="00D208A3"/>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8FFE85"/>
  <w15:chartTrackingRefBased/>
  <w15:docId w15:val="{09DC1A73-87B6-4A90-A79B-7A8C0EBEE8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D53D6"/>
    <w:pPr>
      <w:spacing w:before="480" w:after="240"/>
    </w:pPr>
  </w:style>
  <w:style w:type="paragraph" w:customStyle="1" w:styleId="NormalBold">
    <w:name w:val="NormalBold"/>
    <w:basedOn w:val="Normal"/>
    <w:link w:val="NormalBoldChar"/>
    <w:rsid w:val="004D53D6"/>
    <w:rPr>
      <w:b/>
    </w:rPr>
  </w:style>
  <w:style w:type="paragraph" w:customStyle="1" w:styleId="NormalHanging12a">
    <w:name w:val="NormalHanging12a"/>
    <w:basedOn w:val="Normal"/>
    <w:rsid w:val="004D53D6"/>
    <w:pPr>
      <w:spacing w:after="240"/>
      <w:ind w:left="567" w:hanging="567"/>
    </w:pPr>
  </w:style>
  <w:style w:type="character" w:customStyle="1" w:styleId="NormalBoldChar">
    <w:name w:val="NormalBold Char"/>
    <w:basedOn w:val="DefaultParagraphFont"/>
    <w:link w:val="NormalBold"/>
    <w:locked/>
    <w:rsid w:val="004D53D6"/>
    <w:rPr>
      <w:b/>
      <w:sz w:val="24"/>
      <w:lang w:val="el-GR"/>
    </w:rPr>
  </w:style>
  <w:style w:type="paragraph" w:customStyle="1" w:styleId="FootnoteText1">
    <w:name w:val="Footnote Text1"/>
    <w:basedOn w:val="Normal"/>
    <w:next w:val="FootnoteText"/>
    <w:uiPriority w:val="99"/>
    <w:semiHidden/>
    <w:unhideWhenUsed/>
    <w:rsid w:val="00A36D98"/>
    <w:pPr>
      <w:widowControl/>
      <w:jc w:val="both"/>
    </w:pPr>
    <w:rPr>
      <w:sz w:val="20"/>
      <w:lang w:val="en-GB"/>
    </w:rPr>
  </w:style>
  <w:style w:type="paragraph" w:styleId="BalloonText">
    <w:name w:val="Balloon Text"/>
    <w:basedOn w:val="Normal"/>
    <w:link w:val="BalloonTextChar"/>
    <w:rsid w:val="00B008B6"/>
    <w:rPr>
      <w:rFonts w:ascii="Segoe UI" w:hAnsi="Segoe UI" w:cs="Segoe UI"/>
      <w:sz w:val="18"/>
      <w:szCs w:val="18"/>
    </w:rPr>
  </w:style>
  <w:style w:type="character" w:customStyle="1" w:styleId="BalloonTextChar">
    <w:name w:val="Balloon Text Char"/>
    <w:basedOn w:val="DefaultParagraphFont"/>
    <w:link w:val="BalloonText"/>
    <w:rsid w:val="00B008B6"/>
    <w:rPr>
      <w:rFonts w:ascii="Segoe UI" w:hAnsi="Segoe UI" w:cs="Segoe UI"/>
      <w:sz w:val="18"/>
      <w:szCs w:val="18"/>
      <w:lang w:val="el-GR"/>
    </w:rPr>
  </w:style>
  <w:style w:type="paragraph" w:customStyle="1" w:styleId="NormalCenter12a">
    <w:name w:val="NormalCenter12a"/>
    <w:basedOn w:val="Normal"/>
    <w:rsid w:val="00D208A3"/>
    <w:pPr>
      <w:spacing w:after="240"/>
      <w:jc w:val="center"/>
    </w:pPr>
  </w:style>
  <w:style w:type="paragraph" w:customStyle="1" w:styleId="AmHeadingConsam">
    <w:name w:val="AmHeadingConsam"/>
    <w:basedOn w:val="Normal"/>
    <w:next w:val="NormalCenter12a"/>
    <w:rsid w:val="00D208A3"/>
    <w:pPr>
      <w:spacing w:before="720" w:after="240"/>
      <w:jc w:val="center"/>
    </w:pPr>
  </w:style>
  <w:style w:type="paragraph" w:customStyle="1" w:styleId="Normal6a">
    <w:name w:val="Normal6a"/>
    <w:basedOn w:val="Normal"/>
    <w:rsid w:val="00100B89"/>
    <w:pPr>
      <w:spacing w:after="120"/>
    </w:pPr>
  </w:style>
  <w:style w:type="paragraph" w:customStyle="1" w:styleId="AmColumnHeading">
    <w:name w:val="AmColumnHeading"/>
    <w:basedOn w:val="Normal"/>
    <w:rsid w:val="00100B89"/>
    <w:pPr>
      <w:spacing w:after="240"/>
      <w:jc w:val="center"/>
    </w:pPr>
    <w:rPr>
      <w:i/>
    </w:rPr>
  </w:style>
  <w:style w:type="paragraph" w:customStyle="1" w:styleId="AmNumberTabs">
    <w:name w:val="AmNumberTabs"/>
    <w:basedOn w:val="Normal"/>
    <w:rsid w:val="00100B8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100B89"/>
    <w:pPr>
      <w:spacing w:before="240"/>
    </w:pPr>
    <w:rPr>
      <w:b/>
    </w:rPr>
  </w:style>
  <w:style w:type="character" w:customStyle="1" w:styleId="NormalBold12bChar">
    <w:name w:val="NormalBold12b Char"/>
    <w:basedOn w:val="DefaultParagraphFont"/>
    <w:link w:val="NormalBold12b"/>
    <w:rsid w:val="00100B89"/>
    <w:rPr>
      <w:b/>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F6714B-75B0-4A4C-95B3-11D29736DF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1119</Words>
  <Characters>6747</Characters>
  <Application>Microsoft Office Word</Application>
  <DocSecurity>0</DocSecurity>
  <Lines>132</Lines>
  <Paragraphs>40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2024-03-13T18:21:00Z</dcterms:created>
  <dcterms:modified xsi:type="dcterms:W3CDTF">2024-03-13T18:21:00Z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A9-0077/2024</vt:lpwstr>
  </property>
  <property fmtid="{D5CDD505-2E9C-101B-9397-08002B2CF9AE}" pid="4" name="&lt;Type&gt;">
    <vt:lpwstr>RR</vt:lpwstr>
  </property>
  <property fmtid="{D5CDD505-2E9C-101B-9397-08002B2CF9AE}" pid="5" name="&lt;Model&gt;">
    <vt:lpwstr/>
  </property>
</Properties>
</file>