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1339" w:rsidTr="0010095E">
        <w:trPr>
          <w:trHeight w:hRule="exact" w:val="1418"/>
        </w:trPr>
        <w:tc>
          <w:tcPr>
            <w:tcW w:w="6804" w:type="dxa"/>
            <w:shd w:val="clear" w:color="auto" w:fill="auto"/>
            <w:vAlign w:val="center"/>
          </w:tcPr>
          <w:p w:rsidR="00751A4A" w:rsidRPr="002D1339" w:rsidRDefault="00693423" w:rsidP="0010095E">
            <w:pPr>
              <w:pStyle w:val="EPName"/>
            </w:pPr>
            <w:bookmarkStart w:id="0" w:name="_GoBack"/>
            <w:bookmarkEnd w:id="0"/>
            <w:r w:rsidRPr="002D1339">
              <w:t>Parlamento europeo</w:t>
            </w:r>
          </w:p>
          <w:p w:rsidR="00751A4A" w:rsidRPr="002D1339" w:rsidRDefault="00817416" w:rsidP="00756632">
            <w:pPr>
              <w:pStyle w:val="EPTerm"/>
              <w:rPr>
                <w:rStyle w:val="HideTWBExt"/>
                <w:noProof w:val="0"/>
                <w:vanish w:val="0"/>
                <w:color w:val="auto"/>
              </w:rPr>
            </w:pPr>
            <w:r w:rsidRPr="002D1339">
              <w:t>2019-2024</w:t>
            </w:r>
          </w:p>
        </w:tc>
        <w:tc>
          <w:tcPr>
            <w:tcW w:w="2268" w:type="dxa"/>
            <w:shd w:val="clear" w:color="auto" w:fill="auto"/>
          </w:tcPr>
          <w:p w:rsidR="00751A4A" w:rsidRPr="002D1339" w:rsidRDefault="00187494" w:rsidP="0010095E">
            <w:pPr>
              <w:pStyle w:val="EPLogo"/>
            </w:pPr>
            <w:r w:rsidRPr="002D133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1339" w:rsidRDefault="00D058B8" w:rsidP="004C5D52">
      <w:pPr>
        <w:pStyle w:val="LineTop"/>
      </w:pPr>
    </w:p>
    <w:p w:rsidR="00680577" w:rsidRPr="002D1339" w:rsidRDefault="00693423" w:rsidP="00680577">
      <w:pPr>
        <w:pStyle w:val="EPBodyTA1"/>
      </w:pPr>
      <w:r w:rsidRPr="002D1339">
        <w:t>TESTI APPROVATI</w:t>
      </w:r>
    </w:p>
    <w:p w:rsidR="00D058B8" w:rsidRPr="002D1339" w:rsidRDefault="00D058B8" w:rsidP="00D058B8">
      <w:pPr>
        <w:pStyle w:val="LineBottom"/>
      </w:pPr>
    </w:p>
    <w:p w:rsidR="00693423" w:rsidRPr="002D1339" w:rsidRDefault="00693423" w:rsidP="00693423">
      <w:pPr>
        <w:pStyle w:val="ATHeading1"/>
      </w:pPr>
      <w:bookmarkStart w:id="1" w:name="TANumber"/>
      <w:r w:rsidRPr="002D1339">
        <w:t>P9_</w:t>
      </w:r>
      <w:proofErr w:type="gramStart"/>
      <w:r w:rsidRPr="002D1339">
        <w:t>TA(</w:t>
      </w:r>
      <w:proofErr w:type="gramEnd"/>
      <w:r w:rsidRPr="002D1339">
        <w:t>2024)0</w:t>
      </w:r>
      <w:r w:rsidR="00BB2874" w:rsidRPr="002D1339">
        <w:t>154</w:t>
      </w:r>
      <w:bookmarkEnd w:id="1"/>
    </w:p>
    <w:p w:rsidR="00693423" w:rsidRPr="002D1339" w:rsidRDefault="00693423" w:rsidP="00693423">
      <w:pPr>
        <w:pStyle w:val="ATHeading2"/>
      </w:pPr>
      <w:bookmarkStart w:id="2" w:name="title"/>
      <w:r w:rsidRPr="002D1339">
        <w:t xml:space="preserve">Misure temporanee di liberalizzazione degli scambi che integrano le concessioni commerciali applicabili ai prodotti ucraini a norma dell'accordo di associazione tra l'Unione europea, </w:t>
      </w:r>
      <w:proofErr w:type="spellStart"/>
      <w:r w:rsidRPr="002D1339">
        <w:t>l'Euratom</w:t>
      </w:r>
      <w:proofErr w:type="spellEnd"/>
      <w:r w:rsidRPr="002D1339">
        <w:t xml:space="preserve"> e l'Ucraina</w:t>
      </w:r>
      <w:bookmarkEnd w:id="2"/>
    </w:p>
    <w:p w:rsidR="00693423" w:rsidRPr="002D1339" w:rsidRDefault="00693423" w:rsidP="00693423">
      <w:pPr>
        <w:rPr>
          <w:i/>
          <w:vanish/>
        </w:rPr>
      </w:pPr>
      <w:r w:rsidRPr="002D1339">
        <w:rPr>
          <w:i/>
        </w:rPr>
        <w:fldChar w:fldCharType="begin"/>
      </w:r>
      <w:r w:rsidRPr="002D1339">
        <w:rPr>
          <w:i/>
        </w:rPr>
        <w:instrText xml:space="preserve"> TC"(</w:instrText>
      </w:r>
      <w:bookmarkStart w:id="3" w:name="DocNumber"/>
      <w:r w:rsidRPr="002D1339">
        <w:rPr>
          <w:i/>
        </w:rPr>
        <w:instrText>A9-0077/2024</w:instrText>
      </w:r>
      <w:bookmarkEnd w:id="3"/>
      <w:r w:rsidRPr="002D1339">
        <w:rPr>
          <w:i/>
        </w:rPr>
        <w:instrText xml:space="preserve"> - Relatrice: Sandra </w:instrText>
      </w:r>
      <w:proofErr w:type="spellStart"/>
      <w:r w:rsidRPr="002D1339">
        <w:rPr>
          <w:i/>
        </w:rPr>
        <w:instrText>Kalniete</w:instrText>
      </w:r>
      <w:proofErr w:type="spellEnd"/>
      <w:r w:rsidRPr="002D1339">
        <w:rPr>
          <w:i/>
        </w:rPr>
        <w:instrText xml:space="preserve">)"\l3 \n&gt; \* MERGEFORMAT </w:instrText>
      </w:r>
      <w:r w:rsidRPr="002D1339">
        <w:rPr>
          <w:i/>
        </w:rPr>
        <w:fldChar w:fldCharType="end"/>
      </w:r>
    </w:p>
    <w:p w:rsidR="00693423" w:rsidRPr="002D1339" w:rsidRDefault="00693423" w:rsidP="00693423">
      <w:pPr>
        <w:rPr>
          <w:vanish/>
        </w:rPr>
      </w:pPr>
      <w:bookmarkStart w:id="4" w:name="Commission"/>
      <w:r w:rsidRPr="002D1339">
        <w:rPr>
          <w:vanish/>
        </w:rPr>
        <w:t>Commissione per il commercio internazionale</w:t>
      </w:r>
      <w:bookmarkEnd w:id="4"/>
    </w:p>
    <w:p w:rsidR="00693423" w:rsidRPr="002D1339" w:rsidRDefault="00693423" w:rsidP="00693423">
      <w:pPr>
        <w:rPr>
          <w:vanish/>
        </w:rPr>
      </w:pPr>
      <w:bookmarkStart w:id="5" w:name="PE"/>
      <w:r w:rsidRPr="002D1339">
        <w:rPr>
          <w:vanish/>
        </w:rPr>
        <w:t>PE758.</w:t>
      </w:r>
      <w:r w:rsidR="00D40EB1" w:rsidRPr="002D1339">
        <w:rPr>
          <w:vanish/>
        </w:rPr>
        <w:t>86</w:t>
      </w:r>
      <w:r w:rsidRPr="002D1339">
        <w:rPr>
          <w:vanish/>
        </w:rPr>
        <w:t>1</w:t>
      </w:r>
      <w:bookmarkEnd w:id="5"/>
    </w:p>
    <w:p w:rsidR="00693423" w:rsidRPr="002D1339" w:rsidRDefault="001A75E9" w:rsidP="00693423">
      <w:pPr>
        <w:pStyle w:val="ATHeading3"/>
      </w:pPr>
      <w:bookmarkStart w:id="6" w:name="Sujet"/>
      <w:r w:rsidRPr="002D1339">
        <w:t>Emendamenti</w:t>
      </w:r>
      <w:r w:rsidR="00693423" w:rsidRPr="002D1339">
        <w:t xml:space="preserve"> del Parlamento europeo</w:t>
      </w:r>
      <w:r w:rsidRPr="002D1339">
        <w:t>, approvati il</w:t>
      </w:r>
      <w:r w:rsidR="00693423" w:rsidRPr="002D1339">
        <w:t xml:space="preserve"> </w:t>
      </w:r>
      <w:r w:rsidR="00134AB7" w:rsidRPr="002D1339">
        <w:t>13</w:t>
      </w:r>
      <w:r w:rsidR="00693423" w:rsidRPr="002D1339">
        <w:t xml:space="preserve"> marzo 2024</w:t>
      </w:r>
      <w:r w:rsidRPr="002D1339">
        <w:t>,</w:t>
      </w:r>
      <w:r w:rsidR="00693423" w:rsidRPr="002D1339">
        <w:t xml:space="preserve"> </w:t>
      </w:r>
      <w:r w:rsidRPr="002D1339">
        <w:t>a</w:t>
      </w:r>
      <w:r w:rsidR="00693423" w:rsidRPr="002D1339">
        <w:t>lla proposta di regolamento del Parlamento europeo e del Consiglio relativo a misure temporanee di liberalizzazione degli scambi che integrano le concessioni commerciali applicabili ai prodotti ucraini a norma dell'accordo di associazione tra l'Unione europea e la Comunità europea dell'energia atomica e i loro Stati membri, da una parte, e l'Ucraina, dall'altra</w:t>
      </w:r>
      <w:bookmarkEnd w:id="6"/>
      <w:r w:rsidR="00693423" w:rsidRPr="002D1339">
        <w:t xml:space="preserve"> </w:t>
      </w:r>
      <w:bookmarkStart w:id="7" w:name="References"/>
      <w:r w:rsidR="00693423" w:rsidRPr="002D1339">
        <w:t>(COM(2024)0050 – C9-0021/2024 – 2024/0028(COD))</w:t>
      </w:r>
      <w:bookmarkEnd w:id="7"/>
      <w:r w:rsidRPr="002D1339">
        <w:rPr>
          <w:rStyle w:val="FootnoteReference"/>
          <w:b w:val="0"/>
        </w:rPr>
        <w:footnoteReference w:id="1"/>
      </w:r>
    </w:p>
    <w:p w:rsidR="00F63F32" w:rsidRPr="002D1339" w:rsidRDefault="00F63F32" w:rsidP="00134AB7">
      <w:pPr>
        <w:pStyle w:val="NormalBold"/>
        <w:spacing w:before="360"/>
      </w:pPr>
      <w:bookmarkStart w:id="8" w:name="TextBodyBegin"/>
      <w:bookmarkEnd w:id="8"/>
      <w:r w:rsidRPr="002D1339">
        <w:t>(Procedura legislativa ordinaria: prima lettura)</w:t>
      </w:r>
    </w:p>
    <w:p w:rsidR="00134AB7" w:rsidRPr="002D1339" w:rsidRDefault="00134AB7" w:rsidP="00D40EB1">
      <w:pPr>
        <w:pStyle w:val="NormalHanging12a"/>
        <w:sectPr w:rsidR="00134AB7" w:rsidRPr="002D1339" w:rsidSect="00463E5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9" w:name="TextBodyEnd"/>
      <w:bookmarkEnd w:id="9"/>
    </w:p>
    <w:p w:rsidR="001A75E9" w:rsidRPr="002D1339" w:rsidRDefault="001A75E9" w:rsidP="001A75E9">
      <w:pPr>
        <w:pStyle w:val="AmNumberTabs0"/>
      </w:pPr>
      <w:r w:rsidRPr="002D1339">
        <w:lastRenderedPageBreak/>
        <w:t>Emendament</w:t>
      </w:r>
      <w:r w:rsidR="00BB2874" w:rsidRPr="002D1339">
        <w:t>i</w:t>
      </w:r>
      <w:r w:rsidRPr="002D1339">
        <w:tab/>
      </w:r>
      <w:r w:rsidRPr="002D1339">
        <w:tab/>
        <w:t>23</w:t>
      </w:r>
      <w:r w:rsidR="00BB2874" w:rsidRPr="002D1339">
        <w:t xml:space="preserve"> e 26</w:t>
      </w:r>
    </w:p>
    <w:p w:rsidR="001A75E9" w:rsidRPr="002D1339" w:rsidRDefault="001A75E9" w:rsidP="001A75E9">
      <w:pPr>
        <w:pStyle w:val="NormalBold12b"/>
      </w:pPr>
      <w:r w:rsidRPr="002D1339">
        <w:t>Proposta di regolamento</w:t>
      </w:r>
    </w:p>
    <w:p w:rsidR="001A75E9" w:rsidRPr="002D1339" w:rsidRDefault="001A75E9" w:rsidP="001A75E9">
      <w:pPr>
        <w:pStyle w:val="NormalBold"/>
      </w:pPr>
      <w:r w:rsidRPr="002D1339">
        <w:t>Considerando 11</w:t>
      </w:r>
    </w:p>
    <w:p w:rsidR="001A75E9" w:rsidRPr="002D1339" w:rsidRDefault="001A75E9" w:rsidP="001A75E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75E9" w:rsidRPr="002D1339" w:rsidTr="007800C8">
        <w:trPr>
          <w:jc w:val="center"/>
        </w:trPr>
        <w:tc>
          <w:tcPr>
            <w:tcW w:w="9752" w:type="dxa"/>
            <w:gridSpan w:val="2"/>
          </w:tcPr>
          <w:p w:rsidR="001A75E9" w:rsidRPr="002D1339" w:rsidRDefault="001A75E9" w:rsidP="007800C8">
            <w:pPr>
              <w:keepNext/>
            </w:pPr>
          </w:p>
        </w:tc>
      </w:tr>
      <w:tr w:rsidR="001A75E9" w:rsidRPr="002D1339" w:rsidTr="007800C8">
        <w:trPr>
          <w:jc w:val="center"/>
        </w:trPr>
        <w:tc>
          <w:tcPr>
            <w:tcW w:w="4876" w:type="dxa"/>
          </w:tcPr>
          <w:p w:rsidR="001A75E9" w:rsidRPr="002D1339" w:rsidRDefault="001A75E9" w:rsidP="007800C8">
            <w:pPr>
              <w:pStyle w:val="AmColumnHeading"/>
              <w:keepNext/>
            </w:pPr>
            <w:r w:rsidRPr="002D1339">
              <w:t>Testo della Commissione</w:t>
            </w:r>
          </w:p>
        </w:tc>
        <w:tc>
          <w:tcPr>
            <w:tcW w:w="4876" w:type="dxa"/>
          </w:tcPr>
          <w:p w:rsidR="001A75E9" w:rsidRPr="002D1339" w:rsidRDefault="001A75E9" w:rsidP="007800C8">
            <w:pPr>
              <w:pStyle w:val="AmColumnHeading"/>
              <w:keepNext/>
            </w:pPr>
            <w:r w:rsidRPr="002D1339">
              <w:t>Emendamento</w:t>
            </w:r>
          </w:p>
        </w:tc>
      </w:tr>
      <w:tr w:rsidR="001A75E9" w:rsidRPr="002D1339" w:rsidTr="007800C8">
        <w:trPr>
          <w:jc w:val="center"/>
        </w:trPr>
        <w:tc>
          <w:tcPr>
            <w:tcW w:w="4876" w:type="dxa"/>
          </w:tcPr>
          <w:p w:rsidR="001A75E9" w:rsidRPr="002D1339" w:rsidRDefault="001A75E9" w:rsidP="007800C8">
            <w:pPr>
              <w:pStyle w:val="Normal6a"/>
              <w:rPr>
                <w:szCs w:val="24"/>
              </w:rPr>
            </w:pPr>
            <w:r w:rsidRPr="002D1339">
              <w:t>(11)</w:t>
            </w:r>
            <w:r w:rsidRPr="002D1339">
              <w:tab/>
              <w:t xml:space="preserve">Previa valutazione della Commissione, eseguita nel contesto del monitoraggio periodico dell'impatto del presente regolamento e avviata su richiesta debitamente motivata di uno Stato membro o su iniziativa della Commissione, è necessario prevedere la possibilità di adottare qualsiasi misura necessaria per le importazioni di tutti i prodotti rientranti nell'ambito di applicazione del presente regolamento che incidano negativamente sul mercato dell'Unione, o sul mercato di uno o più Stati membri, di prodotti simili o direttamente concorrenti. La situazione dei mercati del pollame, delle uova </w:t>
            </w:r>
            <w:r w:rsidRPr="002D1339">
              <w:rPr>
                <w:b/>
                <w:i/>
              </w:rPr>
              <w:t>e</w:t>
            </w:r>
            <w:r w:rsidRPr="002D1339">
              <w:t xml:space="preserve"> dello zucchero è particolarmente precaria e potrebbe danneggiare i produttori agricoli dell'Unione in caso di aumento delle importazioni dall'Ucraina. È opportuno introdurre una salvaguardia automatica per le uova, il pollame e i prodotti del settore </w:t>
            </w:r>
            <w:r w:rsidRPr="002D1339">
              <w:rPr>
                <w:b/>
                <w:i/>
              </w:rPr>
              <w:t>dello zucchero</w:t>
            </w:r>
            <w:r w:rsidRPr="002D1339">
              <w:t xml:space="preserve"> che sia attivata qualora i quantitativi importati a norma del presente regolamento superino la media aritmetica dei quantitativi del 2022 e del 2023.</w:t>
            </w:r>
          </w:p>
        </w:tc>
        <w:tc>
          <w:tcPr>
            <w:tcW w:w="4876" w:type="dxa"/>
          </w:tcPr>
          <w:p w:rsidR="001A75E9" w:rsidRPr="002D1339" w:rsidRDefault="001A75E9" w:rsidP="007800C8">
            <w:pPr>
              <w:pStyle w:val="Normal6a"/>
              <w:rPr>
                <w:szCs w:val="24"/>
              </w:rPr>
            </w:pPr>
            <w:r w:rsidRPr="002D1339">
              <w:t>(11)</w:t>
            </w:r>
            <w:r w:rsidRPr="002D1339">
              <w:tab/>
              <w:t xml:space="preserve">Previa valutazione della Commissione, eseguita nel contesto del monitoraggio periodico dell'impatto del presente regolamento e avviata su richiesta debitamente motivata di uno Stato membro o su iniziativa della Commissione, è necessario prevedere la possibilità di adottare qualsiasi misura necessaria per le importazioni di tutti i prodotti rientranti nell'ambito di applicazione del presente regolamento che incidano negativamente sul mercato dell'Unione, o sul mercato di uno o più Stati membri, di prodotti simili o direttamente concorrenti. La situazione dei mercati </w:t>
            </w:r>
            <w:r w:rsidRPr="002D1339">
              <w:rPr>
                <w:b/>
                <w:i/>
              </w:rPr>
              <w:t>dei cereali,</w:t>
            </w:r>
            <w:r w:rsidRPr="002D1339">
              <w:t xml:space="preserve"> del pollame, delle uova</w:t>
            </w:r>
            <w:r w:rsidRPr="002D1339">
              <w:rPr>
                <w:b/>
              </w:rPr>
              <w:t>,</w:t>
            </w:r>
            <w:r w:rsidRPr="002D1339">
              <w:t xml:space="preserve"> dello zucchero </w:t>
            </w:r>
            <w:r w:rsidRPr="002D1339">
              <w:rPr>
                <w:b/>
                <w:i/>
              </w:rPr>
              <w:t>e del miele</w:t>
            </w:r>
            <w:r w:rsidRPr="002D1339">
              <w:t xml:space="preserve"> è particolarmente precaria e potrebbe danneggiare i produttori agricoli dell'Unione in caso di aumento delle importazioni dall'Ucraina. È opportuno introdurre una salvaguardia automatica per </w:t>
            </w:r>
            <w:r w:rsidRPr="002D1339">
              <w:rPr>
                <w:b/>
                <w:i/>
              </w:rPr>
              <w:t>il frumento, l'orzo, l'avena, il granturco,</w:t>
            </w:r>
            <w:r w:rsidRPr="002D1339">
              <w:t xml:space="preserve"> le uova, il pollame, lo zucchero e i prodotti del settore </w:t>
            </w:r>
            <w:r w:rsidRPr="002D1339">
              <w:rPr>
                <w:b/>
                <w:i/>
              </w:rPr>
              <w:t>del miele</w:t>
            </w:r>
            <w:r w:rsidRPr="002D1339">
              <w:t xml:space="preserve"> che sia attivata qualora i quantitativi importati a norma del presente regolamento superino la media aritmetica dei quantitativi </w:t>
            </w:r>
            <w:r w:rsidRPr="002D1339">
              <w:rPr>
                <w:b/>
                <w:i/>
              </w:rPr>
              <w:t>del 2021,</w:t>
            </w:r>
            <w:r w:rsidRPr="002D1339">
              <w:t xml:space="preserve"> del 2022 e del 2023.</w:t>
            </w:r>
          </w:p>
        </w:tc>
      </w:tr>
    </w:tbl>
    <w:p w:rsidR="001A75E9" w:rsidRPr="002D1339" w:rsidRDefault="001A75E9" w:rsidP="001A75E9"/>
    <w:p w:rsidR="001A75E9" w:rsidRPr="002D1339" w:rsidRDefault="001A75E9" w:rsidP="001A75E9">
      <w:pPr>
        <w:pStyle w:val="AmNumberTabs0"/>
      </w:pPr>
      <w:r w:rsidRPr="002D1339">
        <w:t>Emendament</w:t>
      </w:r>
      <w:r w:rsidR="00BB2874" w:rsidRPr="002D1339">
        <w:t>i</w:t>
      </w:r>
      <w:r w:rsidRPr="002D1339">
        <w:tab/>
      </w:r>
      <w:r w:rsidRPr="002D1339">
        <w:tab/>
        <w:t>24</w:t>
      </w:r>
      <w:r w:rsidR="00BB2874" w:rsidRPr="002D1339">
        <w:t xml:space="preserve"> e 28</w:t>
      </w:r>
    </w:p>
    <w:p w:rsidR="001A75E9" w:rsidRPr="002D1339" w:rsidRDefault="001A75E9" w:rsidP="001A75E9">
      <w:pPr>
        <w:pStyle w:val="NormalBold12b"/>
      </w:pPr>
      <w:r w:rsidRPr="002D1339">
        <w:t>Proposta di regolamento</w:t>
      </w:r>
    </w:p>
    <w:p w:rsidR="001A75E9" w:rsidRPr="002D1339" w:rsidRDefault="001A75E9" w:rsidP="001A75E9">
      <w:pPr>
        <w:pStyle w:val="NormalBold"/>
      </w:pPr>
      <w:r w:rsidRPr="002D1339">
        <w:t>Articolo 4 – paragrafo 7</w:t>
      </w:r>
    </w:p>
    <w:p w:rsidR="001A75E9" w:rsidRPr="002D1339" w:rsidRDefault="001A75E9" w:rsidP="001A75E9"/>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75E9" w:rsidRPr="002D1339" w:rsidTr="007800C8">
        <w:trPr>
          <w:jc w:val="center"/>
        </w:trPr>
        <w:tc>
          <w:tcPr>
            <w:tcW w:w="9752" w:type="dxa"/>
            <w:gridSpan w:val="2"/>
          </w:tcPr>
          <w:p w:rsidR="001A75E9" w:rsidRPr="002D1339" w:rsidRDefault="001A75E9" w:rsidP="007800C8">
            <w:pPr>
              <w:keepNext/>
            </w:pPr>
          </w:p>
        </w:tc>
      </w:tr>
      <w:tr w:rsidR="001A75E9" w:rsidRPr="002D1339" w:rsidTr="007800C8">
        <w:trPr>
          <w:jc w:val="center"/>
        </w:trPr>
        <w:tc>
          <w:tcPr>
            <w:tcW w:w="4876" w:type="dxa"/>
          </w:tcPr>
          <w:p w:rsidR="001A75E9" w:rsidRPr="002D1339" w:rsidRDefault="001A75E9" w:rsidP="007800C8">
            <w:pPr>
              <w:pStyle w:val="AmColumnHeading"/>
              <w:keepNext/>
            </w:pPr>
            <w:r w:rsidRPr="002D1339">
              <w:t>Testo della Commissione</w:t>
            </w:r>
          </w:p>
        </w:tc>
        <w:tc>
          <w:tcPr>
            <w:tcW w:w="4876" w:type="dxa"/>
          </w:tcPr>
          <w:p w:rsidR="001A75E9" w:rsidRPr="002D1339" w:rsidRDefault="001A75E9" w:rsidP="007800C8">
            <w:pPr>
              <w:pStyle w:val="AmColumnHeading"/>
              <w:keepNext/>
            </w:pPr>
            <w:r w:rsidRPr="002D1339">
              <w:t>Emendamento</w:t>
            </w:r>
          </w:p>
        </w:tc>
      </w:tr>
      <w:tr w:rsidR="001A75E9" w:rsidRPr="002D1339" w:rsidTr="007800C8">
        <w:trPr>
          <w:jc w:val="center"/>
        </w:trPr>
        <w:tc>
          <w:tcPr>
            <w:tcW w:w="4876" w:type="dxa"/>
          </w:tcPr>
          <w:p w:rsidR="001A75E9" w:rsidRPr="002D1339" w:rsidRDefault="001A75E9" w:rsidP="007800C8">
            <w:pPr>
              <w:pStyle w:val="Normal6a"/>
              <w:rPr>
                <w:szCs w:val="24"/>
              </w:rPr>
            </w:pPr>
            <w:r w:rsidRPr="002D1339">
              <w:t xml:space="preserve">7. Se, nel periodo compreso tra il 6 giugno e il 31 dicembre 2024, i rispettivi volumi cumulativi delle importazioni di uova, di pollame o di zucchero avvenute dal 1º </w:t>
            </w:r>
            <w:r w:rsidRPr="002D1339">
              <w:lastRenderedPageBreak/>
              <w:t xml:space="preserve">gennaio 2024 raggiungono la corrispondente media aritmetica dei volumi delle importazioni registrati nel 2022 e nel 2023, la Commissione, entro </w:t>
            </w:r>
            <w:r w:rsidRPr="002D1339">
              <w:rPr>
                <w:b/>
                <w:i/>
              </w:rPr>
              <w:t>21</w:t>
            </w:r>
            <w:r w:rsidRPr="002D1339">
              <w:t xml:space="preserve"> giorni e dopo aver informato il comitato per le misure di salvaguardia istituito dall'articolo 3, paragrafo 1, del regolamento (UE) 2015/478: </w:t>
            </w:r>
          </w:p>
        </w:tc>
        <w:tc>
          <w:tcPr>
            <w:tcW w:w="4876" w:type="dxa"/>
          </w:tcPr>
          <w:p w:rsidR="001A75E9" w:rsidRPr="002D1339" w:rsidRDefault="001A75E9" w:rsidP="007800C8">
            <w:pPr>
              <w:pStyle w:val="Normal6a"/>
              <w:rPr>
                <w:szCs w:val="24"/>
              </w:rPr>
            </w:pPr>
            <w:r w:rsidRPr="002D1339">
              <w:lastRenderedPageBreak/>
              <w:t xml:space="preserve">7. Se, nel periodo compreso tra il 6 giugno e il 31 dicembre 2024, i rispettivi volumi cumulativi delle importazioni </w:t>
            </w:r>
            <w:r w:rsidRPr="002D1339">
              <w:rPr>
                <w:b/>
                <w:i/>
              </w:rPr>
              <w:t xml:space="preserve">di frumento (grano) tenero, farine e agglomerati in </w:t>
            </w:r>
            <w:r w:rsidRPr="002D1339">
              <w:rPr>
                <w:b/>
                <w:i/>
              </w:rPr>
              <w:lastRenderedPageBreak/>
              <w:t xml:space="preserve">forma di </w:t>
            </w:r>
            <w:proofErr w:type="spellStart"/>
            <w:r w:rsidRPr="002D1339">
              <w:rPr>
                <w:b/>
                <w:i/>
              </w:rPr>
              <w:t>pellets</w:t>
            </w:r>
            <w:proofErr w:type="spellEnd"/>
            <w:r w:rsidRPr="002D1339">
              <w:rPr>
                <w:b/>
                <w:i/>
              </w:rPr>
              <w:t xml:space="preserve">, di orzo, farina e agglomerati in forma di </w:t>
            </w:r>
            <w:proofErr w:type="spellStart"/>
            <w:r w:rsidRPr="002D1339">
              <w:rPr>
                <w:b/>
                <w:i/>
              </w:rPr>
              <w:t>pellets</w:t>
            </w:r>
            <w:proofErr w:type="spellEnd"/>
            <w:r w:rsidRPr="002D1339">
              <w:rPr>
                <w:b/>
                <w:i/>
              </w:rPr>
              <w:t xml:space="preserve">, di avena, di granturco, farina e agglomerati in forma di </w:t>
            </w:r>
            <w:proofErr w:type="spellStart"/>
            <w:r w:rsidRPr="002D1339">
              <w:rPr>
                <w:b/>
                <w:i/>
              </w:rPr>
              <w:t>pellets</w:t>
            </w:r>
            <w:proofErr w:type="spellEnd"/>
            <w:r w:rsidRPr="002D1339">
              <w:rPr>
                <w:b/>
                <w:i/>
              </w:rPr>
              <w:t>, di semole e semolini di orzo, di cereali altrimenti lavorati, di miele,</w:t>
            </w:r>
            <w:r w:rsidRPr="002D1339">
              <w:t xml:space="preserve"> di uova, di pollame o di zucchero avvenute dal 1º gennaio 2024 raggiungono la corrispondente media aritmetica dei volumi delle importazioni registrati </w:t>
            </w:r>
            <w:r w:rsidRPr="002D1339">
              <w:rPr>
                <w:b/>
                <w:i/>
              </w:rPr>
              <w:t>nel 2021,</w:t>
            </w:r>
            <w:r w:rsidRPr="002D1339">
              <w:t xml:space="preserve"> nel 2022 e nel 2023, la Commissione, entro </w:t>
            </w:r>
            <w:r w:rsidRPr="002D1339">
              <w:rPr>
                <w:b/>
                <w:i/>
              </w:rPr>
              <w:t>14</w:t>
            </w:r>
            <w:r w:rsidRPr="002D1339">
              <w:t xml:space="preserve"> giorni e dopo aver informato il comitato per le misure di salvaguardia istituito dall'articolo 3, paragrafo 1, del regolamento (UE) 2015/478: </w:t>
            </w:r>
          </w:p>
        </w:tc>
      </w:tr>
      <w:tr w:rsidR="001A75E9" w:rsidRPr="002D1339" w:rsidTr="007800C8">
        <w:trPr>
          <w:jc w:val="center"/>
        </w:trPr>
        <w:tc>
          <w:tcPr>
            <w:tcW w:w="4876" w:type="dxa"/>
          </w:tcPr>
          <w:p w:rsidR="001A75E9" w:rsidRPr="002D1339" w:rsidRDefault="001A75E9" w:rsidP="007800C8">
            <w:pPr>
              <w:pStyle w:val="Normal6a"/>
              <w:rPr>
                <w:szCs w:val="24"/>
              </w:rPr>
            </w:pPr>
            <w:r w:rsidRPr="002D1339">
              <w:lastRenderedPageBreak/>
              <w:t xml:space="preserve">(a) reintroduce, per il prodotto in questione, il contingente tariffario corrispondente sospeso a norma dell'articolo 1, paragrafo 1, lettera b), fino al 31 dicembre 2024; e </w:t>
            </w:r>
          </w:p>
        </w:tc>
        <w:tc>
          <w:tcPr>
            <w:tcW w:w="4876" w:type="dxa"/>
          </w:tcPr>
          <w:p w:rsidR="001A75E9" w:rsidRPr="002D1339" w:rsidRDefault="001A75E9" w:rsidP="007800C8">
            <w:pPr>
              <w:pStyle w:val="Normal6a"/>
              <w:rPr>
                <w:szCs w:val="24"/>
              </w:rPr>
            </w:pPr>
            <w:r w:rsidRPr="002D1339">
              <w:t>(a) reintroduce, per il prodotto in questione, il contingente tariffario corrispondente sospeso a norma dell'articolo 1, paragrafo 1, lettera b), fino al 31 dicembre 2024; e</w:t>
            </w:r>
          </w:p>
        </w:tc>
      </w:tr>
      <w:tr w:rsidR="001A75E9" w:rsidRPr="002D1339" w:rsidTr="007800C8">
        <w:trPr>
          <w:jc w:val="center"/>
        </w:trPr>
        <w:tc>
          <w:tcPr>
            <w:tcW w:w="4876" w:type="dxa"/>
          </w:tcPr>
          <w:p w:rsidR="001A75E9" w:rsidRPr="002D1339" w:rsidRDefault="001A75E9" w:rsidP="007800C8">
            <w:pPr>
              <w:pStyle w:val="Normal6a"/>
              <w:rPr>
                <w:szCs w:val="24"/>
              </w:rPr>
            </w:pPr>
            <w:r w:rsidRPr="002D1339">
              <w:t xml:space="preserve">(b) introduce, a partire dal 1º gennaio 2025, un contingente tariffario pari a cinque dodicesimi di tale media aritmetica oppure il contingente tariffario corrispondente sospeso a norma dell'articolo 1, paragrafo 1, lettera b), se superiore. </w:t>
            </w:r>
          </w:p>
        </w:tc>
        <w:tc>
          <w:tcPr>
            <w:tcW w:w="4876" w:type="dxa"/>
          </w:tcPr>
          <w:p w:rsidR="001A75E9" w:rsidRPr="002D1339" w:rsidRDefault="001A75E9" w:rsidP="007800C8">
            <w:pPr>
              <w:pStyle w:val="Normal6a"/>
              <w:rPr>
                <w:szCs w:val="24"/>
              </w:rPr>
            </w:pPr>
            <w:r w:rsidRPr="002D1339">
              <w:t>(b) introduce, a partire dal 1º gennaio 2025, un contingente tariffario pari a cinque dodicesimi di tale media aritmetica oppure il contingente tariffario corrispondente sospeso a norma dell'articolo 1, paragrafo 1, lettera b), se superiore.</w:t>
            </w:r>
          </w:p>
        </w:tc>
      </w:tr>
      <w:tr w:rsidR="001A75E9" w:rsidRPr="002D1339" w:rsidTr="007800C8">
        <w:trPr>
          <w:jc w:val="center"/>
        </w:trPr>
        <w:tc>
          <w:tcPr>
            <w:tcW w:w="4876" w:type="dxa"/>
          </w:tcPr>
          <w:p w:rsidR="001A75E9" w:rsidRPr="002D1339" w:rsidRDefault="001A75E9" w:rsidP="007800C8">
            <w:pPr>
              <w:pStyle w:val="Normal6a"/>
              <w:rPr>
                <w:szCs w:val="24"/>
              </w:rPr>
            </w:pPr>
            <w:r w:rsidRPr="002D1339">
              <w:t xml:space="preserve">Se, nel periodo compreso tra il 1º gennaio e il 5 giugno 2025, i rispettivi volumi cumulativi delle importazioni di uova, di pollame o di zucchero avvenute dal 1º gennaio 2025 raggiungono i cinque dodicesimi della corrispondente media aritmetica dei volumi delle importazioni registrati nel 2022 e nel 2023, la Commissione, entro </w:t>
            </w:r>
            <w:r w:rsidRPr="002D1339">
              <w:rPr>
                <w:b/>
                <w:i/>
              </w:rPr>
              <w:t>21</w:t>
            </w:r>
            <w:r w:rsidRPr="002D1339">
              <w:t xml:space="preserve"> giorni e dopo aver informato il comitato per le misure di salvaguardia, reintroduce, per il prodotto in questione, il contingente tariffario corrispondente sospeso a norma dell'articolo 1, paragrafo 1, lettera b). </w:t>
            </w:r>
          </w:p>
        </w:tc>
        <w:tc>
          <w:tcPr>
            <w:tcW w:w="4876" w:type="dxa"/>
          </w:tcPr>
          <w:p w:rsidR="001A75E9" w:rsidRPr="002D1339" w:rsidRDefault="001A75E9" w:rsidP="007800C8">
            <w:pPr>
              <w:pStyle w:val="Normal6a"/>
              <w:rPr>
                <w:szCs w:val="24"/>
              </w:rPr>
            </w:pPr>
            <w:r w:rsidRPr="002D1339">
              <w:t xml:space="preserve">Se, nel periodo compreso tra il 1º gennaio e il 5 giugno 2025, i rispettivi volumi cumulativi delle importazioni </w:t>
            </w:r>
            <w:r w:rsidRPr="002D1339">
              <w:rPr>
                <w:b/>
                <w:i/>
              </w:rPr>
              <w:t xml:space="preserve">di frumento (grano) tenero, farine e agglomerati in forma di </w:t>
            </w:r>
            <w:proofErr w:type="spellStart"/>
            <w:r w:rsidRPr="002D1339">
              <w:rPr>
                <w:b/>
                <w:i/>
              </w:rPr>
              <w:t>pellets</w:t>
            </w:r>
            <w:proofErr w:type="spellEnd"/>
            <w:r w:rsidRPr="002D1339">
              <w:rPr>
                <w:b/>
                <w:i/>
              </w:rPr>
              <w:t xml:space="preserve">, di orzo, farina e agglomerati in forma di </w:t>
            </w:r>
            <w:proofErr w:type="spellStart"/>
            <w:r w:rsidRPr="002D1339">
              <w:rPr>
                <w:b/>
                <w:i/>
              </w:rPr>
              <w:t>pellets</w:t>
            </w:r>
            <w:proofErr w:type="spellEnd"/>
            <w:r w:rsidRPr="002D1339">
              <w:rPr>
                <w:b/>
                <w:i/>
              </w:rPr>
              <w:t xml:space="preserve">, di avena, di granturco, farina e agglomerati in forma di </w:t>
            </w:r>
            <w:proofErr w:type="spellStart"/>
            <w:r w:rsidRPr="002D1339">
              <w:rPr>
                <w:b/>
                <w:i/>
              </w:rPr>
              <w:t>pellets</w:t>
            </w:r>
            <w:proofErr w:type="spellEnd"/>
            <w:r w:rsidRPr="002D1339">
              <w:rPr>
                <w:b/>
                <w:i/>
              </w:rPr>
              <w:t>, di semole e semolini di orzo, di cereali altrimenti lavorati, di miele,</w:t>
            </w:r>
            <w:r w:rsidRPr="002D1339">
              <w:t xml:space="preserve"> di uova, di pollame o di zucchero avvenute dal 1º gennaio 2025 raggiungono i cinque dodicesimi della corrispondente media aritmetica dei volumi delle importazioni registrati </w:t>
            </w:r>
            <w:r w:rsidRPr="002D1339">
              <w:rPr>
                <w:b/>
                <w:i/>
              </w:rPr>
              <w:t>nel 2021,</w:t>
            </w:r>
            <w:r w:rsidRPr="002D1339">
              <w:t xml:space="preserve"> nel 2022 e nel 2023, la Commissione, entro </w:t>
            </w:r>
            <w:r w:rsidRPr="002D1339">
              <w:rPr>
                <w:b/>
                <w:i/>
              </w:rPr>
              <w:t>14</w:t>
            </w:r>
            <w:r w:rsidRPr="002D1339">
              <w:t xml:space="preserve"> giorni e dopo aver informato il comitato per le misure di salvaguardia, reintroduce, per il prodotto in questione, il contingente tariffario corrispondente sospeso a norma dell'articolo 1, paragrafo 1, lettera b). </w:t>
            </w:r>
          </w:p>
        </w:tc>
      </w:tr>
      <w:tr w:rsidR="001A75E9" w:rsidRPr="002D1339" w:rsidTr="007800C8">
        <w:trPr>
          <w:jc w:val="center"/>
        </w:trPr>
        <w:tc>
          <w:tcPr>
            <w:tcW w:w="4876" w:type="dxa"/>
          </w:tcPr>
          <w:p w:rsidR="001A75E9" w:rsidRPr="002D1339" w:rsidRDefault="001A75E9" w:rsidP="007800C8">
            <w:pPr>
              <w:pStyle w:val="Normal6a"/>
              <w:rPr>
                <w:szCs w:val="24"/>
              </w:rPr>
            </w:pPr>
            <w:r w:rsidRPr="002D1339">
              <w:t xml:space="preserve">Ai fini del presente paragrafo i termini "uova", "pollame" e "zucchero" si riferiscono a tutti i prodotti contemplati dai </w:t>
            </w:r>
            <w:r w:rsidRPr="002D1339">
              <w:lastRenderedPageBreak/>
              <w:t xml:space="preserve">contingenti tariffari di cui all'appendice dell'allegato I-A dell'accordo di associazione, rispettivamente alle voci "Uova e albumine", "Carni di pollame e preparazioni a base di carne di pollame" e "Zuccheri", mentre la media aritmetica è calcolata dividendo per </w:t>
            </w:r>
            <w:r w:rsidRPr="002D1339">
              <w:rPr>
                <w:b/>
                <w:i/>
              </w:rPr>
              <w:t>due</w:t>
            </w:r>
            <w:r w:rsidRPr="002D1339">
              <w:t xml:space="preserve"> la somma dei volumi delle importazioni del 2022 e del 2023.</w:t>
            </w:r>
          </w:p>
        </w:tc>
        <w:tc>
          <w:tcPr>
            <w:tcW w:w="4876" w:type="dxa"/>
          </w:tcPr>
          <w:p w:rsidR="001A75E9" w:rsidRPr="002D1339" w:rsidRDefault="001A75E9" w:rsidP="007800C8">
            <w:pPr>
              <w:pStyle w:val="Normal6a"/>
              <w:rPr>
                <w:szCs w:val="24"/>
              </w:rPr>
            </w:pPr>
            <w:r w:rsidRPr="002D1339">
              <w:lastRenderedPageBreak/>
              <w:t xml:space="preserve">Ai fini del presente paragrafo i termini </w:t>
            </w:r>
            <w:r w:rsidRPr="002D1339">
              <w:rPr>
                <w:b/>
                <w:i/>
              </w:rPr>
              <w:t xml:space="preserve">"frumento (grano) tenero, farine e agglomerati in forma di </w:t>
            </w:r>
            <w:proofErr w:type="spellStart"/>
            <w:r w:rsidRPr="002D1339">
              <w:rPr>
                <w:b/>
                <w:i/>
              </w:rPr>
              <w:t>pellets</w:t>
            </w:r>
            <w:proofErr w:type="spellEnd"/>
            <w:r w:rsidRPr="002D1339">
              <w:rPr>
                <w:b/>
                <w:i/>
              </w:rPr>
              <w:t xml:space="preserve">", "orzo, </w:t>
            </w:r>
            <w:r w:rsidRPr="002D1339">
              <w:rPr>
                <w:b/>
                <w:i/>
              </w:rPr>
              <w:lastRenderedPageBreak/>
              <w:t xml:space="preserve">farina e agglomerati in forma di </w:t>
            </w:r>
            <w:proofErr w:type="spellStart"/>
            <w:r w:rsidRPr="002D1339">
              <w:rPr>
                <w:b/>
                <w:i/>
              </w:rPr>
              <w:t>pellets</w:t>
            </w:r>
            <w:proofErr w:type="spellEnd"/>
            <w:r w:rsidRPr="002D1339">
              <w:rPr>
                <w:b/>
                <w:i/>
              </w:rPr>
              <w:t xml:space="preserve">", "avena", "granturco, farina e agglomerati in forma di </w:t>
            </w:r>
            <w:proofErr w:type="spellStart"/>
            <w:r w:rsidRPr="002D1339">
              <w:rPr>
                <w:b/>
                <w:i/>
              </w:rPr>
              <w:t>pellets</w:t>
            </w:r>
            <w:proofErr w:type="spellEnd"/>
            <w:r w:rsidRPr="002D1339">
              <w:rPr>
                <w:b/>
                <w:i/>
              </w:rPr>
              <w:t>", "semole e semolini di orzo", "cereali altrimenti lavorati", "miele",</w:t>
            </w:r>
            <w:r w:rsidRPr="002D1339">
              <w:t xml:space="preserve"> "uova", "pollame" e "zucchero", si riferiscono a tutti i prodotti contemplati dai contingenti tariffari di cui all'appendice dell'allegato I-A dell'accordo di associazione, rispettivamente alle voci </w:t>
            </w:r>
            <w:r w:rsidRPr="002D1339">
              <w:rPr>
                <w:b/>
                <w:i/>
              </w:rPr>
              <w:t xml:space="preserve">"Frumento (grano) tenero, farine e agglomerati in forma di </w:t>
            </w:r>
            <w:proofErr w:type="spellStart"/>
            <w:r w:rsidRPr="002D1339">
              <w:rPr>
                <w:b/>
                <w:i/>
              </w:rPr>
              <w:t>pellets</w:t>
            </w:r>
            <w:proofErr w:type="spellEnd"/>
            <w:r w:rsidRPr="002D1339">
              <w:rPr>
                <w:b/>
                <w:i/>
              </w:rPr>
              <w:t xml:space="preserve">", "Orzo, farina e agglomerati in forma di </w:t>
            </w:r>
            <w:proofErr w:type="spellStart"/>
            <w:r w:rsidRPr="002D1339">
              <w:rPr>
                <w:b/>
                <w:i/>
              </w:rPr>
              <w:t>pellets</w:t>
            </w:r>
            <w:proofErr w:type="spellEnd"/>
            <w:r w:rsidRPr="002D1339">
              <w:rPr>
                <w:b/>
                <w:i/>
              </w:rPr>
              <w:t xml:space="preserve">", "Avena", "Granturco, farina e agglomerati in forma di </w:t>
            </w:r>
            <w:proofErr w:type="spellStart"/>
            <w:r w:rsidRPr="002D1339">
              <w:rPr>
                <w:b/>
                <w:i/>
              </w:rPr>
              <w:t>pellets</w:t>
            </w:r>
            <w:proofErr w:type="spellEnd"/>
            <w:r w:rsidRPr="002D1339">
              <w:rPr>
                <w:b/>
                <w:i/>
              </w:rPr>
              <w:t>", "Semole e semolini di orzo", "Cereali altrimenti lavorati", "Miele",</w:t>
            </w:r>
            <w:r w:rsidRPr="002D1339">
              <w:t xml:space="preserve"> "Uova e albumine", "Carni di pollame e preparazioni a base di carne di pollame" e "Zuccheri", mentre la media aritmetica è calcolata dividendo per </w:t>
            </w:r>
            <w:r w:rsidRPr="002D1339">
              <w:rPr>
                <w:b/>
                <w:i/>
              </w:rPr>
              <w:t>tre</w:t>
            </w:r>
            <w:r w:rsidRPr="002D1339">
              <w:t xml:space="preserve"> la somma dei volumi delle importazioni </w:t>
            </w:r>
            <w:r w:rsidRPr="002D1339">
              <w:rPr>
                <w:b/>
                <w:i/>
              </w:rPr>
              <w:t>del 2021,</w:t>
            </w:r>
            <w:r w:rsidRPr="002D1339">
              <w:t xml:space="preserve"> del 2022 e del 2023.</w:t>
            </w:r>
          </w:p>
        </w:tc>
      </w:tr>
    </w:tbl>
    <w:p w:rsidR="00E365E1" w:rsidRPr="002D1339" w:rsidRDefault="00E365E1" w:rsidP="00D40EB1">
      <w:pPr>
        <w:pStyle w:val="NormalHanging12a"/>
      </w:pPr>
    </w:p>
    <w:sectPr w:rsidR="00E365E1" w:rsidRPr="002D1339" w:rsidSect="00463E5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423" w:rsidRPr="00463E50" w:rsidRDefault="00693423">
      <w:r w:rsidRPr="00463E50">
        <w:separator/>
      </w:r>
    </w:p>
  </w:endnote>
  <w:endnote w:type="continuationSeparator" w:id="0">
    <w:p w:rsidR="00693423" w:rsidRPr="00463E50" w:rsidRDefault="00693423">
      <w:r w:rsidRPr="00463E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3E5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3E5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3E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423" w:rsidRPr="00463E50" w:rsidRDefault="00693423">
      <w:r w:rsidRPr="00463E50">
        <w:separator/>
      </w:r>
    </w:p>
  </w:footnote>
  <w:footnote w:type="continuationSeparator" w:id="0">
    <w:p w:rsidR="00693423" w:rsidRPr="00463E50" w:rsidRDefault="00693423">
      <w:r w:rsidRPr="00463E50">
        <w:continuationSeparator/>
      </w:r>
    </w:p>
  </w:footnote>
  <w:footnote w:id="1">
    <w:p w:rsidR="001A75E9" w:rsidRPr="007E7EAD" w:rsidRDefault="001A75E9" w:rsidP="001A75E9">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w:t>
      </w:r>
      <w:r w:rsidRPr="007E7EAD">
        <w:rPr>
          <w:sz w:val="24"/>
          <w:szCs w:val="24"/>
          <w:lang w:val="it-IT"/>
        </w:rPr>
        <w:t xml:space="preserve">ll'articolo 59, paragrafo 4, quarto comma, del regolamento del Parlamento, per l'avvio di negoziati </w:t>
      </w:r>
      <w:proofErr w:type="spellStart"/>
      <w:r w:rsidRPr="007E7EAD">
        <w:rPr>
          <w:sz w:val="24"/>
          <w:szCs w:val="24"/>
          <w:lang w:val="it-IT"/>
        </w:rPr>
        <w:t>interistituzionali</w:t>
      </w:r>
      <w:proofErr w:type="spellEnd"/>
      <w:r w:rsidRPr="007E7EAD">
        <w:rPr>
          <w:sz w:val="24"/>
          <w:szCs w:val="24"/>
          <w:lang w:val="it-IT"/>
        </w:rPr>
        <w:t xml:space="preserve"> (A</w:t>
      </w:r>
      <w:r>
        <w:rPr>
          <w:sz w:val="24"/>
          <w:szCs w:val="24"/>
          <w:lang w:val="it-IT"/>
        </w:rPr>
        <w:t>9</w:t>
      </w:r>
      <w:r w:rsidRPr="007E7EAD">
        <w:rPr>
          <w:sz w:val="24"/>
          <w:szCs w:val="24"/>
          <w:lang w:val="it-IT"/>
        </w:rPr>
        <w:t>-</w:t>
      </w:r>
      <w:r>
        <w:rPr>
          <w:sz w:val="24"/>
          <w:szCs w:val="24"/>
          <w:lang w:val="it-IT"/>
        </w:rPr>
        <w:t>0077</w:t>
      </w:r>
      <w:r w:rsidRPr="007E7EAD">
        <w:rPr>
          <w:sz w:val="24"/>
          <w:szCs w:val="24"/>
          <w:lang w:val="it-IT"/>
        </w:rPr>
        <w:t>/20</w:t>
      </w:r>
      <w:r>
        <w:rPr>
          <w:sz w:val="24"/>
          <w:szCs w:val="24"/>
          <w:lang w:val="it-IT"/>
        </w:rPr>
        <w:t>24</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3E5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3E5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3E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IT"/>
    <w:docVar w:name="dvnumam" w:val="26"/>
    <w:docVar w:name="dvpe" w:val="758.681"/>
    <w:docVar w:name="dvrapporteur" w:val="Relatrice: "/>
    <w:docVar w:name="dvstar" w:val="***I"/>
    <w:docVar w:name="dvtitre" w:val="Risoluzione legislativa del Parlamento europeo del xx marzo 2024 sulla proposta di regolamento del Parlamento europeo e del Consiglio relativo a misure temporanee di liberalizzazione degli scambi che integrano le concessioni commerciali applicabili ai prodotti ucraini a norma dell'accordo di associazione tra l'Unione europea e la Comunità europea dell'energia atomica e i loro Stati membri, da una parte, e l'Ucraina, dall'altra(COM(2024)0050 – C9-0021/2024 – 2024/0028(COD))"/>
  </w:docVars>
  <w:rsids>
    <w:rsidRoot w:val="00693423"/>
    <w:rsid w:val="00002272"/>
    <w:rsid w:val="000473C2"/>
    <w:rsid w:val="00064002"/>
    <w:rsid w:val="000677B9"/>
    <w:rsid w:val="000831BA"/>
    <w:rsid w:val="000A42CC"/>
    <w:rsid w:val="000E7DD9"/>
    <w:rsid w:val="0010095E"/>
    <w:rsid w:val="00125B37"/>
    <w:rsid w:val="00134AB7"/>
    <w:rsid w:val="00187494"/>
    <w:rsid w:val="001A75E9"/>
    <w:rsid w:val="001F32AE"/>
    <w:rsid w:val="002767FF"/>
    <w:rsid w:val="002B18FE"/>
    <w:rsid w:val="002B5493"/>
    <w:rsid w:val="002D1339"/>
    <w:rsid w:val="00343214"/>
    <w:rsid w:val="00361C00"/>
    <w:rsid w:val="00395FA1"/>
    <w:rsid w:val="003E15D4"/>
    <w:rsid w:val="00411CCE"/>
    <w:rsid w:val="0041666E"/>
    <w:rsid w:val="00421060"/>
    <w:rsid w:val="00463E50"/>
    <w:rsid w:val="00471C19"/>
    <w:rsid w:val="004867E3"/>
    <w:rsid w:val="00494A28"/>
    <w:rsid w:val="004C0004"/>
    <w:rsid w:val="004C5D52"/>
    <w:rsid w:val="0050519A"/>
    <w:rsid w:val="005072A1"/>
    <w:rsid w:val="00514517"/>
    <w:rsid w:val="00545827"/>
    <w:rsid w:val="00560270"/>
    <w:rsid w:val="005C2568"/>
    <w:rsid w:val="005D180C"/>
    <w:rsid w:val="006037C0"/>
    <w:rsid w:val="006631B6"/>
    <w:rsid w:val="00680577"/>
    <w:rsid w:val="0069342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2874"/>
    <w:rsid w:val="00BD48FE"/>
    <w:rsid w:val="00BD7BD8"/>
    <w:rsid w:val="00BE6ADC"/>
    <w:rsid w:val="00C05BFE"/>
    <w:rsid w:val="00C23CD4"/>
    <w:rsid w:val="00C61C0C"/>
    <w:rsid w:val="00C941CB"/>
    <w:rsid w:val="00CC2357"/>
    <w:rsid w:val="00CF071A"/>
    <w:rsid w:val="00D058B8"/>
    <w:rsid w:val="00D40EB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3F3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5D7363"/>
  <w15:chartTrackingRefBased/>
  <w15:docId w15:val="{682639D2-E712-448D-8057-1C0018E63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63F32"/>
    <w:pPr>
      <w:spacing w:before="480" w:after="240"/>
    </w:pPr>
  </w:style>
  <w:style w:type="paragraph" w:customStyle="1" w:styleId="NormalBold">
    <w:name w:val="NormalBold"/>
    <w:basedOn w:val="Normal"/>
    <w:link w:val="NormalBoldChar"/>
    <w:rsid w:val="00F63F32"/>
    <w:rPr>
      <w:b/>
    </w:rPr>
  </w:style>
  <w:style w:type="paragraph" w:customStyle="1" w:styleId="NormalHanging12a">
    <w:name w:val="NormalHanging12a"/>
    <w:basedOn w:val="Normal"/>
    <w:rsid w:val="00F63F32"/>
    <w:pPr>
      <w:spacing w:after="240"/>
      <w:ind w:left="567" w:hanging="567"/>
    </w:pPr>
  </w:style>
  <w:style w:type="character" w:customStyle="1" w:styleId="NormalBoldChar">
    <w:name w:val="NormalBold Char"/>
    <w:basedOn w:val="DefaultParagraphFont"/>
    <w:link w:val="NormalBold"/>
    <w:locked/>
    <w:rsid w:val="00F63F32"/>
    <w:rPr>
      <w:b/>
      <w:sz w:val="24"/>
      <w:lang w:val="it-IT"/>
    </w:rPr>
  </w:style>
  <w:style w:type="paragraph" w:styleId="BalloonText">
    <w:name w:val="Balloon Text"/>
    <w:basedOn w:val="Normal"/>
    <w:link w:val="BalloonTextChar"/>
    <w:rsid w:val="00134AB7"/>
    <w:rPr>
      <w:rFonts w:ascii="Segoe UI" w:hAnsi="Segoe UI" w:cs="Segoe UI"/>
      <w:sz w:val="18"/>
      <w:szCs w:val="18"/>
    </w:rPr>
  </w:style>
  <w:style w:type="character" w:customStyle="1" w:styleId="BalloonTextChar">
    <w:name w:val="Balloon Text Char"/>
    <w:basedOn w:val="DefaultParagraphFont"/>
    <w:link w:val="BalloonText"/>
    <w:rsid w:val="00134AB7"/>
    <w:rPr>
      <w:rFonts w:ascii="Segoe UI" w:hAnsi="Segoe UI" w:cs="Segoe UI"/>
      <w:sz w:val="18"/>
      <w:szCs w:val="18"/>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1A75E9"/>
    <w:rPr>
      <w:sz w:val="22"/>
      <w:lang w:val="fr-FR" w:eastAsia="en-GB" w:bidi="ar-SA"/>
    </w:rPr>
  </w:style>
  <w:style w:type="paragraph" w:customStyle="1" w:styleId="Normal24">
    <w:name w:val="Normal24"/>
    <w:basedOn w:val="Normal"/>
    <w:rsid w:val="001A75E9"/>
    <w:pPr>
      <w:spacing w:after="480"/>
    </w:pPr>
    <w:rPr>
      <w:lang w:val="fr-FR"/>
    </w:rPr>
  </w:style>
  <w:style w:type="paragraph" w:customStyle="1" w:styleId="AMNumberTabs">
    <w:name w:val="AMNumberTabs"/>
    <w:basedOn w:val="Normal"/>
    <w:rsid w:val="001A75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6a">
    <w:name w:val="Normal6a"/>
    <w:basedOn w:val="Normal"/>
    <w:rsid w:val="001A75E9"/>
    <w:pPr>
      <w:spacing w:after="120"/>
    </w:pPr>
  </w:style>
  <w:style w:type="paragraph" w:customStyle="1" w:styleId="AmColumnHeading">
    <w:name w:val="AmColumnHeading"/>
    <w:basedOn w:val="Normal"/>
    <w:rsid w:val="001A75E9"/>
    <w:pPr>
      <w:spacing w:after="240"/>
      <w:jc w:val="center"/>
    </w:pPr>
    <w:rPr>
      <w:i/>
    </w:rPr>
  </w:style>
  <w:style w:type="paragraph" w:customStyle="1" w:styleId="AmNumberTabs0">
    <w:name w:val="AmNumberTabs"/>
    <w:basedOn w:val="Normal"/>
    <w:rsid w:val="001A75E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A75E9"/>
    <w:pPr>
      <w:spacing w:before="240"/>
    </w:pPr>
    <w:rPr>
      <w:b/>
    </w:rPr>
  </w:style>
  <w:style w:type="character" w:customStyle="1" w:styleId="NormalBold12bChar">
    <w:name w:val="NormalBold12b Char"/>
    <w:basedOn w:val="DefaultParagraphFont"/>
    <w:link w:val="NormalBold12b"/>
    <w:rsid w:val="001A75E9"/>
    <w:rPr>
      <w:b/>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AE6A1-DB56-4E1E-9824-626C903FB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1165</Words>
  <Characters>6902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ARossi-START</dc:creator>
  <cp:keywords/>
  <cp:lastModifiedBy>ARossi-</cp:lastModifiedBy>
  <cp:revision>2</cp:revision>
  <cp:lastPrinted>2004-11-19T15:42:00Z</cp:lastPrinted>
  <dcterms:created xsi:type="dcterms:W3CDTF">2024-03-14T08:46:00Z</dcterms:created>
  <dcterms:modified xsi:type="dcterms:W3CDTF">2024-03-14T08:46:00Z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A9-0077/2024</vt:lpwstr>
  </property>
  <property fmtid="{D5CDD505-2E9C-101B-9397-08002B2CF9AE}" pid="4" name="&lt;Type&gt;">
    <vt:lpwstr>RR</vt:lpwstr>
  </property>
  <property fmtid="{D5CDD505-2E9C-101B-9397-08002B2CF9AE}" pid="5" name="&lt;Model&gt;">
    <vt:lpwstr/>
  </property>
</Properties>
</file>