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662E" w:rsidTr="0010095E">
        <w:trPr>
          <w:trHeight w:hRule="exact" w:val="1418"/>
        </w:trPr>
        <w:tc>
          <w:tcPr>
            <w:tcW w:w="6804" w:type="dxa"/>
            <w:shd w:val="clear" w:color="auto" w:fill="auto"/>
            <w:vAlign w:val="center"/>
          </w:tcPr>
          <w:p w:rsidR="00751A4A" w:rsidRPr="0073662E" w:rsidRDefault="00AD11A4" w:rsidP="0010095E">
            <w:pPr>
              <w:pStyle w:val="EPName"/>
            </w:pPr>
            <w:r w:rsidRPr="0073662E">
              <w:t>Eiropas Parlaments</w:t>
            </w:r>
          </w:p>
          <w:p w:rsidR="00751A4A" w:rsidRPr="0073662E" w:rsidRDefault="00817416" w:rsidP="00756632">
            <w:pPr>
              <w:pStyle w:val="EPTerm"/>
              <w:rPr>
                <w:rStyle w:val="HideTWBExt"/>
                <w:noProof w:val="0"/>
                <w:vanish w:val="0"/>
                <w:color w:val="auto"/>
              </w:rPr>
            </w:pPr>
            <w:r w:rsidRPr="0073662E">
              <w:t>2019-2024</w:t>
            </w:r>
          </w:p>
        </w:tc>
        <w:tc>
          <w:tcPr>
            <w:tcW w:w="2268" w:type="dxa"/>
            <w:shd w:val="clear" w:color="auto" w:fill="auto"/>
          </w:tcPr>
          <w:p w:rsidR="00751A4A" w:rsidRPr="0073662E" w:rsidRDefault="00187494" w:rsidP="0010095E">
            <w:pPr>
              <w:pStyle w:val="EPLogo"/>
            </w:pPr>
            <w:r w:rsidRPr="007366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662E" w:rsidRDefault="00D058B8" w:rsidP="004C5D52">
      <w:pPr>
        <w:pStyle w:val="LineTop"/>
      </w:pPr>
    </w:p>
    <w:p w:rsidR="00680577" w:rsidRPr="0073662E" w:rsidRDefault="00AD11A4" w:rsidP="00680577">
      <w:pPr>
        <w:pStyle w:val="EPBodyTA1"/>
      </w:pPr>
      <w:r w:rsidRPr="0073662E">
        <w:t>PIEŅEMTIE TEKSTI</w:t>
      </w:r>
    </w:p>
    <w:p w:rsidR="00D058B8" w:rsidRPr="0073662E" w:rsidRDefault="00D058B8" w:rsidP="00D058B8">
      <w:pPr>
        <w:pStyle w:val="LineBottom"/>
      </w:pPr>
    </w:p>
    <w:p w:rsidR="00AD11A4" w:rsidRPr="0073662E" w:rsidRDefault="00AD11A4" w:rsidP="00AD11A4">
      <w:pPr>
        <w:pStyle w:val="ATHeading1"/>
      </w:pPr>
      <w:bookmarkStart w:id="0" w:name="TANumber"/>
      <w:r w:rsidRPr="0073662E">
        <w:t>P9_TA(2024)</w:t>
      </w:r>
      <w:bookmarkEnd w:id="0"/>
      <w:r w:rsidR="00A25CD4" w:rsidRPr="0073662E">
        <w:t>0</w:t>
      </w:r>
      <w:r w:rsidR="00A25CD4">
        <w:t>154</w:t>
      </w:r>
    </w:p>
    <w:p w:rsidR="00AD11A4" w:rsidRPr="0073662E" w:rsidRDefault="0072116E" w:rsidP="0072116E">
      <w:pPr>
        <w:pStyle w:val="ATHeading2"/>
      </w:pPr>
      <w:r w:rsidRPr="0073662E">
        <w:t>Pagaidu tirdzniecības liberalizācijas pasākumi, kuri papildina tirdzniecības koncesijas, kas Ukrainas ražojumiem piemērojamas saskaņā ar ES un Euratom asociācijas nolīgumu ar Ukrainu</w:t>
      </w:r>
    </w:p>
    <w:p w:rsidR="00AD11A4" w:rsidRPr="0073662E" w:rsidRDefault="00AD11A4" w:rsidP="00AD11A4">
      <w:pPr>
        <w:rPr>
          <w:i/>
          <w:vanish/>
        </w:rPr>
      </w:pPr>
      <w:r w:rsidRPr="0073662E">
        <w:rPr>
          <w:i/>
        </w:rPr>
        <w:fldChar w:fldCharType="begin"/>
      </w:r>
      <w:r w:rsidRPr="0073662E">
        <w:rPr>
          <w:i/>
        </w:rPr>
        <w:instrText xml:space="preserve"> TC"(</w:instrText>
      </w:r>
      <w:bookmarkStart w:id="1" w:name="DocNumber"/>
      <w:r w:rsidRPr="0073662E">
        <w:rPr>
          <w:i/>
        </w:rPr>
        <w:instrText>A9-0077/2024</w:instrText>
      </w:r>
      <w:bookmarkEnd w:id="1"/>
      <w:r w:rsidRPr="0073662E">
        <w:rPr>
          <w:i/>
        </w:rPr>
        <w:instrText xml:space="preserve"> - Referente: Sandra Kalniete)"\l3 \n&gt; \* MERGEFORMAT </w:instrText>
      </w:r>
      <w:r w:rsidRPr="0073662E">
        <w:rPr>
          <w:i/>
        </w:rPr>
        <w:fldChar w:fldCharType="end"/>
      </w:r>
    </w:p>
    <w:p w:rsidR="00AD11A4" w:rsidRPr="0073662E" w:rsidRDefault="00AD11A4" w:rsidP="00AD11A4">
      <w:pPr>
        <w:rPr>
          <w:vanish/>
        </w:rPr>
      </w:pPr>
      <w:bookmarkStart w:id="2" w:name="Commission"/>
      <w:r w:rsidRPr="0073662E">
        <w:rPr>
          <w:vanish/>
        </w:rPr>
        <w:t>Starptautiskās tirdzniecības komiteja</w:t>
      </w:r>
      <w:bookmarkEnd w:id="2"/>
    </w:p>
    <w:p w:rsidR="00AD11A4" w:rsidRPr="0073662E" w:rsidRDefault="00AD11A4" w:rsidP="00AD11A4">
      <w:pPr>
        <w:rPr>
          <w:vanish/>
        </w:rPr>
      </w:pPr>
      <w:bookmarkStart w:id="3" w:name="PE"/>
      <w:r w:rsidRPr="0073662E">
        <w:rPr>
          <w:vanish/>
        </w:rPr>
        <w:t>PE758.681</w:t>
      </w:r>
      <w:bookmarkEnd w:id="3"/>
    </w:p>
    <w:p w:rsidR="00A34C97" w:rsidRPr="0073662E" w:rsidRDefault="00AD11A4" w:rsidP="0072116E">
      <w:pPr>
        <w:pStyle w:val="ATHeading3"/>
      </w:pPr>
      <w:bookmarkStart w:id="4" w:name="Sujet"/>
      <w:r w:rsidRPr="0073662E">
        <w:t xml:space="preserve">Eiropas Parlamenta 2024. gada </w:t>
      </w:r>
      <w:r w:rsidR="00D37BD5" w:rsidRPr="0073662E">
        <w:t>13</w:t>
      </w:r>
      <w:r w:rsidRPr="0073662E">
        <w:t xml:space="preserve">. </w:t>
      </w:r>
      <w:r w:rsidR="0072116E" w:rsidRPr="0073662E">
        <w:t>mart</w:t>
      </w:r>
      <w:r w:rsidR="00A25CD4">
        <w:t>ā</w:t>
      </w:r>
      <w:r w:rsidRPr="0073662E">
        <w:t xml:space="preserve"> </w:t>
      </w:r>
      <w:r w:rsidR="00A25CD4" w:rsidRPr="0018560E">
        <w:t>pieņemtie grozījumi priekšlikumā</w:t>
      </w:r>
      <w:r w:rsidRPr="0073662E">
        <w:t xml:space="preserve"> Eiropas Parlamenta un Padomes regulai par pagaidu tirdzniecības liberalizācijas pasākumiem, kuri papildina tirdzniecības koncesijas, kas Ukrainas ražojumiem piemērojamas saskaņā ar Asociācijas nolīgumu starp Eiropas Savienību un Eiropas Atomenerģijas kopienu un to dalībvalstīm, no vienas puses, un Ukrainu, no otras puses</w:t>
      </w:r>
      <w:bookmarkEnd w:id="4"/>
      <w:r w:rsidRPr="0073662E">
        <w:t xml:space="preserve"> </w:t>
      </w:r>
      <w:bookmarkStart w:id="5" w:name="References"/>
      <w:r w:rsidRPr="0073662E">
        <w:t>(COM(2024)0050 – C9-0021/2024 – 2024/0028(COD))</w:t>
      </w:r>
      <w:bookmarkStart w:id="6" w:name="TextBodyBegin"/>
      <w:bookmarkEnd w:id="5"/>
      <w:bookmarkEnd w:id="6"/>
      <w:r w:rsidR="00A25CD4">
        <w:rPr>
          <w:rStyle w:val="FootnoteReference"/>
        </w:rPr>
        <w:footnoteReference w:id="1"/>
      </w:r>
    </w:p>
    <w:p w:rsidR="00A34C97" w:rsidRPr="0073662E" w:rsidRDefault="00A34C97" w:rsidP="00A34C97">
      <w:pPr>
        <w:pStyle w:val="NormalBold"/>
      </w:pPr>
      <w:r w:rsidRPr="0073662E">
        <w:t>(Parastā likumdošanas procedūra: pirmais lasījums)</w:t>
      </w:r>
    </w:p>
    <w:p w:rsidR="00A25CD4" w:rsidRDefault="00A25CD4">
      <w:pPr>
        <w:widowControl/>
        <w:rPr>
          <w:b/>
          <w:noProof/>
        </w:rPr>
      </w:pPr>
      <w:bookmarkStart w:id="7" w:name="TextBodyEnd"/>
      <w:bookmarkEnd w:id="7"/>
      <w:r>
        <w:rPr>
          <w:b/>
          <w:noProof/>
        </w:rPr>
        <w:br w:type="page"/>
      </w:r>
    </w:p>
    <w:p w:rsidR="00A25CD4" w:rsidRPr="00850421" w:rsidRDefault="00A25CD4" w:rsidP="00A25CD4">
      <w:pPr>
        <w:pStyle w:val="AmNumberTabs"/>
      </w:pPr>
      <w:r>
        <w:lastRenderedPageBreak/>
        <w:t>Grozījums Nr.</w:t>
      </w:r>
      <w:r>
        <w:tab/>
      </w:r>
      <w:r>
        <w:tab/>
        <w:t>23 un 26</w:t>
      </w:r>
    </w:p>
    <w:p w:rsidR="00A25CD4" w:rsidRPr="00850421" w:rsidRDefault="00A25CD4" w:rsidP="00A25CD4">
      <w:pPr>
        <w:pStyle w:val="NormalBold12b"/>
      </w:pPr>
      <w:r>
        <w:t>Regulas priekšlikums</w:t>
      </w:r>
    </w:p>
    <w:p w:rsidR="00A25CD4" w:rsidRPr="00850421" w:rsidRDefault="00A25CD4" w:rsidP="00A25CD4">
      <w:pPr>
        <w:pStyle w:val="NormalBold"/>
      </w:pPr>
      <w:r>
        <w:t>11. apsvērums</w:t>
      </w:r>
    </w:p>
    <w:p w:rsidR="00A25CD4" w:rsidRPr="00850421" w:rsidRDefault="00A25CD4" w:rsidP="00A25CD4"/>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5CD4" w:rsidTr="00CC4ABC">
        <w:trPr>
          <w:jc w:val="center"/>
        </w:trPr>
        <w:tc>
          <w:tcPr>
            <w:tcW w:w="9752" w:type="dxa"/>
            <w:gridSpan w:val="2"/>
          </w:tcPr>
          <w:p w:rsidR="00A25CD4" w:rsidRPr="00850421" w:rsidRDefault="00A25CD4" w:rsidP="00CC4ABC">
            <w:pPr>
              <w:keepNext/>
            </w:pPr>
          </w:p>
        </w:tc>
      </w:tr>
      <w:tr w:rsidR="00A25CD4" w:rsidTr="00CC4ABC">
        <w:trPr>
          <w:jc w:val="center"/>
        </w:trPr>
        <w:tc>
          <w:tcPr>
            <w:tcW w:w="4876" w:type="dxa"/>
          </w:tcPr>
          <w:p w:rsidR="00A25CD4" w:rsidRPr="00850421" w:rsidRDefault="00A25CD4" w:rsidP="00CC4ABC">
            <w:pPr>
              <w:pStyle w:val="AmColumnHeading"/>
              <w:keepNext/>
            </w:pPr>
            <w:r>
              <w:t>Komisijas ierosinātais teksts</w:t>
            </w:r>
          </w:p>
        </w:tc>
        <w:tc>
          <w:tcPr>
            <w:tcW w:w="4876" w:type="dxa"/>
          </w:tcPr>
          <w:p w:rsidR="00A25CD4" w:rsidRPr="00850421" w:rsidRDefault="00A25CD4" w:rsidP="00CC4ABC">
            <w:pPr>
              <w:pStyle w:val="AmColumnHeading"/>
              <w:keepNext/>
            </w:pPr>
            <w:r>
              <w:t>Grozījums</w:t>
            </w:r>
          </w:p>
        </w:tc>
      </w:tr>
      <w:tr w:rsidR="00A25CD4" w:rsidTr="00CC4ABC">
        <w:trPr>
          <w:jc w:val="center"/>
        </w:trPr>
        <w:tc>
          <w:tcPr>
            <w:tcW w:w="4876" w:type="dxa"/>
          </w:tcPr>
          <w:p w:rsidR="00A25CD4" w:rsidRPr="00850421" w:rsidRDefault="00A25CD4" w:rsidP="00CC4ABC">
            <w:pPr>
              <w:pStyle w:val="Normal6a"/>
              <w:rPr>
                <w:szCs w:val="24"/>
              </w:rPr>
            </w:pPr>
            <w:r>
              <w:t>(11)</w:t>
            </w:r>
            <w:r>
              <w:tab/>
              <w:t xml:space="preserve">Ņemot vērā novērtējumu, ko Komisija veic saistībā ar šīs regulas ietekmes regulāru uzraudzību un kas uzsākts vai nu pēc pienācīgi pamatota dalībvalsts pieprasījuma, vai pēc Komisijas pašas iniciatīvas, ir jāparedz iespēja veikt jebkādus nepieciešamos pasākumus attiecībā uz tādu ražojumu importu, uz kuriem attiecas šīs regulas darbības joma un kuri nelabvēlīgi ietekmē līdzīgu vai tieši konkurējošu ražojumu tirgu Savienībā vai vienā vai vairākās dalībvalstīs. Mājputnu, olu un </w:t>
            </w:r>
            <w:r>
              <w:rPr>
                <w:b/>
                <w:i/>
              </w:rPr>
              <w:t>cukura</w:t>
            </w:r>
            <w:r>
              <w:t xml:space="preserve"> tirgos pastāv īpaši nestabila situācija, kas var kaitēt Savienības lauksaimniecības produktu ražotājiem, ja imports no Ukrainas palielinātos. Ir lietderīgi ieviest automātisku aizsardzības pasākumu attiecībā uz olām, mājputniem un </w:t>
            </w:r>
            <w:r>
              <w:rPr>
                <w:b/>
                <w:i/>
              </w:rPr>
              <w:t>cukura</w:t>
            </w:r>
            <w:r>
              <w:t xml:space="preserve"> produktiem, kas tiek aktivizēts, ja daudzumi, ko importē saskaņā ar šo regulu, pārsniedz 2022. un 2023. gadā importētā daudzuma vidējo aritmētisko.</w:t>
            </w:r>
          </w:p>
        </w:tc>
        <w:tc>
          <w:tcPr>
            <w:tcW w:w="4876" w:type="dxa"/>
          </w:tcPr>
          <w:p w:rsidR="00A25CD4" w:rsidRPr="00850421" w:rsidRDefault="00A25CD4" w:rsidP="00CC4ABC">
            <w:pPr>
              <w:pStyle w:val="Normal6a"/>
              <w:rPr>
                <w:szCs w:val="24"/>
              </w:rPr>
            </w:pPr>
            <w:r>
              <w:t>(11)</w:t>
            </w:r>
            <w:r>
              <w:tab/>
              <w:t xml:space="preserve">Ņemot vērā novērtējumu, ko Komisija veic saistībā ar šīs regulas ietekmes regulāru uzraudzību un kas uzsākts vai nu pēc pienācīgi pamatota dalībvalsts pieprasījuma, vai pēc Komisijas pašas iniciatīvas, ir jāparedz iespēja veikt jebkādus nepieciešamos pasākumus attiecībā uz tādu ražojumu importu, uz kuriem attiecas šīs regulas darbības joma un kuri nelabvēlīgi ietekmē līdzīgu vai tieši konkurējošu ražojumu tirgu Savienībā vai vienā vai vairākās dalībvalstīs. </w:t>
            </w:r>
            <w:r>
              <w:rPr>
                <w:b/>
                <w:i/>
              </w:rPr>
              <w:t xml:space="preserve">Labības, </w:t>
            </w:r>
            <w:r>
              <w:t>mājputnu, olu</w:t>
            </w:r>
            <w:r>
              <w:rPr>
                <w:b/>
                <w:i/>
              </w:rPr>
              <w:t>, cukura</w:t>
            </w:r>
            <w:r>
              <w:t xml:space="preserve"> un </w:t>
            </w:r>
            <w:r>
              <w:rPr>
                <w:b/>
                <w:i/>
              </w:rPr>
              <w:t>medus</w:t>
            </w:r>
            <w:r>
              <w:t xml:space="preserve"> tirgos pastāv īpaši nestabila situācija, kas var kaitēt Savienības lauksaimniecības produktu ražotājiem, ja imports no Ukrainas palielinātos. Ir lietderīgi ieviest automātisku aizsardzības pasākumu attiecībā uz </w:t>
            </w:r>
            <w:r>
              <w:rPr>
                <w:b/>
                <w:i/>
              </w:rPr>
              <w:t xml:space="preserve">kviešiem, miežiem, auzām, kukurūzu, </w:t>
            </w:r>
            <w:r>
              <w:t>olām, mājputniem</w:t>
            </w:r>
            <w:r>
              <w:rPr>
                <w:b/>
                <w:i/>
              </w:rPr>
              <w:t>, cukura</w:t>
            </w:r>
            <w:r>
              <w:t xml:space="preserve"> un </w:t>
            </w:r>
            <w:r>
              <w:rPr>
                <w:b/>
                <w:i/>
              </w:rPr>
              <w:t>medus</w:t>
            </w:r>
            <w:r>
              <w:t xml:space="preserve"> produktiem, kas tiek aktivizēts, ja daudzumi, ko importē saskaņā ar šo regulu, pārsniedz</w:t>
            </w:r>
            <w:r>
              <w:rPr>
                <w:b/>
                <w:i/>
              </w:rPr>
              <w:t xml:space="preserve"> 2021.,</w:t>
            </w:r>
            <w:r>
              <w:t xml:space="preserve"> 2022. un 2023. gadā importētā daudzuma vidējo aritmētisko.</w:t>
            </w:r>
          </w:p>
        </w:tc>
      </w:tr>
    </w:tbl>
    <w:p w:rsidR="00A25CD4" w:rsidRDefault="00A25CD4" w:rsidP="00A25CD4"/>
    <w:p w:rsidR="00A25CD4" w:rsidRPr="00850421" w:rsidRDefault="00A25CD4" w:rsidP="00A25CD4">
      <w:pPr>
        <w:pStyle w:val="AmNumberTabs"/>
      </w:pPr>
      <w:r>
        <w:t>Grozījums Nr.</w:t>
      </w:r>
      <w:r>
        <w:tab/>
      </w:r>
      <w:r>
        <w:tab/>
        <w:t>24 un 28</w:t>
      </w:r>
    </w:p>
    <w:p w:rsidR="00A25CD4" w:rsidRPr="00850421" w:rsidRDefault="00A25CD4" w:rsidP="00A25CD4">
      <w:pPr>
        <w:pStyle w:val="NormalBold12b"/>
      </w:pPr>
      <w:r>
        <w:t>Regulas priekšlikums</w:t>
      </w:r>
    </w:p>
    <w:p w:rsidR="00A25CD4" w:rsidRPr="00850421" w:rsidRDefault="00A25CD4" w:rsidP="00A25CD4">
      <w:pPr>
        <w:pStyle w:val="NormalBold"/>
      </w:pPr>
      <w:r>
        <w:t>4. pants – 7. punkts</w:t>
      </w:r>
    </w:p>
    <w:p w:rsidR="00A25CD4" w:rsidRPr="00850421" w:rsidRDefault="00A25CD4" w:rsidP="00A25CD4"/>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5CD4" w:rsidTr="00CC4ABC">
        <w:trPr>
          <w:jc w:val="center"/>
        </w:trPr>
        <w:tc>
          <w:tcPr>
            <w:tcW w:w="9752" w:type="dxa"/>
            <w:gridSpan w:val="2"/>
          </w:tcPr>
          <w:p w:rsidR="00A25CD4" w:rsidRPr="00850421" w:rsidRDefault="00A25CD4" w:rsidP="00CC4ABC">
            <w:pPr>
              <w:keepNext/>
            </w:pPr>
          </w:p>
        </w:tc>
      </w:tr>
      <w:tr w:rsidR="00A25CD4" w:rsidTr="00CC4ABC">
        <w:trPr>
          <w:jc w:val="center"/>
        </w:trPr>
        <w:tc>
          <w:tcPr>
            <w:tcW w:w="4876" w:type="dxa"/>
          </w:tcPr>
          <w:p w:rsidR="00A25CD4" w:rsidRPr="00850421" w:rsidRDefault="00A25CD4" w:rsidP="00CC4ABC">
            <w:pPr>
              <w:pStyle w:val="AmColumnHeading"/>
              <w:keepNext/>
            </w:pPr>
            <w:r>
              <w:t>Komisijas ierosinātais teksts</w:t>
            </w:r>
          </w:p>
        </w:tc>
        <w:tc>
          <w:tcPr>
            <w:tcW w:w="4876" w:type="dxa"/>
          </w:tcPr>
          <w:p w:rsidR="00A25CD4" w:rsidRPr="00850421" w:rsidRDefault="00A25CD4" w:rsidP="00CC4ABC">
            <w:pPr>
              <w:pStyle w:val="AmColumnHeading"/>
              <w:keepNext/>
            </w:pPr>
            <w:r>
              <w:t>Grozījums</w:t>
            </w:r>
          </w:p>
        </w:tc>
      </w:tr>
      <w:tr w:rsidR="00A25CD4" w:rsidTr="00CC4ABC">
        <w:trPr>
          <w:jc w:val="center"/>
        </w:trPr>
        <w:tc>
          <w:tcPr>
            <w:tcW w:w="4876" w:type="dxa"/>
          </w:tcPr>
          <w:p w:rsidR="00A25CD4" w:rsidRPr="00850421" w:rsidRDefault="00A25CD4" w:rsidP="00CC4ABC">
            <w:pPr>
              <w:pStyle w:val="Normal6a"/>
              <w:rPr>
                <w:szCs w:val="24"/>
              </w:rPr>
            </w:pPr>
            <w:r>
              <w:t>7.</w:t>
            </w:r>
            <w:r>
              <w:tab/>
              <w:t>Ja laikposmā no 2024. gada 6. jūnija līdz 31. decembrim olu, mājputnu vai cukura kumulatīvie importa apjomi kopš 2024. gada 1. janvāra sasniedz attiecīgo 2022.</w:t>
            </w:r>
            <w:r>
              <w:rPr>
                <w:b/>
                <w:i/>
              </w:rPr>
              <w:t> </w:t>
            </w:r>
            <w:r>
              <w:t xml:space="preserve">un 2023. gadā importētā daudzuma vidējo aritmētisko, Komisija </w:t>
            </w:r>
            <w:r>
              <w:rPr>
                <w:b/>
                <w:i/>
              </w:rPr>
              <w:t>21</w:t>
            </w:r>
            <w:r>
              <w:t> </w:t>
            </w:r>
            <w:r>
              <w:rPr>
                <w:b/>
                <w:i/>
              </w:rPr>
              <w:t>dienas</w:t>
            </w:r>
            <w:r>
              <w:t xml:space="preserve"> laikā pēc tam, kad tā informējusi ar Regulas (ES) 2015/478 3. panta </w:t>
            </w:r>
            <w:r>
              <w:lastRenderedPageBreak/>
              <w:t xml:space="preserve">1. punktu izveidoto Aizsardzības pasākumu komiteju: </w:t>
            </w:r>
          </w:p>
        </w:tc>
        <w:tc>
          <w:tcPr>
            <w:tcW w:w="4876" w:type="dxa"/>
          </w:tcPr>
          <w:p w:rsidR="00A25CD4" w:rsidRPr="00850421" w:rsidRDefault="00A25CD4" w:rsidP="00CC4ABC">
            <w:pPr>
              <w:pStyle w:val="Normal6a"/>
              <w:rPr>
                <w:szCs w:val="24"/>
              </w:rPr>
            </w:pPr>
            <w:r>
              <w:lastRenderedPageBreak/>
              <w:t xml:space="preserve">7. </w:t>
            </w:r>
            <w:r>
              <w:tab/>
              <w:t xml:space="preserve">Ja laikposmā no 2024. gada 6. jūnija līdz 31. decembrim </w:t>
            </w:r>
            <w:r>
              <w:rPr>
                <w:b/>
                <w:i/>
              </w:rPr>
              <w:t xml:space="preserve">parasto kviešu, kviešu miltu un </w:t>
            </w:r>
            <w:proofErr w:type="spellStart"/>
            <w:r>
              <w:rPr>
                <w:b/>
                <w:i/>
              </w:rPr>
              <w:t>ekstrudēto</w:t>
            </w:r>
            <w:proofErr w:type="spellEnd"/>
            <w:r>
              <w:rPr>
                <w:b/>
                <w:i/>
              </w:rPr>
              <w:t xml:space="preserve"> granulu, miežu, miežu miltu un </w:t>
            </w:r>
            <w:proofErr w:type="spellStart"/>
            <w:r>
              <w:rPr>
                <w:b/>
                <w:i/>
              </w:rPr>
              <w:t>ekstrudēto</w:t>
            </w:r>
            <w:proofErr w:type="spellEnd"/>
            <w:r>
              <w:rPr>
                <w:b/>
                <w:i/>
              </w:rPr>
              <w:t xml:space="preserve"> granulu, auzu, kukurūzas, kukurūzas miltu un </w:t>
            </w:r>
            <w:proofErr w:type="spellStart"/>
            <w:r>
              <w:rPr>
                <w:b/>
                <w:i/>
              </w:rPr>
              <w:t>ekstrudēto</w:t>
            </w:r>
            <w:proofErr w:type="spellEnd"/>
            <w:r>
              <w:rPr>
                <w:b/>
                <w:i/>
              </w:rPr>
              <w:t xml:space="preserve"> granulu, miežu putraimu un rupja maluma miltu, citādi apstrādātu labības graudu, medus, </w:t>
            </w:r>
            <w:r>
              <w:lastRenderedPageBreak/>
              <w:t xml:space="preserve">olu, mājputnu vai cukura kumulatīvie importa apjomi kopš 2024. gada 1. janvāra sasniedz attiecīgo </w:t>
            </w:r>
            <w:r>
              <w:rPr>
                <w:b/>
                <w:i/>
              </w:rPr>
              <w:t xml:space="preserve">2021., </w:t>
            </w:r>
            <w:r>
              <w:t>2022.</w:t>
            </w:r>
            <w:r>
              <w:rPr>
                <w:b/>
                <w:i/>
              </w:rPr>
              <w:t xml:space="preserve"> </w:t>
            </w:r>
            <w:r>
              <w:t xml:space="preserve">un 2023. gadā importētā daudzuma vidējo aritmētisko, Komisija </w:t>
            </w:r>
            <w:r>
              <w:rPr>
                <w:b/>
                <w:i/>
              </w:rPr>
              <w:t>14</w:t>
            </w:r>
            <w:r>
              <w:t> </w:t>
            </w:r>
            <w:r>
              <w:rPr>
                <w:b/>
                <w:i/>
              </w:rPr>
              <w:t>dienu</w:t>
            </w:r>
            <w:r>
              <w:t xml:space="preserve"> laikā pēc tam, kad tā informējusi ar Regulas (ES) 2015/478 3. panta 1. punktu izveidoto Aizsardzības pasākumu komiteju: </w:t>
            </w:r>
          </w:p>
        </w:tc>
      </w:tr>
      <w:tr w:rsidR="00A25CD4" w:rsidTr="00CC4ABC">
        <w:trPr>
          <w:jc w:val="center"/>
        </w:trPr>
        <w:tc>
          <w:tcPr>
            <w:tcW w:w="4876" w:type="dxa"/>
          </w:tcPr>
          <w:p w:rsidR="00A25CD4" w:rsidRPr="00850421" w:rsidRDefault="00A25CD4" w:rsidP="00CC4ABC">
            <w:pPr>
              <w:pStyle w:val="Normal6a"/>
              <w:rPr>
                <w:szCs w:val="24"/>
              </w:rPr>
            </w:pPr>
            <w:r>
              <w:lastRenderedPageBreak/>
              <w:t xml:space="preserve">a) </w:t>
            </w:r>
            <w:r>
              <w:tab/>
              <w:t xml:space="preserve">attiecīgajam ražojumam no jauna ievieš attiecīgo tarifa kvotu līdz 2024. gada 31. decembrim, kas apturēta ar 1. panta 1. punkta b) apakšpunktu; un </w:t>
            </w:r>
          </w:p>
        </w:tc>
        <w:tc>
          <w:tcPr>
            <w:tcW w:w="4876" w:type="dxa"/>
          </w:tcPr>
          <w:p w:rsidR="00A25CD4" w:rsidRPr="00850421" w:rsidRDefault="00A25CD4" w:rsidP="00CC4ABC">
            <w:pPr>
              <w:pStyle w:val="Normal6a"/>
              <w:rPr>
                <w:szCs w:val="24"/>
              </w:rPr>
            </w:pPr>
            <w:r>
              <w:t xml:space="preserve">a) </w:t>
            </w:r>
            <w:r>
              <w:tab/>
              <w:t>attiecīgajam ražojumam no jauna ievieš attiecīgo tarifa kvotu līdz 2024. gada 31. decembrim, kas apturēta ar 1. panta 1. punkta b) apakšpunktu; un</w:t>
            </w:r>
          </w:p>
        </w:tc>
      </w:tr>
      <w:tr w:rsidR="00A25CD4" w:rsidTr="00CC4ABC">
        <w:trPr>
          <w:jc w:val="center"/>
        </w:trPr>
        <w:tc>
          <w:tcPr>
            <w:tcW w:w="4876" w:type="dxa"/>
          </w:tcPr>
          <w:p w:rsidR="00A25CD4" w:rsidRPr="00850421" w:rsidRDefault="00A25CD4" w:rsidP="00CC4ABC">
            <w:pPr>
              <w:pStyle w:val="Normal6a"/>
              <w:rPr>
                <w:szCs w:val="24"/>
              </w:rPr>
            </w:pPr>
            <w:r>
              <w:t>b)</w:t>
            </w:r>
            <w:r>
              <w:tab/>
              <w:t xml:space="preserve"> no 2025. gada 1. janvāra ievieš vai nu tarifa kvotu, kas ir vienāda ar piecām divpadsmitajām daļām no minētā vidējā aritmētiskā, vai attiecīgo tarifa kvotu, kas apturēta ar 1. panta 1. punkta b) apakšpunktu, atkarībā no tā, kura ir lielāka. </w:t>
            </w:r>
          </w:p>
        </w:tc>
        <w:tc>
          <w:tcPr>
            <w:tcW w:w="4876" w:type="dxa"/>
          </w:tcPr>
          <w:p w:rsidR="00A25CD4" w:rsidRPr="00850421" w:rsidRDefault="00A25CD4" w:rsidP="00CC4ABC">
            <w:pPr>
              <w:pStyle w:val="Normal6a"/>
              <w:rPr>
                <w:szCs w:val="24"/>
              </w:rPr>
            </w:pPr>
            <w:bookmarkStart w:id="8" w:name="_GoBack"/>
            <w:bookmarkEnd w:id="8"/>
            <w:r>
              <w:t>b)</w:t>
            </w:r>
            <w:r>
              <w:tab/>
              <w:t xml:space="preserve"> no 2025. gada 1. janvāra ievieš vai nu tarifa kvotu, kas ir vienāda ar piecām divpadsmitajām daļām no minētā vidējā aritmētiskā, vai attiecīgo tarifa kvotu, kas apturēta ar 1. panta 1. punkta b) apakšpunktu, atkarībā no tā, kura ir lielāka.</w:t>
            </w:r>
          </w:p>
        </w:tc>
      </w:tr>
      <w:tr w:rsidR="00A25CD4" w:rsidTr="00CC4ABC">
        <w:trPr>
          <w:jc w:val="center"/>
        </w:trPr>
        <w:tc>
          <w:tcPr>
            <w:tcW w:w="4876" w:type="dxa"/>
          </w:tcPr>
          <w:p w:rsidR="00A25CD4" w:rsidRPr="00850421" w:rsidRDefault="00A25CD4" w:rsidP="00CC4ABC">
            <w:pPr>
              <w:pStyle w:val="Normal6a"/>
              <w:rPr>
                <w:szCs w:val="24"/>
              </w:rPr>
            </w:pPr>
            <w:r>
              <w:t xml:space="preserve">Ja laikposmā no 2025. gada 1. janvāra līdz 5. jūnijam olu, mājputnu vai cukura kumulatīvie importa apjomi laikposmā kopš 2025. gada 1. janvāra sasniedz piecas divpadsmitās daļas no attiecīgā 2022. un 2023. gadā importētā apjoma vidējā aritmētiskā, Komisija </w:t>
            </w:r>
            <w:r>
              <w:rPr>
                <w:b/>
                <w:i/>
              </w:rPr>
              <w:t>21</w:t>
            </w:r>
            <w:r>
              <w:t> </w:t>
            </w:r>
            <w:r>
              <w:rPr>
                <w:b/>
                <w:i/>
              </w:rPr>
              <w:t>dienas</w:t>
            </w:r>
            <w:r>
              <w:t xml:space="preserve"> laikā pēc tam, kad tā informējusi Aizsardzības pasākumu komiteju, attiecīgajam ražojumam no jauna ievieš attiecīgo tarifa kvotu, kas apturēta saskaņā ar 1. panta 1. punkta b) apakšpunktu. </w:t>
            </w:r>
          </w:p>
        </w:tc>
        <w:tc>
          <w:tcPr>
            <w:tcW w:w="4876" w:type="dxa"/>
          </w:tcPr>
          <w:p w:rsidR="00A25CD4" w:rsidRPr="00850421" w:rsidRDefault="00A25CD4" w:rsidP="00CC4ABC">
            <w:pPr>
              <w:pStyle w:val="Normal6a"/>
              <w:rPr>
                <w:szCs w:val="24"/>
              </w:rPr>
            </w:pPr>
            <w:r>
              <w:t xml:space="preserve">Ja laikposmā no 2025. gada 1. janvāra līdz 5. jūnijam </w:t>
            </w:r>
            <w:r>
              <w:rPr>
                <w:b/>
                <w:i/>
              </w:rPr>
              <w:t xml:space="preserve">parasto kviešu, kviešu miltu un </w:t>
            </w:r>
            <w:proofErr w:type="spellStart"/>
            <w:r>
              <w:rPr>
                <w:b/>
                <w:i/>
              </w:rPr>
              <w:t>ekstrudēto</w:t>
            </w:r>
            <w:proofErr w:type="spellEnd"/>
            <w:r>
              <w:rPr>
                <w:b/>
                <w:i/>
              </w:rPr>
              <w:t xml:space="preserve"> granulu, miežu, miežu miltu un </w:t>
            </w:r>
            <w:proofErr w:type="spellStart"/>
            <w:r>
              <w:rPr>
                <w:b/>
                <w:i/>
              </w:rPr>
              <w:t>ekstrudēto</w:t>
            </w:r>
            <w:proofErr w:type="spellEnd"/>
            <w:r>
              <w:rPr>
                <w:b/>
                <w:i/>
              </w:rPr>
              <w:t xml:space="preserve"> granulu, auzu, kukurūzas, kukurūzas miltu un </w:t>
            </w:r>
            <w:proofErr w:type="spellStart"/>
            <w:r>
              <w:rPr>
                <w:b/>
                <w:i/>
              </w:rPr>
              <w:t>ekstrudēto</w:t>
            </w:r>
            <w:proofErr w:type="spellEnd"/>
            <w:r>
              <w:rPr>
                <w:b/>
                <w:i/>
              </w:rPr>
              <w:t xml:space="preserve"> granulu, miežu putraimu un rupja maluma miltu, citādi apstrādātu labības graudu, medus, </w:t>
            </w:r>
            <w:r>
              <w:t xml:space="preserve">olu, mājputnu vai cukura kumulatīvie importa apjomi laikposmā kopš 2025. gada 1. janvāra sasniedz piecas divpadsmitās daļas no attiecīgā </w:t>
            </w:r>
            <w:r>
              <w:rPr>
                <w:b/>
                <w:i/>
              </w:rPr>
              <w:t xml:space="preserve">2021., </w:t>
            </w:r>
            <w:r>
              <w:t xml:space="preserve">2022. un 2023. gadā importētā apjoma vidējā aritmētiskā, Komisija </w:t>
            </w:r>
            <w:r>
              <w:rPr>
                <w:b/>
                <w:i/>
              </w:rPr>
              <w:t>14</w:t>
            </w:r>
            <w:r>
              <w:t> </w:t>
            </w:r>
            <w:r>
              <w:rPr>
                <w:b/>
                <w:i/>
              </w:rPr>
              <w:t>dienu</w:t>
            </w:r>
            <w:r>
              <w:t xml:space="preserve"> laikā pēc tam, kad tā informējusi Aizsardzības pasākumu komiteju, attiecīgajam ražojumam no jauna ievieš attiecīgo tarifa kvotu, kas apturēta saskaņā ar 1. panta 1. punkta b) apakšpunktu. </w:t>
            </w:r>
          </w:p>
        </w:tc>
      </w:tr>
      <w:tr w:rsidR="00A25CD4" w:rsidTr="00CC4ABC">
        <w:trPr>
          <w:jc w:val="center"/>
        </w:trPr>
        <w:tc>
          <w:tcPr>
            <w:tcW w:w="4876" w:type="dxa"/>
          </w:tcPr>
          <w:p w:rsidR="00A25CD4" w:rsidRPr="00850421" w:rsidRDefault="00A25CD4" w:rsidP="00CC4ABC">
            <w:pPr>
              <w:pStyle w:val="Normal6a"/>
              <w:rPr>
                <w:szCs w:val="24"/>
              </w:rPr>
            </w:pPr>
            <w:r>
              <w:t xml:space="preserve">Šajā punktā termini </w:t>
            </w:r>
            <w:r>
              <w:rPr>
                <w:b/>
                <w:i/>
              </w:rPr>
              <w:t>“olas</w:t>
            </w:r>
            <w:r>
              <w:t xml:space="preserve">, mājputni un cukurs” attiecas uz visiem ražojumiem, uz kuriem attiecas tarifa kvotas Asociācijas nolīguma I-A pielikuma papildinājumā attiecīgi attiecībā uz olām un albumīniem, mājputnu gaļu un mājputnu gaļas izstrādājumiem, kā arī cukuriem, un vidējo aritmētisko aprēķina, 2022. un 2023. gada importa apjoma summu dalot ar </w:t>
            </w:r>
            <w:r>
              <w:rPr>
                <w:b/>
                <w:i/>
              </w:rPr>
              <w:t>divi</w:t>
            </w:r>
            <w:r>
              <w:t>.</w:t>
            </w:r>
          </w:p>
        </w:tc>
        <w:tc>
          <w:tcPr>
            <w:tcW w:w="4876" w:type="dxa"/>
          </w:tcPr>
          <w:p w:rsidR="00A25CD4" w:rsidRPr="00850421" w:rsidRDefault="00A25CD4" w:rsidP="00CC4ABC">
            <w:pPr>
              <w:pStyle w:val="Normal6a"/>
              <w:rPr>
                <w:szCs w:val="24"/>
              </w:rPr>
            </w:pPr>
            <w:r>
              <w:t xml:space="preserve">Šajā punktā termini </w:t>
            </w:r>
            <w:r>
              <w:rPr>
                <w:b/>
                <w:i/>
              </w:rPr>
              <w:t xml:space="preserve">“parastie kvieši, to milti un </w:t>
            </w:r>
            <w:proofErr w:type="spellStart"/>
            <w:r>
              <w:rPr>
                <w:b/>
                <w:i/>
              </w:rPr>
              <w:t>ekstrudētās</w:t>
            </w:r>
            <w:proofErr w:type="spellEnd"/>
            <w:r>
              <w:rPr>
                <w:b/>
                <w:i/>
              </w:rPr>
              <w:t xml:space="preserve"> granulas, mieži, to milti un </w:t>
            </w:r>
            <w:proofErr w:type="spellStart"/>
            <w:r>
              <w:rPr>
                <w:b/>
                <w:i/>
              </w:rPr>
              <w:t>ekstrudētās</w:t>
            </w:r>
            <w:proofErr w:type="spellEnd"/>
            <w:r>
              <w:rPr>
                <w:b/>
                <w:i/>
              </w:rPr>
              <w:t xml:space="preserve"> granulas, auzas, kukurūza, tās milti un </w:t>
            </w:r>
            <w:proofErr w:type="spellStart"/>
            <w:r>
              <w:rPr>
                <w:b/>
                <w:i/>
              </w:rPr>
              <w:t>ekstrudētās</w:t>
            </w:r>
            <w:proofErr w:type="spellEnd"/>
            <w:r>
              <w:rPr>
                <w:b/>
                <w:i/>
              </w:rPr>
              <w:t xml:space="preserve"> granulas, miežu putraimi un rupja maluma milti, citādi apstrādāti labības graudi, medus, olas</w:t>
            </w:r>
            <w:r>
              <w:t xml:space="preserve">, mājputni un cukurs” attiecas uz visiem ražojumiem, uz kuriem attiecas tarifa kvotas Asociācijas nolīguma I-A pielikuma papildinājumā attiecīgi attiecībā uz </w:t>
            </w:r>
            <w:r>
              <w:rPr>
                <w:b/>
                <w:i/>
              </w:rPr>
              <w:t xml:space="preserve">parastajiem kviešiem, to miltiem un </w:t>
            </w:r>
            <w:proofErr w:type="spellStart"/>
            <w:r>
              <w:rPr>
                <w:b/>
                <w:i/>
              </w:rPr>
              <w:t>ekstrudētajām</w:t>
            </w:r>
            <w:proofErr w:type="spellEnd"/>
            <w:r>
              <w:rPr>
                <w:b/>
                <w:i/>
              </w:rPr>
              <w:t xml:space="preserve"> granulām, </w:t>
            </w:r>
            <w:r>
              <w:rPr>
                <w:b/>
                <w:i/>
              </w:rPr>
              <w:lastRenderedPageBreak/>
              <w:t xml:space="preserve">miežiem, to miltiem un </w:t>
            </w:r>
            <w:proofErr w:type="spellStart"/>
            <w:r>
              <w:rPr>
                <w:b/>
                <w:i/>
              </w:rPr>
              <w:t>ekstrudētajām</w:t>
            </w:r>
            <w:proofErr w:type="spellEnd"/>
            <w:r>
              <w:rPr>
                <w:b/>
                <w:i/>
              </w:rPr>
              <w:t xml:space="preserve"> granulām, auzām, kukurūzu, tās miltiem un </w:t>
            </w:r>
            <w:proofErr w:type="spellStart"/>
            <w:r>
              <w:rPr>
                <w:b/>
                <w:i/>
              </w:rPr>
              <w:t>ekstrudētajām</w:t>
            </w:r>
            <w:proofErr w:type="spellEnd"/>
            <w:r>
              <w:rPr>
                <w:b/>
                <w:i/>
              </w:rPr>
              <w:t xml:space="preserve"> granulām, miežu putraimiem un rupja maluma miltiem, citādi apstrādātiem labības graudiem, medu, </w:t>
            </w:r>
            <w:r>
              <w:t xml:space="preserve">olām un albumīniem, mājputnu gaļu un mājputnu gaļas izstrādājumiem, kā arī cukuriem, un vidējo aritmētisko aprēķina, </w:t>
            </w:r>
            <w:r>
              <w:rPr>
                <w:b/>
                <w:i/>
              </w:rPr>
              <w:t xml:space="preserve">2021., </w:t>
            </w:r>
            <w:r>
              <w:t xml:space="preserve">2022. un 2023. gada importa apjoma summu dalot ar </w:t>
            </w:r>
            <w:r>
              <w:rPr>
                <w:b/>
                <w:i/>
              </w:rPr>
              <w:t>trīs</w:t>
            </w:r>
            <w:r>
              <w:t>.</w:t>
            </w:r>
          </w:p>
        </w:tc>
      </w:tr>
    </w:tbl>
    <w:p w:rsidR="00A25CD4" w:rsidRDefault="00A25CD4" w:rsidP="00A25CD4"/>
    <w:p w:rsidR="00E365E1" w:rsidRPr="0073662E" w:rsidRDefault="00E365E1" w:rsidP="00A25CD4"/>
    <w:sectPr w:rsidR="00E365E1" w:rsidRPr="0073662E" w:rsidSect="00E225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1A4" w:rsidRPr="00E22550" w:rsidRDefault="00AD11A4">
      <w:r w:rsidRPr="00E22550">
        <w:separator/>
      </w:r>
    </w:p>
  </w:endnote>
  <w:endnote w:type="continuationSeparator" w:id="0">
    <w:p w:rsidR="00AD11A4" w:rsidRPr="00E22550" w:rsidRDefault="00AD11A4">
      <w:r w:rsidRPr="00E225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25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25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25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1A4" w:rsidRPr="00E22550" w:rsidRDefault="00AD11A4">
      <w:r w:rsidRPr="00E22550">
        <w:separator/>
      </w:r>
    </w:p>
  </w:footnote>
  <w:footnote w:type="continuationSeparator" w:id="0">
    <w:p w:rsidR="00AD11A4" w:rsidRPr="00E22550" w:rsidRDefault="00AD11A4">
      <w:r w:rsidRPr="00E22550">
        <w:continuationSeparator/>
      </w:r>
    </w:p>
  </w:footnote>
  <w:footnote w:id="1">
    <w:p w:rsidR="00A25CD4" w:rsidRPr="00757E54" w:rsidRDefault="00A25CD4" w:rsidP="00A25CD4">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59</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(A9-</w:t>
      </w:r>
      <w:r w:rsidRPr="00FC687C">
        <w:rPr>
          <w:lang w:val="hu-HU"/>
        </w:rPr>
        <w:t>0</w:t>
      </w:r>
      <w:r>
        <w:rPr>
          <w:lang w:val="hu-HU"/>
        </w:rPr>
        <w:t>077</w:t>
      </w:r>
      <w:r w:rsidRPr="00FC687C">
        <w:rPr>
          <w:lang w:val="hu-HU"/>
        </w:rPr>
        <w:t>/20</w:t>
      </w:r>
      <w:r>
        <w:rPr>
          <w:lang w:val="hu-HU"/>
        </w:rPr>
        <w:t>24)</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25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25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25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LV"/>
    <w:docVar w:name="dvnumam" w:val="26"/>
    <w:docVar w:name="dvpe" w:val="758.681"/>
    <w:docVar w:name="dvrapporteur" w:val="Referente: "/>
    <w:docVar w:name="dvstar" w:val="***I"/>
    <w:docVar w:name="dvtitre" w:val="Eiropas Parlamenta 2024. gada XX. XXX normatīvā rezolūcija par priekšlikumu Eiropas Parlamenta un Padomes regulai par pagaidu tirdzniecības liberalizācijas pasākumiem, kuri papildina tirdzniecības koncesijas, kas Ukrainas ražojumiem piemērojamas saskaņā ar Asociācijas nolīgumu starp Eiropas Savienību un Eiropas Atomenerģijas kopienu un to dalībvalstīm, no vienas puses, un Ukrainu, no otras puses(COM(2024)0050 – C9-0021/2024 – 2024/0028(COD))"/>
  </w:docVars>
  <w:rsids>
    <w:rsidRoot w:val="00AD11A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116E"/>
    <w:rsid w:val="00731ADD"/>
    <w:rsid w:val="00734777"/>
    <w:rsid w:val="0073662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5CD4"/>
    <w:rsid w:val="00A34C97"/>
    <w:rsid w:val="00A43E52"/>
    <w:rsid w:val="00A4678D"/>
    <w:rsid w:val="00A778C7"/>
    <w:rsid w:val="00AB441E"/>
    <w:rsid w:val="00AB6293"/>
    <w:rsid w:val="00AD11A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7BD5"/>
    <w:rsid w:val="00D37F39"/>
    <w:rsid w:val="00D56C11"/>
    <w:rsid w:val="00D834A0"/>
    <w:rsid w:val="00D872DF"/>
    <w:rsid w:val="00D91E21"/>
    <w:rsid w:val="00DA7FCD"/>
    <w:rsid w:val="00E2255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AE856"/>
  <w15:chartTrackingRefBased/>
  <w15:docId w15:val="{0361A649-4F9E-49B3-800D-7B11112F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1,Footnote Text Char2 Char Char Char Char,Footnote Text Char1 Char Char Char Char Char,fn Char,f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4C97"/>
    <w:pPr>
      <w:spacing w:before="480" w:after="240"/>
    </w:pPr>
  </w:style>
  <w:style w:type="paragraph" w:customStyle="1" w:styleId="NormalBold">
    <w:name w:val="NormalBold"/>
    <w:basedOn w:val="Normal"/>
    <w:link w:val="NormalBoldChar"/>
    <w:rsid w:val="00A34C97"/>
    <w:rPr>
      <w:b/>
    </w:rPr>
  </w:style>
  <w:style w:type="paragraph" w:customStyle="1" w:styleId="NormalBold12a">
    <w:name w:val="NormalBold12a"/>
    <w:basedOn w:val="Normal"/>
    <w:rsid w:val="00A34C97"/>
    <w:pPr>
      <w:spacing w:after="240"/>
    </w:pPr>
    <w:rPr>
      <w:b/>
    </w:rPr>
  </w:style>
  <w:style w:type="paragraph" w:customStyle="1" w:styleId="NormalHanging12a">
    <w:name w:val="NormalHanging12a"/>
    <w:basedOn w:val="Normal"/>
    <w:rsid w:val="00A34C97"/>
    <w:pPr>
      <w:spacing w:after="240"/>
      <w:ind w:left="567" w:hanging="567"/>
    </w:pPr>
  </w:style>
  <w:style w:type="character" w:customStyle="1" w:styleId="NormalBoldChar">
    <w:name w:val="NormalBold Char"/>
    <w:basedOn w:val="DefaultParagraphFont"/>
    <w:link w:val="NormalBold"/>
    <w:locked/>
    <w:rsid w:val="00A34C97"/>
    <w:rPr>
      <w:b/>
      <w:sz w:val="24"/>
      <w:lang w:val="lv-LV"/>
    </w:rPr>
  </w:style>
  <w:style w:type="paragraph" w:customStyle="1" w:styleId="Normal12Hanging">
    <w:name w:val="Normal12Hanging"/>
    <w:basedOn w:val="Normal"/>
    <w:qFormat/>
    <w:rsid w:val="00D37BD5"/>
    <w:pPr>
      <w:widowControl/>
      <w:spacing w:before="120" w:after="120" w:line="360" w:lineRule="auto"/>
      <w:ind w:left="720" w:hanging="720"/>
      <w:jc w:val="both"/>
    </w:pPr>
    <w:rPr>
      <w:rFonts w:eastAsiaTheme="minorHAnsi"/>
      <w:szCs w:val="22"/>
      <w:lang w:eastAsia="en-US"/>
    </w:rPr>
  </w:style>
  <w:style w:type="paragraph" w:styleId="BalloonText">
    <w:name w:val="Balloon Text"/>
    <w:basedOn w:val="Normal"/>
    <w:link w:val="BalloonTextChar"/>
    <w:rsid w:val="00D37BD5"/>
    <w:rPr>
      <w:rFonts w:ascii="Segoe UI" w:hAnsi="Segoe UI" w:cs="Segoe UI"/>
      <w:sz w:val="18"/>
      <w:szCs w:val="18"/>
    </w:rPr>
  </w:style>
  <w:style w:type="character" w:customStyle="1" w:styleId="BalloonTextChar">
    <w:name w:val="Balloon Text Char"/>
    <w:basedOn w:val="DefaultParagraphFont"/>
    <w:link w:val="BalloonText"/>
    <w:rsid w:val="00D37BD5"/>
    <w:rPr>
      <w:rFonts w:ascii="Segoe UI" w:hAnsi="Segoe UI" w:cs="Segoe UI"/>
      <w:sz w:val="18"/>
      <w:szCs w:val="18"/>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A25CD4"/>
    <w:pPr>
      <w:widowControl/>
      <w:spacing w:after="160" w:line="240" w:lineRule="exact"/>
    </w:pPr>
    <w:rPr>
      <w:sz w:val="20"/>
      <w:vertAlign w:val="superscript"/>
      <w:lang w:val="en-GB"/>
    </w:rPr>
  </w:style>
  <w:style w:type="paragraph" w:customStyle="1" w:styleId="Normal6a">
    <w:name w:val="Normal6a"/>
    <w:basedOn w:val="Normal"/>
    <w:rsid w:val="00A25CD4"/>
    <w:pPr>
      <w:spacing w:after="120"/>
    </w:pPr>
  </w:style>
  <w:style w:type="paragraph" w:customStyle="1" w:styleId="AmColumnHeading">
    <w:name w:val="AmColumnHeading"/>
    <w:basedOn w:val="Normal"/>
    <w:rsid w:val="00A25CD4"/>
    <w:pPr>
      <w:spacing w:after="240"/>
      <w:jc w:val="center"/>
    </w:pPr>
    <w:rPr>
      <w:i/>
    </w:rPr>
  </w:style>
  <w:style w:type="paragraph" w:customStyle="1" w:styleId="AmNumberTabs">
    <w:name w:val="AmNumberTabs"/>
    <w:basedOn w:val="Normal"/>
    <w:rsid w:val="00A25C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25CD4"/>
    <w:pPr>
      <w:spacing w:before="240"/>
    </w:pPr>
    <w:rPr>
      <w:b/>
    </w:rPr>
  </w:style>
  <w:style w:type="character" w:customStyle="1" w:styleId="NormalBold12bChar">
    <w:name w:val="NormalBold12b Char"/>
    <w:basedOn w:val="DefaultParagraphFont"/>
    <w:link w:val="NormalBold12b"/>
    <w:rsid w:val="00A25CD4"/>
    <w:rPr>
      <w:b/>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8C25A-3CEE-4FFB-999F-6F1EE342E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6037</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2024-03-13T19:24:00Z</dcterms:created>
  <dcterms:modified xsi:type="dcterms:W3CDTF">2024-03-13T19:24:00Z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A9-0077/2024</vt:lpwstr>
  </property>
  <property fmtid="{D5CDD505-2E9C-101B-9397-08002B2CF9AE}" pid="4" name="&lt;Type&gt;">
    <vt:lpwstr>RR</vt:lpwstr>
  </property>
  <property fmtid="{D5CDD505-2E9C-101B-9397-08002B2CF9AE}" pid="5" name="&lt;Model&gt;">
    <vt:lpwstr/>
  </property>
</Properties>
</file>