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A7E" w:rsidTr="0010095E">
        <w:trPr>
          <w:trHeight w:hRule="exact" w:val="1418"/>
        </w:trPr>
        <w:tc>
          <w:tcPr>
            <w:tcW w:w="6804" w:type="dxa"/>
            <w:shd w:val="clear" w:color="auto" w:fill="auto"/>
            <w:vAlign w:val="center"/>
          </w:tcPr>
          <w:p w:rsidR="00751A4A" w:rsidRPr="00EE0A7E" w:rsidRDefault="005A28AC" w:rsidP="0010095E">
            <w:pPr>
              <w:pStyle w:val="EPName"/>
            </w:pPr>
            <w:bookmarkStart w:id="0" w:name="_GoBack"/>
            <w:bookmarkEnd w:id="0"/>
            <w:r w:rsidRPr="00EE0A7E">
              <w:t>Parlament Europejski</w:t>
            </w:r>
          </w:p>
          <w:p w:rsidR="00751A4A" w:rsidRPr="00EE0A7E" w:rsidRDefault="00817416" w:rsidP="00756632">
            <w:pPr>
              <w:pStyle w:val="EPTerm"/>
              <w:rPr>
                <w:rStyle w:val="HideTWBExt"/>
                <w:noProof w:val="0"/>
                <w:vanish w:val="0"/>
                <w:color w:val="auto"/>
              </w:rPr>
            </w:pPr>
            <w:r w:rsidRPr="00EE0A7E">
              <w:t>2019-2024</w:t>
            </w:r>
          </w:p>
        </w:tc>
        <w:tc>
          <w:tcPr>
            <w:tcW w:w="2268" w:type="dxa"/>
            <w:shd w:val="clear" w:color="auto" w:fill="auto"/>
          </w:tcPr>
          <w:p w:rsidR="00751A4A" w:rsidRPr="00EE0A7E" w:rsidRDefault="00187494" w:rsidP="0010095E">
            <w:pPr>
              <w:pStyle w:val="EPLogo"/>
            </w:pPr>
            <w:r w:rsidRPr="00EE0A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0A7E" w:rsidRDefault="00D058B8" w:rsidP="004C5D52">
      <w:pPr>
        <w:pStyle w:val="LineTop"/>
      </w:pPr>
    </w:p>
    <w:p w:rsidR="00680577" w:rsidRPr="00EE0A7E" w:rsidRDefault="005A28AC" w:rsidP="00680577">
      <w:pPr>
        <w:pStyle w:val="EPBodyTA1"/>
      </w:pPr>
      <w:r w:rsidRPr="00EE0A7E">
        <w:t>TEKSTY PRZYJĘTE</w:t>
      </w:r>
    </w:p>
    <w:p w:rsidR="00D058B8" w:rsidRPr="00EE0A7E" w:rsidRDefault="00D058B8" w:rsidP="00D058B8">
      <w:pPr>
        <w:pStyle w:val="LineBottom"/>
      </w:pPr>
    </w:p>
    <w:p w:rsidR="005A28AC" w:rsidRPr="00EE0A7E" w:rsidRDefault="005A28AC" w:rsidP="005A28AC">
      <w:pPr>
        <w:pStyle w:val="ATHeading1"/>
      </w:pPr>
      <w:bookmarkStart w:id="1" w:name="TANumber"/>
      <w:r w:rsidRPr="00EE0A7E">
        <w:t>P9_TA(2024)0</w:t>
      </w:r>
      <w:bookmarkEnd w:id="1"/>
      <w:r w:rsidR="006E1AAA">
        <w:t>154</w:t>
      </w:r>
    </w:p>
    <w:p w:rsidR="005A28AC" w:rsidRPr="00EE0A7E" w:rsidRDefault="005A28AC" w:rsidP="005A28AC">
      <w:pPr>
        <w:pStyle w:val="ATHeading2"/>
      </w:pPr>
      <w:bookmarkStart w:id="2" w:name="title"/>
      <w:r w:rsidRPr="00EE0A7E">
        <w:t>Środki tymczasowej liberalizacji handlu będące uzupełnieniem koncesji handlowych mających zastosowanie do ukraińskich produktów na podstawie Układu o stowarzyszeniu między UE i Europejską Wspólnotą Energii Atomowej a Ukrainą</w:t>
      </w:r>
      <w:bookmarkEnd w:id="2"/>
    </w:p>
    <w:p w:rsidR="005A28AC" w:rsidRPr="00EE0A7E" w:rsidRDefault="005A28AC" w:rsidP="005A28AC">
      <w:pPr>
        <w:rPr>
          <w:i/>
          <w:vanish/>
        </w:rPr>
      </w:pPr>
      <w:r w:rsidRPr="00EE0A7E">
        <w:rPr>
          <w:i/>
        </w:rPr>
        <w:fldChar w:fldCharType="begin"/>
      </w:r>
      <w:r w:rsidRPr="00EE0A7E">
        <w:rPr>
          <w:i/>
        </w:rPr>
        <w:instrText xml:space="preserve"> TC"(</w:instrText>
      </w:r>
      <w:bookmarkStart w:id="3" w:name="DocNumber"/>
      <w:r w:rsidRPr="00EE0A7E">
        <w:rPr>
          <w:i/>
        </w:rPr>
        <w:instrText>A9-0077/2024</w:instrText>
      </w:r>
      <w:bookmarkEnd w:id="3"/>
      <w:r w:rsidRPr="00EE0A7E">
        <w:rPr>
          <w:i/>
        </w:rPr>
        <w:instrText xml:space="preserve"> - Sprawozdawca: Sandra Kalniete)"\l3 \n&gt; \* MERGEFORMAT </w:instrText>
      </w:r>
      <w:r w:rsidRPr="00EE0A7E">
        <w:rPr>
          <w:i/>
        </w:rPr>
        <w:fldChar w:fldCharType="end"/>
      </w:r>
    </w:p>
    <w:p w:rsidR="005A28AC" w:rsidRPr="00EE0A7E" w:rsidRDefault="005A28AC" w:rsidP="005A28AC">
      <w:pPr>
        <w:rPr>
          <w:vanish/>
        </w:rPr>
      </w:pPr>
      <w:bookmarkStart w:id="4" w:name="Commission"/>
      <w:r w:rsidRPr="00EE0A7E">
        <w:rPr>
          <w:vanish/>
        </w:rPr>
        <w:t>Komisja Handlu Międzynarodowego</w:t>
      </w:r>
      <w:bookmarkEnd w:id="4"/>
    </w:p>
    <w:p w:rsidR="005A28AC" w:rsidRPr="00EE0A7E" w:rsidRDefault="005A28AC" w:rsidP="005A28AC">
      <w:pPr>
        <w:rPr>
          <w:vanish/>
        </w:rPr>
      </w:pPr>
      <w:bookmarkStart w:id="5" w:name="PE"/>
      <w:r w:rsidRPr="00EE0A7E">
        <w:rPr>
          <w:vanish/>
        </w:rPr>
        <w:t>PE758.861</w:t>
      </w:r>
      <w:bookmarkEnd w:id="5"/>
    </w:p>
    <w:p w:rsidR="005A28AC" w:rsidRPr="007B00AC" w:rsidRDefault="007B00AC" w:rsidP="005A28AC">
      <w:pPr>
        <w:pStyle w:val="ATHeading3"/>
      </w:pPr>
      <w:bookmarkStart w:id="6" w:name="Sujet"/>
      <w:r>
        <w:t>Poprawki przyjęte przez</w:t>
      </w:r>
      <w:r w:rsidRPr="00661DE2">
        <w:t xml:space="preserve"> Parlament Europejski </w:t>
      </w:r>
      <w:r>
        <w:t>w</w:t>
      </w:r>
      <w:r w:rsidRPr="00661DE2">
        <w:t xml:space="preserve"> dni</w:t>
      </w:r>
      <w:r>
        <w:t>u</w:t>
      </w:r>
      <w:r w:rsidR="005A28AC" w:rsidRPr="00EE0A7E">
        <w:t xml:space="preserve"> </w:t>
      </w:r>
      <w:r w:rsidR="005D4A7A">
        <w:t>13 marca</w:t>
      </w:r>
      <w:r w:rsidR="005A28AC" w:rsidRPr="00EE0A7E">
        <w:t xml:space="preserve"> 2024 r. w sprawie wniosku dotyczącego rozporządzenia Parlamentu Europejskiego i Rady w sprawie środków tymczasowej liberalizacji handlu będących uzupełnieniem koncesji handlowych mających zastosowanie do ukraińskich produktów na podstawie Układu o stowarzyszeniu między Unią Europejską i Europejską Wspólnotą Energii Atomowej oraz ich państwami członkowskimi, z jednej strony, a Ukrainą, z drugiej strony</w:t>
      </w:r>
      <w:bookmarkEnd w:id="6"/>
      <w:r w:rsidR="005A28AC" w:rsidRPr="00EE0A7E">
        <w:t xml:space="preserve"> </w:t>
      </w:r>
      <w:bookmarkStart w:id="7" w:name="References"/>
      <w:r w:rsidR="005A28AC" w:rsidRPr="00EE0A7E">
        <w:t>(COM</w:t>
      </w:r>
      <w:proofErr w:type="gramStart"/>
      <w:r w:rsidR="005A28AC" w:rsidRPr="00EE0A7E">
        <w:t>(2024)0050 – C</w:t>
      </w:r>
      <w:proofErr w:type="gramEnd"/>
      <w:r w:rsidR="005A28AC" w:rsidRPr="00EE0A7E">
        <w:t>9-0021/2024 – 2024/0028(COD))</w:t>
      </w:r>
      <w:bookmarkEnd w:id="7"/>
      <w:r w:rsidRPr="00CD2102">
        <w:rPr>
          <w:rStyle w:val="FootnoteReference"/>
          <w:lang w:val="en-GB"/>
        </w:rPr>
        <w:footnoteReference w:id="1"/>
      </w:r>
    </w:p>
    <w:p w:rsidR="005A28AC" w:rsidRPr="00EE0A7E" w:rsidRDefault="005A28AC" w:rsidP="005A28AC"/>
    <w:p w:rsidR="001A44C5" w:rsidRPr="00EE0A7E" w:rsidRDefault="001A44C5" w:rsidP="001A44C5">
      <w:pPr>
        <w:pStyle w:val="NormalBold"/>
      </w:pPr>
      <w:bookmarkStart w:id="8" w:name="TextBodyBegin"/>
      <w:bookmarkEnd w:id="8"/>
      <w:r w:rsidRPr="00EE0A7E">
        <w:t>(Zwykła procedura ustawodawcza: pierwsze czytanie)</w:t>
      </w:r>
    </w:p>
    <w:p w:rsidR="005D4A7A" w:rsidRDefault="005D4A7A" w:rsidP="005D4A7A">
      <w:pPr>
        <w:pStyle w:val="NormalHanging12a"/>
        <w:sectPr w:rsidR="005D4A7A" w:rsidSect="00EE0A7E">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rsidR="007B00AC" w:rsidRPr="007B00AC" w:rsidRDefault="007B00AC" w:rsidP="007B00AC">
      <w:pPr>
        <w:pStyle w:val="AmNumberTabs"/>
      </w:pPr>
      <w:r w:rsidRPr="007B00AC">
        <w:lastRenderedPageBreak/>
        <w:t>Poprawk</w:t>
      </w:r>
      <w:r>
        <w:t>i</w:t>
      </w:r>
      <w:r w:rsidRPr="007B00AC">
        <w:tab/>
      </w:r>
      <w:r w:rsidRPr="007B00AC">
        <w:tab/>
      </w:r>
      <w:r w:rsidRPr="007B00AC">
        <w:rPr>
          <w:rStyle w:val="HideTWBExt"/>
          <w:b w:val="0"/>
        </w:rPr>
        <w:t>&lt;NumAm&gt;</w:t>
      </w:r>
      <w:r w:rsidRPr="007B00AC">
        <w:t>23</w:t>
      </w:r>
      <w:r>
        <w:t xml:space="preserve"> i 26</w:t>
      </w:r>
      <w:r w:rsidRPr="007B00AC">
        <w:rPr>
          <w:rStyle w:val="HideTWBExt"/>
          <w:b w:val="0"/>
        </w:rPr>
        <w:t>&lt;/NumAm&gt;</w:t>
      </w:r>
    </w:p>
    <w:p w:rsidR="007B00AC" w:rsidRDefault="007B00AC" w:rsidP="007B00AC">
      <w:pPr>
        <w:pStyle w:val="NormalBold"/>
        <w:rPr>
          <w:rStyle w:val="HideTWBExt"/>
          <w:b w:val="0"/>
        </w:rPr>
      </w:pPr>
    </w:p>
    <w:p w:rsidR="007B00AC" w:rsidRPr="00EF2987" w:rsidRDefault="007B00AC" w:rsidP="007B00AC">
      <w:pPr>
        <w:pStyle w:val="NormalBold"/>
      </w:pPr>
      <w:r w:rsidRPr="00EF2987">
        <w:rPr>
          <w:rStyle w:val="HideTWBExt"/>
          <w:b w:val="0"/>
        </w:rPr>
        <w:t>&lt;DocAmend&gt;</w:t>
      </w:r>
      <w:r w:rsidRPr="00EF2987">
        <w:t>Wniosek dotyczący rozporządzenia</w:t>
      </w:r>
      <w:r w:rsidRPr="00EF2987">
        <w:rPr>
          <w:rStyle w:val="HideTWBExt"/>
          <w:b w:val="0"/>
        </w:rPr>
        <w:t>&lt;/DocAmend&gt;</w:t>
      </w:r>
    </w:p>
    <w:p w:rsidR="007B00AC" w:rsidRPr="00EF2987" w:rsidRDefault="007B00AC" w:rsidP="007B00AC">
      <w:pPr>
        <w:pStyle w:val="NormalBold"/>
      </w:pPr>
      <w:r w:rsidRPr="00EF2987">
        <w:rPr>
          <w:rStyle w:val="HideTWBExt"/>
          <w:b w:val="0"/>
        </w:rPr>
        <w:t>&lt;Article&gt;</w:t>
      </w:r>
      <w:r w:rsidRPr="00EF2987">
        <w:t>Motyw 11</w:t>
      </w:r>
      <w:r w:rsidRPr="00EF2987">
        <w:rPr>
          <w:rStyle w:val="HideTWBExt"/>
          <w:b w:val="0"/>
        </w:rPr>
        <w:t>&lt;/Article&gt;</w:t>
      </w:r>
    </w:p>
    <w:p w:rsidR="007B00AC" w:rsidRPr="00EF2987" w:rsidRDefault="007B00AC" w:rsidP="007B00AC"/>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0AC" w:rsidRPr="00EF2987" w:rsidTr="00730CF1">
        <w:trPr>
          <w:jc w:val="center"/>
        </w:trPr>
        <w:tc>
          <w:tcPr>
            <w:tcW w:w="9752" w:type="dxa"/>
            <w:gridSpan w:val="2"/>
          </w:tcPr>
          <w:p w:rsidR="007B00AC" w:rsidRPr="00EF2987" w:rsidRDefault="007B00AC" w:rsidP="00730CF1">
            <w:pPr>
              <w:keepNext/>
            </w:pPr>
          </w:p>
        </w:tc>
      </w:tr>
      <w:tr w:rsidR="007B00AC" w:rsidRPr="00EF2987" w:rsidTr="00730CF1">
        <w:trPr>
          <w:jc w:val="center"/>
        </w:trPr>
        <w:tc>
          <w:tcPr>
            <w:tcW w:w="4876" w:type="dxa"/>
          </w:tcPr>
          <w:p w:rsidR="007B00AC" w:rsidRPr="00EF2987" w:rsidRDefault="007B00AC" w:rsidP="00730CF1">
            <w:pPr>
              <w:pStyle w:val="AmColumnHeading"/>
              <w:keepNext/>
            </w:pPr>
            <w:r w:rsidRPr="00EF2987">
              <w:t>Tekst proponowany przez Komisję</w:t>
            </w:r>
          </w:p>
        </w:tc>
        <w:tc>
          <w:tcPr>
            <w:tcW w:w="4876" w:type="dxa"/>
          </w:tcPr>
          <w:p w:rsidR="007B00AC" w:rsidRPr="00EF2987" w:rsidRDefault="007B00AC" w:rsidP="00730CF1">
            <w:pPr>
              <w:pStyle w:val="AmColumnHeading"/>
              <w:keepNext/>
            </w:pPr>
            <w:r w:rsidRPr="00EF2987">
              <w:t>Poprawka</w:t>
            </w:r>
          </w:p>
        </w:tc>
      </w:tr>
      <w:tr w:rsidR="007B00AC" w:rsidRPr="00EF2987" w:rsidTr="00730CF1">
        <w:trPr>
          <w:jc w:val="center"/>
        </w:trPr>
        <w:tc>
          <w:tcPr>
            <w:tcW w:w="4876" w:type="dxa"/>
          </w:tcPr>
          <w:p w:rsidR="007B00AC" w:rsidRPr="00EF2987" w:rsidRDefault="007B00AC" w:rsidP="00730CF1">
            <w:pPr>
              <w:pStyle w:val="Normal6a"/>
              <w:rPr>
                <w:szCs w:val="24"/>
              </w:rPr>
            </w:pPr>
            <w:proofErr w:type="gramStart"/>
            <w:r w:rsidRPr="00EF2987">
              <w:t>(11)</w:t>
            </w:r>
            <w:r w:rsidRPr="00EF2987">
              <w:tab/>
              <w:t>Z</w:t>
            </w:r>
            <w:proofErr w:type="gramEnd"/>
            <w:r w:rsidRPr="00EF2987">
              <w:t xml:space="preserve"> zastrzeżeniem przeprowadzenia przez Komisję oceny w kontekście regularnego monitorowaniu skutków niniejszego rozporządzenia oraz zainicjowanej w odpowiedzi na właściwie umotywowany wniosek państwa członkowskiego bądź z własnej inicjatywy Komisji, konieczne jest zapewnienie możliwości zastosowania wszelkich niezbędnych środków w odniesieniu do przywozu wszelkich produktów objętych zakresem stosowania niniejszego rozporządzenia, który to przywóz ma negatywny wpływ na unijny rynek lub rynek co najmniej jednego państwa członkowskiego w odniesieniu do produktów podobnych lub bezpośrednio konkurujących. Szczególnie niepewna jest sytuacja na rynkach drobiu, jaj </w:t>
            </w:r>
            <w:r w:rsidRPr="00EF2987">
              <w:rPr>
                <w:b/>
                <w:i/>
              </w:rPr>
              <w:t>i </w:t>
            </w:r>
            <w:r w:rsidRPr="00EF2987">
              <w:t>cukru, co może odbić się na unijnych producentach rolnych, gdyby przywóz z Ukrainy jeszcze wzrósł. Należy wprowadzić automatyczne zabezpieczenie w odniesieniu do jaj, drobiu i</w:t>
            </w:r>
            <w:r w:rsidRPr="00EF2987">
              <w:rPr>
                <w:b/>
                <w:i/>
              </w:rPr>
              <w:t> </w:t>
            </w:r>
            <w:r w:rsidRPr="00EF2987">
              <w:t xml:space="preserve">produktów </w:t>
            </w:r>
            <w:r w:rsidRPr="00EF2987">
              <w:rPr>
                <w:b/>
                <w:i/>
              </w:rPr>
              <w:t>cukrowniczych</w:t>
            </w:r>
            <w:r w:rsidRPr="00EF2987">
              <w:t>, które to zabezpieczenie zostanie uruchomione, jeżeli ilości przywożone zgodnie z niniejszym rozporządzeniem przekroczą średnią arytmetyczną ilości przywiezionych w 2022 i 2023 r.</w:t>
            </w:r>
          </w:p>
        </w:tc>
        <w:tc>
          <w:tcPr>
            <w:tcW w:w="4876" w:type="dxa"/>
          </w:tcPr>
          <w:p w:rsidR="007B00AC" w:rsidRPr="00EF2987" w:rsidRDefault="007B00AC" w:rsidP="00730CF1">
            <w:pPr>
              <w:pStyle w:val="Normal6a"/>
              <w:rPr>
                <w:szCs w:val="24"/>
              </w:rPr>
            </w:pPr>
            <w:proofErr w:type="gramStart"/>
            <w:r w:rsidRPr="00EF2987">
              <w:t>(11)</w:t>
            </w:r>
            <w:r w:rsidRPr="00EF2987">
              <w:tab/>
              <w:t>Z</w:t>
            </w:r>
            <w:proofErr w:type="gramEnd"/>
            <w:r w:rsidRPr="00EF2987">
              <w:t xml:space="preserve"> zastrzeżeniem przeprowadzenia przez Komisję oceny w kontekście regularnego monitorowaniu skutków niniejszego rozporządzenia oraz zainicjowanej w odpowiedzi na właściwie umotywowany wniosek państwa członkowskiego bądź z własnej inicjatywy Komisji, konieczne jest zapewnienie możliwości zastosowania wszelkich niezbędnych środków w odniesieniu do przywozu wszelkich produktów objętych zakresem stosowania niniejszego rozporządzenia, który to przywóz ma negatywny wpływ na unijny rynek lub rynek co najmniej jednego państwa członkowskiego w odniesieniu do produktów podobnych lub bezpośrednio konkurujących. Szczególnie niepewna jest sytuacja na rynkach </w:t>
            </w:r>
            <w:r w:rsidRPr="00EF2987">
              <w:rPr>
                <w:b/>
                <w:i/>
              </w:rPr>
              <w:t xml:space="preserve">zbóż, </w:t>
            </w:r>
            <w:r w:rsidRPr="00EF2987">
              <w:t>drobiu, jaj</w:t>
            </w:r>
            <w:r w:rsidRPr="00EF2987">
              <w:rPr>
                <w:b/>
                <w:i/>
              </w:rPr>
              <w:t>,</w:t>
            </w:r>
            <w:r w:rsidRPr="00EF2987">
              <w:t xml:space="preserve"> cukru</w:t>
            </w:r>
            <w:r w:rsidRPr="00EF2987">
              <w:rPr>
                <w:b/>
                <w:i/>
              </w:rPr>
              <w:t xml:space="preserve"> i miodu</w:t>
            </w:r>
            <w:r w:rsidRPr="00EF2987">
              <w:t xml:space="preserve">, co może odbić się na unijnych producentach rolnych, gdyby przywóz z Ukrainy jeszcze wzrósł. Należy wprowadzić automatyczne zabezpieczenie w odniesieniu do </w:t>
            </w:r>
            <w:r w:rsidRPr="00EF2987">
              <w:rPr>
                <w:b/>
                <w:i/>
              </w:rPr>
              <w:t xml:space="preserve">pszenicy, jęczmienia, owsa, kukurydzy, </w:t>
            </w:r>
            <w:r w:rsidRPr="00EF2987">
              <w:t>jaj, drobiu</w:t>
            </w:r>
            <w:r w:rsidRPr="00EF2987">
              <w:rPr>
                <w:b/>
                <w:i/>
              </w:rPr>
              <w:t>, produktów cukrowniczych</w:t>
            </w:r>
            <w:r w:rsidRPr="00EF2987">
              <w:t xml:space="preserve"> i</w:t>
            </w:r>
            <w:r w:rsidRPr="00EF2987">
              <w:rPr>
                <w:b/>
                <w:i/>
              </w:rPr>
              <w:t xml:space="preserve"> </w:t>
            </w:r>
            <w:r w:rsidRPr="00EF2987">
              <w:t xml:space="preserve">produktów </w:t>
            </w:r>
            <w:r w:rsidRPr="00EF2987">
              <w:rPr>
                <w:b/>
                <w:i/>
              </w:rPr>
              <w:t>z miodu</w:t>
            </w:r>
            <w:r w:rsidRPr="00EF2987">
              <w:t>, które to zabezpieczenie zostanie uruchomione, jeżeli ilości przywożone zgodnie z niniejszym rozporządzeniem przekroczą średnią arytmetyczną ilości przywiezionych w </w:t>
            </w:r>
            <w:r w:rsidRPr="00EF2987">
              <w:rPr>
                <w:b/>
                <w:i/>
              </w:rPr>
              <w:t xml:space="preserve">2021, </w:t>
            </w:r>
            <w:r w:rsidRPr="00EF2987">
              <w:t>2022 i 2023 r.</w:t>
            </w:r>
          </w:p>
        </w:tc>
      </w:tr>
    </w:tbl>
    <w:p w:rsidR="007B00AC" w:rsidRDefault="007B00AC" w:rsidP="007B00AC">
      <w:pPr>
        <w:rPr>
          <w:lang w:val="en-GB"/>
        </w:rPr>
      </w:pPr>
    </w:p>
    <w:p w:rsidR="007B00AC" w:rsidRDefault="007B00AC">
      <w:pPr>
        <w:widowControl/>
        <w:rPr>
          <w:lang w:val="en-GB"/>
        </w:rPr>
      </w:pPr>
      <w:r>
        <w:rPr>
          <w:lang w:val="en-GB"/>
        </w:rPr>
        <w:br w:type="page"/>
      </w:r>
    </w:p>
    <w:p w:rsidR="007B00AC" w:rsidRPr="009E17A1" w:rsidRDefault="007B00AC" w:rsidP="007B00AC">
      <w:pPr>
        <w:pStyle w:val="AmNumberTabs"/>
        <w:rPr>
          <w:lang w:val="pt-PT"/>
        </w:rPr>
      </w:pPr>
      <w:proofErr w:type="spellStart"/>
      <w:r w:rsidRPr="009E17A1">
        <w:rPr>
          <w:lang w:val="pt-PT"/>
        </w:rPr>
        <w:t>Poprawk</w:t>
      </w:r>
      <w:r>
        <w:rPr>
          <w:lang w:val="pt-PT"/>
        </w:rPr>
        <w:t>i</w:t>
      </w:r>
      <w:proofErr w:type="spellEnd"/>
      <w:r w:rsidRPr="009E17A1">
        <w:rPr>
          <w:lang w:val="pt-PT"/>
        </w:rPr>
        <w:tab/>
      </w:r>
      <w:r w:rsidRPr="009E17A1">
        <w:rPr>
          <w:lang w:val="pt-PT"/>
        </w:rPr>
        <w:tab/>
      </w:r>
      <w:r w:rsidRPr="009E17A1">
        <w:rPr>
          <w:rStyle w:val="HideTWBExt"/>
          <w:b w:val="0"/>
          <w:lang w:val="pt-PT"/>
        </w:rPr>
        <w:t>&lt;NumAm&gt;</w:t>
      </w:r>
      <w:r w:rsidRPr="009E17A1">
        <w:rPr>
          <w:lang w:val="pt-PT"/>
        </w:rPr>
        <w:t>24</w:t>
      </w:r>
      <w:r>
        <w:rPr>
          <w:lang w:val="pt-PT"/>
        </w:rPr>
        <w:t xml:space="preserve"> i 28</w:t>
      </w:r>
      <w:r w:rsidRPr="009E17A1">
        <w:rPr>
          <w:rStyle w:val="HideTWBExt"/>
          <w:b w:val="0"/>
          <w:lang w:val="pt-PT"/>
        </w:rPr>
        <w:t>&lt;/NumAm&gt;</w:t>
      </w:r>
    </w:p>
    <w:p w:rsidR="007B00AC" w:rsidRDefault="007B00AC" w:rsidP="007B00AC">
      <w:pPr>
        <w:pStyle w:val="NormalBold"/>
        <w:rPr>
          <w:rStyle w:val="HideTWBExt"/>
          <w:b w:val="0"/>
          <w:lang w:val="pt-PT"/>
        </w:rPr>
      </w:pPr>
    </w:p>
    <w:p w:rsidR="007B00AC" w:rsidRPr="00EF2987" w:rsidRDefault="007B00AC" w:rsidP="007B00AC">
      <w:pPr>
        <w:pStyle w:val="NormalBold"/>
      </w:pPr>
      <w:r w:rsidRPr="00EF2987">
        <w:rPr>
          <w:rStyle w:val="HideTWBExt"/>
          <w:b w:val="0"/>
        </w:rPr>
        <w:t>&lt;DocAmend&gt;</w:t>
      </w:r>
      <w:r w:rsidRPr="00EF2987">
        <w:t>Wniosek dotyczący rozporządzenia</w:t>
      </w:r>
      <w:r w:rsidRPr="00EF2987">
        <w:rPr>
          <w:rStyle w:val="HideTWBExt"/>
          <w:b w:val="0"/>
        </w:rPr>
        <w:t>&lt;/DocAmend&gt;</w:t>
      </w:r>
    </w:p>
    <w:p w:rsidR="007B00AC" w:rsidRPr="00EF2987" w:rsidRDefault="007B00AC" w:rsidP="007B00AC">
      <w:pPr>
        <w:pStyle w:val="NormalBold"/>
      </w:pPr>
      <w:r w:rsidRPr="00EF2987">
        <w:rPr>
          <w:rStyle w:val="HideTWBExt"/>
          <w:b w:val="0"/>
        </w:rPr>
        <w:t>&lt;Article&gt;</w:t>
      </w:r>
      <w:r w:rsidRPr="00EF2987">
        <w:t>Artykuł 4 – ustęp 7</w:t>
      </w:r>
      <w:r w:rsidRPr="00EF2987">
        <w:rPr>
          <w:rStyle w:val="HideTWBExt"/>
          <w:b w:val="0"/>
        </w:rPr>
        <w:t>&lt;/Article&gt;</w:t>
      </w:r>
    </w:p>
    <w:p w:rsidR="007B00AC" w:rsidRPr="00EF2987" w:rsidRDefault="007B00AC" w:rsidP="007B00AC"/>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0AC" w:rsidRPr="00EF2987" w:rsidTr="00730CF1">
        <w:trPr>
          <w:jc w:val="center"/>
        </w:trPr>
        <w:tc>
          <w:tcPr>
            <w:tcW w:w="9752" w:type="dxa"/>
            <w:gridSpan w:val="2"/>
          </w:tcPr>
          <w:p w:rsidR="007B00AC" w:rsidRPr="00EF2987" w:rsidRDefault="007B00AC" w:rsidP="00730CF1">
            <w:pPr>
              <w:keepNext/>
            </w:pPr>
          </w:p>
        </w:tc>
      </w:tr>
      <w:tr w:rsidR="007B00AC" w:rsidRPr="00EF2987" w:rsidTr="00730CF1">
        <w:trPr>
          <w:jc w:val="center"/>
        </w:trPr>
        <w:tc>
          <w:tcPr>
            <w:tcW w:w="4876" w:type="dxa"/>
          </w:tcPr>
          <w:p w:rsidR="007B00AC" w:rsidRPr="00EF2987" w:rsidRDefault="007B00AC" w:rsidP="00730CF1">
            <w:pPr>
              <w:pStyle w:val="AmColumnHeading"/>
              <w:keepNext/>
            </w:pPr>
            <w:r w:rsidRPr="00EF2987">
              <w:t>Tekst proponowany przez Komisję</w:t>
            </w:r>
          </w:p>
        </w:tc>
        <w:tc>
          <w:tcPr>
            <w:tcW w:w="4876" w:type="dxa"/>
          </w:tcPr>
          <w:p w:rsidR="007B00AC" w:rsidRPr="00EF2987" w:rsidRDefault="007B00AC" w:rsidP="00730CF1">
            <w:pPr>
              <w:pStyle w:val="AmColumnHeading"/>
              <w:keepNext/>
            </w:pPr>
            <w:r w:rsidRPr="00EF2987">
              <w:t>Poprawka</w:t>
            </w:r>
          </w:p>
        </w:tc>
      </w:tr>
      <w:tr w:rsidR="007B00AC" w:rsidRPr="00EF2987" w:rsidTr="00730CF1">
        <w:trPr>
          <w:jc w:val="center"/>
        </w:trPr>
        <w:tc>
          <w:tcPr>
            <w:tcW w:w="4876" w:type="dxa"/>
          </w:tcPr>
          <w:p w:rsidR="007B00AC" w:rsidRPr="00EF2987" w:rsidRDefault="007B00AC" w:rsidP="00730CF1">
            <w:pPr>
              <w:pStyle w:val="Normal6a"/>
              <w:rPr>
                <w:szCs w:val="24"/>
              </w:rPr>
            </w:pPr>
            <w:r w:rsidRPr="00EF2987">
              <w:t>7.Jeżeli w</w:t>
            </w:r>
            <w:r w:rsidRPr="00EF2987">
              <w:rPr>
                <w:b/>
                <w:i/>
              </w:rPr>
              <w:t> </w:t>
            </w:r>
            <w:r w:rsidRPr="00EF2987">
              <w:t>okresie od dnia 6 czerwca do dnia 31 grudnia 2024</w:t>
            </w:r>
            <w:r w:rsidRPr="00EF2987">
              <w:rPr>
                <w:b/>
                <w:i/>
              </w:rPr>
              <w:t> </w:t>
            </w:r>
            <w:r w:rsidRPr="00EF2987">
              <w:t>r. łączna wielkość przywozu jaj, drobiu albo cukru od dnia 1 stycznia 2024</w:t>
            </w:r>
            <w:r w:rsidRPr="00EF2987">
              <w:rPr>
                <w:b/>
                <w:i/>
              </w:rPr>
              <w:t> </w:t>
            </w:r>
            <w:r w:rsidRPr="00EF2987">
              <w:t>r. osiągnie odpowiednią średnią arytmetyczną wielkości przywozu odnotowanej w</w:t>
            </w:r>
            <w:r w:rsidRPr="00EF2987">
              <w:rPr>
                <w:b/>
                <w:i/>
              </w:rPr>
              <w:t> </w:t>
            </w:r>
            <w:r w:rsidRPr="00EF2987">
              <w:t>2022 i</w:t>
            </w:r>
            <w:r w:rsidRPr="00EF2987">
              <w:rPr>
                <w:b/>
                <w:i/>
              </w:rPr>
              <w:t> </w:t>
            </w:r>
            <w:r w:rsidRPr="00EF2987">
              <w:t>2023</w:t>
            </w:r>
            <w:r w:rsidRPr="00EF2987">
              <w:rPr>
                <w:b/>
                <w:i/>
              </w:rPr>
              <w:t> </w:t>
            </w:r>
            <w:r w:rsidRPr="00EF2987">
              <w:t xml:space="preserve">r., Komisja w terminie </w:t>
            </w:r>
            <w:r w:rsidRPr="00EF2987">
              <w:rPr>
                <w:b/>
                <w:i/>
              </w:rPr>
              <w:t>21</w:t>
            </w:r>
            <w:r w:rsidRPr="00EF2987">
              <w:t xml:space="preserve"> dni i po poinformowaniu Komitetu ds. Środków Ochronnych ustanowionego w art. 3 ust. 1 rozporządzenia (UE) 2015/478: </w:t>
            </w:r>
          </w:p>
        </w:tc>
        <w:tc>
          <w:tcPr>
            <w:tcW w:w="4876" w:type="dxa"/>
          </w:tcPr>
          <w:p w:rsidR="007B00AC" w:rsidRPr="00EF2987" w:rsidRDefault="007B00AC" w:rsidP="00730CF1">
            <w:pPr>
              <w:pStyle w:val="Normal6a"/>
              <w:rPr>
                <w:szCs w:val="24"/>
              </w:rPr>
            </w:pPr>
            <w:r w:rsidRPr="00EF2987">
              <w:t>7. Jeżeli w</w:t>
            </w:r>
            <w:r w:rsidRPr="00EF2987">
              <w:rPr>
                <w:b/>
                <w:i/>
              </w:rPr>
              <w:t xml:space="preserve"> </w:t>
            </w:r>
            <w:r w:rsidRPr="00EF2987">
              <w:t>okresie od dnia 6 czerwca do dnia 31 grudnia 2024</w:t>
            </w:r>
            <w:r w:rsidRPr="00EF2987">
              <w:rPr>
                <w:b/>
                <w:i/>
              </w:rPr>
              <w:t xml:space="preserve"> </w:t>
            </w:r>
            <w:r w:rsidRPr="00EF2987">
              <w:t xml:space="preserve">r. łączna wielkość przywozu </w:t>
            </w:r>
            <w:r w:rsidRPr="00EF2987">
              <w:rPr>
                <w:b/>
                <w:i/>
              </w:rPr>
              <w:t xml:space="preserve">pszenicy zwyczajnej, mąki pszennej i granulek z pszenicy, jęczmienia, mąki jęczmiennej i granulek z jęczmienia, owsa, kukurydzy, mąki kukurydzianej i granulek z kukurydzy, kaszy i mączki jęczmiennej, ziaren zbóż poddanych innej obróbce, miodu, </w:t>
            </w:r>
            <w:r w:rsidRPr="00EF2987">
              <w:t>jaj, drobiu albo cukru od dnia 1 stycznia 2024</w:t>
            </w:r>
            <w:r w:rsidRPr="00EF2987">
              <w:rPr>
                <w:b/>
                <w:i/>
              </w:rPr>
              <w:t xml:space="preserve"> </w:t>
            </w:r>
            <w:r w:rsidRPr="00EF2987">
              <w:t>r. osiągnie odpowiednią średnią arytmetyczną wielkości przywozu odnotowanej w</w:t>
            </w:r>
            <w:r w:rsidRPr="00EF2987">
              <w:rPr>
                <w:b/>
                <w:i/>
              </w:rPr>
              <w:t xml:space="preserve"> 2021, </w:t>
            </w:r>
            <w:r w:rsidRPr="00EF2987">
              <w:t>2022 i</w:t>
            </w:r>
            <w:r w:rsidRPr="00EF2987">
              <w:rPr>
                <w:b/>
                <w:i/>
              </w:rPr>
              <w:t xml:space="preserve"> </w:t>
            </w:r>
            <w:r w:rsidRPr="00EF2987">
              <w:t>2023</w:t>
            </w:r>
            <w:r w:rsidRPr="00EF2987">
              <w:rPr>
                <w:b/>
                <w:i/>
              </w:rPr>
              <w:t xml:space="preserve"> </w:t>
            </w:r>
            <w:r w:rsidRPr="00EF2987">
              <w:t xml:space="preserve">r., Komisja w terminie </w:t>
            </w:r>
            <w:r w:rsidRPr="00EF2987">
              <w:rPr>
                <w:b/>
                <w:i/>
              </w:rPr>
              <w:t>14</w:t>
            </w:r>
            <w:r w:rsidRPr="00EF2987">
              <w:t xml:space="preserve"> dni i po poinformowaniu Komitetu ds. Środków Ochronnych ustanowionego w art. 3 ust. 1 rozporządzenia (UE) 2015/478: </w:t>
            </w:r>
          </w:p>
        </w:tc>
      </w:tr>
      <w:tr w:rsidR="007B00AC" w:rsidRPr="00EF2987" w:rsidTr="00730CF1">
        <w:trPr>
          <w:jc w:val="center"/>
        </w:trPr>
        <w:tc>
          <w:tcPr>
            <w:tcW w:w="4876" w:type="dxa"/>
          </w:tcPr>
          <w:p w:rsidR="007B00AC" w:rsidRPr="00EF2987" w:rsidRDefault="007B00AC" w:rsidP="00730CF1">
            <w:pPr>
              <w:pStyle w:val="Normal6a"/>
              <w:rPr>
                <w:szCs w:val="24"/>
              </w:rPr>
            </w:pPr>
            <w:proofErr w:type="gramStart"/>
            <w:r w:rsidRPr="00EF2987">
              <w:t>a</w:t>
            </w:r>
            <w:proofErr w:type="gramEnd"/>
            <w:r w:rsidRPr="00EF2987">
              <w:t xml:space="preserve">) ponownie wprowadza w odniesieniu do tego produktu odpowiedni kontyngent taryfowy, zawieszony na mocy art. 1 ust. 1 lit. b), do dnia 31 grudnia 2024 r. oraz </w:t>
            </w:r>
          </w:p>
        </w:tc>
        <w:tc>
          <w:tcPr>
            <w:tcW w:w="4876" w:type="dxa"/>
          </w:tcPr>
          <w:p w:rsidR="007B00AC" w:rsidRPr="00EF2987" w:rsidRDefault="007B00AC" w:rsidP="00730CF1">
            <w:pPr>
              <w:pStyle w:val="Normal6a"/>
              <w:rPr>
                <w:szCs w:val="24"/>
              </w:rPr>
            </w:pPr>
            <w:proofErr w:type="gramStart"/>
            <w:r w:rsidRPr="00EF2987">
              <w:t>a</w:t>
            </w:r>
            <w:proofErr w:type="gramEnd"/>
            <w:r w:rsidRPr="00EF2987">
              <w:t>) ponownie wprowadza w odniesieniu do tego produktu odpowiedni kontyngent taryfowy, zawieszony na mocy art. 1 ust. 1 lit. b), do dnia 31 grudnia 2024 r. oraz</w:t>
            </w:r>
          </w:p>
        </w:tc>
      </w:tr>
      <w:tr w:rsidR="007B00AC" w:rsidRPr="00EF2987" w:rsidTr="00730CF1">
        <w:trPr>
          <w:jc w:val="center"/>
        </w:trPr>
        <w:tc>
          <w:tcPr>
            <w:tcW w:w="4876" w:type="dxa"/>
          </w:tcPr>
          <w:p w:rsidR="007B00AC" w:rsidRPr="00EF2987" w:rsidRDefault="007B00AC" w:rsidP="00730CF1">
            <w:pPr>
              <w:pStyle w:val="Normal6a"/>
              <w:rPr>
                <w:szCs w:val="24"/>
              </w:rPr>
            </w:pPr>
            <w:proofErr w:type="gramStart"/>
            <w:r w:rsidRPr="00EF2987">
              <w:t>b</w:t>
            </w:r>
            <w:proofErr w:type="gramEnd"/>
            <w:r w:rsidRPr="00EF2987">
              <w:t xml:space="preserve">) wprowadza od dnia 1 stycznia 2025 r. kontyngent taryfowy równy pięciu dwunastych tej średniej arytmetycznej albo odpowiadający mu kontyngent taryfowy zawieszony na mocy art. 1 ust. 1 lit. b), w zależności od tego, która z tych wartości jest wyższa. </w:t>
            </w:r>
          </w:p>
        </w:tc>
        <w:tc>
          <w:tcPr>
            <w:tcW w:w="4876" w:type="dxa"/>
          </w:tcPr>
          <w:p w:rsidR="007B00AC" w:rsidRPr="00EF2987" w:rsidRDefault="007B00AC" w:rsidP="00730CF1">
            <w:pPr>
              <w:pStyle w:val="Normal6a"/>
              <w:rPr>
                <w:szCs w:val="24"/>
              </w:rPr>
            </w:pPr>
            <w:proofErr w:type="gramStart"/>
            <w:r w:rsidRPr="00EF2987">
              <w:t>b</w:t>
            </w:r>
            <w:proofErr w:type="gramEnd"/>
            <w:r w:rsidRPr="00EF2987">
              <w:t>) wprowadza od dnia 1 stycznia 2025 r. kontyngent taryfowy równy pięciu dwunastych tej średniej arytmetycznej albo odpowiadający mu kontyngent taryfowy zawieszony na mocy art. 1 ust. 1 lit. b), w zależności od tego, która z tych wartości jest wyższa.</w:t>
            </w:r>
          </w:p>
        </w:tc>
      </w:tr>
      <w:tr w:rsidR="007B00AC" w:rsidRPr="00EF2987" w:rsidTr="00730CF1">
        <w:trPr>
          <w:jc w:val="center"/>
        </w:trPr>
        <w:tc>
          <w:tcPr>
            <w:tcW w:w="4876" w:type="dxa"/>
          </w:tcPr>
          <w:p w:rsidR="007B00AC" w:rsidRPr="00EF2987" w:rsidRDefault="007B00AC" w:rsidP="00730CF1">
            <w:pPr>
              <w:pStyle w:val="Normal6a"/>
              <w:rPr>
                <w:szCs w:val="24"/>
              </w:rPr>
            </w:pPr>
            <w:r w:rsidRPr="00EF2987">
              <w:t>Jeżeli w</w:t>
            </w:r>
            <w:r w:rsidRPr="00EF2987">
              <w:rPr>
                <w:b/>
                <w:i/>
              </w:rPr>
              <w:t> </w:t>
            </w:r>
            <w:r w:rsidRPr="00EF2987">
              <w:t>okresie od dnia 1 stycznia do dnia 5</w:t>
            </w:r>
            <w:r w:rsidRPr="00EF2987">
              <w:rPr>
                <w:b/>
                <w:i/>
              </w:rPr>
              <w:t> </w:t>
            </w:r>
            <w:r w:rsidRPr="00EF2987">
              <w:t>czerwca</w:t>
            </w:r>
            <w:r w:rsidRPr="00EF2987">
              <w:rPr>
                <w:b/>
                <w:i/>
              </w:rPr>
              <w:t> </w:t>
            </w:r>
            <w:r w:rsidRPr="00EF2987">
              <w:t>2025</w:t>
            </w:r>
            <w:r w:rsidRPr="00EF2987">
              <w:rPr>
                <w:b/>
                <w:i/>
              </w:rPr>
              <w:t> </w:t>
            </w:r>
            <w:r w:rsidRPr="00EF2987">
              <w:t>r. łączna wielkość przywozu jaj, drobiu albo cukru od dnia 1</w:t>
            </w:r>
            <w:r w:rsidRPr="00EF2987">
              <w:rPr>
                <w:b/>
                <w:i/>
              </w:rPr>
              <w:t> </w:t>
            </w:r>
            <w:r w:rsidRPr="00EF2987">
              <w:t>stycznia</w:t>
            </w:r>
            <w:r w:rsidRPr="00EF2987">
              <w:rPr>
                <w:b/>
                <w:i/>
              </w:rPr>
              <w:t> </w:t>
            </w:r>
            <w:r w:rsidRPr="00EF2987">
              <w:t>2025</w:t>
            </w:r>
            <w:r w:rsidRPr="00EF2987">
              <w:rPr>
                <w:b/>
                <w:i/>
              </w:rPr>
              <w:t> </w:t>
            </w:r>
            <w:r w:rsidRPr="00EF2987">
              <w:t>r. osiągnie pięć dwunastych odpowiedniej średniej arytmetycznej wielkości przywozu odnotowanej w</w:t>
            </w:r>
            <w:r w:rsidRPr="00EF2987">
              <w:rPr>
                <w:b/>
                <w:i/>
              </w:rPr>
              <w:t> </w:t>
            </w:r>
            <w:r w:rsidRPr="00EF2987">
              <w:t>2022 i</w:t>
            </w:r>
            <w:r w:rsidRPr="00EF2987">
              <w:rPr>
                <w:b/>
                <w:i/>
              </w:rPr>
              <w:t> </w:t>
            </w:r>
            <w:r w:rsidRPr="00EF2987">
              <w:t>2023</w:t>
            </w:r>
            <w:r w:rsidRPr="00EF2987">
              <w:rPr>
                <w:b/>
                <w:i/>
              </w:rPr>
              <w:t> </w:t>
            </w:r>
            <w:r w:rsidRPr="00EF2987">
              <w:t xml:space="preserve">r., Komisja w terminie </w:t>
            </w:r>
            <w:r w:rsidRPr="00EF2987">
              <w:rPr>
                <w:b/>
                <w:i/>
              </w:rPr>
              <w:t>21</w:t>
            </w:r>
            <w:r w:rsidRPr="00EF2987">
              <w:t xml:space="preserve"> dni i po poinformowaniu Komitetu ds. Środków Ochronnych przywraca w odniesieniu do tego produktu odnośny kontyngent taryfowy zawieszony na mocy art. 1 ust. 1 lit. b). </w:t>
            </w:r>
          </w:p>
        </w:tc>
        <w:tc>
          <w:tcPr>
            <w:tcW w:w="4876" w:type="dxa"/>
          </w:tcPr>
          <w:p w:rsidR="007B00AC" w:rsidRPr="00EF2987" w:rsidRDefault="007B00AC" w:rsidP="00730CF1">
            <w:pPr>
              <w:pStyle w:val="Normal6a"/>
              <w:rPr>
                <w:szCs w:val="24"/>
              </w:rPr>
            </w:pPr>
            <w:r w:rsidRPr="00EF2987">
              <w:t>Jeżeli w</w:t>
            </w:r>
            <w:r w:rsidRPr="00EF2987">
              <w:rPr>
                <w:b/>
                <w:i/>
              </w:rPr>
              <w:t xml:space="preserve"> </w:t>
            </w:r>
            <w:r w:rsidRPr="00EF2987">
              <w:t>okresie od dnia 1 stycznia do dnia 5</w:t>
            </w:r>
            <w:r w:rsidRPr="00EF2987">
              <w:rPr>
                <w:b/>
                <w:i/>
              </w:rPr>
              <w:t xml:space="preserve"> </w:t>
            </w:r>
            <w:r w:rsidRPr="00EF2987">
              <w:t>czerwca</w:t>
            </w:r>
            <w:r w:rsidRPr="00EF2987">
              <w:rPr>
                <w:b/>
                <w:i/>
              </w:rPr>
              <w:t xml:space="preserve"> </w:t>
            </w:r>
            <w:r w:rsidRPr="00EF2987">
              <w:t>2025</w:t>
            </w:r>
            <w:r w:rsidRPr="00EF2987">
              <w:rPr>
                <w:b/>
                <w:i/>
              </w:rPr>
              <w:t xml:space="preserve"> </w:t>
            </w:r>
            <w:r w:rsidRPr="00EF2987">
              <w:t xml:space="preserve">r. łączna wielkość przywozu </w:t>
            </w:r>
            <w:r w:rsidRPr="00EF2987">
              <w:rPr>
                <w:b/>
                <w:i/>
              </w:rPr>
              <w:t xml:space="preserve">pszenicy zwyczajnej, mąki pszennej i granulek z pszenicy, jęczmienia, mąki jęczmiennej i granulek z jęczmienia, owsa, kukurydzy, mąki kukurydzianej i granulek z kukurydzy, kaszy i mączki jęczmiennej, ziaren zbóż poddanych innej obróbce, miodu, </w:t>
            </w:r>
            <w:r w:rsidRPr="00EF2987">
              <w:t>jaj, drobiu albo cukru od dnia 1</w:t>
            </w:r>
            <w:r w:rsidRPr="00EF2987">
              <w:rPr>
                <w:b/>
                <w:i/>
              </w:rPr>
              <w:t xml:space="preserve"> </w:t>
            </w:r>
            <w:r w:rsidRPr="00EF2987">
              <w:t>stycznia</w:t>
            </w:r>
            <w:r w:rsidRPr="00EF2987">
              <w:rPr>
                <w:b/>
                <w:i/>
              </w:rPr>
              <w:t xml:space="preserve"> </w:t>
            </w:r>
            <w:r w:rsidRPr="00EF2987">
              <w:t>2025</w:t>
            </w:r>
            <w:r w:rsidRPr="00EF2987">
              <w:rPr>
                <w:b/>
                <w:i/>
              </w:rPr>
              <w:t xml:space="preserve"> </w:t>
            </w:r>
            <w:r w:rsidRPr="00EF2987">
              <w:t>r. osiągnie pięć dwunastych odpowiedniej średniej arytmetycznej wielkości przywozu odnotowanej w</w:t>
            </w:r>
            <w:r w:rsidRPr="00EF2987">
              <w:rPr>
                <w:b/>
                <w:i/>
              </w:rPr>
              <w:t xml:space="preserve"> 2021, </w:t>
            </w:r>
            <w:r w:rsidRPr="00EF2987">
              <w:t>2022 i</w:t>
            </w:r>
            <w:r w:rsidRPr="00EF2987">
              <w:rPr>
                <w:b/>
                <w:i/>
              </w:rPr>
              <w:t xml:space="preserve"> </w:t>
            </w:r>
            <w:r w:rsidRPr="00EF2987">
              <w:t>2023</w:t>
            </w:r>
            <w:r w:rsidRPr="00EF2987">
              <w:rPr>
                <w:b/>
                <w:i/>
              </w:rPr>
              <w:t xml:space="preserve"> </w:t>
            </w:r>
            <w:r w:rsidRPr="00EF2987">
              <w:t xml:space="preserve">r., Komisja w terminie </w:t>
            </w:r>
            <w:r w:rsidRPr="00EF2987">
              <w:rPr>
                <w:b/>
                <w:i/>
              </w:rPr>
              <w:t>14</w:t>
            </w:r>
            <w:r w:rsidRPr="00EF2987">
              <w:t xml:space="preserve"> dni i po poinformowaniu Komitetu ds. Środków Ochronnych przywraca w odniesieniu do tego produktu odnośny kontyngent taryfowy zawieszony na mocy art. 1 ust. 1 lit. b). </w:t>
            </w:r>
          </w:p>
        </w:tc>
      </w:tr>
      <w:tr w:rsidR="007B00AC" w:rsidRPr="00EF2987" w:rsidTr="00730CF1">
        <w:trPr>
          <w:jc w:val="center"/>
        </w:trPr>
        <w:tc>
          <w:tcPr>
            <w:tcW w:w="4876" w:type="dxa"/>
          </w:tcPr>
          <w:p w:rsidR="007B00AC" w:rsidRPr="00EF2987" w:rsidRDefault="007B00AC" w:rsidP="00730CF1">
            <w:pPr>
              <w:pStyle w:val="Normal6a"/>
              <w:rPr>
                <w:szCs w:val="24"/>
              </w:rPr>
            </w:pPr>
            <w:r w:rsidRPr="00EF2987">
              <w:t>Do celów niniejszego ustępu terminy: jaja, drób i</w:t>
            </w:r>
            <w:r w:rsidRPr="00EF2987">
              <w:rPr>
                <w:b/>
                <w:i/>
              </w:rPr>
              <w:t> </w:t>
            </w:r>
            <w:r w:rsidRPr="00EF2987">
              <w:t>cukier odnoszą się do wszystkich produktów objętych kontyngentami taryfowymi w</w:t>
            </w:r>
            <w:r w:rsidRPr="00EF2987">
              <w:rPr>
                <w:b/>
                <w:i/>
              </w:rPr>
              <w:t> </w:t>
            </w:r>
            <w:r w:rsidRPr="00EF2987">
              <w:t>dodatku do załącznika I-A do układu o</w:t>
            </w:r>
            <w:r w:rsidRPr="00EF2987">
              <w:rPr>
                <w:b/>
                <w:i/>
              </w:rPr>
              <w:t> </w:t>
            </w:r>
            <w:r w:rsidRPr="00EF2987">
              <w:t>stowarzyszeniu w</w:t>
            </w:r>
            <w:r w:rsidRPr="00EF2987">
              <w:rPr>
                <w:b/>
                <w:i/>
              </w:rPr>
              <w:t> </w:t>
            </w:r>
            <w:r w:rsidRPr="00EF2987">
              <w:t>odniesieniu do, odpowiednio, jaj i albumin, mięsa drobiowego i przetworów z mięsa drobiowego oraz cukrów, a średnią arytmetyczną oblicza się, dzieląc sumę wielkości przywozu w </w:t>
            </w:r>
            <w:r w:rsidRPr="00EF2987">
              <w:rPr>
                <w:b/>
                <w:i/>
              </w:rPr>
              <w:t>2022</w:t>
            </w:r>
            <w:r w:rsidRPr="00EF2987">
              <w:t xml:space="preserve"> r. i 2023 r. przez </w:t>
            </w:r>
            <w:r w:rsidRPr="00EF2987">
              <w:rPr>
                <w:b/>
                <w:i/>
              </w:rPr>
              <w:t>dwa</w:t>
            </w:r>
            <w:r w:rsidRPr="00EF2987">
              <w:t>.</w:t>
            </w:r>
          </w:p>
        </w:tc>
        <w:tc>
          <w:tcPr>
            <w:tcW w:w="4876" w:type="dxa"/>
          </w:tcPr>
          <w:p w:rsidR="007B00AC" w:rsidRPr="00EF2987" w:rsidRDefault="007B00AC" w:rsidP="00730CF1">
            <w:pPr>
              <w:pStyle w:val="Normal6a"/>
              <w:rPr>
                <w:szCs w:val="24"/>
              </w:rPr>
            </w:pPr>
            <w:r w:rsidRPr="00EF2987">
              <w:t xml:space="preserve">Do celów niniejszego ustępu terminy: </w:t>
            </w:r>
            <w:r w:rsidRPr="00EF2987">
              <w:rPr>
                <w:b/>
                <w:i/>
              </w:rPr>
              <w:t xml:space="preserve">pszenica zwyczajna, mąka pszenna i granulki z pszenicy, jęczmień, mąka jęczmienna i granulki jęczmienne, owies, kukurydza, mąka kukurydziana i granulki z kukurydzy, kasza i mączka jęczmienna, ziarna zbóż poddane innej obróbce, miód, </w:t>
            </w:r>
            <w:r w:rsidRPr="00EF2987">
              <w:t>jaja, drób i</w:t>
            </w:r>
            <w:r w:rsidRPr="00EF2987">
              <w:rPr>
                <w:b/>
                <w:i/>
              </w:rPr>
              <w:t xml:space="preserve"> </w:t>
            </w:r>
            <w:r w:rsidRPr="00EF2987">
              <w:t>cukier odnoszą się do wszystkich produktów objętych kontyngentami taryfowymi w</w:t>
            </w:r>
            <w:r w:rsidRPr="00EF2987">
              <w:rPr>
                <w:b/>
                <w:i/>
              </w:rPr>
              <w:t xml:space="preserve"> </w:t>
            </w:r>
            <w:r w:rsidRPr="00EF2987">
              <w:t>dodatku do załącznika I-A do Układu o</w:t>
            </w:r>
            <w:r w:rsidRPr="00EF2987">
              <w:rPr>
                <w:b/>
                <w:i/>
              </w:rPr>
              <w:t xml:space="preserve"> </w:t>
            </w:r>
            <w:r w:rsidRPr="00EF2987">
              <w:t>stowarzyszeniu w</w:t>
            </w:r>
            <w:r w:rsidRPr="00EF2987">
              <w:rPr>
                <w:b/>
                <w:i/>
              </w:rPr>
              <w:t xml:space="preserve"> </w:t>
            </w:r>
            <w:r w:rsidRPr="00EF2987">
              <w:t xml:space="preserve">odniesieniu do, odpowiednio, </w:t>
            </w:r>
            <w:r w:rsidRPr="00EF2987">
              <w:rPr>
                <w:b/>
                <w:i/>
              </w:rPr>
              <w:t xml:space="preserve">pszenicy zwyczajnej, mąki pszennej i granulek z pszenicy, jęczmienia, mąki jęczmiennej i granulek z jęczmienia, owsa, kukurydzy, mąki kukurydzianej i granulek z kukurydzy, kaszy i mączki jęczmiennej, ziaren zbóż poddanych innej obróbce, </w:t>
            </w:r>
            <w:r w:rsidRPr="00EF2987">
              <w:t>jaj i albumin, mięsa drobiowego i </w:t>
            </w:r>
            <w:proofErr w:type="gramStart"/>
            <w:r w:rsidRPr="00EF2987">
              <w:t>przetworów</w:t>
            </w:r>
            <w:proofErr w:type="gramEnd"/>
            <w:r w:rsidRPr="00EF2987">
              <w:t xml:space="preserve"> z mięsa drobiowego oraz cukrów, a średnią arytmetyczną oblicza się, dzieląc sumę wielkości przywozu w </w:t>
            </w:r>
            <w:r w:rsidRPr="00EF2987">
              <w:rPr>
                <w:b/>
                <w:i/>
              </w:rPr>
              <w:t>2021</w:t>
            </w:r>
            <w:r w:rsidRPr="00EF2987">
              <w:t> </w:t>
            </w:r>
            <w:r w:rsidRPr="00EF2987">
              <w:rPr>
                <w:b/>
                <w:i/>
              </w:rPr>
              <w:t xml:space="preserve">r., 2022 </w:t>
            </w:r>
            <w:r w:rsidRPr="00EF2987">
              <w:t xml:space="preserve">r. i 2023 r. przez </w:t>
            </w:r>
            <w:r w:rsidRPr="00EF2987">
              <w:rPr>
                <w:b/>
                <w:i/>
              </w:rPr>
              <w:t>trzy</w:t>
            </w:r>
            <w:r w:rsidRPr="00EF2987">
              <w:t>.</w:t>
            </w:r>
          </w:p>
        </w:tc>
      </w:tr>
    </w:tbl>
    <w:p w:rsidR="005D4A7A" w:rsidRPr="00EE0A7E" w:rsidRDefault="005D4A7A" w:rsidP="005D4A7A">
      <w:pPr>
        <w:pStyle w:val="NormalHanging12a"/>
      </w:pPr>
    </w:p>
    <w:sectPr w:rsidR="005D4A7A" w:rsidRPr="00EE0A7E" w:rsidSect="00EE0A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8AC" w:rsidRPr="00EE0A7E" w:rsidRDefault="005A28AC">
      <w:r w:rsidRPr="00EE0A7E">
        <w:separator/>
      </w:r>
    </w:p>
  </w:endnote>
  <w:endnote w:type="continuationSeparator" w:id="0">
    <w:p w:rsidR="005A28AC" w:rsidRPr="00EE0A7E" w:rsidRDefault="005A28AC">
      <w:r w:rsidRPr="00EE0A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Default="007B0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Pr="007B00AC" w:rsidRDefault="007B00AC" w:rsidP="007B00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Default="007B0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8AC" w:rsidRPr="00EE0A7E" w:rsidRDefault="005A28AC">
      <w:r w:rsidRPr="00EE0A7E">
        <w:separator/>
      </w:r>
    </w:p>
  </w:footnote>
  <w:footnote w:type="continuationSeparator" w:id="0">
    <w:p w:rsidR="005A28AC" w:rsidRPr="00EE0A7E" w:rsidRDefault="005A28AC">
      <w:r w:rsidRPr="00EE0A7E">
        <w:continuationSeparator/>
      </w:r>
    </w:p>
  </w:footnote>
  <w:footnote w:id="1">
    <w:p w:rsidR="007B00AC" w:rsidRPr="007B00AC" w:rsidRDefault="007B00AC" w:rsidP="007B00AC">
      <w:pPr>
        <w:pStyle w:val="FootnoteText"/>
        <w:ind w:left="851" w:hanging="851"/>
        <w:rPr>
          <w:sz w:val="24"/>
          <w:szCs w:val="24"/>
          <w:lang w:val="pl-PL"/>
        </w:rPr>
      </w:pPr>
      <w:r w:rsidRPr="007B00AC">
        <w:rPr>
          <w:rStyle w:val="FootnoteReference"/>
          <w:sz w:val="24"/>
          <w:szCs w:val="24"/>
        </w:rPr>
        <w:footnoteRef/>
      </w:r>
      <w:r w:rsidRPr="007B00AC">
        <w:rPr>
          <w:sz w:val="24"/>
          <w:szCs w:val="24"/>
          <w:lang w:val="pl-PL"/>
        </w:rPr>
        <w:t xml:space="preserve"> </w:t>
      </w:r>
      <w:r w:rsidRPr="007B00AC">
        <w:rPr>
          <w:sz w:val="24"/>
          <w:szCs w:val="24"/>
          <w:lang w:val="pl-PL"/>
        </w:rPr>
        <w:tab/>
        <w:t>Sprawa została odesłana do komisji właściwej w celu przeprowadzenia negocjacji międzyinstytucjonalnych na podstawie art. 59 ust. 4 akapit czwarty Regulaminu (A9-0077/2024).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Default="007B0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Default="007B00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0AC" w:rsidRDefault="007B0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PL"/>
    <w:docVar w:name="dvnumam" w:val="26"/>
    <w:docVar w:name="dvpe" w:val="758.861"/>
    <w:docVar w:name="dvrapporteur" w:val="Sprawozdawca: "/>
    <w:docVar w:name="dvstar" w:val="***I"/>
    <w:docVar w:name="dvtitre" w:val="Rezolucja ustawodawcza Parlamentu Europejskiego z dnia  2024 r. w sprawie wniosku dotyczącego rozporządzenia Parlamentu Europejskiego i Rady w sprawie środków tymczasowej liberalizacji handlu będących uzupełnieniem koncesji handlowych mających zastosowanie do ukraińskich produktów na podstawie Układu o stowarzyszeniu między Unią Europejską i Europejską Wspólnotą Energii Atomowej oraz ich państwami członkowskimi, z jednej strony, a Ukrainą, z drugiej strony(COM(2024)0050 – C9-0021/2024 – 2024/0028(COD))"/>
  </w:docVars>
  <w:rsids>
    <w:rsidRoot w:val="005A28AC"/>
    <w:rsid w:val="00002272"/>
    <w:rsid w:val="00064002"/>
    <w:rsid w:val="000677B9"/>
    <w:rsid w:val="000831BA"/>
    <w:rsid w:val="000862BD"/>
    <w:rsid w:val="000A42CC"/>
    <w:rsid w:val="000E7DD9"/>
    <w:rsid w:val="0010095E"/>
    <w:rsid w:val="00125B37"/>
    <w:rsid w:val="00187494"/>
    <w:rsid w:val="001A44C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1C1"/>
    <w:rsid w:val="00545827"/>
    <w:rsid w:val="00560270"/>
    <w:rsid w:val="005A28AC"/>
    <w:rsid w:val="005C2568"/>
    <w:rsid w:val="005D4A7A"/>
    <w:rsid w:val="006037C0"/>
    <w:rsid w:val="006631B6"/>
    <w:rsid w:val="00680577"/>
    <w:rsid w:val="006E1AAA"/>
    <w:rsid w:val="006F74FA"/>
    <w:rsid w:val="00731ADD"/>
    <w:rsid w:val="00734777"/>
    <w:rsid w:val="00747932"/>
    <w:rsid w:val="00751A4A"/>
    <w:rsid w:val="00756632"/>
    <w:rsid w:val="00762C74"/>
    <w:rsid w:val="00786EC0"/>
    <w:rsid w:val="007B00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A7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5DFF17-43F8-440D-AE88-C2255E22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4C5"/>
    <w:pPr>
      <w:spacing w:before="480" w:after="240"/>
    </w:pPr>
  </w:style>
  <w:style w:type="paragraph" w:customStyle="1" w:styleId="NormalBold">
    <w:name w:val="NormalBold"/>
    <w:basedOn w:val="Normal"/>
    <w:link w:val="NormalBoldChar"/>
    <w:rsid w:val="001A44C5"/>
    <w:rPr>
      <w:b/>
    </w:rPr>
  </w:style>
  <w:style w:type="paragraph" w:customStyle="1" w:styleId="NormalHanging12a">
    <w:name w:val="NormalHanging12a"/>
    <w:basedOn w:val="Normal"/>
    <w:rsid w:val="001A44C5"/>
    <w:pPr>
      <w:spacing w:after="240"/>
      <w:ind w:left="567" w:hanging="567"/>
    </w:pPr>
  </w:style>
  <w:style w:type="character" w:customStyle="1" w:styleId="NormalBoldChar">
    <w:name w:val="NormalBold Char"/>
    <w:basedOn w:val="DefaultParagraphFont"/>
    <w:link w:val="NormalBold"/>
    <w:locked/>
    <w:rsid w:val="001A44C5"/>
    <w:rPr>
      <w:b/>
      <w:sz w:val="24"/>
      <w:lang w:val="pl-PL"/>
    </w:rPr>
  </w:style>
  <w:style w:type="paragraph" w:customStyle="1" w:styleId="Normal12Hanging">
    <w:name w:val="Normal12Hanging"/>
    <w:basedOn w:val="Normal"/>
    <w:link w:val="Normal12HangingChar"/>
    <w:rsid w:val="005D4A7A"/>
    <w:pPr>
      <w:spacing w:after="240"/>
      <w:ind w:left="357" w:hanging="357"/>
    </w:pPr>
    <w:rPr>
      <w:snapToGrid w:val="0"/>
    </w:rPr>
  </w:style>
  <w:style w:type="character" w:customStyle="1" w:styleId="Normal12HangingChar">
    <w:name w:val="Normal12Hanging Char"/>
    <w:link w:val="Normal12Hanging"/>
    <w:rsid w:val="005D4A7A"/>
    <w:rPr>
      <w:snapToGrid w:val="0"/>
      <w:sz w:val="24"/>
      <w:lang w:val="pl-PL"/>
    </w:rPr>
  </w:style>
  <w:style w:type="paragraph" w:styleId="Header">
    <w:name w:val="header"/>
    <w:basedOn w:val="Normal"/>
    <w:link w:val="HeaderChar"/>
    <w:rsid w:val="007B00AC"/>
    <w:pPr>
      <w:tabs>
        <w:tab w:val="center" w:pos="4513"/>
        <w:tab w:val="right" w:pos="9026"/>
      </w:tabs>
    </w:pPr>
  </w:style>
  <w:style w:type="character" w:customStyle="1" w:styleId="HeaderChar">
    <w:name w:val="Header Char"/>
    <w:basedOn w:val="DefaultParagraphFont"/>
    <w:link w:val="Header"/>
    <w:rsid w:val="007B00AC"/>
    <w:rPr>
      <w:sz w:val="24"/>
      <w:lang w:val="pl-PL"/>
    </w:rPr>
  </w:style>
  <w:style w:type="paragraph" w:styleId="Footer">
    <w:name w:val="footer"/>
    <w:basedOn w:val="Normal"/>
    <w:link w:val="FooterChar"/>
    <w:rsid w:val="007B00AC"/>
    <w:pPr>
      <w:tabs>
        <w:tab w:val="center" w:pos="4513"/>
        <w:tab w:val="right" w:pos="9026"/>
      </w:tabs>
    </w:pPr>
  </w:style>
  <w:style w:type="character" w:customStyle="1" w:styleId="FooterChar">
    <w:name w:val="Footer Char"/>
    <w:basedOn w:val="DefaultParagraphFont"/>
    <w:link w:val="Footer"/>
    <w:rsid w:val="007B00AC"/>
    <w:rPr>
      <w:sz w:val="24"/>
      <w:lang w:val="pl-PL"/>
    </w:rPr>
  </w:style>
  <w:style w:type="paragraph" w:customStyle="1" w:styleId="AmDocTypeTab">
    <w:name w:val="AmDocTypeTab"/>
    <w:basedOn w:val="Normal"/>
    <w:rsid w:val="007B00AC"/>
    <w:pPr>
      <w:tabs>
        <w:tab w:val="right" w:pos="9072"/>
      </w:tabs>
    </w:pPr>
    <w:rPr>
      <w:b/>
    </w:rPr>
  </w:style>
  <w:style w:type="paragraph" w:customStyle="1" w:styleId="Normal12a">
    <w:name w:val="Normal12a"/>
    <w:basedOn w:val="Normal"/>
    <w:rsid w:val="007B00AC"/>
    <w:pPr>
      <w:spacing w:after="240"/>
    </w:pPr>
  </w:style>
  <w:style w:type="paragraph" w:customStyle="1" w:styleId="EPFooter2">
    <w:name w:val="EPFooter2"/>
    <w:basedOn w:val="Normal"/>
    <w:next w:val="Normal"/>
    <w:rsid w:val="007B00AC"/>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7B00AC"/>
    <w:pPr>
      <w:spacing w:before="240" w:after="240"/>
      <w:jc w:val="right"/>
    </w:pPr>
  </w:style>
  <w:style w:type="paragraph" w:customStyle="1" w:styleId="Normal6a">
    <w:name w:val="Normal6a"/>
    <w:basedOn w:val="Normal"/>
    <w:rsid w:val="007B00AC"/>
    <w:pPr>
      <w:spacing w:after="120"/>
    </w:pPr>
  </w:style>
  <w:style w:type="paragraph" w:customStyle="1" w:styleId="AmDateTab">
    <w:name w:val="AmDateTab"/>
    <w:basedOn w:val="Normal"/>
    <w:rsid w:val="007B00AC"/>
    <w:pPr>
      <w:tabs>
        <w:tab w:val="right" w:pos="9072"/>
      </w:tabs>
    </w:pPr>
  </w:style>
  <w:style w:type="paragraph" w:customStyle="1" w:styleId="AmJustText">
    <w:name w:val="AmJustText"/>
    <w:basedOn w:val="Normal"/>
    <w:rsid w:val="007B00AC"/>
    <w:pPr>
      <w:spacing w:after="240"/>
    </w:pPr>
    <w:rPr>
      <w:i/>
    </w:rPr>
  </w:style>
  <w:style w:type="paragraph" w:customStyle="1" w:styleId="AmColumnHeading">
    <w:name w:val="AmColumnHeading"/>
    <w:basedOn w:val="Normal"/>
    <w:rsid w:val="007B00AC"/>
    <w:pPr>
      <w:spacing w:after="240"/>
      <w:jc w:val="center"/>
    </w:pPr>
    <w:rPr>
      <w:i/>
    </w:rPr>
  </w:style>
  <w:style w:type="paragraph" w:customStyle="1" w:styleId="AmNumberTabs">
    <w:name w:val="AmNumberTabs"/>
    <w:basedOn w:val="Normal"/>
    <w:rsid w:val="007B00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7B00AC"/>
    <w:pPr>
      <w:tabs>
        <w:tab w:val="center" w:pos="4535"/>
        <w:tab w:val="right" w:pos="9071"/>
      </w:tabs>
      <w:spacing w:before="240" w:after="240"/>
    </w:pPr>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504A1-09AA-467A-BD48-E5BD2E059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2024-03-13T18:37:00Z</dcterms:created>
  <dcterms:modified xsi:type="dcterms:W3CDTF">2024-03-13T18:37:00Z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A9-0077/2024</vt:lpwstr>
  </property>
  <property fmtid="{D5CDD505-2E9C-101B-9397-08002B2CF9AE}" pid="4" name="&lt;Type&gt;">
    <vt:lpwstr>RR</vt:lpwstr>
  </property>
</Properties>
</file>