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28D2" w14:paraId="007D5A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CD333A" w14:textId="77777777" w:rsidR="00751A4A" w:rsidRPr="002328D2" w:rsidRDefault="00807691" w:rsidP="0010095E">
            <w:pPr>
              <w:pStyle w:val="EPName"/>
            </w:pPr>
            <w:bookmarkStart w:id="0" w:name="_GoBack"/>
            <w:bookmarkEnd w:id="0"/>
            <w:r w:rsidRPr="002328D2">
              <w:t>Parlamento Europeu</w:t>
            </w:r>
          </w:p>
          <w:p w14:paraId="2333338E" w14:textId="77777777" w:rsidR="00751A4A" w:rsidRPr="002328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28D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E4D8F3F" w14:textId="77777777" w:rsidR="00751A4A" w:rsidRPr="002328D2" w:rsidRDefault="00187494" w:rsidP="0010095E">
            <w:pPr>
              <w:pStyle w:val="EPLogo"/>
            </w:pPr>
            <w:r w:rsidRPr="002328D2">
              <w:rPr>
                <w:noProof/>
                <w:lang w:val="en-GB"/>
              </w:rPr>
              <w:drawing>
                <wp:inline distT="0" distB="0" distL="0" distR="0" wp14:anchorId="34E19BAB" wp14:editId="4E1DCB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E4857" w14:textId="77777777" w:rsidR="00D058B8" w:rsidRPr="002328D2" w:rsidRDefault="00D058B8" w:rsidP="004C5D52">
      <w:pPr>
        <w:pStyle w:val="LineTop"/>
      </w:pPr>
    </w:p>
    <w:p w14:paraId="12FA2958" w14:textId="77777777" w:rsidR="00680577" w:rsidRPr="002328D2" w:rsidRDefault="00807691" w:rsidP="00680577">
      <w:pPr>
        <w:pStyle w:val="EPBodyTA1"/>
      </w:pPr>
      <w:r w:rsidRPr="002328D2">
        <w:t>TEXTOS APROVADOS</w:t>
      </w:r>
    </w:p>
    <w:p w14:paraId="2210DDF3" w14:textId="77777777" w:rsidR="00D058B8" w:rsidRPr="002328D2" w:rsidRDefault="00D058B8" w:rsidP="00D058B8">
      <w:pPr>
        <w:pStyle w:val="LineBottom"/>
      </w:pPr>
    </w:p>
    <w:p w14:paraId="7C1F89F7" w14:textId="415E2F6A" w:rsidR="00807691" w:rsidRPr="002328D2" w:rsidRDefault="00807691" w:rsidP="00807691">
      <w:pPr>
        <w:pStyle w:val="ATHeading1"/>
      </w:pPr>
      <w:bookmarkStart w:id="1" w:name="TANumber"/>
      <w:r w:rsidRPr="002328D2">
        <w:t>P9_TA(2024)0</w:t>
      </w:r>
      <w:r w:rsidR="002328D2" w:rsidRPr="002328D2">
        <w:t>154</w:t>
      </w:r>
      <w:bookmarkEnd w:id="1"/>
    </w:p>
    <w:p w14:paraId="60FCCF00" w14:textId="77777777" w:rsidR="00807691" w:rsidRPr="002328D2" w:rsidRDefault="00807691" w:rsidP="00807691">
      <w:pPr>
        <w:pStyle w:val="ATHeading2"/>
      </w:pPr>
      <w:bookmarkStart w:id="2" w:name="title"/>
      <w:r w:rsidRPr="002328D2">
        <w:t>Medidas temporárias de liberalização do comércio que complementa as concessões comerciais aplicáveis aos produtos ucranianos ao abrigo do Acordo de Associação UE/Euratom/Ucrânia</w:t>
      </w:r>
      <w:bookmarkEnd w:id="2"/>
    </w:p>
    <w:p w14:paraId="5D9E2005" w14:textId="77777777" w:rsidR="00807691" w:rsidRPr="002328D2" w:rsidRDefault="00807691" w:rsidP="00807691">
      <w:pPr>
        <w:rPr>
          <w:i/>
          <w:vanish/>
        </w:rPr>
      </w:pPr>
      <w:r w:rsidRPr="002328D2">
        <w:rPr>
          <w:i/>
        </w:rPr>
        <w:fldChar w:fldCharType="begin"/>
      </w:r>
      <w:r w:rsidRPr="002328D2">
        <w:rPr>
          <w:i/>
        </w:rPr>
        <w:instrText xml:space="preserve"> TC"(</w:instrText>
      </w:r>
      <w:bookmarkStart w:id="3" w:name="DocNumber"/>
      <w:r w:rsidRPr="002328D2">
        <w:rPr>
          <w:i/>
        </w:rPr>
        <w:instrText>A9-0077/2024</w:instrText>
      </w:r>
      <w:bookmarkEnd w:id="3"/>
      <w:r w:rsidRPr="002328D2">
        <w:rPr>
          <w:i/>
        </w:rPr>
        <w:instrText xml:space="preserve"> - Relatora: Sandra Kalniete)"\l3 \n&gt; \* MERGEFORMAT </w:instrText>
      </w:r>
      <w:r w:rsidRPr="002328D2">
        <w:rPr>
          <w:i/>
        </w:rPr>
        <w:fldChar w:fldCharType="end"/>
      </w:r>
    </w:p>
    <w:p w14:paraId="163F44AC" w14:textId="77777777" w:rsidR="00807691" w:rsidRPr="002328D2" w:rsidRDefault="00807691" w:rsidP="00807691">
      <w:pPr>
        <w:rPr>
          <w:vanish/>
        </w:rPr>
      </w:pPr>
      <w:bookmarkStart w:id="4" w:name="Commission"/>
      <w:r w:rsidRPr="002328D2">
        <w:rPr>
          <w:vanish/>
        </w:rPr>
        <w:t>Comissão do Comércio Internacional</w:t>
      </w:r>
      <w:bookmarkEnd w:id="4"/>
    </w:p>
    <w:p w14:paraId="143A40B2" w14:textId="77777777" w:rsidR="00807691" w:rsidRPr="002328D2" w:rsidRDefault="00807691" w:rsidP="00807691">
      <w:pPr>
        <w:rPr>
          <w:vanish/>
        </w:rPr>
      </w:pPr>
      <w:bookmarkStart w:id="5" w:name="PE"/>
      <w:r w:rsidRPr="002328D2">
        <w:rPr>
          <w:vanish/>
        </w:rPr>
        <w:t>PE758.861</w:t>
      </w:r>
      <w:bookmarkEnd w:id="5"/>
    </w:p>
    <w:p w14:paraId="19D0A7B6" w14:textId="60217729" w:rsidR="00807691" w:rsidRPr="002328D2" w:rsidRDefault="00494938" w:rsidP="00807691">
      <w:pPr>
        <w:pStyle w:val="ATHeading3"/>
      </w:pPr>
      <w:bookmarkStart w:id="6" w:name="Sujet"/>
      <w:r>
        <w:t>Alterações aprovadas pelo</w:t>
      </w:r>
      <w:r w:rsidR="00807691" w:rsidRPr="002328D2">
        <w:t xml:space="preserve"> Parlamento Europeu, </w:t>
      </w:r>
      <w:r>
        <w:t>em</w:t>
      </w:r>
      <w:r w:rsidR="00807691" w:rsidRPr="002328D2">
        <w:t xml:space="preserve"> </w:t>
      </w:r>
      <w:r w:rsidR="00521A19" w:rsidRPr="002328D2">
        <w:t>13</w:t>
      </w:r>
      <w:r w:rsidR="00807691" w:rsidRPr="002328D2">
        <w:t xml:space="preserve"> de </w:t>
      </w:r>
      <w:r w:rsidR="00521A19" w:rsidRPr="002328D2">
        <w:t>março</w:t>
      </w:r>
      <w:r w:rsidR="00807691" w:rsidRPr="002328D2">
        <w:t xml:space="preserve"> de 2024, sobre a proposta de regulamento do Parlamento Europeu e do Conselho relativo a medidas temporárias de liberalização do comércio que complementa as concessões comerciais aplicáveis aos produtos ucranianos ao abrigo do Acordo de Associação entre a União Europeia e a Comunidade Europeia da Energia Atómica e os seus Estados-Membros, por um lado, e a Ucrânia, por outro</w:t>
      </w:r>
      <w:bookmarkEnd w:id="6"/>
      <w:r w:rsidR="00807691" w:rsidRPr="002328D2">
        <w:t xml:space="preserve"> </w:t>
      </w:r>
      <w:bookmarkStart w:id="7" w:name="References"/>
      <w:r w:rsidR="00807691" w:rsidRPr="002328D2">
        <w:t>(COM(2024)0050 – C9-0021/2024 – 2024/0028(COD))</w:t>
      </w:r>
      <w:bookmarkEnd w:id="7"/>
      <w:r>
        <w:rPr>
          <w:rStyle w:val="FootnoteReference"/>
        </w:rPr>
        <w:footnoteReference w:id="1"/>
      </w:r>
    </w:p>
    <w:p w14:paraId="74BEA9AF" w14:textId="77777777" w:rsidR="00807691" w:rsidRPr="002328D2" w:rsidRDefault="00807691" w:rsidP="00807691"/>
    <w:p w14:paraId="5180A418" w14:textId="77777777" w:rsidR="009C40F8" w:rsidRPr="002328D2" w:rsidRDefault="009C40F8" w:rsidP="009C40F8">
      <w:pPr>
        <w:pStyle w:val="NormalBold"/>
      </w:pPr>
      <w:bookmarkStart w:id="8" w:name="TextBodyBegin"/>
      <w:bookmarkEnd w:id="8"/>
      <w:r w:rsidRPr="002328D2">
        <w:t>(Processo legislativo ordinário: primeira leitura)</w:t>
      </w:r>
    </w:p>
    <w:p w14:paraId="0F3897D9" w14:textId="368CBA21" w:rsidR="000461C0" w:rsidRDefault="000461C0" w:rsidP="009C40F8">
      <w:pPr>
        <w:pStyle w:val="NormalHanging12a"/>
      </w:pPr>
    </w:p>
    <w:p w14:paraId="078B29D1" w14:textId="77777777" w:rsidR="000461C0" w:rsidRDefault="000461C0">
      <w:pPr>
        <w:widowControl/>
      </w:pPr>
      <w:r>
        <w:br w:type="page"/>
      </w:r>
    </w:p>
    <w:p w14:paraId="34A40106" w14:textId="3021C0AA" w:rsidR="000461C0" w:rsidRPr="001F7608" w:rsidRDefault="000461C0" w:rsidP="000461C0">
      <w:pPr>
        <w:pStyle w:val="AmNumberTabs"/>
      </w:pPr>
      <w:r>
        <w:lastRenderedPageBreak/>
        <w:t>Alterações</w:t>
      </w:r>
      <w:r w:rsidRPr="001F7608">
        <w:tab/>
      </w:r>
      <w:r w:rsidRPr="001F7608">
        <w:tab/>
        <w:t>23</w:t>
      </w:r>
      <w:r>
        <w:t xml:space="preserve"> e 26</w:t>
      </w:r>
    </w:p>
    <w:p w14:paraId="12C80E09" w14:textId="77777777" w:rsidR="000461C0" w:rsidRPr="001F7608" w:rsidRDefault="000461C0" w:rsidP="000461C0">
      <w:pPr>
        <w:pStyle w:val="NormalBold12b"/>
      </w:pPr>
      <w:r w:rsidRPr="001F7608">
        <w:t>Proposta de regulamento</w:t>
      </w:r>
    </w:p>
    <w:p w14:paraId="1FCF345B" w14:textId="77777777" w:rsidR="000461C0" w:rsidRPr="001F7608" w:rsidRDefault="000461C0" w:rsidP="000461C0">
      <w:pPr>
        <w:pStyle w:val="NormalBold"/>
      </w:pPr>
      <w:r w:rsidRPr="001F7608">
        <w:t>Considerando 11</w:t>
      </w:r>
    </w:p>
    <w:p w14:paraId="6B184CAA" w14:textId="77777777" w:rsidR="000461C0" w:rsidRPr="001F7608" w:rsidRDefault="000461C0" w:rsidP="000461C0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461C0" w:rsidRPr="001F7608" w14:paraId="66D8C0FB" w14:textId="77777777" w:rsidTr="00FE1083">
        <w:trPr>
          <w:jc w:val="center"/>
        </w:trPr>
        <w:tc>
          <w:tcPr>
            <w:tcW w:w="9752" w:type="dxa"/>
            <w:gridSpan w:val="2"/>
          </w:tcPr>
          <w:p w14:paraId="1E420C26" w14:textId="77777777" w:rsidR="000461C0" w:rsidRPr="001F7608" w:rsidRDefault="000461C0" w:rsidP="00FE1083">
            <w:pPr>
              <w:keepNext/>
            </w:pPr>
          </w:p>
        </w:tc>
      </w:tr>
      <w:tr w:rsidR="000461C0" w:rsidRPr="001F7608" w14:paraId="50900132" w14:textId="77777777" w:rsidTr="00FE1083">
        <w:trPr>
          <w:jc w:val="center"/>
        </w:trPr>
        <w:tc>
          <w:tcPr>
            <w:tcW w:w="4876" w:type="dxa"/>
          </w:tcPr>
          <w:p w14:paraId="24703959" w14:textId="77777777" w:rsidR="000461C0" w:rsidRPr="001F7608" w:rsidRDefault="000461C0" w:rsidP="00FE1083">
            <w:pPr>
              <w:pStyle w:val="AmColumnHeading"/>
              <w:keepNext/>
            </w:pPr>
            <w:r w:rsidRPr="001F7608">
              <w:t>Texto da Comissão</w:t>
            </w:r>
          </w:p>
        </w:tc>
        <w:tc>
          <w:tcPr>
            <w:tcW w:w="4876" w:type="dxa"/>
          </w:tcPr>
          <w:p w14:paraId="0054CED9" w14:textId="77777777" w:rsidR="000461C0" w:rsidRPr="001F7608" w:rsidRDefault="000461C0" w:rsidP="00FE1083">
            <w:pPr>
              <w:pStyle w:val="AmColumnHeading"/>
              <w:keepNext/>
            </w:pPr>
            <w:r w:rsidRPr="001F7608">
              <w:t>Alteração</w:t>
            </w:r>
          </w:p>
        </w:tc>
      </w:tr>
      <w:tr w:rsidR="000461C0" w:rsidRPr="001F7608" w14:paraId="34454ED4" w14:textId="77777777" w:rsidTr="00FE1083">
        <w:trPr>
          <w:jc w:val="center"/>
        </w:trPr>
        <w:tc>
          <w:tcPr>
            <w:tcW w:w="4876" w:type="dxa"/>
          </w:tcPr>
          <w:p w14:paraId="3F8AB501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>(11)</w:t>
            </w:r>
            <w:r w:rsidRPr="001F7608">
              <w:tab/>
              <w:t>Sob reserva de uma avaliação da Comissão a realizar pela Comissão no contexto da monitorização regular do impacto do presente regulamento, e lançada mediante um pedido devidamente fundamentado de um Estado</w:t>
            </w:r>
            <w:r>
              <w:noBreakHyphen/>
            </w:r>
            <w:r w:rsidRPr="001F7608">
              <w:t>Membro ou por iniciativa da própria Comissão, é necessário prever a possibilidade de tomar as medidas necessárias para as importações de quaisquer produtos abrangidos pelo âmbito de aplicação do presente regulamento que afetem negativamente o mercado da União ou o mercado de um ou vários Estados</w:t>
            </w:r>
            <w:r>
              <w:noBreakHyphen/>
            </w:r>
            <w:r w:rsidRPr="001F7608">
              <w:t xml:space="preserve">Membros de produtos similares ou diretamente concorrentes. Existe uma situação particularmente precária nos mercados de aves de capoeira, ovos e açúcar, que pode prejudicar os produtores agrícolas da União se as importações provenientes da Ucrânia aumentarem. É conveniente introduzir uma salvaguarda automática para </w:t>
            </w:r>
            <w:r w:rsidRPr="001F7608">
              <w:rPr>
                <w:b/>
                <w:i/>
              </w:rPr>
              <w:t>os</w:t>
            </w:r>
            <w:r w:rsidRPr="001F7608">
              <w:t xml:space="preserve"> ovos, aves de capoeira</w:t>
            </w:r>
            <w:r w:rsidRPr="001F7608">
              <w:rPr>
                <w:b/>
                <w:i/>
              </w:rPr>
              <w:t xml:space="preserve"> e</w:t>
            </w:r>
            <w:r w:rsidRPr="001F7608">
              <w:t xml:space="preserve"> produtos do setor do açúcar que seja ativada se as quantidades importadas ao abrigo do presente regulamento excederem a média aritmética das quantidades importadas em 2022 e 2023.</w:t>
            </w:r>
          </w:p>
        </w:tc>
        <w:tc>
          <w:tcPr>
            <w:tcW w:w="4876" w:type="dxa"/>
          </w:tcPr>
          <w:p w14:paraId="474EC76C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>(11)</w:t>
            </w:r>
            <w:r w:rsidRPr="001F7608">
              <w:tab/>
              <w:t>Sob reserva de uma avaliação da Comissão a realizar pela Comissão no contexto da monitorização regular do impacto do presente regulamento, e lançada mediante um pedido devidamente fundamentado de um Estado</w:t>
            </w:r>
            <w:r>
              <w:noBreakHyphen/>
            </w:r>
            <w:r w:rsidRPr="001F7608">
              <w:t>Membro ou por iniciativa da própria Comissão, é necessário prever a possibilidade de tomar as medidas necessárias para as importações de quaisquer produtos abrangidos pelo âmbito de aplicação do presente regulamento que afetem negativamente o mercado da União ou o mercado de um ou vários Estados</w:t>
            </w:r>
            <w:r>
              <w:noBreakHyphen/>
            </w:r>
            <w:r w:rsidRPr="001F7608">
              <w:t xml:space="preserve">Membros de produtos similares ou diretamente concorrentes. Existe uma situação particularmente precária nos mercados de </w:t>
            </w:r>
            <w:r w:rsidRPr="001F7608">
              <w:rPr>
                <w:b/>
                <w:i/>
              </w:rPr>
              <w:t xml:space="preserve">cereais, </w:t>
            </w:r>
            <w:r w:rsidRPr="001F7608">
              <w:t>aves de capoeira, ovos</w:t>
            </w:r>
            <w:r w:rsidRPr="001F7608">
              <w:rPr>
                <w:b/>
                <w:i/>
              </w:rPr>
              <w:t>,</w:t>
            </w:r>
            <w:r w:rsidRPr="001F7608">
              <w:t xml:space="preserve"> açúcar </w:t>
            </w:r>
            <w:r w:rsidRPr="001F7608">
              <w:rPr>
                <w:b/>
                <w:i/>
              </w:rPr>
              <w:t>e mel</w:t>
            </w:r>
            <w:r w:rsidRPr="001F7608">
              <w:t xml:space="preserve">, que pode prejudicar os produtores agrícolas da União se as importações provenientes da Ucrânia aumentarem. É conveniente introduzir uma salvaguarda automática para </w:t>
            </w:r>
            <w:r w:rsidRPr="001F7608">
              <w:rPr>
                <w:b/>
                <w:i/>
              </w:rPr>
              <w:t>o trigo, cevada, aveia, milho,</w:t>
            </w:r>
            <w:r w:rsidRPr="001F7608">
              <w:t xml:space="preserve"> ovos, aves de capoeira</w:t>
            </w:r>
            <w:r w:rsidRPr="001F7608">
              <w:rPr>
                <w:b/>
                <w:i/>
              </w:rPr>
              <w:t>,</w:t>
            </w:r>
            <w:r w:rsidRPr="001F7608">
              <w:t xml:space="preserve"> produtos do setor do açúcar</w:t>
            </w:r>
            <w:r w:rsidRPr="001F7608">
              <w:rPr>
                <w:b/>
                <w:i/>
              </w:rPr>
              <w:t xml:space="preserve"> e mel</w:t>
            </w:r>
            <w:r w:rsidRPr="001F7608">
              <w:t xml:space="preserve"> que seja ativada se as quantidades importadas ao abrigo do presente regulamento excederem a média aritmética das quantidades importadas em</w:t>
            </w:r>
            <w:r w:rsidRPr="001F7608">
              <w:rPr>
                <w:b/>
                <w:i/>
              </w:rPr>
              <w:t xml:space="preserve"> 2021,</w:t>
            </w:r>
            <w:r w:rsidRPr="001F7608">
              <w:t xml:space="preserve"> 2022 e 2023.</w:t>
            </w:r>
          </w:p>
        </w:tc>
      </w:tr>
    </w:tbl>
    <w:p w14:paraId="3EB4E70E" w14:textId="61EDF7A0" w:rsidR="000461C0" w:rsidRDefault="000461C0" w:rsidP="000461C0"/>
    <w:p w14:paraId="384AFCCB" w14:textId="3672A07E" w:rsidR="000461C0" w:rsidRPr="001F7608" w:rsidRDefault="000461C0" w:rsidP="000461C0">
      <w:pPr>
        <w:pStyle w:val="AmNumberTabs"/>
      </w:pPr>
      <w:r>
        <w:t>Alterações</w:t>
      </w:r>
      <w:r w:rsidRPr="001F7608">
        <w:tab/>
      </w:r>
      <w:r w:rsidRPr="001F7608">
        <w:tab/>
        <w:t>24</w:t>
      </w:r>
      <w:r>
        <w:t xml:space="preserve"> e 28</w:t>
      </w:r>
    </w:p>
    <w:p w14:paraId="2FD0BE08" w14:textId="77777777" w:rsidR="000461C0" w:rsidRPr="001F7608" w:rsidRDefault="000461C0" w:rsidP="000461C0">
      <w:pPr>
        <w:pStyle w:val="NormalBold12b"/>
      </w:pPr>
      <w:r w:rsidRPr="001F7608">
        <w:t>Proposta de regulamento</w:t>
      </w:r>
    </w:p>
    <w:p w14:paraId="7616FAEA" w14:textId="77777777" w:rsidR="000461C0" w:rsidRPr="001F7608" w:rsidRDefault="000461C0" w:rsidP="000461C0">
      <w:pPr>
        <w:pStyle w:val="NormalBold"/>
      </w:pPr>
      <w:r w:rsidRPr="001F7608">
        <w:t>Artigo 4 – n.º 7</w:t>
      </w:r>
    </w:p>
    <w:p w14:paraId="6AA4E42F" w14:textId="77777777" w:rsidR="000461C0" w:rsidRPr="001F7608" w:rsidRDefault="000461C0" w:rsidP="000461C0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461C0" w:rsidRPr="001F7608" w14:paraId="79E730D9" w14:textId="77777777" w:rsidTr="00FE1083">
        <w:trPr>
          <w:jc w:val="center"/>
        </w:trPr>
        <w:tc>
          <w:tcPr>
            <w:tcW w:w="9752" w:type="dxa"/>
            <w:gridSpan w:val="2"/>
          </w:tcPr>
          <w:p w14:paraId="52D2BE9B" w14:textId="77777777" w:rsidR="000461C0" w:rsidRPr="001F7608" w:rsidRDefault="000461C0" w:rsidP="00FE1083">
            <w:pPr>
              <w:keepNext/>
            </w:pPr>
          </w:p>
        </w:tc>
      </w:tr>
      <w:tr w:rsidR="000461C0" w:rsidRPr="001F7608" w14:paraId="00C63BA8" w14:textId="77777777" w:rsidTr="00FE1083">
        <w:trPr>
          <w:jc w:val="center"/>
        </w:trPr>
        <w:tc>
          <w:tcPr>
            <w:tcW w:w="4876" w:type="dxa"/>
          </w:tcPr>
          <w:p w14:paraId="3549EE4B" w14:textId="77777777" w:rsidR="000461C0" w:rsidRPr="001F7608" w:rsidRDefault="000461C0" w:rsidP="00FE1083">
            <w:pPr>
              <w:pStyle w:val="AmColumnHeading"/>
              <w:keepNext/>
            </w:pPr>
            <w:r w:rsidRPr="001F7608">
              <w:t>Texto da Comissão</w:t>
            </w:r>
          </w:p>
        </w:tc>
        <w:tc>
          <w:tcPr>
            <w:tcW w:w="4876" w:type="dxa"/>
          </w:tcPr>
          <w:p w14:paraId="704777A7" w14:textId="77777777" w:rsidR="000461C0" w:rsidRPr="001F7608" w:rsidRDefault="000461C0" w:rsidP="00FE1083">
            <w:pPr>
              <w:pStyle w:val="AmColumnHeading"/>
              <w:keepNext/>
            </w:pPr>
            <w:r w:rsidRPr="001F7608">
              <w:t>Alteração</w:t>
            </w:r>
          </w:p>
        </w:tc>
      </w:tr>
      <w:tr w:rsidR="000461C0" w:rsidRPr="001F7608" w14:paraId="6A91C796" w14:textId="77777777" w:rsidTr="00FE1083">
        <w:trPr>
          <w:jc w:val="center"/>
        </w:trPr>
        <w:tc>
          <w:tcPr>
            <w:tcW w:w="4876" w:type="dxa"/>
          </w:tcPr>
          <w:p w14:paraId="4FEB446B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 xml:space="preserve">7. Se, durante o período compreendido entre 6 de junho e 31 de dezembro de 2024, os volumes cumulativos de </w:t>
            </w:r>
            <w:r w:rsidRPr="001F7608">
              <w:lastRenderedPageBreak/>
              <w:t xml:space="preserve">importação de ovos, aves de capoeira ou açúcar desde 1 de janeiro de 2024 atingirem a respetiva média aritmética dos volumes de importação registados em 2022 e 2023, a Comissão, no prazo de </w:t>
            </w:r>
            <w:r w:rsidRPr="001F7608">
              <w:rPr>
                <w:b/>
                <w:i/>
              </w:rPr>
              <w:t>21</w:t>
            </w:r>
            <w:r w:rsidRPr="001F7608">
              <w:t xml:space="preserve"> dias e após informar o Comité das Medidas de Salvaguarda instituído pelo artigo 3.º, n.º 1, do Regulamento (UE) 2015/478: </w:t>
            </w:r>
          </w:p>
        </w:tc>
        <w:tc>
          <w:tcPr>
            <w:tcW w:w="4876" w:type="dxa"/>
          </w:tcPr>
          <w:p w14:paraId="0FAC930B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lastRenderedPageBreak/>
              <w:t xml:space="preserve">7. Se, durante o período compreendido entre 6 de junho e 31 de dezembro de 2024, os volumes cumulativos de </w:t>
            </w:r>
            <w:r w:rsidRPr="001F7608">
              <w:lastRenderedPageBreak/>
              <w:t xml:space="preserve">importação de </w:t>
            </w:r>
            <w:r w:rsidRPr="001F7608">
              <w:rPr>
                <w:b/>
                <w:i/>
              </w:rPr>
              <w:t>trigo</w:t>
            </w:r>
            <w:r>
              <w:rPr>
                <w:b/>
                <w:i/>
              </w:rPr>
              <w:noBreakHyphen/>
            </w:r>
            <w:r w:rsidRPr="001F7608">
              <w:rPr>
                <w:b/>
                <w:i/>
              </w:rPr>
              <w:t xml:space="preserve">mole, farinha e péletes de trigo, cevada, farinha e péletes de cevada, aveia, milho, farinha e péletes de milho, grumos e sêmolas de cevada, grãos de cereais trabalhados de outro modo, mel, </w:t>
            </w:r>
            <w:r w:rsidRPr="001F7608">
              <w:t xml:space="preserve">ovos, aves de capoeira ou açúcar desde 1 de janeiro de 2024 atingirem a respetiva média aritmética dos volumes de importação registados em </w:t>
            </w:r>
            <w:r w:rsidRPr="001F7608">
              <w:rPr>
                <w:b/>
                <w:i/>
              </w:rPr>
              <w:t xml:space="preserve">2021, </w:t>
            </w:r>
            <w:r w:rsidRPr="001F7608">
              <w:t xml:space="preserve">2022 e 2023, a Comissão, no prazo de </w:t>
            </w:r>
            <w:r w:rsidRPr="001F7608">
              <w:rPr>
                <w:b/>
                <w:i/>
              </w:rPr>
              <w:t>14</w:t>
            </w:r>
            <w:r w:rsidRPr="001F7608">
              <w:t xml:space="preserve"> dias e após informar o Comité das Medidas de Salvaguarda instituído pelo artigo 3.º, n.º 1, do Regulamento (UE) 2015/478: </w:t>
            </w:r>
          </w:p>
        </w:tc>
      </w:tr>
      <w:tr w:rsidR="000461C0" w:rsidRPr="001F7608" w14:paraId="5271493A" w14:textId="77777777" w:rsidTr="00FE1083">
        <w:trPr>
          <w:jc w:val="center"/>
        </w:trPr>
        <w:tc>
          <w:tcPr>
            <w:tcW w:w="4876" w:type="dxa"/>
          </w:tcPr>
          <w:p w14:paraId="75A2C757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lastRenderedPageBreak/>
              <w:t xml:space="preserve">a) deve reintroduzir, para esse produto, o contingente pautal correspondente suspenso pelo artigo 1.º, n.º 1, alínea b), até 31 de dezembro de 2024; e </w:t>
            </w:r>
          </w:p>
        </w:tc>
        <w:tc>
          <w:tcPr>
            <w:tcW w:w="4876" w:type="dxa"/>
          </w:tcPr>
          <w:p w14:paraId="00C64C7F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>a) deve reintroduzir, para esse produto, o contingente pautal correspondente suspenso pelo artigo 1.º, n.º 1, alínea b), até 31 de dezembro de 2024; e</w:t>
            </w:r>
          </w:p>
        </w:tc>
      </w:tr>
      <w:tr w:rsidR="000461C0" w:rsidRPr="001F7608" w14:paraId="19B93EF4" w14:textId="77777777" w:rsidTr="00FE1083">
        <w:trPr>
          <w:jc w:val="center"/>
        </w:trPr>
        <w:tc>
          <w:tcPr>
            <w:tcW w:w="4876" w:type="dxa"/>
          </w:tcPr>
          <w:p w14:paraId="5F130C8A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 xml:space="preserve">b) introduzir, a partir de 1 de janeiro de 2025, um contingente pautal igual a cinco duodécimos dessa média aritmética ou o contingente pautal correspondente suspenso pelo artigo 1.º, n.º 1, alínea b), consoante o que for mais elevado. </w:t>
            </w:r>
          </w:p>
        </w:tc>
        <w:tc>
          <w:tcPr>
            <w:tcW w:w="4876" w:type="dxa"/>
          </w:tcPr>
          <w:p w14:paraId="78D4E099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>b) introduzir, a partir de 1 de janeiro de 2025, um contingente pautal igual a cinco duodécimos dessa média aritmética ou o contingente pautal correspondente suspenso pelo artigo 1.º, n.º 1, alínea b), consoante o que for mais elevado.</w:t>
            </w:r>
          </w:p>
        </w:tc>
      </w:tr>
      <w:tr w:rsidR="000461C0" w:rsidRPr="001F7608" w14:paraId="057C2A46" w14:textId="77777777" w:rsidTr="00FE1083">
        <w:trPr>
          <w:jc w:val="center"/>
        </w:trPr>
        <w:tc>
          <w:tcPr>
            <w:tcW w:w="4876" w:type="dxa"/>
          </w:tcPr>
          <w:p w14:paraId="72B0C35F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 xml:space="preserve">Se, durante o período compreendido entre 1 de janeiro e 5 de junho de 2025, os volumes cumulativos de importação de ovos, aves de capoeira ou açúcar desde 1 de janeiro de 2025 atingirem cinco duodécimos da respetiva média aritmética dos volumes de importação registados em 2022 e 2023, a Comissão, no prazo de </w:t>
            </w:r>
            <w:r w:rsidRPr="001F7608">
              <w:rPr>
                <w:b/>
                <w:i/>
              </w:rPr>
              <w:t>21</w:t>
            </w:r>
            <w:r w:rsidRPr="001F7608">
              <w:t xml:space="preserve"> dias e após informar o Comité das Medidas de Salvaguarda, deve reintroduzir para esse produto o contingente pautal suspenso pelo artigo 1.º, n.º 1, alínea b). </w:t>
            </w:r>
          </w:p>
        </w:tc>
        <w:tc>
          <w:tcPr>
            <w:tcW w:w="4876" w:type="dxa"/>
          </w:tcPr>
          <w:p w14:paraId="0243FE37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 xml:space="preserve">Se, durante o período compreendido entre 1 de janeiro e 5 de junho de 2025, os volumes cumulativos de importação de </w:t>
            </w:r>
            <w:r w:rsidRPr="001F7608">
              <w:rPr>
                <w:b/>
                <w:i/>
              </w:rPr>
              <w:t>trigo</w:t>
            </w:r>
            <w:r>
              <w:rPr>
                <w:b/>
                <w:i/>
              </w:rPr>
              <w:noBreakHyphen/>
            </w:r>
            <w:r w:rsidRPr="001F7608">
              <w:rPr>
                <w:b/>
                <w:i/>
              </w:rPr>
              <w:t xml:space="preserve">mole, farinhas e péletes de trigo, cevada, farinha e péletes de cevada, aveia, milho, farinha e péletes de milho, grumos e sêmolas de cevada, grãos de cereais trabalhados de outro modo, mel, </w:t>
            </w:r>
            <w:r w:rsidRPr="001F7608">
              <w:t xml:space="preserve">ovos, aves de capoeira ou açúcar desde 1 de janeiro de 2025 atingirem cinco duodécimos da respetiva média aritmética dos volumes de importação registados em </w:t>
            </w:r>
            <w:r w:rsidRPr="001F7608">
              <w:rPr>
                <w:b/>
                <w:i/>
              </w:rPr>
              <w:t xml:space="preserve">2021, </w:t>
            </w:r>
            <w:r w:rsidRPr="001F7608">
              <w:t xml:space="preserve">2022 e 2023, a Comissão, no prazo de </w:t>
            </w:r>
            <w:r w:rsidRPr="001F7608">
              <w:rPr>
                <w:b/>
                <w:i/>
              </w:rPr>
              <w:t>14</w:t>
            </w:r>
            <w:r w:rsidRPr="001F7608">
              <w:t xml:space="preserve"> dias e após informar o Comité das Medidas de Salvaguarda, deve reintroduzir para esse produto o contingente pautal suspenso pelo artigo 1.º, n.º 1, alínea b). </w:t>
            </w:r>
          </w:p>
        </w:tc>
      </w:tr>
      <w:tr w:rsidR="000461C0" w:rsidRPr="001F7608" w14:paraId="6D57B182" w14:textId="77777777" w:rsidTr="00FE1083">
        <w:trPr>
          <w:jc w:val="center"/>
        </w:trPr>
        <w:tc>
          <w:tcPr>
            <w:tcW w:w="4876" w:type="dxa"/>
          </w:tcPr>
          <w:p w14:paraId="076E6BF1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t>Para efeitos do presente número, os termos «ovos», «aves de capoeira» e «açúcar» referem</w:t>
            </w:r>
            <w:r>
              <w:noBreakHyphen/>
            </w:r>
            <w:r w:rsidRPr="001F7608">
              <w:t>se a todos os produtos abrangidos pelos contingentes pautais constantes do apêndice do anexo I</w:t>
            </w:r>
            <w:r>
              <w:noBreakHyphen/>
            </w:r>
            <w:r w:rsidRPr="001F7608">
              <w:t xml:space="preserve">A do Acordo de Associação para, respetivamente, ovos e albuminas, carne de aves de capoeira e preparados de carne de aves de capoeira e </w:t>
            </w:r>
            <w:r w:rsidRPr="001F7608">
              <w:lastRenderedPageBreak/>
              <w:t xml:space="preserve">açúcares, e a média aritmética é calculada dividindo a soma dos volumes de importação em 2022 e 2023 por </w:t>
            </w:r>
            <w:r w:rsidRPr="001F7608">
              <w:rPr>
                <w:b/>
                <w:i/>
              </w:rPr>
              <w:t>dois</w:t>
            </w:r>
            <w:r w:rsidRPr="001F7608">
              <w:t>.</w:t>
            </w:r>
          </w:p>
        </w:tc>
        <w:tc>
          <w:tcPr>
            <w:tcW w:w="4876" w:type="dxa"/>
          </w:tcPr>
          <w:p w14:paraId="322FC2FA" w14:textId="77777777" w:rsidR="000461C0" w:rsidRPr="001F7608" w:rsidRDefault="000461C0" w:rsidP="00FE1083">
            <w:pPr>
              <w:pStyle w:val="Normal6a"/>
              <w:rPr>
                <w:szCs w:val="24"/>
              </w:rPr>
            </w:pPr>
            <w:r w:rsidRPr="001F7608">
              <w:lastRenderedPageBreak/>
              <w:t xml:space="preserve">Para efeitos do presente número, os termos </w:t>
            </w:r>
            <w:r w:rsidRPr="001F7608">
              <w:rPr>
                <w:b/>
                <w:i/>
              </w:rPr>
              <w:t>«trigo</w:t>
            </w:r>
            <w:r>
              <w:rPr>
                <w:b/>
                <w:i/>
              </w:rPr>
              <w:noBreakHyphen/>
            </w:r>
            <w:r w:rsidRPr="001F7608">
              <w:rPr>
                <w:b/>
                <w:i/>
              </w:rPr>
              <w:t xml:space="preserve">mole», «farinha e péletes de trigo», «cevada», «farinha e péletes de cevada», «aveia», «milho», «farinhas e péletes de milho», «grumos e sêmolas de cevada», «grãos de cereais trabalhados de outro modo», «mel», </w:t>
            </w:r>
            <w:r w:rsidRPr="001F7608">
              <w:t>«ovos», «aves de capoeira» e «açúcar» referem</w:t>
            </w:r>
            <w:r>
              <w:noBreakHyphen/>
            </w:r>
            <w:r w:rsidRPr="001F7608">
              <w:t xml:space="preserve">se a todos os produtos </w:t>
            </w:r>
            <w:r w:rsidRPr="001F7608">
              <w:lastRenderedPageBreak/>
              <w:t>abrangidos pelos contingentes pautais constantes do apêndice do anexo I</w:t>
            </w:r>
            <w:r>
              <w:noBreakHyphen/>
            </w:r>
            <w:r w:rsidRPr="001F7608">
              <w:t xml:space="preserve">A do Acordo de Associação para, respetivamente, </w:t>
            </w:r>
            <w:r w:rsidRPr="001F7608">
              <w:rPr>
                <w:b/>
                <w:i/>
              </w:rPr>
              <w:t>trigo</w:t>
            </w:r>
            <w:r>
              <w:rPr>
                <w:b/>
                <w:i/>
              </w:rPr>
              <w:noBreakHyphen/>
            </w:r>
            <w:r w:rsidRPr="001F7608">
              <w:rPr>
                <w:b/>
                <w:i/>
              </w:rPr>
              <w:t xml:space="preserve">mole, farinha e péletes de trigo, cevada, farinha e péletes de cevada, aveia, milho, farinha e péletes de milho, grumos e sêmolas de cevada, grãos de cereais trabalhados de outro modo, mel, </w:t>
            </w:r>
            <w:r w:rsidRPr="001F7608">
              <w:t xml:space="preserve">ovos e albuminas, carne de aves de capoeira e preparados de carne de aves de capoeira e açúcares, e a média aritmética é calculada dividindo a soma dos volumes de importação em </w:t>
            </w:r>
            <w:r w:rsidRPr="001F7608">
              <w:rPr>
                <w:b/>
                <w:i/>
              </w:rPr>
              <w:t xml:space="preserve">2021, </w:t>
            </w:r>
            <w:r w:rsidRPr="001F7608">
              <w:t xml:space="preserve">2022 e 2023 por </w:t>
            </w:r>
            <w:r w:rsidRPr="001F7608">
              <w:rPr>
                <w:b/>
                <w:i/>
              </w:rPr>
              <w:t>três</w:t>
            </w:r>
            <w:r w:rsidRPr="001F7608">
              <w:t>.</w:t>
            </w:r>
          </w:p>
        </w:tc>
      </w:tr>
    </w:tbl>
    <w:p w14:paraId="60A45778" w14:textId="5841C67B" w:rsidR="000461C0" w:rsidRDefault="000461C0" w:rsidP="000461C0"/>
    <w:p w14:paraId="58DD3D88" w14:textId="0E07E9E3" w:rsidR="009C40F8" w:rsidRPr="002328D2" w:rsidRDefault="009C40F8" w:rsidP="00413058"/>
    <w:p w14:paraId="09261AA8" w14:textId="77777777" w:rsidR="009C40F8" w:rsidRPr="002328D2" w:rsidRDefault="009C40F8" w:rsidP="009C40F8"/>
    <w:p w14:paraId="033DDA63" w14:textId="77777777" w:rsidR="009A3314" w:rsidRPr="002328D2" w:rsidRDefault="009A3314" w:rsidP="00807691">
      <w:bookmarkStart w:id="9" w:name="TextBodyEnd"/>
      <w:bookmarkEnd w:id="9"/>
    </w:p>
    <w:sectPr w:rsidR="009A3314" w:rsidRPr="002328D2" w:rsidSect="008047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870AA" w14:textId="77777777" w:rsidR="00807691" w:rsidRPr="0080475A" w:rsidRDefault="00807691">
      <w:r w:rsidRPr="0080475A">
        <w:separator/>
      </w:r>
    </w:p>
  </w:endnote>
  <w:endnote w:type="continuationSeparator" w:id="0">
    <w:p w14:paraId="3F1759EF" w14:textId="77777777" w:rsidR="00807691" w:rsidRPr="0080475A" w:rsidRDefault="00807691">
      <w:r w:rsidRPr="008047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4EE53" w14:textId="77777777" w:rsidR="00064002" w:rsidRPr="008047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6E99F" w14:textId="77777777" w:rsidR="00064002" w:rsidRPr="008047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53B3" w14:textId="77777777" w:rsidR="00064002" w:rsidRPr="008047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B4557" w14:textId="77777777" w:rsidR="00807691" w:rsidRPr="0080475A" w:rsidRDefault="00807691">
      <w:r w:rsidRPr="0080475A">
        <w:separator/>
      </w:r>
    </w:p>
  </w:footnote>
  <w:footnote w:type="continuationSeparator" w:id="0">
    <w:p w14:paraId="52698D36" w14:textId="77777777" w:rsidR="00807691" w:rsidRPr="0080475A" w:rsidRDefault="00807691">
      <w:r w:rsidRPr="0080475A">
        <w:continuationSeparator/>
      </w:r>
    </w:p>
  </w:footnote>
  <w:footnote w:id="1">
    <w:p w14:paraId="325C0F95" w14:textId="42B83322" w:rsidR="00494938" w:rsidRPr="00413058" w:rsidRDefault="00494938" w:rsidP="00413058">
      <w:pPr>
        <w:pStyle w:val="FootnoteText"/>
        <w:ind w:left="567" w:hanging="567"/>
        <w:rPr>
          <w:sz w:val="24"/>
          <w:szCs w:val="24"/>
          <w:lang w:val="pt-PT"/>
        </w:rPr>
      </w:pPr>
      <w:r w:rsidRPr="00413058">
        <w:rPr>
          <w:rStyle w:val="FootnoteReference"/>
          <w:sz w:val="24"/>
          <w:szCs w:val="24"/>
        </w:rPr>
        <w:footnoteRef/>
      </w:r>
      <w:r w:rsidRPr="00413058">
        <w:rPr>
          <w:sz w:val="24"/>
          <w:szCs w:val="24"/>
          <w:lang w:val="pt-PT"/>
        </w:rPr>
        <w:t xml:space="preserve"> </w:t>
      </w:r>
      <w:r w:rsidRPr="00413058">
        <w:rPr>
          <w:sz w:val="24"/>
          <w:szCs w:val="24"/>
          <w:lang w:val="pt-PT"/>
        </w:rPr>
        <w:tab/>
        <w:t>O assunto foi devolvido à comissão competente, para negociações interinstitucionais, nos termos do artigo 59.º, n.º 4, quarto parágrafo, do Regimento (A9-0</w:t>
      </w:r>
      <w:r>
        <w:rPr>
          <w:sz w:val="24"/>
          <w:szCs w:val="24"/>
          <w:lang w:val="pt-PT"/>
        </w:rPr>
        <w:t>077</w:t>
      </w:r>
      <w:r w:rsidRPr="00413058">
        <w:rPr>
          <w:sz w:val="24"/>
          <w:szCs w:val="24"/>
          <w:lang w:val="pt-PT"/>
        </w:rPr>
        <w:t>/202</w:t>
      </w:r>
      <w:r>
        <w:rPr>
          <w:sz w:val="24"/>
          <w:szCs w:val="24"/>
          <w:lang w:val="pt-PT"/>
        </w:rPr>
        <w:t>4</w:t>
      </w:r>
      <w:r w:rsidRPr="00413058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371FE" w14:textId="77777777" w:rsidR="00064002" w:rsidRPr="008047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AC209" w14:textId="77777777" w:rsidR="00064002" w:rsidRPr="008047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20FE5" w14:textId="77777777" w:rsidR="00064002" w:rsidRPr="008047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PT"/>
    <w:docVar w:name="dvnumam" w:val="26"/>
    <w:docVar w:name="dvpe" w:val="758.861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relativo a medidas temporárias de liberalização do comércio que complementa as concessões comerciais aplicáveis aos produtos ucranianos ao abrigo do Acordo de Associação entre a União Europeia e a Comunidade Europeia da Energia Atómica e os seus Estados-Membros, por um lado, e a Ucrânia, por outro(COM(2024)0050 – C9-0021/2024 – 2024/0028(COD))"/>
  </w:docVars>
  <w:rsids>
    <w:rsidRoot w:val="00807691"/>
    <w:rsid w:val="00002272"/>
    <w:rsid w:val="000461C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620"/>
    <w:rsid w:val="002328D2"/>
    <w:rsid w:val="002767FF"/>
    <w:rsid w:val="002B18FE"/>
    <w:rsid w:val="002B5493"/>
    <w:rsid w:val="00343214"/>
    <w:rsid w:val="00361C00"/>
    <w:rsid w:val="00395FA1"/>
    <w:rsid w:val="003E15D4"/>
    <w:rsid w:val="00411CCE"/>
    <w:rsid w:val="00413058"/>
    <w:rsid w:val="0041666E"/>
    <w:rsid w:val="00421060"/>
    <w:rsid w:val="00471C19"/>
    <w:rsid w:val="004867E3"/>
    <w:rsid w:val="00494938"/>
    <w:rsid w:val="00494A28"/>
    <w:rsid w:val="004C0004"/>
    <w:rsid w:val="004C5D52"/>
    <w:rsid w:val="0050519A"/>
    <w:rsid w:val="005072A1"/>
    <w:rsid w:val="00514517"/>
    <w:rsid w:val="00521A19"/>
    <w:rsid w:val="00545827"/>
    <w:rsid w:val="00554BA3"/>
    <w:rsid w:val="00560270"/>
    <w:rsid w:val="005C2568"/>
    <w:rsid w:val="005F69E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75A"/>
    <w:rsid w:val="00807691"/>
    <w:rsid w:val="00817416"/>
    <w:rsid w:val="00817607"/>
    <w:rsid w:val="00831C4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314"/>
    <w:rsid w:val="009C40F8"/>
    <w:rsid w:val="00A1687D"/>
    <w:rsid w:val="00A43E52"/>
    <w:rsid w:val="00A4678D"/>
    <w:rsid w:val="00A778C7"/>
    <w:rsid w:val="00AB441E"/>
    <w:rsid w:val="00AB6293"/>
    <w:rsid w:val="00AC6B8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299E2"/>
  <w15:chartTrackingRefBased/>
  <w15:docId w15:val="{10E4606F-9FE4-442D-9C0A-8FEF9593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C40F8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9C40F8"/>
    <w:rPr>
      <w:b/>
    </w:rPr>
  </w:style>
  <w:style w:type="paragraph" w:customStyle="1" w:styleId="NormalHanging12a">
    <w:name w:val="NormalHanging12a"/>
    <w:basedOn w:val="Normal"/>
    <w:rsid w:val="009C40F8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9C40F8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521A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1A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1A1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21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1A1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21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1A19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21A19"/>
    <w:rPr>
      <w:color w:val="0563C1" w:themeColor="hyperlink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9A3314"/>
    <w:pPr>
      <w:widowControl/>
      <w:jc w:val="both"/>
    </w:pPr>
    <w:rPr>
      <w:sz w:val="20"/>
      <w:lang w:val="en-GB"/>
    </w:rPr>
  </w:style>
  <w:style w:type="paragraph" w:customStyle="1" w:styleId="Normal6a">
    <w:name w:val="Normal6a"/>
    <w:basedOn w:val="Normal"/>
    <w:rsid w:val="000461C0"/>
    <w:pPr>
      <w:spacing w:after="120"/>
    </w:pPr>
  </w:style>
  <w:style w:type="paragraph" w:customStyle="1" w:styleId="AmColumnHeading">
    <w:name w:val="AmColumnHeading"/>
    <w:basedOn w:val="Normal"/>
    <w:rsid w:val="000461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61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461C0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0461C0"/>
    <w:rPr>
      <w:b/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9CF4-4CAE-492C-A8CE-4B86A244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2024-03-14T08:45:00Z</dcterms:created>
  <dcterms:modified xsi:type="dcterms:W3CDTF">2024-03-14T08:45:00Z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A9-0077/2024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