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6A6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6A62" w:rsidRDefault="00EA75A4" w:rsidP="0010095E">
            <w:pPr>
              <w:pStyle w:val="EPName"/>
            </w:pPr>
            <w:r w:rsidRPr="00476A62">
              <w:t>Parlamento Europeo</w:t>
            </w:r>
          </w:p>
          <w:p w:rsidR="00751A4A" w:rsidRPr="00476A6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4BE1">
              <w:t>2019</w:t>
            </w:r>
            <w:r w:rsidRPr="00476A62">
              <w:t>-</w:t>
            </w:r>
            <w:r w:rsidRPr="004A4BE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76A62" w:rsidRDefault="00187494" w:rsidP="0010095E">
            <w:pPr>
              <w:pStyle w:val="EPLogo"/>
            </w:pPr>
            <w:r w:rsidRPr="00476A6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6A62" w:rsidRDefault="00D058B8" w:rsidP="004C5D52">
      <w:pPr>
        <w:pStyle w:val="LineTop"/>
      </w:pPr>
    </w:p>
    <w:p w:rsidR="00680577" w:rsidRPr="00476A62" w:rsidRDefault="00EA75A4" w:rsidP="00680577">
      <w:pPr>
        <w:pStyle w:val="EPBodyTA1"/>
      </w:pPr>
      <w:r w:rsidRPr="00476A62">
        <w:t>TEXTOS APROBADOS</w:t>
      </w:r>
    </w:p>
    <w:p w:rsidR="00D058B8" w:rsidRPr="00476A62" w:rsidRDefault="00D058B8" w:rsidP="00D058B8">
      <w:pPr>
        <w:pStyle w:val="LineBottom"/>
      </w:pPr>
    </w:p>
    <w:p w:rsidR="00EA75A4" w:rsidRPr="00476A62" w:rsidRDefault="00EA75A4" w:rsidP="00EA75A4">
      <w:pPr>
        <w:pStyle w:val="ATHeading1"/>
      </w:pPr>
      <w:bookmarkStart w:id="0" w:name="TANumber"/>
      <w:r w:rsidRPr="00476A62">
        <w:t>P</w:t>
      </w:r>
      <w:r w:rsidRPr="004A4BE1">
        <w:t>9</w:t>
      </w:r>
      <w:r w:rsidRPr="00476A62">
        <w:t>_TA(</w:t>
      </w:r>
      <w:r w:rsidRPr="004A4BE1">
        <w:t>2024</w:t>
      </w:r>
      <w:r w:rsidRPr="00476A62">
        <w:t>)</w:t>
      </w:r>
      <w:r w:rsidRPr="004A4BE1">
        <w:t>0</w:t>
      </w:r>
      <w:r w:rsidR="00633BD2" w:rsidRPr="004A4BE1">
        <w:t>155</w:t>
      </w:r>
      <w:bookmarkEnd w:id="0"/>
    </w:p>
    <w:p w:rsidR="00EA75A4" w:rsidRPr="00476A62" w:rsidRDefault="00EA75A4" w:rsidP="00EA75A4">
      <w:pPr>
        <w:pStyle w:val="ATHeading2"/>
      </w:pPr>
      <w:bookmarkStart w:id="1" w:name="title"/>
      <w:r w:rsidRPr="00476A62">
        <w:t>Medidas temporales de liberalización del comercio que completan las concesiones comerciales aplicables a los productos moldavos en virtud del Acuerdo de Asociación UE/Euratom/Moldavia</w:t>
      </w:r>
      <w:bookmarkEnd w:id="1"/>
    </w:p>
    <w:p w:rsidR="00EA75A4" w:rsidRPr="00476A62" w:rsidRDefault="00EA75A4" w:rsidP="00EA75A4">
      <w:pPr>
        <w:rPr>
          <w:i/>
          <w:vanish/>
        </w:rPr>
      </w:pPr>
      <w:r w:rsidRPr="00476A62">
        <w:rPr>
          <w:i/>
        </w:rPr>
        <w:fldChar w:fldCharType="begin"/>
      </w:r>
      <w:r w:rsidRPr="00476A62">
        <w:rPr>
          <w:i/>
        </w:rPr>
        <w:instrText xml:space="preserve"> TC"(</w:instrText>
      </w:r>
      <w:bookmarkStart w:id="2" w:name="DocNumber"/>
      <w:r w:rsidRPr="00476A62">
        <w:rPr>
          <w:i/>
        </w:rPr>
        <w:instrText>A</w:instrText>
      </w:r>
      <w:r w:rsidRPr="004A4BE1">
        <w:rPr>
          <w:i/>
        </w:rPr>
        <w:instrText>9</w:instrText>
      </w:r>
      <w:r w:rsidRPr="00476A62">
        <w:rPr>
          <w:i/>
        </w:rPr>
        <w:instrText>-</w:instrText>
      </w:r>
      <w:r w:rsidRPr="004A4BE1">
        <w:rPr>
          <w:i/>
        </w:rPr>
        <w:instrText>0079</w:instrText>
      </w:r>
      <w:r w:rsidRPr="00476A62">
        <w:rPr>
          <w:i/>
        </w:rPr>
        <w:instrText>/</w:instrText>
      </w:r>
      <w:r w:rsidRPr="004A4BE1">
        <w:rPr>
          <w:i/>
        </w:rPr>
        <w:instrText>2024</w:instrText>
      </w:r>
      <w:bookmarkEnd w:id="2"/>
      <w:r w:rsidRPr="00476A62">
        <w:rPr>
          <w:i/>
        </w:rPr>
        <w:instrText xml:space="preserve"> - Ponente: Markéta Gregorová)"\l</w:instrText>
      </w:r>
      <w:r w:rsidRPr="004A4BE1">
        <w:rPr>
          <w:i/>
        </w:rPr>
        <w:instrText>3</w:instrText>
      </w:r>
      <w:r w:rsidRPr="00476A62">
        <w:rPr>
          <w:i/>
        </w:rPr>
        <w:instrText xml:space="preserve"> \n&gt; \* MERGEFORMAT </w:instrText>
      </w:r>
      <w:r w:rsidRPr="00476A62">
        <w:rPr>
          <w:i/>
        </w:rPr>
        <w:fldChar w:fldCharType="end"/>
      </w:r>
    </w:p>
    <w:p w:rsidR="00EA75A4" w:rsidRPr="00476A62" w:rsidRDefault="00EA75A4" w:rsidP="00EA75A4">
      <w:pPr>
        <w:rPr>
          <w:vanish/>
        </w:rPr>
      </w:pPr>
      <w:bookmarkStart w:id="3" w:name="Commission"/>
      <w:r w:rsidRPr="00476A62">
        <w:rPr>
          <w:vanish/>
        </w:rPr>
        <w:t>Comisión de Comercio Internacional</w:t>
      </w:r>
      <w:bookmarkEnd w:id="3"/>
    </w:p>
    <w:p w:rsidR="00EA75A4" w:rsidRPr="00476A62" w:rsidRDefault="00EA75A4" w:rsidP="00EA75A4">
      <w:pPr>
        <w:rPr>
          <w:vanish/>
        </w:rPr>
      </w:pPr>
      <w:bookmarkStart w:id="4" w:name="PE"/>
      <w:r w:rsidRPr="00476A62">
        <w:rPr>
          <w:vanish/>
        </w:rPr>
        <w:t>PE</w:t>
      </w:r>
      <w:r w:rsidRPr="004A4BE1">
        <w:rPr>
          <w:vanish/>
        </w:rPr>
        <w:t>759</w:t>
      </w:r>
      <w:r w:rsidRPr="00476A62">
        <w:rPr>
          <w:vanish/>
        </w:rPr>
        <w:t>.</w:t>
      </w:r>
      <w:r w:rsidRPr="004A4BE1">
        <w:rPr>
          <w:vanish/>
        </w:rPr>
        <w:t>004</w:t>
      </w:r>
      <w:bookmarkEnd w:id="4"/>
    </w:p>
    <w:p w:rsidR="00EA75A4" w:rsidRPr="00476A62" w:rsidRDefault="00EA75A4" w:rsidP="00EA75A4">
      <w:pPr>
        <w:pStyle w:val="ATHeading3"/>
      </w:pPr>
      <w:bookmarkStart w:id="5" w:name="Sujet"/>
      <w:r w:rsidRPr="00476A62">
        <w:t xml:space="preserve">Resolución legislativa del Parlamento Europeo, de </w:t>
      </w:r>
      <w:r w:rsidRPr="004A4BE1">
        <w:t>13</w:t>
      </w:r>
      <w:r w:rsidRPr="00476A62">
        <w:t xml:space="preserve"> de marzo de </w:t>
      </w:r>
      <w:r w:rsidRPr="004A4BE1">
        <w:t>2024</w:t>
      </w:r>
      <w:r w:rsidRPr="00476A62">
        <w:t>, sobre la propuesta de Reglamento del Parlamento Europeo y del Consejo relativo a las medidas temporales de liberalización del comercio que completan las concesiones comerciales aplicables a los productos de la República de Moldavia en virtud del Acuerdo de Asociación entre la Unión Europea y la Comunidad Europea de la Energía Atómica y sus Estados miembros, por una parte, y la República de Moldavia, por otra</w:t>
      </w:r>
      <w:bookmarkEnd w:id="5"/>
      <w:r w:rsidRPr="00476A62">
        <w:t xml:space="preserve"> </w:t>
      </w:r>
      <w:bookmarkStart w:id="6" w:name="References"/>
      <w:r w:rsidRPr="00476A62">
        <w:t>(COM(</w:t>
      </w:r>
      <w:r w:rsidRPr="004A4BE1">
        <w:t>2024</w:t>
      </w:r>
      <w:r w:rsidRPr="00476A62">
        <w:t>)</w:t>
      </w:r>
      <w:r w:rsidRPr="004A4BE1">
        <w:t>0051</w:t>
      </w:r>
      <w:r w:rsidRPr="00476A62">
        <w:t xml:space="preserve"> – C</w:t>
      </w:r>
      <w:r w:rsidRPr="004A4BE1">
        <w:t>9</w:t>
      </w:r>
      <w:r w:rsidRPr="00476A62">
        <w:t>-</w:t>
      </w:r>
      <w:r w:rsidRPr="004A4BE1">
        <w:t>0022</w:t>
      </w:r>
      <w:r w:rsidRPr="00476A62">
        <w:t>/</w:t>
      </w:r>
      <w:r w:rsidRPr="004A4BE1">
        <w:t>2024</w:t>
      </w:r>
      <w:r w:rsidRPr="00476A62">
        <w:t xml:space="preserve"> – </w:t>
      </w:r>
      <w:r w:rsidRPr="004A4BE1">
        <w:t>2024</w:t>
      </w:r>
      <w:r w:rsidRPr="00476A62">
        <w:t>/</w:t>
      </w:r>
      <w:r w:rsidRPr="004A4BE1">
        <w:t>0029</w:t>
      </w:r>
      <w:r w:rsidRPr="00476A62">
        <w:t>(COD))</w:t>
      </w:r>
      <w:bookmarkEnd w:id="6"/>
    </w:p>
    <w:p w:rsidR="003B787A" w:rsidRPr="00476A62" w:rsidRDefault="003B787A" w:rsidP="003B787A">
      <w:pPr>
        <w:pStyle w:val="NormalBold"/>
      </w:pPr>
      <w:bookmarkStart w:id="7" w:name="TextBodyBegin"/>
      <w:bookmarkEnd w:id="7"/>
      <w:r w:rsidRPr="00476A62">
        <w:t>(Procedimiento legislativo ordinario: primera lectura)</w:t>
      </w:r>
    </w:p>
    <w:p w:rsidR="003B787A" w:rsidRPr="00476A62" w:rsidRDefault="003B787A" w:rsidP="003B787A">
      <w:pPr>
        <w:pStyle w:val="EPComma"/>
      </w:pPr>
      <w:r w:rsidRPr="00476A62">
        <w:rPr>
          <w:i/>
        </w:rPr>
        <w:t>El Parlamento Europeo</w:t>
      </w:r>
      <w:r w:rsidRPr="00476A62">
        <w:t>,</w:t>
      </w:r>
    </w:p>
    <w:p w:rsidR="003B787A" w:rsidRPr="00476A62" w:rsidRDefault="003B787A" w:rsidP="003B787A">
      <w:pPr>
        <w:pStyle w:val="NormalHanging12a"/>
      </w:pPr>
      <w:r w:rsidRPr="00476A62">
        <w:t>–</w:t>
      </w:r>
      <w:r w:rsidRPr="00476A62">
        <w:tab/>
        <w:t>Vista la propuesta de la Comisión al Parlamento Europeo y al Consejo (COM(</w:t>
      </w:r>
      <w:r w:rsidRPr="004A4BE1">
        <w:t>2024</w:t>
      </w:r>
      <w:r w:rsidRPr="00476A62">
        <w:t>)</w:t>
      </w:r>
      <w:r w:rsidRPr="004A4BE1">
        <w:t>0051</w:t>
      </w:r>
      <w:r w:rsidRPr="00476A62">
        <w:t>),</w:t>
      </w:r>
    </w:p>
    <w:p w:rsidR="003B787A" w:rsidRPr="00476A62" w:rsidRDefault="003B787A" w:rsidP="003B787A">
      <w:pPr>
        <w:pStyle w:val="NormalHanging12a"/>
      </w:pPr>
      <w:r w:rsidRPr="00476A62">
        <w:t>–</w:t>
      </w:r>
      <w:r w:rsidRPr="00476A62">
        <w:tab/>
        <w:t>Vistos el artículo </w:t>
      </w:r>
      <w:r w:rsidRPr="004A4BE1">
        <w:t>294</w:t>
      </w:r>
      <w:r w:rsidRPr="00476A62">
        <w:t>, apartado </w:t>
      </w:r>
      <w:r w:rsidRPr="004A4BE1">
        <w:t>2</w:t>
      </w:r>
      <w:r w:rsidRPr="00476A62">
        <w:t>, y el artículo </w:t>
      </w:r>
      <w:r w:rsidRPr="004A4BE1">
        <w:t>207</w:t>
      </w:r>
      <w:r w:rsidRPr="00476A62">
        <w:t>, apartado </w:t>
      </w:r>
      <w:r w:rsidRPr="004A4BE1">
        <w:t>2</w:t>
      </w:r>
      <w:r w:rsidRPr="00476A62">
        <w:t>, del Tratado de Funcionamiento de la Unión Europea, conforme a los cuales la Comisión le ha presentado su propuesta (C</w:t>
      </w:r>
      <w:r w:rsidRPr="004A4BE1">
        <w:t>9</w:t>
      </w:r>
      <w:r w:rsidRPr="00476A62">
        <w:t>-</w:t>
      </w:r>
      <w:r w:rsidRPr="004A4BE1">
        <w:t>0022</w:t>
      </w:r>
      <w:r w:rsidRPr="00476A62">
        <w:t>/</w:t>
      </w:r>
      <w:r w:rsidRPr="004A4BE1">
        <w:t>2024</w:t>
      </w:r>
      <w:r w:rsidRPr="00476A62">
        <w:t>),</w:t>
      </w:r>
    </w:p>
    <w:p w:rsidR="003B787A" w:rsidRPr="00476A62" w:rsidRDefault="003B787A" w:rsidP="003B787A">
      <w:pPr>
        <w:pStyle w:val="NormalHanging12a"/>
      </w:pPr>
      <w:r w:rsidRPr="00476A62">
        <w:t>–</w:t>
      </w:r>
      <w:r w:rsidRPr="00476A62">
        <w:tab/>
        <w:t>Visto el artículo </w:t>
      </w:r>
      <w:r w:rsidRPr="004A4BE1">
        <w:t>294</w:t>
      </w:r>
      <w:r w:rsidRPr="00476A62">
        <w:t>, apartado </w:t>
      </w:r>
      <w:r w:rsidRPr="004A4BE1">
        <w:t>3</w:t>
      </w:r>
      <w:r w:rsidRPr="00476A62">
        <w:t>, del Tratado de Funcionamiento de la Unión Europea,</w:t>
      </w:r>
    </w:p>
    <w:p w:rsidR="00122832" w:rsidRPr="00476A62" w:rsidRDefault="00122832" w:rsidP="003B787A">
      <w:pPr>
        <w:pStyle w:val="NormalHanging12a"/>
      </w:pPr>
      <w:r w:rsidRPr="00476A62">
        <w:t>–</w:t>
      </w:r>
      <w:r w:rsidRPr="00476A62">
        <w:tab/>
        <w:t xml:space="preserve">Visto el compromiso asumido por el representante del Consejo, mediante carta de </w:t>
      </w:r>
      <w:r w:rsidRPr="004A4BE1">
        <w:t>8</w:t>
      </w:r>
      <w:r w:rsidRPr="00476A62">
        <w:t xml:space="preserve"> de marzo de </w:t>
      </w:r>
      <w:r w:rsidRPr="004A4BE1">
        <w:t>2024</w:t>
      </w:r>
      <w:r w:rsidRPr="00476A62">
        <w:t xml:space="preserve">, de aprobar la Posición del Parlamento Europeo, de conformidad con el artículo </w:t>
      </w:r>
      <w:r w:rsidRPr="004A4BE1">
        <w:t>294</w:t>
      </w:r>
      <w:r w:rsidRPr="00476A62">
        <w:t xml:space="preserve">, apartado </w:t>
      </w:r>
      <w:r w:rsidRPr="004A4BE1">
        <w:t>4</w:t>
      </w:r>
      <w:r w:rsidRPr="00476A62">
        <w:t>, del Tratado de Funcionamiento de la Unión Europea,</w:t>
      </w:r>
    </w:p>
    <w:p w:rsidR="003B787A" w:rsidRPr="00476A62" w:rsidRDefault="003B787A" w:rsidP="003B787A">
      <w:pPr>
        <w:pStyle w:val="NormalHanging12a"/>
      </w:pPr>
      <w:r w:rsidRPr="00476A62">
        <w:t>–</w:t>
      </w:r>
      <w:r w:rsidRPr="00476A62">
        <w:tab/>
        <w:t>Visto el artículo </w:t>
      </w:r>
      <w:r w:rsidRPr="004A4BE1">
        <w:t>59</w:t>
      </w:r>
      <w:r w:rsidRPr="00476A62">
        <w:t xml:space="preserve"> de su Reglamento interno,</w:t>
      </w:r>
    </w:p>
    <w:p w:rsidR="003B787A" w:rsidRPr="00476A62" w:rsidRDefault="003B787A" w:rsidP="003B787A">
      <w:pPr>
        <w:pStyle w:val="NormalHanging12a"/>
      </w:pPr>
      <w:r w:rsidRPr="00476A62">
        <w:t>–</w:t>
      </w:r>
      <w:r w:rsidRPr="00476A62">
        <w:tab/>
        <w:t>Vista la carta de la Comisión de Agricultura y Desarrollo Rural,</w:t>
      </w:r>
    </w:p>
    <w:p w:rsidR="003B787A" w:rsidRPr="00476A62" w:rsidRDefault="003B787A" w:rsidP="003B787A">
      <w:pPr>
        <w:pStyle w:val="NormalHanging12a"/>
      </w:pPr>
      <w:r w:rsidRPr="00476A62">
        <w:t>–</w:t>
      </w:r>
      <w:r w:rsidRPr="00476A62">
        <w:tab/>
        <w:t>Visto el informe de la Comisión de Comercio Internacional (A</w:t>
      </w:r>
      <w:r w:rsidRPr="004A4BE1">
        <w:t>9</w:t>
      </w:r>
      <w:r w:rsidRPr="00476A62">
        <w:t>-</w:t>
      </w:r>
      <w:r w:rsidRPr="004A4BE1">
        <w:t>0079</w:t>
      </w:r>
      <w:r w:rsidRPr="00476A62">
        <w:t>/</w:t>
      </w:r>
      <w:r w:rsidRPr="004A4BE1">
        <w:t>2024</w:t>
      </w:r>
      <w:r w:rsidRPr="00476A62">
        <w:t>),</w:t>
      </w:r>
    </w:p>
    <w:p w:rsidR="003B787A" w:rsidRPr="00476A62" w:rsidRDefault="003B787A" w:rsidP="003B787A">
      <w:pPr>
        <w:pStyle w:val="NormalHanging12a"/>
      </w:pPr>
      <w:r w:rsidRPr="004A4BE1">
        <w:t>1</w:t>
      </w:r>
      <w:r w:rsidRPr="00476A62">
        <w:t>.</w:t>
      </w:r>
      <w:r w:rsidRPr="00476A62">
        <w:tab/>
        <w:t xml:space="preserve">Aprueba su Posición en primera lectura </w:t>
      </w:r>
      <w:r w:rsidR="00122832" w:rsidRPr="00476A62">
        <w:t>que figura a continuación</w:t>
      </w:r>
      <w:r w:rsidRPr="00476A62">
        <w:t>;</w:t>
      </w:r>
    </w:p>
    <w:p w:rsidR="003B787A" w:rsidRPr="00476A62" w:rsidRDefault="003B787A" w:rsidP="003B787A">
      <w:pPr>
        <w:pStyle w:val="NormalHanging12a"/>
      </w:pPr>
      <w:r w:rsidRPr="004A4BE1">
        <w:lastRenderedPageBreak/>
        <w:t>2</w:t>
      </w:r>
      <w:r w:rsidRPr="00476A62">
        <w:t>.</w:t>
      </w:r>
      <w:r w:rsidRPr="00476A62">
        <w:tab/>
        <w:t>Pide a la Comisión que le consulte de nuevo si sustituye su propuesta, la modifica sustancialmente o se propone modificarla sustancialmente;</w:t>
      </w:r>
    </w:p>
    <w:p w:rsidR="00122832" w:rsidRPr="00476A62" w:rsidRDefault="003B787A" w:rsidP="00122832">
      <w:pPr>
        <w:pStyle w:val="NormalHanging12a"/>
        <w:sectPr w:rsidR="00122832" w:rsidRPr="00476A62" w:rsidSect="00CD354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A4BE1">
        <w:t>3</w:t>
      </w:r>
      <w:r w:rsidRPr="00476A62">
        <w:t>.</w:t>
      </w:r>
      <w:r w:rsidRPr="00476A62">
        <w:tab/>
        <w:t>Encarga a su presidenta que transmita la Posición del Parlamento al Consejo y a la Comisión, así como a los Parlamentos nacionales.</w:t>
      </w:r>
      <w:bookmarkStart w:id="8" w:name="TextBodyEnd"/>
      <w:bookmarkEnd w:id="8"/>
    </w:p>
    <w:p w:rsidR="00122832" w:rsidRPr="00476A62" w:rsidRDefault="00122832" w:rsidP="00122832">
      <w:pPr>
        <w:pStyle w:val="Normal12Hanging"/>
        <w:ind w:left="0" w:firstLine="0"/>
        <w:jc w:val="both"/>
        <w:rPr>
          <w:b/>
        </w:rPr>
      </w:pPr>
      <w:r w:rsidRPr="00476A62">
        <w:rPr>
          <w:rFonts w:eastAsia="Calibri"/>
          <w:b/>
          <w:bCs/>
          <w:color w:val="000000"/>
          <w:szCs w:val="24"/>
        </w:rPr>
        <w:lastRenderedPageBreak/>
        <w:t>P</w:t>
      </w:r>
      <w:r w:rsidRPr="004A4BE1">
        <w:rPr>
          <w:rFonts w:eastAsia="Calibri"/>
          <w:b/>
          <w:bCs/>
          <w:color w:val="000000"/>
          <w:szCs w:val="24"/>
        </w:rPr>
        <w:t>9</w:t>
      </w:r>
      <w:r w:rsidRPr="00476A62">
        <w:rPr>
          <w:rFonts w:eastAsia="Calibri"/>
          <w:b/>
          <w:bCs/>
          <w:color w:val="000000"/>
          <w:szCs w:val="24"/>
        </w:rPr>
        <w:t>_TC</w:t>
      </w:r>
      <w:r w:rsidRPr="004A4BE1">
        <w:rPr>
          <w:rFonts w:eastAsia="Calibri"/>
          <w:b/>
          <w:bCs/>
          <w:color w:val="000000"/>
          <w:szCs w:val="24"/>
        </w:rPr>
        <w:t>1</w:t>
      </w:r>
      <w:r w:rsidRPr="00476A62">
        <w:rPr>
          <w:rFonts w:eastAsia="Calibri"/>
          <w:b/>
          <w:bCs/>
          <w:color w:val="000000"/>
          <w:szCs w:val="24"/>
        </w:rPr>
        <w:t>-COD(</w:t>
      </w:r>
      <w:r w:rsidRPr="004A4BE1">
        <w:rPr>
          <w:rFonts w:eastAsia="Calibri"/>
          <w:b/>
          <w:bCs/>
          <w:color w:val="000000"/>
          <w:szCs w:val="24"/>
        </w:rPr>
        <w:t>2024</w:t>
      </w:r>
      <w:r w:rsidRPr="00476A62">
        <w:rPr>
          <w:rFonts w:eastAsia="Calibri"/>
          <w:b/>
          <w:bCs/>
          <w:color w:val="000000"/>
          <w:szCs w:val="24"/>
        </w:rPr>
        <w:t>)</w:t>
      </w:r>
      <w:r w:rsidRPr="004A4BE1">
        <w:rPr>
          <w:rFonts w:eastAsia="Calibri"/>
          <w:b/>
          <w:bCs/>
          <w:color w:val="000000"/>
          <w:szCs w:val="24"/>
        </w:rPr>
        <w:t>0029</w:t>
      </w:r>
    </w:p>
    <w:p w:rsidR="00122832" w:rsidRPr="00476A62" w:rsidRDefault="00122832" w:rsidP="00633BD2">
      <w:pPr>
        <w:spacing w:before="360" w:after="360"/>
        <w:rPr>
          <w:rFonts w:eastAsia="Calibri"/>
          <w:b/>
          <w:noProof/>
          <w:szCs w:val="22"/>
        </w:rPr>
      </w:pPr>
      <w:r w:rsidRPr="00476A62">
        <w:rPr>
          <w:b/>
        </w:rPr>
        <w:t xml:space="preserve">Posición del Parlamento Europeo aprobada en primera lectura el </w:t>
      </w:r>
      <w:r w:rsidRPr="004A4BE1">
        <w:rPr>
          <w:b/>
        </w:rPr>
        <w:t>13</w:t>
      </w:r>
      <w:r w:rsidRPr="00476A62">
        <w:rPr>
          <w:b/>
        </w:rPr>
        <w:t xml:space="preserve"> de marzo de </w:t>
      </w:r>
      <w:r w:rsidRPr="004A4BE1">
        <w:rPr>
          <w:b/>
        </w:rPr>
        <w:t>2024</w:t>
      </w:r>
      <w:r w:rsidRPr="00476A62">
        <w:rPr>
          <w:b/>
        </w:rPr>
        <w:t xml:space="preserve"> con vistas a la adopción del Reglamento (UE) </w:t>
      </w:r>
      <w:r w:rsidRPr="004A4BE1">
        <w:rPr>
          <w:b/>
        </w:rPr>
        <w:t>2024</w:t>
      </w:r>
      <w:r w:rsidRPr="00476A62">
        <w:rPr>
          <w:b/>
        </w:rPr>
        <w:t xml:space="preserve">/... del Parlamento Europeo y del Consejo </w:t>
      </w:r>
      <w:r w:rsidRPr="00476A62">
        <w:rPr>
          <w:rFonts w:eastAsia="Calibri"/>
          <w:b/>
          <w:noProof/>
          <w:szCs w:val="22"/>
        </w:rPr>
        <w:t>relativo a las medidas temporales de liberalización del comercio que completan las concesiones comerciales aplicables a los productos de la República de Moldavia en virtud del Acuerdo de Asociación entre la Unión Europea y la Comunidad Europea de la Energía Atómica y sus Estados miembros, por una parte, y la República de Moldavia, por otra</w:t>
      </w:r>
    </w:p>
    <w:p w:rsidR="00DC3DB2" w:rsidRDefault="00DC3DB2" w:rsidP="00DC3DB2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</w:t>
      </w:r>
      <w:bookmarkStart w:id="9" w:name="_GoBack"/>
      <w:bookmarkEnd w:id="9"/>
      <w:r>
        <w:rPr>
          <w:i/>
          <w:lang w:val="es-ES_tradnl"/>
        </w:rPr>
        <w:t xml:space="preserve">opeo y el Consejo llegaron a un acuerdo, la posición del Parlamento coincide con el texto del acto legislativo </w:t>
      </w:r>
      <w:r w:rsidRPr="00DC3DB2">
        <w:rPr>
          <w:i/>
          <w:lang w:val="es-ES_tradnl"/>
        </w:rPr>
        <w:t xml:space="preserve">definitivo, </w:t>
      </w:r>
      <w:r w:rsidRPr="00DC3DB2">
        <w:rPr>
          <w:i/>
          <w:lang w:val="es-ES_tradnl"/>
        </w:rPr>
        <w:t xml:space="preserve">el Reglamento </w:t>
      </w:r>
      <w:r w:rsidRPr="00DC3DB2">
        <w:rPr>
          <w:i/>
          <w:lang w:val="es-ES_tradnl"/>
        </w:rPr>
        <w:t>(UE) 2024/</w:t>
      </w:r>
      <w:r w:rsidRPr="00DC3DB2">
        <w:rPr>
          <w:i/>
          <w:lang w:val="es-ES_tradnl"/>
        </w:rPr>
        <w:t>1501</w:t>
      </w:r>
      <w:r w:rsidRPr="00DC3DB2">
        <w:rPr>
          <w:i/>
          <w:lang w:val="es-ES_tradnl"/>
        </w:rPr>
        <w:t>.)</w:t>
      </w:r>
    </w:p>
    <w:sectPr w:rsidR="00DC3DB2" w:rsidSect="00CD354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5A4" w:rsidRPr="00CD354D" w:rsidRDefault="00EA75A4">
      <w:r w:rsidRPr="00CD354D">
        <w:separator/>
      </w:r>
    </w:p>
  </w:endnote>
  <w:endnote w:type="continuationSeparator" w:id="0">
    <w:p w:rsidR="00EA75A4" w:rsidRPr="00CD354D" w:rsidRDefault="00EA75A4">
      <w:r w:rsidRPr="00CD35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5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5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5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5A4" w:rsidRPr="00CD354D" w:rsidRDefault="00EA75A4">
      <w:r w:rsidRPr="00CD354D">
        <w:separator/>
      </w:r>
    </w:p>
  </w:footnote>
  <w:footnote w:type="continuationSeparator" w:id="0">
    <w:p w:rsidR="00EA75A4" w:rsidRPr="00CD354D" w:rsidRDefault="00EA75A4">
      <w:r w:rsidRPr="00CD35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5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5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35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ES"/>
    <w:docVar w:name="dvnumam" w:val="0"/>
    <w:docVar w:name="dvpe" w:val="759.004"/>
    <w:docVar w:name="dvrapporteur" w:val="Ponente: "/>
    <w:docVar w:name="dvstar" w:val="***I"/>
    <w:docVar w:name="dvtitre" w:val="Resolución legislativa del Parlamento Europeo, de 13 de marzo de 2024, sobre la propuesta de Reglamento del Parlamento Europeo y del Consejo relativo a las medidas temporales de liberalización del comercio que completan las concesiones comerciales aplicables a los productos de la República de Moldavia en virtud del Acuerdo de Asociación entre la Unión Europea y la Comunidad Europea de la Energía Atómica y sus Estados miembros, por una parte, y la República de Moldavia, por otra(COM(2024)0051 – C9-0022/2024 – 2024/0029(COD))"/>
  </w:docVars>
  <w:rsids>
    <w:rsidRoot w:val="00EA75A4"/>
    <w:rsid w:val="00002272"/>
    <w:rsid w:val="00033578"/>
    <w:rsid w:val="00064002"/>
    <w:rsid w:val="000677B9"/>
    <w:rsid w:val="000831BA"/>
    <w:rsid w:val="000A42CC"/>
    <w:rsid w:val="000E7DD9"/>
    <w:rsid w:val="0010095E"/>
    <w:rsid w:val="0012283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787A"/>
    <w:rsid w:val="003E15D4"/>
    <w:rsid w:val="00411CCE"/>
    <w:rsid w:val="0041666E"/>
    <w:rsid w:val="00421060"/>
    <w:rsid w:val="00471C19"/>
    <w:rsid w:val="00476A62"/>
    <w:rsid w:val="004867E3"/>
    <w:rsid w:val="00494A28"/>
    <w:rsid w:val="004A4BE1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3BD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54D"/>
    <w:rsid w:val="00CF071A"/>
    <w:rsid w:val="00D058B8"/>
    <w:rsid w:val="00D56C11"/>
    <w:rsid w:val="00D834A0"/>
    <w:rsid w:val="00D872DF"/>
    <w:rsid w:val="00D91E21"/>
    <w:rsid w:val="00DA7FCD"/>
    <w:rsid w:val="00DC3DB2"/>
    <w:rsid w:val="00E365E1"/>
    <w:rsid w:val="00E820A4"/>
    <w:rsid w:val="00EA75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D31BDD"/>
  <w15:chartTrackingRefBased/>
  <w15:docId w15:val="{1EC8305F-9C87-40D2-A1FF-7E07DBEE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B787A"/>
    <w:pPr>
      <w:spacing w:before="480" w:after="240"/>
    </w:pPr>
  </w:style>
  <w:style w:type="paragraph" w:customStyle="1" w:styleId="NormalBold">
    <w:name w:val="NormalBold"/>
    <w:basedOn w:val="Normal"/>
    <w:rsid w:val="003B787A"/>
    <w:rPr>
      <w:b/>
    </w:rPr>
  </w:style>
  <w:style w:type="paragraph" w:customStyle="1" w:styleId="NormalHanging12a">
    <w:name w:val="NormalHanging12a"/>
    <w:basedOn w:val="Normal"/>
    <w:rsid w:val="003B787A"/>
    <w:pPr>
      <w:spacing w:after="240"/>
      <w:ind w:left="567" w:hanging="567"/>
    </w:pPr>
  </w:style>
  <w:style w:type="paragraph" w:customStyle="1" w:styleId="Normal12Hanging">
    <w:name w:val="Normal12Hanging"/>
    <w:basedOn w:val="Normal"/>
    <w:rsid w:val="00122832"/>
    <w:pPr>
      <w:spacing w:after="240"/>
      <w:ind w:left="357" w:hanging="357"/>
    </w:pPr>
    <w:rPr>
      <w:snapToGrid w:val="0"/>
    </w:rPr>
  </w:style>
  <w:style w:type="paragraph" w:styleId="BalloonText">
    <w:name w:val="Balloon Text"/>
    <w:basedOn w:val="Normal"/>
    <w:link w:val="BalloonTextChar"/>
    <w:rsid w:val="001228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2832"/>
    <w:rPr>
      <w:rFonts w:ascii="Segoe UI" w:hAnsi="Segoe UI" w:cs="Segoe UI"/>
      <w:sz w:val="18"/>
      <w:szCs w:val="18"/>
      <w:lang w:val="es-ES_tradnl"/>
    </w:rPr>
  </w:style>
  <w:style w:type="paragraph" w:customStyle="1" w:styleId="normal12hanging0">
    <w:name w:val="normal12hanging"/>
    <w:basedOn w:val="Normal"/>
    <w:rsid w:val="00DC3DB2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6C8B1-BB9B-4454-B77C-454DB3EE3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 Relec</cp:lastModifiedBy>
  <cp:revision>2</cp:revision>
  <cp:lastPrinted>2004-11-19T15:42:00Z</cp:lastPrinted>
  <dcterms:created xsi:type="dcterms:W3CDTF">2024-06-19T13:50:00Z</dcterms:created>
  <dcterms:modified xsi:type="dcterms:W3CDTF">2024-06-19T13:50:00Z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