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969" w:rsidTr="0010095E">
        <w:trPr>
          <w:trHeight w:hRule="exact" w:val="1418"/>
        </w:trPr>
        <w:tc>
          <w:tcPr>
            <w:tcW w:w="6804" w:type="dxa"/>
            <w:shd w:val="clear" w:color="auto" w:fill="auto"/>
            <w:vAlign w:val="center"/>
          </w:tcPr>
          <w:p w:rsidR="00751A4A" w:rsidRPr="00313969" w:rsidRDefault="00F70088" w:rsidP="0010095E">
            <w:pPr>
              <w:pStyle w:val="EPName"/>
            </w:pPr>
            <w:r w:rsidRPr="00313969">
              <w:t>Parlement européen</w:t>
            </w:r>
          </w:p>
          <w:p w:rsidR="00751A4A" w:rsidRPr="00313969" w:rsidRDefault="00817416" w:rsidP="00756632">
            <w:pPr>
              <w:pStyle w:val="EPTerm"/>
              <w:rPr>
                <w:rStyle w:val="HideTWBExt"/>
                <w:noProof w:val="0"/>
                <w:vanish w:val="0"/>
                <w:color w:val="auto"/>
              </w:rPr>
            </w:pPr>
            <w:r w:rsidRPr="004C434F">
              <w:t>2019</w:t>
            </w:r>
            <w:r w:rsidRPr="00313969">
              <w:t>-</w:t>
            </w:r>
            <w:r w:rsidRPr="004C434F">
              <w:t>2024</w:t>
            </w:r>
          </w:p>
        </w:tc>
        <w:tc>
          <w:tcPr>
            <w:tcW w:w="2268" w:type="dxa"/>
            <w:shd w:val="clear" w:color="auto" w:fill="auto"/>
          </w:tcPr>
          <w:p w:rsidR="00751A4A" w:rsidRPr="00313969" w:rsidRDefault="00187494" w:rsidP="0010095E">
            <w:pPr>
              <w:pStyle w:val="EPLogo"/>
            </w:pPr>
            <w:r w:rsidRPr="003139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3969" w:rsidRDefault="00D058B8" w:rsidP="004C5D52">
      <w:pPr>
        <w:pStyle w:val="LineTop"/>
      </w:pPr>
    </w:p>
    <w:p w:rsidR="00680577" w:rsidRPr="00313969" w:rsidRDefault="00F70088" w:rsidP="00680577">
      <w:pPr>
        <w:pStyle w:val="EPBodyTA1"/>
      </w:pPr>
      <w:r w:rsidRPr="00313969">
        <w:t>TEXTES ADOPTÉS</w:t>
      </w:r>
    </w:p>
    <w:p w:rsidR="00D058B8" w:rsidRPr="00313969" w:rsidRDefault="00D058B8" w:rsidP="00D058B8">
      <w:pPr>
        <w:pStyle w:val="LineBottom"/>
      </w:pPr>
    </w:p>
    <w:p w:rsidR="00F70088" w:rsidRPr="00313969" w:rsidRDefault="00F70088" w:rsidP="00F70088">
      <w:pPr>
        <w:pStyle w:val="ATHeading1"/>
      </w:pPr>
      <w:bookmarkStart w:id="0" w:name="TANumber"/>
      <w:r w:rsidRPr="00313969">
        <w:t>P</w:t>
      </w:r>
      <w:r w:rsidRPr="004C434F">
        <w:t>9</w:t>
      </w:r>
      <w:r w:rsidRPr="00313969">
        <w:t>_TA(</w:t>
      </w:r>
      <w:r w:rsidRPr="004C434F">
        <w:t>2024</w:t>
      </w:r>
      <w:r w:rsidRPr="00313969">
        <w:t>)</w:t>
      </w:r>
      <w:r w:rsidRPr="004C434F">
        <w:t>0</w:t>
      </w:r>
      <w:bookmarkEnd w:id="0"/>
      <w:r w:rsidR="00175F1E" w:rsidRPr="004C434F">
        <w:t>155</w:t>
      </w:r>
    </w:p>
    <w:p w:rsidR="00F70088" w:rsidRPr="00313969" w:rsidRDefault="00446A2D" w:rsidP="00F70088">
      <w:pPr>
        <w:pStyle w:val="ATHeading2"/>
      </w:pPr>
      <w:r w:rsidRPr="00446A2D">
        <w:rPr>
          <w:bCs/>
        </w:rPr>
        <w:t>Mesures de libéralisation temporaire des échanges en complément des concessions commerciales applicables aux produits moldaves au titre de l'accord d'association UE/Euratom/Moldavie</w:t>
      </w:r>
    </w:p>
    <w:p w:rsidR="00F70088" w:rsidRPr="00313969" w:rsidRDefault="00F70088" w:rsidP="00F70088">
      <w:pPr>
        <w:rPr>
          <w:i/>
          <w:vanish/>
        </w:rPr>
      </w:pPr>
      <w:r w:rsidRPr="00313969">
        <w:rPr>
          <w:i/>
        </w:rPr>
        <w:fldChar w:fldCharType="begin"/>
      </w:r>
      <w:r w:rsidRPr="00313969">
        <w:rPr>
          <w:i/>
        </w:rPr>
        <w:instrText xml:space="preserve"> TC"(</w:instrText>
      </w:r>
      <w:bookmarkStart w:id="1" w:name="DocNumber"/>
      <w:r w:rsidRPr="00313969">
        <w:rPr>
          <w:i/>
        </w:rPr>
        <w:instrText>A</w:instrText>
      </w:r>
      <w:r w:rsidRPr="004C434F">
        <w:rPr>
          <w:i/>
        </w:rPr>
        <w:instrText>9</w:instrText>
      </w:r>
      <w:r w:rsidRPr="00313969">
        <w:rPr>
          <w:i/>
        </w:rPr>
        <w:instrText>-</w:instrText>
      </w:r>
      <w:r w:rsidRPr="004C434F">
        <w:rPr>
          <w:i/>
        </w:rPr>
        <w:instrText>0079</w:instrText>
      </w:r>
      <w:r w:rsidRPr="00313969">
        <w:rPr>
          <w:i/>
        </w:rPr>
        <w:instrText>/</w:instrText>
      </w:r>
      <w:r w:rsidRPr="004C434F">
        <w:rPr>
          <w:i/>
        </w:rPr>
        <w:instrText>2024</w:instrText>
      </w:r>
      <w:bookmarkEnd w:id="1"/>
      <w:r w:rsidRPr="00313969">
        <w:rPr>
          <w:i/>
        </w:rPr>
        <w:instrText xml:space="preserve"> - Rapporteure: Markéta Gregorová)"\l</w:instrText>
      </w:r>
      <w:r w:rsidRPr="004C434F">
        <w:rPr>
          <w:i/>
        </w:rPr>
        <w:instrText>3</w:instrText>
      </w:r>
      <w:r w:rsidRPr="00313969">
        <w:rPr>
          <w:i/>
        </w:rPr>
        <w:instrText xml:space="preserve"> \n&gt; \* MERGEFORMAT </w:instrText>
      </w:r>
      <w:r w:rsidRPr="00313969">
        <w:rPr>
          <w:i/>
        </w:rPr>
        <w:fldChar w:fldCharType="end"/>
      </w:r>
    </w:p>
    <w:p w:rsidR="00F70088" w:rsidRPr="00313969" w:rsidRDefault="00F70088" w:rsidP="00F70088">
      <w:pPr>
        <w:rPr>
          <w:vanish/>
        </w:rPr>
      </w:pPr>
      <w:bookmarkStart w:id="2" w:name="Commission"/>
      <w:r w:rsidRPr="00313969">
        <w:rPr>
          <w:vanish/>
        </w:rPr>
        <w:t>Commission du commerce international</w:t>
      </w:r>
      <w:bookmarkEnd w:id="2"/>
    </w:p>
    <w:p w:rsidR="00F70088" w:rsidRPr="00313969" w:rsidRDefault="00F70088" w:rsidP="00F70088">
      <w:pPr>
        <w:rPr>
          <w:vanish/>
        </w:rPr>
      </w:pPr>
      <w:bookmarkStart w:id="3" w:name="PE"/>
      <w:r w:rsidRPr="00313969">
        <w:rPr>
          <w:vanish/>
        </w:rPr>
        <w:t>PE</w:t>
      </w:r>
      <w:r w:rsidRPr="004C434F">
        <w:rPr>
          <w:vanish/>
        </w:rPr>
        <w:t>759</w:t>
      </w:r>
      <w:r w:rsidRPr="00313969">
        <w:rPr>
          <w:vanish/>
        </w:rPr>
        <w:t>.</w:t>
      </w:r>
      <w:r w:rsidRPr="004C434F">
        <w:rPr>
          <w:vanish/>
        </w:rPr>
        <w:t>004</w:t>
      </w:r>
      <w:bookmarkEnd w:id="3"/>
    </w:p>
    <w:p w:rsidR="00F70088" w:rsidRPr="00313969" w:rsidRDefault="00F70088" w:rsidP="00F70088">
      <w:pPr>
        <w:pStyle w:val="ATHeading3"/>
      </w:pPr>
      <w:bookmarkStart w:id="4" w:name="Sujet"/>
      <w:r w:rsidRPr="00313969">
        <w:t xml:space="preserve">Résolution législative du Parlement européen du </w:t>
      </w:r>
      <w:r w:rsidR="0044395F" w:rsidRPr="004C434F">
        <w:t>13</w:t>
      </w:r>
      <w:r w:rsidR="000D0C4C">
        <w:t xml:space="preserve"> mars</w:t>
      </w:r>
      <w:r w:rsidRPr="00313969">
        <w:t xml:space="preserve"> </w:t>
      </w:r>
      <w:r w:rsidRPr="004C434F">
        <w:t>2024</w:t>
      </w:r>
      <w:r w:rsidRPr="00313969">
        <w:t xml:space="preserve"> sur la proposition de règlement du Parlement européen et du Conseil relatif aux mesures de libéralisation temporaire des échanges en complément des concessions commerciales applicables aux produits de la République de Moldavie au titre de l’accord d’association entre l’Union européenne et la Communauté européenne de l’énergie atomique et leurs États membres, d’une part, et la République de Moldavie, d’autre part</w:t>
      </w:r>
      <w:bookmarkEnd w:id="4"/>
      <w:r w:rsidRPr="00313969">
        <w:t xml:space="preserve"> </w:t>
      </w:r>
      <w:bookmarkStart w:id="5" w:name="References"/>
      <w:r w:rsidRPr="00313969">
        <w:t>(COM(</w:t>
      </w:r>
      <w:r w:rsidRPr="004C434F">
        <w:t>2024</w:t>
      </w:r>
      <w:r w:rsidRPr="00313969">
        <w:t>)</w:t>
      </w:r>
      <w:r w:rsidRPr="004C434F">
        <w:t>0051</w:t>
      </w:r>
      <w:r w:rsidRPr="00313969">
        <w:t xml:space="preserve"> – C</w:t>
      </w:r>
      <w:r w:rsidRPr="004C434F">
        <w:t>9</w:t>
      </w:r>
      <w:r w:rsidRPr="00313969">
        <w:t>-</w:t>
      </w:r>
      <w:r w:rsidRPr="004C434F">
        <w:t>0022</w:t>
      </w:r>
      <w:r w:rsidRPr="00313969">
        <w:t>/</w:t>
      </w:r>
      <w:r w:rsidRPr="004C434F">
        <w:t>2024</w:t>
      </w:r>
      <w:r w:rsidRPr="00313969">
        <w:t xml:space="preserve"> – </w:t>
      </w:r>
      <w:r w:rsidRPr="004C434F">
        <w:t>2024</w:t>
      </w:r>
      <w:r w:rsidRPr="00313969">
        <w:t>/</w:t>
      </w:r>
      <w:r w:rsidRPr="004C434F">
        <w:t>0029</w:t>
      </w:r>
      <w:r w:rsidRPr="00313969">
        <w:t>(COD))</w:t>
      </w:r>
      <w:bookmarkEnd w:id="5"/>
    </w:p>
    <w:p w:rsidR="002F2605" w:rsidRPr="00313969" w:rsidRDefault="002F2605" w:rsidP="002F2605">
      <w:pPr>
        <w:pStyle w:val="NormalBold"/>
      </w:pPr>
      <w:bookmarkStart w:id="6" w:name="TextBodyBegin"/>
      <w:bookmarkEnd w:id="6"/>
      <w:r w:rsidRPr="00313969">
        <w:t>(Procédure législative ordinaire: première lecture)</w:t>
      </w:r>
    </w:p>
    <w:p w:rsidR="002F2605" w:rsidRPr="00313969" w:rsidRDefault="002F2605" w:rsidP="002F2605">
      <w:pPr>
        <w:pStyle w:val="EPComma"/>
      </w:pPr>
      <w:r w:rsidRPr="00313969">
        <w:rPr>
          <w:i/>
        </w:rPr>
        <w:t>Le Parlement européen</w:t>
      </w:r>
      <w:r w:rsidRPr="00313969">
        <w:t>,</w:t>
      </w:r>
    </w:p>
    <w:p w:rsidR="002F2605" w:rsidRPr="00313969" w:rsidRDefault="002F2605" w:rsidP="002F2605">
      <w:pPr>
        <w:pStyle w:val="NormalHanging12a"/>
      </w:pPr>
      <w:r w:rsidRPr="00313969">
        <w:t>–</w:t>
      </w:r>
      <w:r w:rsidRPr="00313969">
        <w:tab/>
        <w:t>vu la proposition de la Commission au Parlement européen et au Conseil (COM(</w:t>
      </w:r>
      <w:r w:rsidRPr="004C434F">
        <w:t>2024</w:t>
      </w:r>
      <w:r w:rsidRPr="00313969">
        <w:t>)</w:t>
      </w:r>
      <w:r w:rsidRPr="004C434F">
        <w:t>0051</w:t>
      </w:r>
      <w:r w:rsidRPr="00313969">
        <w:t>),</w:t>
      </w:r>
    </w:p>
    <w:p w:rsidR="002F2605" w:rsidRPr="00313969" w:rsidRDefault="002F2605" w:rsidP="002F2605">
      <w:pPr>
        <w:pStyle w:val="NormalHanging12a"/>
      </w:pPr>
      <w:r w:rsidRPr="00313969">
        <w:t>–</w:t>
      </w:r>
      <w:r w:rsidRPr="00313969">
        <w:tab/>
        <w:t>vu l’article </w:t>
      </w:r>
      <w:r w:rsidRPr="004C434F">
        <w:t>294</w:t>
      </w:r>
      <w:r w:rsidRPr="00313969">
        <w:t>, paragraphe </w:t>
      </w:r>
      <w:r w:rsidRPr="004C434F">
        <w:t>2</w:t>
      </w:r>
      <w:r w:rsidRPr="00313969">
        <w:t>, et l’article </w:t>
      </w:r>
      <w:r w:rsidRPr="004C434F">
        <w:t>207</w:t>
      </w:r>
      <w:r w:rsidRPr="00313969">
        <w:t>, paragraphe </w:t>
      </w:r>
      <w:r w:rsidRPr="004C434F">
        <w:t>2</w:t>
      </w:r>
      <w:r w:rsidRPr="00313969">
        <w:t>, du traité sur le fonctionnement de l’Union européenne, conformément auxquels la proposition lui a été présentée par la Commission (C</w:t>
      </w:r>
      <w:r w:rsidRPr="004C434F">
        <w:t>9</w:t>
      </w:r>
      <w:r w:rsidRPr="00313969">
        <w:t>-</w:t>
      </w:r>
      <w:r w:rsidRPr="004C434F">
        <w:t>0022</w:t>
      </w:r>
      <w:r w:rsidRPr="00313969">
        <w:t>/</w:t>
      </w:r>
      <w:r w:rsidRPr="004C434F">
        <w:t>2024</w:t>
      </w:r>
      <w:r w:rsidRPr="00313969">
        <w:t>),</w:t>
      </w:r>
    </w:p>
    <w:p w:rsidR="002F2605" w:rsidRDefault="002F2605" w:rsidP="002F2605">
      <w:pPr>
        <w:pStyle w:val="NormalHanging12a"/>
      </w:pPr>
      <w:r w:rsidRPr="00313969">
        <w:t>–</w:t>
      </w:r>
      <w:r w:rsidRPr="00313969">
        <w:tab/>
        <w:t xml:space="preserve">vu l’article </w:t>
      </w:r>
      <w:r w:rsidRPr="004C434F">
        <w:t>294</w:t>
      </w:r>
      <w:r w:rsidRPr="00313969">
        <w:t xml:space="preserve">, paragraphe </w:t>
      </w:r>
      <w:r w:rsidRPr="004C434F">
        <w:t>3</w:t>
      </w:r>
      <w:r w:rsidRPr="00313969">
        <w:t>, du traité sur le fonctionnement de l’Union européenne,</w:t>
      </w:r>
    </w:p>
    <w:p w:rsidR="00796F21" w:rsidRPr="00313969" w:rsidRDefault="00796F21" w:rsidP="002F2605">
      <w:pPr>
        <w:pStyle w:val="NormalHanging12a"/>
      </w:pPr>
      <w:r w:rsidRPr="00313969">
        <w:t>–</w:t>
      </w:r>
      <w:r w:rsidRPr="00313969">
        <w:tab/>
      </w:r>
      <w:r w:rsidRPr="00FF140F">
        <w:t>vu</w:t>
      </w:r>
      <w:r>
        <w:t xml:space="preserve"> </w:t>
      </w:r>
      <w:r w:rsidRPr="00FF140F">
        <w:t>l</w:t>
      </w:r>
      <w:r>
        <w:t>’</w:t>
      </w:r>
      <w:r w:rsidRPr="00FF140F">
        <w:t xml:space="preserve">engagement pris par le représentant du Conseil, par lettre du </w:t>
      </w:r>
      <w:r w:rsidRPr="004C434F">
        <w:t>8</w:t>
      </w:r>
      <w:r w:rsidRPr="00FF140F">
        <w:t> </w:t>
      </w:r>
      <w:r>
        <w:t>mars</w:t>
      </w:r>
      <w:r w:rsidRPr="00FF140F">
        <w:t> </w:t>
      </w:r>
      <w:r w:rsidRPr="004C434F">
        <w:t>2024</w:t>
      </w:r>
      <w:r w:rsidRPr="00FF140F">
        <w:t>, d</w:t>
      </w:r>
      <w:r>
        <w:t>’</w:t>
      </w:r>
      <w:r w:rsidRPr="00FF140F">
        <w:t>approuver la position du Parlement européen, conformément à l</w:t>
      </w:r>
      <w:r>
        <w:t>’</w:t>
      </w:r>
      <w:r w:rsidRPr="00FF140F">
        <w:t>article </w:t>
      </w:r>
      <w:r w:rsidRPr="004C434F">
        <w:t>294</w:t>
      </w:r>
      <w:r w:rsidRPr="00FF140F">
        <w:t>, paragraphe </w:t>
      </w:r>
      <w:r w:rsidRPr="004C434F">
        <w:t>4</w:t>
      </w:r>
      <w:r w:rsidRPr="00FF140F">
        <w:t>, du traité sur le fonctionnement de l</w:t>
      </w:r>
      <w:r>
        <w:t>’</w:t>
      </w:r>
      <w:r w:rsidRPr="00FF140F">
        <w:t>Union européenne,</w:t>
      </w:r>
    </w:p>
    <w:p w:rsidR="002F2605" w:rsidRPr="00313969" w:rsidRDefault="002F2605" w:rsidP="002F2605">
      <w:pPr>
        <w:pStyle w:val="NormalHanging12a"/>
      </w:pPr>
      <w:r w:rsidRPr="00313969">
        <w:t>–</w:t>
      </w:r>
      <w:r w:rsidRPr="00313969">
        <w:tab/>
        <w:t xml:space="preserve">vu l’article </w:t>
      </w:r>
      <w:r w:rsidRPr="004C434F">
        <w:t>59</w:t>
      </w:r>
      <w:r w:rsidRPr="00313969">
        <w:t xml:space="preserve"> de son règlement intérieur,</w:t>
      </w:r>
    </w:p>
    <w:p w:rsidR="002F2605" w:rsidRPr="00313969" w:rsidRDefault="002F2605" w:rsidP="002F2605">
      <w:pPr>
        <w:pStyle w:val="NormalHanging12a"/>
      </w:pPr>
      <w:r w:rsidRPr="00313969">
        <w:t>–</w:t>
      </w:r>
      <w:r w:rsidRPr="00313969">
        <w:tab/>
        <w:t>vu la lettre de la commission de l’agriculture et du développement rural,</w:t>
      </w:r>
    </w:p>
    <w:p w:rsidR="002F2605" w:rsidRPr="00313969" w:rsidRDefault="002F2605" w:rsidP="002F2605">
      <w:pPr>
        <w:pStyle w:val="NormalHanging12a"/>
      </w:pPr>
      <w:r w:rsidRPr="00313969">
        <w:t>–</w:t>
      </w:r>
      <w:r w:rsidRPr="00313969">
        <w:tab/>
        <w:t>vu le rapport de la commission du commerce international (A</w:t>
      </w:r>
      <w:r w:rsidRPr="004C434F">
        <w:t>9</w:t>
      </w:r>
      <w:r w:rsidRPr="00313969">
        <w:t>-</w:t>
      </w:r>
      <w:r w:rsidRPr="004C434F">
        <w:t>0079</w:t>
      </w:r>
      <w:r w:rsidRPr="00313969">
        <w:t>/</w:t>
      </w:r>
      <w:r w:rsidRPr="004C434F">
        <w:t>2024</w:t>
      </w:r>
      <w:r w:rsidRPr="00313969">
        <w:t>),</w:t>
      </w:r>
    </w:p>
    <w:p w:rsidR="002F2605" w:rsidRPr="00313969" w:rsidRDefault="002F2605" w:rsidP="002F2605">
      <w:pPr>
        <w:pStyle w:val="NormalHanging12a"/>
      </w:pPr>
      <w:r w:rsidRPr="004C434F">
        <w:t>1</w:t>
      </w:r>
      <w:r w:rsidRPr="00313969">
        <w:t>.</w:t>
      </w:r>
      <w:r w:rsidRPr="00313969">
        <w:tab/>
        <w:t xml:space="preserve">arrête </w:t>
      </w:r>
      <w:r w:rsidR="00492AFE">
        <w:t>l</w:t>
      </w:r>
      <w:r w:rsidRPr="00313969">
        <w:t xml:space="preserve">a position en première lecture </w:t>
      </w:r>
      <w:r w:rsidR="00796F21">
        <w:t>figurant ci-après</w:t>
      </w:r>
      <w:r w:rsidRPr="00313969">
        <w:t>;</w:t>
      </w:r>
    </w:p>
    <w:p w:rsidR="002F2605" w:rsidRPr="00313969" w:rsidRDefault="002F2605" w:rsidP="002F2605">
      <w:pPr>
        <w:pStyle w:val="NormalHanging12a"/>
      </w:pPr>
      <w:r w:rsidRPr="004C434F">
        <w:lastRenderedPageBreak/>
        <w:t>2</w:t>
      </w:r>
      <w:r w:rsidRPr="00313969">
        <w:t>.</w:t>
      </w:r>
      <w:r w:rsidRPr="00313969">
        <w:tab/>
        <w:t>demande à la Commission de le saisir à nouveau, si elle remplace, modifie de manière substantielle ou entend modifier de manière substantielle sa proposition;</w:t>
      </w:r>
    </w:p>
    <w:p w:rsidR="0044395F" w:rsidRDefault="002F2605" w:rsidP="00892383">
      <w:pPr>
        <w:pStyle w:val="NormalHanging12a"/>
        <w:sectPr w:rsidR="0044395F" w:rsidSect="003139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C434F">
        <w:t>3</w:t>
      </w:r>
      <w:r w:rsidRPr="00313969">
        <w:t>.</w:t>
      </w:r>
      <w:r w:rsidRPr="00313969">
        <w:tab/>
        <w:t>charge sa Présidente de transmettre la position du Parlement au Conseil et à la Commission ainsi qu’aux parlements nationaux.</w:t>
      </w:r>
      <w:bookmarkStart w:id="7" w:name="TextBodyEnd"/>
      <w:bookmarkEnd w:id="7"/>
    </w:p>
    <w:p w:rsidR="0044395F" w:rsidRPr="00435E1D" w:rsidRDefault="0044395F" w:rsidP="0044395F">
      <w:pPr>
        <w:autoSpaceDE w:val="0"/>
        <w:autoSpaceDN w:val="0"/>
        <w:adjustRightInd w:val="0"/>
        <w:spacing w:after="240"/>
        <w:rPr>
          <w:rFonts w:eastAsia="Calibri"/>
          <w:b/>
          <w:bCs/>
          <w:color w:val="000000"/>
          <w:szCs w:val="24"/>
        </w:rPr>
      </w:pPr>
      <w:bookmarkStart w:id="8" w:name="_Hlk101503899"/>
      <w:r w:rsidRPr="00435E1D">
        <w:rPr>
          <w:rFonts w:eastAsia="Calibri"/>
          <w:b/>
          <w:bCs/>
          <w:color w:val="000000"/>
          <w:szCs w:val="24"/>
        </w:rPr>
        <w:lastRenderedPageBreak/>
        <w:t>P</w:t>
      </w:r>
      <w:r w:rsidRPr="004C434F">
        <w:rPr>
          <w:rFonts w:eastAsia="Calibri"/>
          <w:b/>
          <w:bCs/>
          <w:color w:val="000000"/>
          <w:szCs w:val="24"/>
        </w:rPr>
        <w:t>9</w:t>
      </w:r>
      <w:r w:rsidRPr="00435E1D">
        <w:rPr>
          <w:rFonts w:eastAsia="Calibri"/>
          <w:b/>
          <w:bCs/>
          <w:color w:val="000000"/>
          <w:szCs w:val="24"/>
        </w:rPr>
        <w:t>_TC</w:t>
      </w:r>
      <w:r w:rsidRPr="004C434F">
        <w:rPr>
          <w:rFonts w:eastAsia="Calibri"/>
          <w:b/>
          <w:bCs/>
          <w:color w:val="000000"/>
          <w:szCs w:val="24"/>
        </w:rPr>
        <w:t>1</w:t>
      </w:r>
      <w:r w:rsidRPr="00435E1D">
        <w:rPr>
          <w:rFonts w:eastAsia="Calibri"/>
          <w:b/>
          <w:bCs/>
          <w:color w:val="000000"/>
          <w:szCs w:val="24"/>
        </w:rPr>
        <w:t>-COD(</w:t>
      </w:r>
      <w:r w:rsidRPr="004C434F">
        <w:rPr>
          <w:rFonts w:eastAsia="Calibri"/>
          <w:b/>
          <w:bCs/>
          <w:color w:val="000000"/>
          <w:szCs w:val="24"/>
        </w:rPr>
        <w:t>2024</w:t>
      </w:r>
      <w:r w:rsidRPr="00435E1D">
        <w:rPr>
          <w:rFonts w:eastAsia="Calibri"/>
          <w:b/>
          <w:bCs/>
          <w:color w:val="000000"/>
          <w:szCs w:val="24"/>
        </w:rPr>
        <w:t>)</w:t>
      </w:r>
      <w:r w:rsidRPr="004C434F">
        <w:rPr>
          <w:rFonts w:eastAsia="Calibri"/>
          <w:b/>
          <w:bCs/>
          <w:color w:val="000000"/>
          <w:szCs w:val="24"/>
        </w:rPr>
        <w:t>0029</w:t>
      </w:r>
    </w:p>
    <w:p w:rsidR="0044395F" w:rsidRDefault="0044395F" w:rsidP="0044395F">
      <w:pPr>
        <w:widowControl/>
        <w:spacing w:before="360"/>
        <w:rPr>
          <w:rFonts w:eastAsia="Calibri"/>
          <w:b/>
          <w:noProof/>
          <w:szCs w:val="22"/>
          <w:lang w:eastAsia="en-US"/>
        </w:rPr>
      </w:pPr>
      <w:r>
        <w:rPr>
          <w:rFonts w:eastAsia="Calibri"/>
          <w:b/>
          <w:noProof/>
          <w:szCs w:val="22"/>
          <w:lang w:eastAsia="en-US"/>
        </w:rPr>
        <w:t xml:space="preserve">Position du Parlement européen arrêtée en première lecture le </w:t>
      </w:r>
      <w:r w:rsidRPr="004C434F">
        <w:rPr>
          <w:rFonts w:eastAsia="Calibri"/>
          <w:b/>
          <w:noProof/>
          <w:szCs w:val="22"/>
          <w:lang w:eastAsia="en-US"/>
        </w:rPr>
        <w:t>13</w:t>
      </w:r>
      <w:r>
        <w:rPr>
          <w:rFonts w:eastAsia="Calibri"/>
          <w:b/>
          <w:noProof/>
          <w:szCs w:val="22"/>
          <w:lang w:eastAsia="en-US"/>
        </w:rPr>
        <w:t xml:space="preserve"> mars </w:t>
      </w:r>
      <w:r w:rsidRPr="004C434F">
        <w:rPr>
          <w:rFonts w:eastAsia="Calibri"/>
          <w:b/>
          <w:noProof/>
          <w:szCs w:val="22"/>
          <w:lang w:eastAsia="en-US"/>
        </w:rPr>
        <w:t>2024</w:t>
      </w:r>
      <w:r>
        <w:rPr>
          <w:rFonts w:eastAsia="Calibri"/>
          <w:b/>
          <w:noProof/>
          <w:szCs w:val="22"/>
          <w:lang w:eastAsia="en-US"/>
        </w:rPr>
        <w:t xml:space="preserve"> en vue de l’adoption du règlement</w:t>
      </w:r>
      <w:r w:rsidRPr="0044395F">
        <w:rPr>
          <w:rFonts w:eastAsia="Calibri"/>
          <w:b/>
          <w:noProof/>
          <w:szCs w:val="22"/>
          <w:lang w:eastAsia="en-US"/>
        </w:rPr>
        <w:t xml:space="preserve"> (UE) </w:t>
      </w:r>
      <w:r w:rsidRPr="004C434F">
        <w:rPr>
          <w:rFonts w:eastAsia="Calibri"/>
          <w:b/>
          <w:noProof/>
          <w:szCs w:val="22"/>
          <w:lang w:eastAsia="en-US"/>
        </w:rPr>
        <w:t>2024</w:t>
      </w:r>
      <w:r w:rsidRPr="0044395F">
        <w:rPr>
          <w:rFonts w:eastAsia="Calibri"/>
          <w:b/>
          <w:noProof/>
          <w:szCs w:val="22"/>
          <w:lang w:eastAsia="en-US"/>
        </w:rPr>
        <w:t>/...</w:t>
      </w:r>
      <w:r>
        <w:rPr>
          <w:rFonts w:eastAsia="Calibri"/>
          <w:b/>
          <w:noProof/>
          <w:szCs w:val="22"/>
          <w:lang w:eastAsia="en-US"/>
        </w:rPr>
        <w:t xml:space="preserve"> du Parlement européen et du Conseil </w:t>
      </w:r>
      <w:r w:rsidRPr="0044395F">
        <w:rPr>
          <w:rFonts w:eastAsia="Calibri"/>
          <w:b/>
          <w:noProof/>
          <w:szCs w:val="22"/>
          <w:lang w:eastAsia="en-US"/>
        </w:rPr>
        <w:t>relatif aux mesures de libéralisation temporaire des échanges en complément des concessions commerciales applicables aux produits de la République de Moldavie au titre de l’accord d’association entre l’Union européenne et la Communauté européenne de l’énergie atomique et leurs États membres, d’une part, et la République de Moldavie, d’autre part</w:t>
      </w:r>
    </w:p>
    <w:p w:rsidR="00B1775F" w:rsidRPr="0044395F" w:rsidRDefault="00B1775F" w:rsidP="00B1775F">
      <w:pPr>
        <w:pStyle w:val="Datedadoption"/>
        <w:spacing w:after="240" w:line="240" w:lineRule="auto"/>
        <w:jc w:val="left"/>
        <w:rPr>
          <w:rFonts w:eastAsia="Calibri"/>
          <w:b w:val="0"/>
          <w:noProof/>
          <w:szCs w:val="22"/>
        </w:rPr>
      </w:pPr>
      <w:r w:rsidRPr="00EB53D5">
        <w:rPr>
          <w:b w:val="0"/>
          <w:i/>
        </w:rPr>
        <w:t xml:space="preserve">(Étant donné l'accord intervenu entre le Parlement et le Conseil, la position du Parlement correspond à l'acte législatif </w:t>
      </w:r>
      <w:r>
        <w:rPr>
          <w:b w:val="0"/>
          <w:i/>
        </w:rPr>
        <w:t xml:space="preserve">final, le règlement (UE) </w:t>
      </w:r>
      <w:r w:rsidRPr="00EB53D5">
        <w:rPr>
          <w:b w:val="0"/>
          <w:i/>
        </w:rPr>
        <w:t>20</w:t>
      </w:r>
      <w:r>
        <w:rPr>
          <w:b w:val="0"/>
          <w:i/>
        </w:rPr>
        <w:t>24/</w:t>
      </w:r>
      <w:r>
        <w:rPr>
          <w:b w:val="0"/>
          <w:i/>
        </w:rPr>
        <w:t>1501</w:t>
      </w:r>
      <w:bookmarkStart w:id="9" w:name="_GoBack"/>
      <w:bookmarkEnd w:id="9"/>
      <w:r w:rsidRPr="00EB53D5">
        <w:rPr>
          <w:b w:val="0"/>
          <w:i/>
        </w:rPr>
        <w:t>.)</w:t>
      </w:r>
    </w:p>
    <w:bookmarkEnd w:id="8"/>
    <w:sectPr w:rsidR="00B1775F" w:rsidRPr="0044395F" w:rsidSect="0031396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088" w:rsidRPr="00313969" w:rsidRDefault="00F70088">
      <w:r w:rsidRPr="00313969">
        <w:separator/>
      </w:r>
    </w:p>
  </w:endnote>
  <w:endnote w:type="continuationSeparator" w:id="0">
    <w:p w:rsidR="00F70088" w:rsidRPr="00313969" w:rsidRDefault="00F70088">
      <w:r w:rsidRPr="003139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39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39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39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088" w:rsidRPr="00313969" w:rsidRDefault="00F70088">
      <w:r w:rsidRPr="00313969">
        <w:separator/>
      </w:r>
    </w:p>
  </w:footnote>
  <w:footnote w:type="continuationSeparator" w:id="0">
    <w:p w:rsidR="00F70088" w:rsidRPr="00313969" w:rsidRDefault="00F70088">
      <w:r w:rsidRPr="003139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39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39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39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FR"/>
    <w:docVar w:name="dvnumam" w:val="0"/>
    <w:docVar w:name="dvpe" w:val="759.004"/>
    <w:docVar w:name="dvrapporteur" w:val="Rapporteure: "/>
    <w:docVar w:name="dvstar" w:val="***I"/>
    <w:docVar w:name="dvtitre" w:val="Résolution législative du Parlement européen du ... 2024 sur la proposition de règlement du Parlement européen et du Conseil relatif aux mesures de libéralisation temporaire des échanges en complément des concessions commerciales applicables aux produits de la République de Moldavie au titre de l’accord d’association entre l’Union européenne et la Communauté européenne de l’énergie atomique et leurs États membres, d’une part, et la République de Moldavie, d’autre part(COM(2024)0051 – C9-0022/2024 – 2024/0029(COD))"/>
  </w:docVars>
  <w:rsids>
    <w:rsidRoot w:val="00F70088"/>
    <w:rsid w:val="00002272"/>
    <w:rsid w:val="00061495"/>
    <w:rsid w:val="00064002"/>
    <w:rsid w:val="000677B9"/>
    <w:rsid w:val="000831BA"/>
    <w:rsid w:val="000A42CC"/>
    <w:rsid w:val="000D0C4C"/>
    <w:rsid w:val="000D63CD"/>
    <w:rsid w:val="000E7DD9"/>
    <w:rsid w:val="0010095E"/>
    <w:rsid w:val="00125B37"/>
    <w:rsid w:val="00175F1E"/>
    <w:rsid w:val="00187494"/>
    <w:rsid w:val="001F32AE"/>
    <w:rsid w:val="002767FF"/>
    <w:rsid w:val="002B18FE"/>
    <w:rsid w:val="002B5493"/>
    <w:rsid w:val="002F2605"/>
    <w:rsid w:val="00313969"/>
    <w:rsid w:val="00343214"/>
    <w:rsid w:val="00361C00"/>
    <w:rsid w:val="00395FA1"/>
    <w:rsid w:val="003E15D4"/>
    <w:rsid w:val="00411CCE"/>
    <w:rsid w:val="0041666E"/>
    <w:rsid w:val="00421060"/>
    <w:rsid w:val="0044395F"/>
    <w:rsid w:val="00446A2D"/>
    <w:rsid w:val="00471C19"/>
    <w:rsid w:val="004867E3"/>
    <w:rsid w:val="00492AFE"/>
    <w:rsid w:val="00494A28"/>
    <w:rsid w:val="004C0004"/>
    <w:rsid w:val="004C434F"/>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6F21"/>
    <w:rsid w:val="007D1690"/>
    <w:rsid w:val="007E22AD"/>
    <w:rsid w:val="00817416"/>
    <w:rsid w:val="00842779"/>
    <w:rsid w:val="00865F67"/>
    <w:rsid w:val="00881A7B"/>
    <w:rsid w:val="008840E5"/>
    <w:rsid w:val="00887B3E"/>
    <w:rsid w:val="0089238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75F"/>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08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93C36"/>
  <w15:chartTrackingRefBased/>
  <w15:docId w15:val="{919781A8-95E7-48FD-9A05-DFC40FC11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2605"/>
    <w:pPr>
      <w:spacing w:before="480" w:after="240"/>
    </w:pPr>
  </w:style>
  <w:style w:type="paragraph" w:customStyle="1" w:styleId="NormalBold">
    <w:name w:val="NormalBold"/>
    <w:basedOn w:val="Normal"/>
    <w:rsid w:val="002F2605"/>
    <w:rPr>
      <w:b/>
    </w:rPr>
  </w:style>
  <w:style w:type="paragraph" w:customStyle="1" w:styleId="NormalHanging12a">
    <w:name w:val="NormalHanging12a"/>
    <w:basedOn w:val="Normal"/>
    <w:rsid w:val="002F2605"/>
    <w:pPr>
      <w:spacing w:after="240"/>
      <w:ind w:left="567" w:hanging="567"/>
    </w:pPr>
  </w:style>
  <w:style w:type="character" w:styleId="Hyperlink">
    <w:name w:val="Hyperlink"/>
    <w:basedOn w:val="DefaultParagraphFont"/>
    <w:uiPriority w:val="99"/>
    <w:unhideWhenUsed/>
    <w:rsid w:val="0044395F"/>
    <w:rPr>
      <w:color w:val="0000FF"/>
      <w:u w:val="single"/>
    </w:rPr>
  </w:style>
  <w:style w:type="paragraph" w:customStyle="1" w:styleId="Datedadoption">
    <w:name w:val="Date d'adoption"/>
    <w:basedOn w:val="Normal"/>
    <w:next w:val="Normal"/>
    <w:rsid w:val="00B1775F"/>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DA848-FEA0-4D51-B495-45570F94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379</Words>
  <Characters>2448</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Mesures de libéralisation temporaire des échanges en complément des concessions </vt:lpstr>
      <vt:lpstr>        Résolution législative du Parlement européen du XX mars 2024 sur la proposition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3</cp:revision>
  <cp:lastPrinted>2004-11-19T15:42:00Z</cp:lastPrinted>
  <dcterms:created xsi:type="dcterms:W3CDTF">2024-03-14T09:46:00Z</dcterms:created>
  <dcterms:modified xsi:type="dcterms:W3CDTF">2024-06-25T08:50:00Z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P9_TA-PROV(2024)0155_A9-0079_2024_FR_net pour </vt:lpwstr>
  </property>
  <property fmtid="{D5CDD505-2E9C-101B-9397-08002B2CF9AE}" pid="4" name="&lt;Type&gt;">
    <vt:lpwstr>RR</vt:lpwstr>
  </property>
</Properties>
</file>