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3024" w14:paraId="5D2F72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625A2A" w14:textId="77777777" w:rsidR="00751A4A" w:rsidRPr="00563024" w:rsidRDefault="00D778B5" w:rsidP="0010095E">
            <w:pPr>
              <w:pStyle w:val="EPName"/>
            </w:pPr>
            <w:r w:rsidRPr="00563024">
              <w:t>Parlamento Europeu</w:t>
            </w:r>
          </w:p>
          <w:p w14:paraId="7329D5BF" w14:textId="77777777" w:rsidR="00751A4A" w:rsidRPr="0056302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4C6B">
              <w:t>2019</w:t>
            </w:r>
            <w:r w:rsidRPr="00563024">
              <w:t>-</w:t>
            </w:r>
            <w:r w:rsidRPr="00CA4C6B">
              <w:t>2024</w:t>
            </w:r>
          </w:p>
        </w:tc>
        <w:tc>
          <w:tcPr>
            <w:tcW w:w="2268" w:type="dxa"/>
            <w:shd w:val="clear" w:color="auto" w:fill="auto"/>
          </w:tcPr>
          <w:p w14:paraId="26F9EE15" w14:textId="77777777" w:rsidR="00751A4A" w:rsidRPr="00563024" w:rsidRDefault="00187494" w:rsidP="0010095E">
            <w:pPr>
              <w:pStyle w:val="EPLogo"/>
            </w:pPr>
            <w:r w:rsidRPr="00563024">
              <w:rPr>
                <w:noProof/>
                <w:lang w:val="en-GB"/>
              </w:rPr>
              <w:drawing>
                <wp:inline distT="0" distB="0" distL="0" distR="0" wp14:anchorId="5623B43A" wp14:editId="32C5E9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475371" w14:textId="77777777" w:rsidR="00D058B8" w:rsidRPr="00563024" w:rsidRDefault="00D058B8" w:rsidP="004C5D52">
      <w:pPr>
        <w:pStyle w:val="LineTop"/>
      </w:pPr>
    </w:p>
    <w:p w14:paraId="4B58D477" w14:textId="77777777" w:rsidR="00680577" w:rsidRPr="00563024" w:rsidRDefault="00D778B5" w:rsidP="00680577">
      <w:pPr>
        <w:pStyle w:val="EPBodyTA1"/>
      </w:pPr>
      <w:r w:rsidRPr="00563024">
        <w:t>TEXTOS APROVADOS</w:t>
      </w:r>
    </w:p>
    <w:p w14:paraId="29DBBED6" w14:textId="77777777" w:rsidR="00D058B8" w:rsidRPr="00563024" w:rsidRDefault="00D058B8" w:rsidP="00D058B8">
      <w:pPr>
        <w:pStyle w:val="LineBottom"/>
      </w:pPr>
    </w:p>
    <w:p w14:paraId="6E34E54A" w14:textId="2F368880" w:rsidR="00D778B5" w:rsidRPr="00563024" w:rsidRDefault="00D778B5" w:rsidP="00D778B5">
      <w:pPr>
        <w:pStyle w:val="ATHeading1"/>
      </w:pPr>
      <w:bookmarkStart w:id="0" w:name="TANumber"/>
      <w:r w:rsidRPr="00563024">
        <w:t>P</w:t>
      </w:r>
      <w:r w:rsidRPr="00CA4C6B">
        <w:t>9</w:t>
      </w:r>
      <w:r w:rsidRPr="00563024">
        <w:t>_TA(</w:t>
      </w:r>
      <w:r w:rsidRPr="00CA4C6B">
        <w:t>2024</w:t>
      </w:r>
      <w:r w:rsidRPr="00563024">
        <w:t>)</w:t>
      </w:r>
      <w:bookmarkEnd w:id="0"/>
      <w:r w:rsidR="00B67A3F" w:rsidRPr="00CA4C6B">
        <w:t>0155</w:t>
      </w:r>
    </w:p>
    <w:p w14:paraId="7E4D4802" w14:textId="77777777" w:rsidR="00D778B5" w:rsidRPr="00563024" w:rsidRDefault="00D778B5" w:rsidP="00D778B5">
      <w:pPr>
        <w:pStyle w:val="ATHeading2"/>
      </w:pPr>
      <w:bookmarkStart w:id="1" w:name="title"/>
      <w:r w:rsidRPr="00563024">
        <w:t>Medidas temporárias de liberalização do comércio que complementam as concessões comerciais aplicáveis aos produtos da República da Moldávia ao abrigo do Acordo de Associação UE/Euratom/Moldávia</w:t>
      </w:r>
      <w:bookmarkEnd w:id="1"/>
    </w:p>
    <w:p w14:paraId="75D065F1" w14:textId="77777777" w:rsidR="00D778B5" w:rsidRPr="00563024" w:rsidRDefault="00D778B5" w:rsidP="00D778B5">
      <w:pPr>
        <w:rPr>
          <w:i/>
          <w:vanish/>
        </w:rPr>
      </w:pPr>
      <w:r w:rsidRPr="00563024">
        <w:rPr>
          <w:i/>
        </w:rPr>
        <w:fldChar w:fldCharType="begin"/>
      </w:r>
      <w:r w:rsidRPr="00563024">
        <w:rPr>
          <w:i/>
        </w:rPr>
        <w:instrText xml:space="preserve"> TC"(</w:instrText>
      </w:r>
      <w:bookmarkStart w:id="2" w:name="DocNumber"/>
      <w:r w:rsidRPr="00563024">
        <w:rPr>
          <w:i/>
        </w:rPr>
        <w:instrText>A</w:instrText>
      </w:r>
      <w:r w:rsidRPr="00CA4C6B">
        <w:rPr>
          <w:i/>
        </w:rPr>
        <w:instrText>9</w:instrText>
      </w:r>
      <w:r w:rsidRPr="00563024">
        <w:rPr>
          <w:i/>
        </w:rPr>
        <w:instrText>-</w:instrText>
      </w:r>
      <w:r w:rsidRPr="00CA4C6B">
        <w:rPr>
          <w:i/>
        </w:rPr>
        <w:instrText>0079</w:instrText>
      </w:r>
      <w:r w:rsidRPr="00563024">
        <w:rPr>
          <w:i/>
        </w:rPr>
        <w:instrText>/</w:instrText>
      </w:r>
      <w:r w:rsidRPr="00CA4C6B">
        <w:rPr>
          <w:i/>
        </w:rPr>
        <w:instrText>2024</w:instrText>
      </w:r>
      <w:bookmarkEnd w:id="2"/>
      <w:r w:rsidRPr="00563024">
        <w:rPr>
          <w:i/>
        </w:rPr>
        <w:instrText xml:space="preserve"> - Relatora: Markéta Gregorová)"\l</w:instrText>
      </w:r>
      <w:r w:rsidRPr="00CA4C6B">
        <w:rPr>
          <w:i/>
        </w:rPr>
        <w:instrText>3</w:instrText>
      </w:r>
      <w:r w:rsidRPr="00563024">
        <w:rPr>
          <w:i/>
        </w:rPr>
        <w:instrText xml:space="preserve"> \n&gt; \* MERGEFORMAT </w:instrText>
      </w:r>
      <w:r w:rsidRPr="00563024">
        <w:rPr>
          <w:i/>
        </w:rPr>
        <w:fldChar w:fldCharType="end"/>
      </w:r>
    </w:p>
    <w:p w14:paraId="56E3BA12" w14:textId="77777777" w:rsidR="00D778B5" w:rsidRPr="00563024" w:rsidRDefault="00D778B5" w:rsidP="00D778B5">
      <w:pPr>
        <w:rPr>
          <w:vanish/>
        </w:rPr>
      </w:pPr>
      <w:bookmarkStart w:id="3" w:name="Commission"/>
      <w:r w:rsidRPr="00563024">
        <w:rPr>
          <w:vanish/>
        </w:rPr>
        <w:t>Comissão do Comércio Internacional</w:t>
      </w:r>
      <w:bookmarkEnd w:id="3"/>
    </w:p>
    <w:p w14:paraId="7966378D" w14:textId="77777777" w:rsidR="00D778B5" w:rsidRPr="00563024" w:rsidRDefault="00D778B5" w:rsidP="00D778B5">
      <w:pPr>
        <w:rPr>
          <w:vanish/>
        </w:rPr>
      </w:pPr>
      <w:bookmarkStart w:id="4" w:name="PE"/>
      <w:r w:rsidRPr="00563024">
        <w:rPr>
          <w:vanish/>
        </w:rPr>
        <w:t>PE</w:t>
      </w:r>
      <w:r w:rsidRPr="00CA4C6B">
        <w:rPr>
          <w:vanish/>
        </w:rPr>
        <w:t>759</w:t>
      </w:r>
      <w:r w:rsidRPr="00563024">
        <w:rPr>
          <w:vanish/>
        </w:rPr>
        <w:t>.</w:t>
      </w:r>
      <w:r w:rsidRPr="00CA4C6B">
        <w:rPr>
          <w:vanish/>
        </w:rPr>
        <w:t>004</w:t>
      </w:r>
      <w:bookmarkEnd w:id="4"/>
    </w:p>
    <w:p w14:paraId="616E1574" w14:textId="4933ED4B" w:rsidR="00D778B5" w:rsidRPr="00563024" w:rsidRDefault="00D778B5" w:rsidP="00D778B5">
      <w:pPr>
        <w:pStyle w:val="ATHeading3"/>
      </w:pPr>
      <w:bookmarkStart w:id="5" w:name="Sujet"/>
      <w:r w:rsidRPr="00563024">
        <w:t xml:space="preserve">Resolução legislativa do Parlamento Europeu, de </w:t>
      </w:r>
      <w:r w:rsidR="005D6743" w:rsidRPr="00CA4C6B">
        <w:t>13</w:t>
      </w:r>
      <w:r w:rsidR="005D6743" w:rsidRPr="00563024">
        <w:t xml:space="preserve"> </w:t>
      </w:r>
      <w:r w:rsidRPr="00563024">
        <w:t xml:space="preserve">de </w:t>
      </w:r>
      <w:r w:rsidR="005D6743" w:rsidRPr="00563024">
        <w:t xml:space="preserve">março </w:t>
      </w:r>
      <w:r w:rsidRPr="00563024">
        <w:t xml:space="preserve">de </w:t>
      </w:r>
      <w:r w:rsidRPr="00CA4C6B">
        <w:t>2024</w:t>
      </w:r>
      <w:r w:rsidRPr="00563024">
        <w:t>, sobre a proposta de regulamento do Parlamento Europeu e do Conselho relativo a medidas temporárias de liberalização do comércio que complementam as concessões comerciais aplicáveis aos produtos da República da Moldávia ao abrigo do Acordo de Associação entre a União Europeia e a Comunidade Europeia da Energia Atómica, e os seus Estados-Membros, por um lado, e a República da Moldávia, por outro</w:t>
      </w:r>
      <w:bookmarkEnd w:id="5"/>
      <w:r w:rsidRPr="00563024">
        <w:t xml:space="preserve"> </w:t>
      </w:r>
      <w:bookmarkStart w:id="6" w:name="References"/>
      <w:r w:rsidRPr="00563024">
        <w:t>(COM(</w:t>
      </w:r>
      <w:r w:rsidRPr="00CA4C6B">
        <w:t>2024</w:t>
      </w:r>
      <w:r w:rsidRPr="00563024">
        <w:t>)</w:t>
      </w:r>
      <w:r w:rsidRPr="00CA4C6B">
        <w:t>0051</w:t>
      </w:r>
      <w:r w:rsidRPr="00563024">
        <w:t xml:space="preserve"> – C</w:t>
      </w:r>
      <w:r w:rsidRPr="00CA4C6B">
        <w:t>9</w:t>
      </w:r>
      <w:r w:rsidRPr="00563024">
        <w:t>-</w:t>
      </w:r>
      <w:r w:rsidRPr="00CA4C6B">
        <w:t>0022</w:t>
      </w:r>
      <w:r w:rsidRPr="00563024">
        <w:t>/</w:t>
      </w:r>
      <w:r w:rsidRPr="00CA4C6B">
        <w:t>2024</w:t>
      </w:r>
      <w:r w:rsidRPr="00563024">
        <w:t xml:space="preserve"> – </w:t>
      </w:r>
      <w:r w:rsidRPr="00CA4C6B">
        <w:t>2024</w:t>
      </w:r>
      <w:r w:rsidRPr="00563024">
        <w:t>/</w:t>
      </w:r>
      <w:r w:rsidRPr="00CA4C6B">
        <w:t>0029</w:t>
      </w:r>
      <w:r w:rsidRPr="00563024">
        <w:t>(COD))</w:t>
      </w:r>
      <w:bookmarkEnd w:id="6"/>
    </w:p>
    <w:p w14:paraId="67099F5D" w14:textId="77777777" w:rsidR="00370FEB" w:rsidRPr="00563024" w:rsidRDefault="00370FEB" w:rsidP="00370FEB">
      <w:pPr>
        <w:pStyle w:val="NormalBold"/>
      </w:pPr>
      <w:bookmarkStart w:id="7" w:name="TextBodyBegin"/>
      <w:bookmarkEnd w:id="7"/>
      <w:r w:rsidRPr="00563024">
        <w:t>(Processo legislativo ordinário: primeira leitura)</w:t>
      </w:r>
    </w:p>
    <w:p w14:paraId="7733A2A6" w14:textId="77777777" w:rsidR="00370FEB" w:rsidRPr="00563024" w:rsidRDefault="00370FEB" w:rsidP="00370FEB">
      <w:pPr>
        <w:pStyle w:val="EPComma"/>
      </w:pPr>
      <w:r w:rsidRPr="00563024">
        <w:rPr>
          <w:i/>
          <w:iCs/>
        </w:rPr>
        <w:t>O Parlamento Europeu</w:t>
      </w:r>
      <w:r w:rsidRPr="00563024">
        <w:t>,</w:t>
      </w:r>
    </w:p>
    <w:p w14:paraId="12F3C1C7" w14:textId="1F7083E7" w:rsidR="00370FEB" w:rsidRPr="00563024" w:rsidRDefault="00370FEB" w:rsidP="00370FEB">
      <w:pPr>
        <w:pStyle w:val="NormalHanging12a"/>
      </w:pPr>
      <w:r w:rsidRPr="00563024">
        <w:t>–</w:t>
      </w:r>
      <w:r w:rsidRPr="00563024">
        <w:tab/>
        <w:t>Tendo em conta a proposta da Comissão ao Parlamento e ao Conselho (COM(</w:t>
      </w:r>
      <w:r w:rsidRPr="00CA4C6B">
        <w:t>2024</w:t>
      </w:r>
      <w:r w:rsidRPr="00563024">
        <w:t>)</w:t>
      </w:r>
      <w:r w:rsidRPr="00CA4C6B">
        <w:t>0051</w:t>
      </w:r>
      <w:r w:rsidRPr="00563024">
        <w:t>),</w:t>
      </w:r>
    </w:p>
    <w:p w14:paraId="2C5DB25B" w14:textId="77777777" w:rsidR="00370FEB" w:rsidRPr="00563024" w:rsidRDefault="00370FEB" w:rsidP="00370FEB">
      <w:pPr>
        <w:pStyle w:val="NormalHanging12a"/>
      </w:pPr>
      <w:r w:rsidRPr="00563024">
        <w:t>–</w:t>
      </w:r>
      <w:r w:rsidRPr="00563024">
        <w:tab/>
        <w:t xml:space="preserve">Tendo em conta o artigo </w:t>
      </w:r>
      <w:r w:rsidRPr="00CA4C6B">
        <w:t>294</w:t>
      </w:r>
      <w:r w:rsidRPr="00563024">
        <w:t xml:space="preserve">.º, n.º </w:t>
      </w:r>
      <w:r w:rsidRPr="00CA4C6B">
        <w:t>2</w:t>
      </w:r>
      <w:r w:rsidRPr="00563024">
        <w:t xml:space="preserve">, e o artigo </w:t>
      </w:r>
      <w:r w:rsidRPr="00CA4C6B">
        <w:t>207</w:t>
      </w:r>
      <w:r w:rsidRPr="00563024">
        <w:t xml:space="preserve">.º, n.º </w:t>
      </w:r>
      <w:r w:rsidRPr="00CA4C6B">
        <w:t>2</w:t>
      </w:r>
      <w:r w:rsidRPr="00563024">
        <w:t>, do Tratado sobre o Funcionamento da União Europeia, nos termos dos quais a proposta lhe foi apresentada pela Comissão (C</w:t>
      </w:r>
      <w:r w:rsidRPr="00CA4C6B">
        <w:t>9</w:t>
      </w:r>
      <w:r w:rsidRPr="00563024">
        <w:noBreakHyphen/>
      </w:r>
      <w:r w:rsidRPr="00CA4C6B">
        <w:t>0022</w:t>
      </w:r>
      <w:r w:rsidRPr="00563024">
        <w:t>/</w:t>
      </w:r>
      <w:r w:rsidRPr="00CA4C6B">
        <w:t>2024</w:t>
      </w:r>
      <w:r w:rsidRPr="00563024">
        <w:t>),</w:t>
      </w:r>
    </w:p>
    <w:p w14:paraId="21901657" w14:textId="26CFBEC4" w:rsidR="00370FEB" w:rsidRPr="00563024" w:rsidRDefault="00370FEB" w:rsidP="00370FEB">
      <w:pPr>
        <w:pStyle w:val="NormalHanging12a"/>
      </w:pPr>
      <w:r w:rsidRPr="00563024">
        <w:t>–</w:t>
      </w:r>
      <w:r w:rsidRPr="00563024">
        <w:tab/>
        <w:t xml:space="preserve">Tendo em conta o artigo </w:t>
      </w:r>
      <w:r w:rsidRPr="00CA4C6B">
        <w:t>294</w:t>
      </w:r>
      <w:r w:rsidRPr="00563024">
        <w:t xml:space="preserve">.º, n.º </w:t>
      </w:r>
      <w:r w:rsidRPr="00CA4C6B">
        <w:t>3</w:t>
      </w:r>
      <w:r w:rsidRPr="00563024">
        <w:t>, do Tratado sobre o Funcionamento da União Europeia,</w:t>
      </w:r>
    </w:p>
    <w:p w14:paraId="0AD61B61" w14:textId="5673E479" w:rsidR="00C912FD" w:rsidRPr="00563024" w:rsidRDefault="00C912FD" w:rsidP="00370FEB">
      <w:pPr>
        <w:pStyle w:val="NormalHanging12a"/>
      </w:pPr>
      <w:r w:rsidRPr="00563024">
        <w:rPr>
          <w:szCs w:val="24"/>
        </w:rPr>
        <w:t>–</w:t>
      </w:r>
      <w:r w:rsidRPr="00563024">
        <w:rPr>
          <w:szCs w:val="24"/>
        </w:rPr>
        <w:tab/>
        <w:t xml:space="preserve">Tendo em conta o compromisso assumido pelo representante do Conselho, em carta de </w:t>
      </w:r>
      <w:r w:rsidRPr="00CA4C6B">
        <w:rPr>
          <w:szCs w:val="24"/>
        </w:rPr>
        <w:t>8</w:t>
      </w:r>
      <w:r w:rsidRPr="00563024">
        <w:rPr>
          <w:szCs w:val="24"/>
        </w:rPr>
        <w:t xml:space="preserve"> de março de </w:t>
      </w:r>
      <w:r w:rsidRPr="00CA4C6B">
        <w:rPr>
          <w:szCs w:val="24"/>
        </w:rPr>
        <w:t>2024</w:t>
      </w:r>
      <w:r w:rsidRPr="00563024">
        <w:rPr>
          <w:szCs w:val="24"/>
        </w:rPr>
        <w:t xml:space="preserve">, de aprovar a posição do Parlamento, nos termos do artigo </w:t>
      </w:r>
      <w:r w:rsidRPr="00CA4C6B">
        <w:rPr>
          <w:szCs w:val="24"/>
        </w:rPr>
        <w:t>294</w:t>
      </w:r>
      <w:r w:rsidRPr="00563024">
        <w:rPr>
          <w:szCs w:val="24"/>
        </w:rPr>
        <w:t xml:space="preserve">.º, n.º </w:t>
      </w:r>
      <w:r w:rsidRPr="00CA4C6B">
        <w:rPr>
          <w:szCs w:val="24"/>
        </w:rPr>
        <w:t>4</w:t>
      </w:r>
      <w:r w:rsidRPr="00563024">
        <w:rPr>
          <w:szCs w:val="24"/>
        </w:rPr>
        <w:t>, do Tratado sobre o Funcionamento da União Europeia,</w:t>
      </w:r>
    </w:p>
    <w:p w14:paraId="2FB5D3CF" w14:textId="77777777" w:rsidR="00370FEB" w:rsidRPr="00563024" w:rsidRDefault="00370FEB" w:rsidP="00370FEB">
      <w:pPr>
        <w:pStyle w:val="NormalHanging12a"/>
      </w:pPr>
      <w:r w:rsidRPr="00563024">
        <w:t>–</w:t>
      </w:r>
      <w:r w:rsidRPr="00563024">
        <w:tab/>
        <w:t xml:space="preserve">Tendo em conta o artigo </w:t>
      </w:r>
      <w:r w:rsidRPr="00CA4C6B">
        <w:t>59</w:t>
      </w:r>
      <w:r w:rsidRPr="00563024">
        <w:t>.º do seu Regimento,</w:t>
      </w:r>
    </w:p>
    <w:p w14:paraId="6D8B7B9F" w14:textId="77777777" w:rsidR="00370FEB" w:rsidRPr="00563024" w:rsidRDefault="00370FEB" w:rsidP="00370FEB">
      <w:pPr>
        <w:pStyle w:val="NormalHanging12a"/>
      </w:pPr>
      <w:r w:rsidRPr="00563024">
        <w:t>–</w:t>
      </w:r>
      <w:r w:rsidRPr="00563024">
        <w:tab/>
        <w:t>Tendo em conta a carta da Comissão da Agricultura e do Desenvolvimento Rural,</w:t>
      </w:r>
    </w:p>
    <w:p w14:paraId="1B127149" w14:textId="77777777" w:rsidR="00370FEB" w:rsidRPr="00563024" w:rsidRDefault="00370FEB" w:rsidP="00370FEB">
      <w:pPr>
        <w:pStyle w:val="NormalHanging12a"/>
      </w:pPr>
      <w:r w:rsidRPr="00563024">
        <w:t>–</w:t>
      </w:r>
      <w:r w:rsidRPr="00563024">
        <w:tab/>
        <w:t>Tendo em conta o relatório da Comissão do Comércio Internacional (A</w:t>
      </w:r>
      <w:r w:rsidRPr="00CA4C6B">
        <w:t>9</w:t>
      </w:r>
      <w:r w:rsidRPr="00563024">
        <w:noBreakHyphen/>
      </w:r>
      <w:r w:rsidRPr="00CA4C6B">
        <w:t>0079</w:t>
      </w:r>
      <w:r w:rsidRPr="00563024">
        <w:t>/</w:t>
      </w:r>
      <w:r w:rsidRPr="00CA4C6B">
        <w:t>2024</w:t>
      </w:r>
      <w:r w:rsidRPr="00563024">
        <w:t>),</w:t>
      </w:r>
    </w:p>
    <w:p w14:paraId="2D90AE00" w14:textId="0353E356" w:rsidR="00370FEB" w:rsidRPr="00563024" w:rsidRDefault="00370FEB" w:rsidP="00370FEB">
      <w:pPr>
        <w:pStyle w:val="NormalHanging12a"/>
      </w:pPr>
      <w:r w:rsidRPr="00CA4C6B">
        <w:t>1</w:t>
      </w:r>
      <w:r w:rsidRPr="00563024">
        <w:t>.</w:t>
      </w:r>
      <w:r w:rsidRPr="00563024">
        <w:tab/>
        <w:t>Aprova a posição em primeira leitura</w:t>
      </w:r>
      <w:r w:rsidR="00E953D4" w:rsidRPr="00563024">
        <w:t xml:space="preserve"> que se segue</w:t>
      </w:r>
      <w:r w:rsidRPr="00563024">
        <w:t>;</w:t>
      </w:r>
    </w:p>
    <w:p w14:paraId="226FFD7C" w14:textId="77777777" w:rsidR="00370FEB" w:rsidRPr="00563024" w:rsidRDefault="00370FEB" w:rsidP="00370FEB">
      <w:pPr>
        <w:pStyle w:val="NormalHanging12a"/>
      </w:pPr>
      <w:r w:rsidRPr="00CA4C6B">
        <w:lastRenderedPageBreak/>
        <w:t>2</w:t>
      </w:r>
      <w:r w:rsidRPr="00563024">
        <w:t>.</w:t>
      </w:r>
      <w:r w:rsidRPr="00563024">
        <w:tab/>
        <w:t>Requer à Comissão que lhe submeta de novo a sua proposta, se a substituir, se a alterar substancialmente ou se pretender alterá</w:t>
      </w:r>
      <w:r w:rsidRPr="00563024">
        <w:noBreakHyphen/>
        <w:t>la substancialmente;</w:t>
      </w:r>
    </w:p>
    <w:p w14:paraId="3D5C3C76" w14:textId="77777777" w:rsidR="00370FEB" w:rsidRPr="00563024" w:rsidRDefault="00370FEB" w:rsidP="00370FEB">
      <w:pPr>
        <w:pStyle w:val="NormalHanging12a"/>
      </w:pPr>
      <w:r w:rsidRPr="00CA4C6B">
        <w:t>3</w:t>
      </w:r>
      <w:r w:rsidRPr="00563024">
        <w:t>.</w:t>
      </w:r>
      <w:r w:rsidRPr="00563024">
        <w:tab/>
        <w:t>Encarrega a sua Presidente de transmitir a posição do Parlamento ao Conselho e à Comissão, bem como aos parlamentos nacionais.</w:t>
      </w:r>
    </w:p>
    <w:p w14:paraId="16886079" w14:textId="77777777" w:rsidR="005D6743" w:rsidRPr="00563024" w:rsidRDefault="005D6743" w:rsidP="00370FEB">
      <w:pPr>
        <w:pStyle w:val="NormalHanging12a"/>
      </w:pPr>
    </w:p>
    <w:p w14:paraId="08E9C120" w14:textId="77777777" w:rsidR="005D6743" w:rsidRPr="00563024" w:rsidRDefault="005D6743" w:rsidP="00D778B5">
      <w:pPr>
        <w:sectPr w:rsidR="005D6743" w:rsidRPr="00563024" w:rsidSect="00CC04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A2A0D3" w14:textId="77777777" w:rsidR="005D6743" w:rsidRPr="00563024" w:rsidRDefault="005D6743" w:rsidP="005D674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63024">
        <w:rPr>
          <w:rFonts w:eastAsia="Calibri"/>
          <w:b/>
          <w:bCs/>
          <w:color w:val="000000"/>
          <w:szCs w:val="24"/>
        </w:rPr>
        <w:lastRenderedPageBreak/>
        <w:t>P</w:t>
      </w:r>
      <w:r w:rsidRPr="00CA4C6B">
        <w:rPr>
          <w:rFonts w:eastAsia="Calibri"/>
          <w:b/>
          <w:bCs/>
          <w:color w:val="000000"/>
          <w:szCs w:val="24"/>
        </w:rPr>
        <w:t>9</w:t>
      </w:r>
      <w:r w:rsidRPr="00563024">
        <w:rPr>
          <w:rFonts w:eastAsia="Calibri"/>
          <w:b/>
          <w:bCs/>
          <w:color w:val="000000"/>
          <w:szCs w:val="24"/>
        </w:rPr>
        <w:t>_TC</w:t>
      </w:r>
      <w:r w:rsidRPr="00CA4C6B">
        <w:rPr>
          <w:rFonts w:eastAsia="Calibri"/>
          <w:b/>
          <w:bCs/>
          <w:color w:val="000000"/>
          <w:szCs w:val="24"/>
        </w:rPr>
        <w:t>1</w:t>
      </w:r>
      <w:r w:rsidRPr="00563024">
        <w:rPr>
          <w:rFonts w:eastAsia="Calibri"/>
          <w:b/>
          <w:bCs/>
          <w:color w:val="000000"/>
          <w:szCs w:val="24"/>
        </w:rPr>
        <w:t>-COD(</w:t>
      </w:r>
      <w:r w:rsidRPr="00CA4C6B">
        <w:rPr>
          <w:rFonts w:eastAsia="Calibri"/>
          <w:b/>
          <w:bCs/>
          <w:color w:val="000000"/>
          <w:szCs w:val="24"/>
        </w:rPr>
        <w:t>2024</w:t>
      </w:r>
      <w:r w:rsidRPr="00563024">
        <w:rPr>
          <w:rFonts w:eastAsia="Calibri"/>
          <w:b/>
          <w:bCs/>
          <w:color w:val="000000"/>
          <w:szCs w:val="24"/>
        </w:rPr>
        <w:t>)</w:t>
      </w:r>
      <w:r w:rsidRPr="00CA4C6B">
        <w:rPr>
          <w:rFonts w:eastAsia="Calibri"/>
          <w:b/>
          <w:bCs/>
          <w:color w:val="000000"/>
          <w:szCs w:val="24"/>
        </w:rPr>
        <w:t>0029</w:t>
      </w:r>
    </w:p>
    <w:p w14:paraId="1C007AF9" w14:textId="6F408EC5" w:rsidR="00E365E1" w:rsidRDefault="005D6743" w:rsidP="005D6743">
      <w:pPr>
        <w:spacing w:after="240"/>
        <w:rPr>
          <w:rFonts w:eastAsia="Calibri"/>
          <w:b/>
          <w:noProof/>
          <w:color w:val="000000"/>
          <w:szCs w:val="22"/>
          <w:lang w:eastAsia="en-US"/>
        </w:rPr>
      </w:pPr>
      <w:r w:rsidRPr="00563024">
        <w:rPr>
          <w:b/>
        </w:rPr>
        <w:t xml:space="preserve">Posição do Parlamento Europeu aprovada em primeira leitura em </w:t>
      </w:r>
      <w:r w:rsidRPr="00CA4C6B">
        <w:rPr>
          <w:b/>
        </w:rPr>
        <w:t>13</w:t>
      </w:r>
      <w:r w:rsidRPr="00563024">
        <w:rPr>
          <w:b/>
        </w:rPr>
        <w:t xml:space="preserve"> de março de </w:t>
      </w:r>
      <w:r w:rsidRPr="00CA4C6B">
        <w:rPr>
          <w:b/>
        </w:rPr>
        <w:t>2024</w:t>
      </w:r>
      <w:r w:rsidRPr="00563024">
        <w:rPr>
          <w:b/>
        </w:rPr>
        <w:t xml:space="preserve"> tendo em vista a adoção do Regulamento (UE) </w:t>
      </w:r>
      <w:r w:rsidRPr="00CA4C6B">
        <w:rPr>
          <w:b/>
        </w:rPr>
        <w:t>2024</w:t>
      </w:r>
      <w:r w:rsidRPr="00563024">
        <w:rPr>
          <w:b/>
        </w:rPr>
        <w:t xml:space="preserve">/... do Parlamento Europeu e do Conselho </w:t>
      </w:r>
      <w:r w:rsidRPr="00563024">
        <w:rPr>
          <w:rFonts w:eastAsia="Calibri"/>
          <w:b/>
          <w:noProof/>
          <w:color w:val="000000"/>
          <w:szCs w:val="22"/>
          <w:lang w:eastAsia="en-US"/>
        </w:rPr>
        <w:t>relativo a medidas temporárias de liberalização do comércio que complementam as concessões comerciais aplicáveis aos produtos da República da Moldávia ao abrigo do Acordo de Associação entre a União Europeia e a Comunidade Europeia da Energia Atómica, e os seus Estados-Membros, por um lado, e a República da Moldávia, por outro</w:t>
      </w:r>
    </w:p>
    <w:p w14:paraId="1AB1FEED" w14:textId="237F0A81" w:rsidR="00581EB9" w:rsidRPr="00581EB9" w:rsidRDefault="00581EB9" w:rsidP="005D6743">
      <w:pPr>
        <w:spacing w:after="240"/>
        <w:rPr>
          <w:rFonts w:eastAsia="Calibri"/>
          <w:noProof/>
          <w:color w:val="000000"/>
          <w:szCs w:val="22"/>
          <w:lang w:eastAsia="en-US"/>
        </w:rPr>
      </w:pPr>
      <w:r w:rsidRPr="002C7F33">
        <w:rPr>
          <w:i/>
          <w:color w:val="000000"/>
          <w:szCs w:val="22"/>
          <w:lang w:eastAsia="lt-LT"/>
          <w14:ligatures w14:val="standardContextual"/>
        </w:rPr>
        <w:t>(Uma vez que foi alcançado um acordo entre o Parlamento e o Conselho, a posição do Parlamento corresponde ao texto legislativo final,</w:t>
      </w:r>
      <w:r>
        <w:rPr>
          <w:i/>
          <w:color w:val="000000"/>
          <w:szCs w:val="22"/>
          <w:lang w:eastAsia="lt-LT"/>
          <w14:ligatures w14:val="standardContextual"/>
        </w:rPr>
        <w:t xml:space="preserve"> </w:t>
      </w:r>
      <w:r>
        <w:rPr>
          <w:i/>
          <w:color w:val="000000"/>
          <w:szCs w:val="22"/>
          <w:lang w:eastAsia="lt-LT"/>
          <w14:ligatures w14:val="standardContextual"/>
        </w:rPr>
        <w:t>Regulamento (</w:t>
      </w:r>
      <w:bookmarkStart w:id="8" w:name="_GoBack"/>
      <w:bookmarkEnd w:id="8"/>
      <w:r>
        <w:rPr>
          <w:i/>
          <w:color w:val="000000"/>
          <w:szCs w:val="22"/>
          <w:lang w:eastAsia="lt-LT"/>
          <w14:ligatures w14:val="standardContextual"/>
        </w:rPr>
        <w:t>UE) 2024/1501</w:t>
      </w:r>
      <w:r>
        <w:rPr>
          <w:i/>
          <w:color w:val="000000"/>
          <w:szCs w:val="22"/>
          <w:lang w:eastAsia="lt-LT"/>
          <w14:ligatures w14:val="standardContextual"/>
        </w:rPr>
        <w:t>.)</w:t>
      </w:r>
    </w:p>
    <w:sectPr w:rsidR="00581EB9" w:rsidRPr="00581EB9" w:rsidSect="00CC04E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A8C79" w14:textId="77777777" w:rsidR="00D778B5" w:rsidRPr="00CC04EB" w:rsidRDefault="00D778B5">
      <w:r w:rsidRPr="00CC04EB">
        <w:separator/>
      </w:r>
    </w:p>
  </w:endnote>
  <w:endnote w:type="continuationSeparator" w:id="0">
    <w:p w14:paraId="47C26E3A" w14:textId="77777777" w:rsidR="00D778B5" w:rsidRPr="00CC04EB" w:rsidRDefault="00D778B5">
      <w:r w:rsidRPr="00CC04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74B4B" w14:textId="77777777" w:rsidR="00064002" w:rsidRPr="00CC04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1037" w14:textId="77777777" w:rsidR="00064002" w:rsidRPr="00CC04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427F9" w14:textId="77777777" w:rsidR="00064002" w:rsidRPr="00CC04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E0008" w14:textId="77777777" w:rsidR="00D778B5" w:rsidRPr="00CC04EB" w:rsidRDefault="00D778B5">
      <w:r w:rsidRPr="00CC04EB">
        <w:separator/>
      </w:r>
    </w:p>
  </w:footnote>
  <w:footnote w:type="continuationSeparator" w:id="0">
    <w:p w14:paraId="67BE3D05" w14:textId="77777777" w:rsidR="00D778B5" w:rsidRPr="00CC04EB" w:rsidRDefault="00D778B5">
      <w:r w:rsidRPr="00CC04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BEC8B" w14:textId="77777777" w:rsidR="00064002" w:rsidRPr="00CC04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600E4" w14:textId="77777777" w:rsidR="00064002" w:rsidRPr="00CC04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F7A57" w14:textId="77777777" w:rsidR="00064002" w:rsidRPr="00CC04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PT"/>
    <w:docVar w:name="dvnumam" w:val="0"/>
    <w:docVar w:name="dvpe" w:val="759.004"/>
    <w:docVar w:name="dvrapporteur" w:val="Relatora: "/>
    <w:docVar w:name="dvstar" w:val="***I"/>
    <w:docVar w:name="dvtitre" w:val="Resolução legislativa do Parlamento Europeu, de ... de ... de 2024,_x000d__x000a_ sobre a proposta de regulamento do Parlamento Europeu e do Conselho relativo a medidas temporárias de liberalização do comércio que complementam as concessões comerciais aplicáveis aos produtos da República da Moldávia ao abrigo do Acordo de Associação entre a União Europeia e a Comunidade Europeia da Energia Atómica, e os seus Estados-Membros, por um lado, e a República da Moldávia, por outro(COM(2024)0051 – C9-0022/2024 – 2024/0029(COD))"/>
  </w:docVars>
  <w:rsids>
    <w:rsidRoot w:val="00D778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0FE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024"/>
    <w:rsid w:val="00581EB9"/>
    <w:rsid w:val="005C2568"/>
    <w:rsid w:val="005D674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712"/>
    <w:rsid w:val="00B12E95"/>
    <w:rsid w:val="00B22876"/>
    <w:rsid w:val="00B558F0"/>
    <w:rsid w:val="00B67A3F"/>
    <w:rsid w:val="00BD48FE"/>
    <w:rsid w:val="00BD7BD8"/>
    <w:rsid w:val="00BE6ADC"/>
    <w:rsid w:val="00C05BFE"/>
    <w:rsid w:val="00C23CD4"/>
    <w:rsid w:val="00C61C0C"/>
    <w:rsid w:val="00C912FD"/>
    <w:rsid w:val="00C941CB"/>
    <w:rsid w:val="00CA4C6B"/>
    <w:rsid w:val="00CC04EB"/>
    <w:rsid w:val="00CC2357"/>
    <w:rsid w:val="00CF071A"/>
    <w:rsid w:val="00D058B8"/>
    <w:rsid w:val="00D56C11"/>
    <w:rsid w:val="00D778B5"/>
    <w:rsid w:val="00D834A0"/>
    <w:rsid w:val="00D872DF"/>
    <w:rsid w:val="00D91E21"/>
    <w:rsid w:val="00DA7FCD"/>
    <w:rsid w:val="00E365E1"/>
    <w:rsid w:val="00E820A4"/>
    <w:rsid w:val="00E953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D0E98"/>
  <w15:chartTrackingRefBased/>
  <w15:docId w15:val="{8F66BA9C-2B14-411B-96D0-8C57BE63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70FEB"/>
    <w:rPr>
      <w:b/>
    </w:rPr>
  </w:style>
  <w:style w:type="paragraph" w:customStyle="1" w:styleId="NormalHanging12a">
    <w:name w:val="NormalHanging12a"/>
    <w:basedOn w:val="Normal"/>
    <w:rsid w:val="00370FEB"/>
    <w:pPr>
      <w:spacing w:after="240"/>
      <w:ind w:left="567" w:hanging="567"/>
    </w:pPr>
  </w:style>
  <w:style w:type="paragraph" w:customStyle="1" w:styleId="EPComma">
    <w:name w:val="EPComma"/>
    <w:basedOn w:val="Normal"/>
    <w:rsid w:val="00370FEB"/>
    <w:pPr>
      <w:spacing w:before="480" w:after="240"/>
    </w:pPr>
  </w:style>
  <w:style w:type="character" w:styleId="Hyperlink">
    <w:name w:val="Hyperlink"/>
    <w:basedOn w:val="DefaultParagraphFont"/>
    <w:qFormat/>
    <w:rsid w:val="005D674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5D6743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5D6743"/>
    <w:rPr>
      <w:sz w:val="20"/>
    </w:rPr>
  </w:style>
  <w:style w:type="character" w:customStyle="1" w:styleId="CommentTextChar">
    <w:name w:val="Comment Text Char"/>
    <w:basedOn w:val="DefaultParagraphFont"/>
    <w:link w:val="CommentText"/>
    <w:qFormat/>
    <w:rsid w:val="005D6743"/>
    <w:rPr>
      <w:lang w:val="pt-PT"/>
    </w:rPr>
  </w:style>
  <w:style w:type="paragraph" w:styleId="BalloonText">
    <w:name w:val="Balloon Text"/>
    <w:basedOn w:val="Normal"/>
    <w:link w:val="BalloonTextChar"/>
    <w:rsid w:val="005D67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6743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5D6743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C912FD"/>
    <w:pPr>
      <w:spacing w:after="240"/>
    </w:p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C912FD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683D-8A2D-4D87-8B58-AFA19EEF8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IAM_RELEC1</cp:lastModifiedBy>
  <cp:revision>2</cp:revision>
  <cp:lastPrinted>2004-11-19T15:42:00Z</cp:lastPrinted>
  <dcterms:created xsi:type="dcterms:W3CDTF">2024-06-25T12:28:00Z</dcterms:created>
  <dcterms:modified xsi:type="dcterms:W3CDTF">2024-06-25T12:28:00Z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