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446B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446B7" w:rsidRDefault="00741C7D" w:rsidP="0010095E">
            <w:pPr>
              <w:pStyle w:val="EPName"/>
            </w:pPr>
            <w:r w:rsidRPr="00E446B7">
              <w:t>Evropský parlament</w:t>
            </w:r>
          </w:p>
          <w:p w:rsidR="00751A4A" w:rsidRPr="00E446B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446B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446B7" w:rsidRDefault="00187494" w:rsidP="0010095E">
            <w:pPr>
              <w:pStyle w:val="EPLogo"/>
            </w:pPr>
            <w:r w:rsidRPr="00E446B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446B7" w:rsidRDefault="00D058B8" w:rsidP="004C5D52">
      <w:pPr>
        <w:pStyle w:val="LineTop"/>
      </w:pPr>
    </w:p>
    <w:p w:rsidR="00680577" w:rsidRPr="00E446B7" w:rsidRDefault="00741C7D" w:rsidP="00680577">
      <w:pPr>
        <w:pStyle w:val="EPBodyTA1"/>
      </w:pPr>
      <w:r w:rsidRPr="00E446B7">
        <w:t>PŘIJATÉ TEXTY</w:t>
      </w:r>
    </w:p>
    <w:p w:rsidR="00D058B8" w:rsidRPr="00E446B7" w:rsidRDefault="00D058B8" w:rsidP="00D058B8">
      <w:pPr>
        <w:pStyle w:val="LineBottom"/>
      </w:pPr>
    </w:p>
    <w:p w:rsidR="00741C7D" w:rsidRPr="00E446B7" w:rsidRDefault="00741C7D" w:rsidP="00741C7D">
      <w:pPr>
        <w:pStyle w:val="ATHeading1"/>
      </w:pPr>
      <w:bookmarkStart w:id="0" w:name="TANumber"/>
      <w:r w:rsidRPr="00E446B7">
        <w:t>P9_TA(2024)0</w:t>
      </w:r>
      <w:r w:rsidR="00FB267A">
        <w:t>156</w:t>
      </w:r>
      <w:bookmarkEnd w:id="0"/>
    </w:p>
    <w:p w:rsidR="00741C7D" w:rsidRPr="00E446B7" w:rsidRDefault="00741C7D" w:rsidP="00741C7D">
      <w:pPr>
        <w:pStyle w:val="ATHeading2"/>
      </w:pPr>
      <w:bookmarkStart w:id="1" w:name="title"/>
      <w:r w:rsidRPr="00E446B7">
        <w:t>Evropský semestr pro koordinaci hospodářských politik na rok 2024</w:t>
      </w:r>
      <w:bookmarkEnd w:id="1"/>
    </w:p>
    <w:p w:rsidR="00741C7D" w:rsidRPr="00E446B7" w:rsidRDefault="00741C7D" w:rsidP="00741C7D">
      <w:pPr>
        <w:rPr>
          <w:i/>
          <w:vanish/>
        </w:rPr>
      </w:pPr>
      <w:r w:rsidRPr="00E446B7">
        <w:rPr>
          <w:i/>
        </w:rPr>
        <w:fldChar w:fldCharType="begin"/>
      </w:r>
      <w:r w:rsidRPr="00E446B7">
        <w:rPr>
          <w:i/>
        </w:rPr>
        <w:instrText xml:space="preserve"> TC"(</w:instrText>
      </w:r>
      <w:bookmarkStart w:id="2" w:name="DocNumber"/>
      <w:r w:rsidRPr="00E446B7">
        <w:rPr>
          <w:i/>
        </w:rPr>
        <w:instrText>A9-0063/2024</w:instrText>
      </w:r>
      <w:bookmarkEnd w:id="2"/>
      <w:r w:rsidRPr="00E446B7">
        <w:rPr>
          <w:i/>
        </w:rPr>
        <w:instrText xml:space="preserve"> - Zpravodaj: René Repasi)"\l3 \n&gt; \* MERGEFORMAT </w:instrText>
      </w:r>
      <w:r w:rsidRPr="00E446B7">
        <w:rPr>
          <w:i/>
        </w:rPr>
        <w:fldChar w:fldCharType="end"/>
      </w:r>
    </w:p>
    <w:p w:rsidR="00741C7D" w:rsidRPr="00E446B7" w:rsidRDefault="00741C7D" w:rsidP="00741C7D">
      <w:pPr>
        <w:rPr>
          <w:vanish/>
        </w:rPr>
      </w:pPr>
      <w:bookmarkStart w:id="3" w:name="Commission"/>
      <w:r w:rsidRPr="00E446B7">
        <w:rPr>
          <w:vanish/>
        </w:rPr>
        <w:t>Hospodářský a měnový výbor</w:t>
      </w:r>
      <w:bookmarkEnd w:id="3"/>
    </w:p>
    <w:p w:rsidR="00741C7D" w:rsidRPr="00E446B7" w:rsidRDefault="00741C7D" w:rsidP="00741C7D">
      <w:pPr>
        <w:rPr>
          <w:vanish/>
        </w:rPr>
      </w:pPr>
      <w:bookmarkStart w:id="4" w:name="PE"/>
      <w:r w:rsidRPr="00E446B7">
        <w:rPr>
          <w:vanish/>
        </w:rPr>
        <w:t>PE757.014</w:t>
      </w:r>
      <w:bookmarkEnd w:id="4"/>
    </w:p>
    <w:p w:rsidR="00741C7D" w:rsidRPr="00E446B7" w:rsidRDefault="00741C7D" w:rsidP="00741C7D">
      <w:pPr>
        <w:pStyle w:val="ATHeading3"/>
      </w:pPr>
      <w:bookmarkStart w:id="5" w:name="Sujet"/>
      <w:r w:rsidRPr="00E446B7">
        <w:t>Usnesení Evropského parlamentu ze dne 13. března 2024 o evropském semestru pro koordinaci hospodářské politiky na rok 2024</w:t>
      </w:r>
      <w:bookmarkEnd w:id="5"/>
      <w:r w:rsidRPr="00E446B7">
        <w:t xml:space="preserve"> </w:t>
      </w:r>
      <w:bookmarkStart w:id="6" w:name="References"/>
      <w:r w:rsidRPr="00E446B7">
        <w:t>(2023/2063(INI))</w:t>
      </w:r>
      <w:bookmarkEnd w:id="6"/>
    </w:p>
    <w:p w:rsidR="00DC650F" w:rsidRPr="00E446B7" w:rsidRDefault="00DC650F" w:rsidP="00DC650F">
      <w:pPr>
        <w:pStyle w:val="EPComma"/>
      </w:pPr>
      <w:bookmarkStart w:id="7" w:name="TextBodyBegin"/>
      <w:bookmarkEnd w:id="7"/>
      <w:r w:rsidRPr="00E446B7">
        <w:rPr>
          <w:i/>
          <w:iCs/>
        </w:rPr>
        <w:t>Evropský parlament</w:t>
      </w:r>
      <w:r w:rsidRPr="00E446B7">
        <w:t>,</w:t>
      </w:r>
    </w:p>
    <w:p w:rsidR="00DC650F" w:rsidRPr="00E446B7" w:rsidRDefault="00DC650F" w:rsidP="00B82D7E">
      <w:pPr>
        <w:pStyle w:val="NormalHanging12a"/>
      </w:pPr>
      <w:r w:rsidRPr="00E446B7">
        <w:t>–</w:t>
      </w:r>
      <w:r w:rsidRPr="00E446B7">
        <w:tab/>
        <w:t>s ohledem na Smlouvu o fungování Evropské unie, zejména na čl. 121 odst. 2 a článek 136 Smlouvy,</w:t>
      </w:r>
    </w:p>
    <w:p w:rsidR="00DC650F" w:rsidRPr="00E446B7" w:rsidRDefault="00DC650F" w:rsidP="00B82D7E">
      <w:pPr>
        <w:pStyle w:val="NormalHanging12a"/>
      </w:pPr>
      <w:r w:rsidRPr="00E446B7">
        <w:t>–</w:t>
      </w:r>
      <w:r w:rsidRPr="00E446B7">
        <w:tab/>
        <w:t>s ohledem na Protokol č. 1 ke Smlouvě o Evropské unii a S</w:t>
      </w:r>
      <w:r w:rsidR="00493FBB">
        <w:t xml:space="preserve">mlouvě o fungování </w:t>
      </w:r>
      <w:r w:rsidRPr="00E446B7">
        <w:t>E</w:t>
      </w:r>
      <w:r w:rsidR="00493FBB">
        <w:t>vropské unie</w:t>
      </w:r>
      <w:r w:rsidRPr="00E446B7">
        <w:t xml:space="preserve"> o úloze vnitrostátních parlamentů v Evropské unii,</w:t>
      </w:r>
    </w:p>
    <w:p w:rsidR="00DC650F" w:rsidRPr="00E446B7" w:rsidRDefault="00DC650F" w:rsidP="00B82D7E">
      <w:pPr>
        <w:pStyle w:val="NormalHanging12a"/>
      </w:pPr>
      <w:r w:rsidRPr="00E446B7">
        <w:t>–</w:t>
      </w:r>
      <w:r w:rsidRPr="00E446B7">
        <w:tab/>
        <w:t>s ohledem na Protokol č. 2 k</w:t>
      </w:r>
      <w:r w:rsidR="00493FBB">
        <w:t>e</w:t>
      </w:r>
      <w:r w:rsidRPr="00E446B7">
        <w:t> S</w:t>
      </w:r>
      <w:r w:rsidR="00493FBB">
        <w:t xml:space="preserve">mlouvě o </w:t>
      </w:r>
      <w:r w:rsidRPr="00E446B7">
        <w:t>E</w:t>
      </w:r>
      <w:r w:rsidR="00493FBB">
        <w:t>vropské unii</w:t>
      </w:r>
      <w:r w:rsidRPr="00E446B7">
        <w:t xml:space="preserve"> a S</w:t>
      </w:r>
      <w:r w:rsidR="00493FBB">
        <w:t xml:space="preserve">mlouvě o fungování </w:t>
      </w:r>
      <w:r w:rsidRPr="00E446B7">
        <w:t>E</w:t>
      </w:r>
      <w:r w:rsidR="00493FBB">
        <w:t>vropské unie</w:t>
      </w:r>
      <w:r w:rsidRPr="00E446B7">
        <w:t xml:space="preserve"> o používání zásad subsidiarity a proporcionality,</w:t>
      </w:r>
    </w:p>
    <w:p w:rsidR="00DC650F" w:rsidRPr="00E446B7" w:rsidRDefault="00DC650F" w:rsidP="00B82D7E">
      <w:pPr>
        <w:pStyle w:val="NormalHanging12a"/>
      </w:pPr>
      <w:r w:rsidRPr="00E446B7">
        <w:t>–</w:t>
      </w:r>
      <w:r w:rsidRPr="00E446B7">
        <w:tab/>
        <w:t>s ohledem na Smlouvu o stabilitě, koordinaci a správě v hospodářské a měnové unii,</w:t>
      </w:r>
    </w:p>
    <w:p w:rsidR="00DC650F" w:rsidRPr="00E446B7" w:rsidRDefault="00DC650F" w:rsidP="00B82D7E">
      <w:pPr>
        <w:pStyle w:val="NormalHanging12a"/>
      </w:pPr>
      <w:r w:rsidRPr="00E446B7">
        <w:t>–</w:t>
      </w:r>
      <w:r w:rsidRPr="00E446B7">
        <w:tab/>
        <w:t>s ohledem na Pařížskou dohodu Rámcové úmluvy Organizace spojených národů o změně klimatu a cíle udržitelného rozvoje,</w:t>
      </w:r>
    </w:p>
    <w:p w:rsidR="00DC650F" w:rsidRPr="00E446B7" w:rsidRDefault="00DC650F" w:rsidP="00B82D7E">
      <w:pPr>
        <w:pStyle w:val="NormalHanging12a"/>
      </w:pPr>
      <w:r w:rsidRPr="00E446B7">
        <w:t>–</w:t>
      </w:r>
      <w:r w:rsidRPr="00E446B7">
        <w:tab/>
        <w:t>s ohledem na směrnici Rady 2011/85/EU ze dne 8. listopadu 2011 o požadavcích na rozpočtové rámce členských států</w:t>
      </w:r>
      <w:r w:rsidRPr="00E446B7">
        <w:rPr>
          <w:rStyle w:val="FootnoteReference"/>
          <w:szCs w:val="24"/>
        </w:rPr>
        <w:footnoteReference w:id="1"/>
      </w:r>
      <w:r w:rsidRPr="00E446B7">
        <w:t>,</w:t>
      </w:r>
    </w:p>
    <w:p w:rsidR="00DC650F" w:rsidRPr="00E446B7" w:rsidRDefault="00DC650F" w:rsidP="00B82D7E">
      <w:pPr>
        <w:pStyle w:val="NormalHanging12a"/>
      </w:pPr>
      <w:r w:rsidRPr="00E446B7">
        <w:t>–</w:t>
      </w:r>
      <w:r w:rsidRPr="00E446B7">
        <w:tab/>
        <w:t>s ohledem na nařízení Rady (EU) č. 1177/2011 ze dne 8. listopadu 2011, kterým se mění nařízení (ES) č. 1467/97 o urychlení a vyjasnění postupu při nadměrném schodku</w:t>
      </w:r>
      <w:r w:rsidRPr="00E446B7">
        <w:rPr>
          <w:vertAlign w:val="superscript"/>
        </w:rPr>
        <w:footnoteReference w:id="2"/>
      </w:r>
      <w:r w:rsidRPr="00E446B7">
        <w:t>,</w:t>
      </w:r>
    </w:p>
    <w:p w:rsidR="00DC650F" w:rsidRPr="00E446B7" w:rsidRDefault="00DC650F" w:rsidP="00B82D7E">
      <w:pPr>
        <w:pStyle w:val="NormalHanging12a"/>
      </w:pPr>
      <w:r w:rsidRPr="00E446B7">
        <w:t>–</w:t>
      </w:r>
      <w:r w:rsidRPr="00E446B7">
        <w:tab/>
        <w:t>s ohledem na nařízení Evropského parlamentu a Rady (EU) č. 1173/2011 ze dne 16. listopadu 2011 o účinném prosazování rozpočtového dohledu v eurozóně</w:t>
      </w:r>
      <w:r w:rsidRPr="00E446B7">
        <w:rPr>
          <w:vertAlign w:val="superscript"/>
        </w:rPr>
        <w:footnoteReference w:id="3"/>
      </w:r>
      <w:r w:rsidRPr="00E446B7">
        <w:t>,</w:t>
      </w:r>
    </w:p>
    <w:p w:rsidR="00DC650F" w:rsidRPr="00E446B7" w:rsidRDefault="00DC650F" w:rsidP="00B82D7E">
      <w:pPr>
        <w:pStyle w:val="NormalHanging12a"/>
      </w:pPr>
      <w:r w:rsidRPr="00E446B7">
        <w:t>–</w:t>
      </w:r>
      <w:r w:rsidRPr="00E446B7">
        <w:tab/>
        <w:t xml:space="preserve">s ohledem na nařízení Evropského parlamentu a Rady (EU) č. 1174/2011 ze dne 16. listopadu 2011 o donucovacích opatřeních k nápravě nadměrné makroekonomické </w:t>
      </w:r>
      <w:r w:rsidRPr="00E446B7">
        <w:lastRenderedPageBreak/>
        <w:t>nerovnováhy v eurozóně</w:t>
      </w:r>
      <w:r w:rsidRPr="00E446B7">
        <w:rPr>
          <w:vertAlign w:val="superscript"/>
        </w:rPr>
        <w:footnoteReference w:id="4"/>
      </w:r>
      <w:r w:rsidRPr="00E446B7">
        <w:t>,</w:t>
      </w:r>
    </w:p>
    <w:p w:rsidR="00DC650F" w:rsidRPr="00E446B7" w:rsidRDefault="00DC650F" w:rsidP="00B82D7E">
      <w:pPr>
        <w:pStyle w:val="NormalHanging12a"/>
      </w:pPr>
      <w:r w:rsidRPr="00E446B7">
        <w:t>–</w:t>
      </w:r>
      <w:r w:rsidRPr="00E446B7">
        <w:tab/>
        <w:t>s ohledem na nařízení Evropského parlamentu a Rady (EU) č. 1175/2011 ze dne 16. listopadu 2011, kterým se mění nařízení Rady (ES) č. 1466/97 o posílení dohledu nad stavy rozpočtů a nad hospodářskými politikami a o posílení koordinace hospodářských politik</w:t>
      </w:r>
      <w:r w:rsidRPr="00E446B7">
        <w:rPr>
          <w:vertAlign w:val="superscript"/>
        </w:rPr>
        <w:footnoteReference w:id="5"/>
      </w:r>
      <w:r w:rsidRPr="00E446B7">
        <w:t>,</w:t>
      </w:r>
    </w:p>
    <w:p w:rsidR="00DC650F" w:rsidRPr="00E446B7" w:rsidRDefault="00DC650F" w:rsidP="00B82D7E">
      <w:pPr>
        <w:pStyle w:val="NormalHanging12a"/>
      </w:pPr>
      <w:r w:rsidRPr="00E446B7">
        <w:t>–</w:t>
      </w:r>
      <w:r w:rsidRPr="00E446B7">
        <w:tab/>
        <w:t>s ohledem na nařízení Evropského parlamentu a Rady (EU) č. 1176/2011 ze dne 16. listopadu 2011 o prevenci a nápravě makroekonomické nerovnováhy</w:t>
      </w:r>
      <w:r w:rsidRPr="00E446B7">
        <w:rPr>
          <w:vertAlign w:val="superscript"/>
        </w:rPr>
        <w:footnoteReference w:id="6"/>
      </w:r>
      <w:r w:rsidRPr="00E446B7">
        <w:t>,</w:t>
      </w:r>
    </w:p>
    <w:p w:rsidR="00DC650F" w:rsidRPr="00E446B7" w:rsidRDefault="00DC650F" w:rsidP="00B82D7E">
      <w:pPr>
        <w:pStyle w:val="NormalHanging12a"/>
      </w:pPr>
      <w:r w:rsidRPr="00E446B7">
        <w:t>–</w:t>
      </w:r>
      <w:r w:rsidRPr="00E446B7">
        <w:tab/>
        <w:t>s ohledem na nařízení Evropského parlamentu a Rady (EU) č. 472/2013 ze dne 21. května 2013 o posílení hospodářského a rozpočtového dohledu nad členskými státy eurozóny, jejichž finanční stabilita je postižena či ohrožena závažnými obtížemi</w:t>
      </w:r>
      <w:r w:rsidRPr="00E446B7">
        <w:rPr>
          <w:rStyle w:val="FootnoteReference"/>
          <w:szCs w:val="24"/>
        </w:rPr>
        <w:footnoteReference w:id="7"/>
      </w:r>
      <w:r w:rsidRPr="00E446B7">
        <w:t>,</w:t>
      </w:r>
    </w:p>
    <w:p w:rsidR="00DC650F" w:rsidRPr="00E446B7" w:rsidRDefault="00DC650F" w:rsidP="00B82D7E">
      <w:pPr>
        <w:pStyle w:val="NormalHanging12a"/>
      </w:pPr>
      <w:r w:rsidRPr="00E446B7">
        <w:t>–</w:t>
      </w:r>
      <w:r w:rsidRPr="00E446B7">
        <w:tab/>
        <w:t>s ohledem na nařízení Evropského parlamentu a Rady (EU) č. 473/2013 ze dne 21. května 2013 o společných ustanoveních týkajících se sledování a posuzování návrhů rozpočtových plánů a zajišťování nápravy nadměrného schodku členských států v eurozóně</w:t>
      </w:r>
      <w:r w:rsidRPr="00E446B7">
        <w:rPr>
          <w:rStyle w:val="FootnoteReference"/>
          <w:szCs w:val="24"/>
        </w:rPr>
        <w:footnoteReference w:id="8"/>
      </w:r>
      <w:r w:rsidRPr="00E446B7">
        <w:t>,</w:t>
      </w:r>
    </w:p>
    <w:p w:rsidR="00DC650F" w:rsidRPr="00E446B7" w:rsidRDefault="00DC650F" w:rsidP="00B82D7E">
      <w:pPr>
        <w:pStyle w:val="NormalHanging12a"/>
      </w:pPr>
      <w:r w:rsidRPr="00E446B7">
        <w:t>–</w:t>
      </w:r>
      <w:r w:rsidRPr="00E446B7">
        <w:tab/>
        <w:t>s ohledem na nařízení Evropského parlamentu a Rady (EU) 2021/241 ze dne 12. února 2021, kterým se zřizuje Nástroj pro oživení a odolnost</w:t>
      </w:r>
      <w:r w:rsidRPr="00E446B7">
        <w:rPr>
          <w:rStyle w:val="FootnoteReference"/>
          <w:szCs w:val="24"/>
        </w:rPr>
        <w:footnoteReference w:id="9"/>
      </w:r>
      <w:r w:rsidRPr="00E446B7">
        <w:t xml:space="preserve"> (nařízení o Nástroji pro oživení a odolnost),</w:t>
      </w:r>
    </w:p>
    <w:p w:rsidR="00DC650F" w:rsidRPr="00E446B7" w:rsidRDefault="00DC650F" w:rsidP="00B82D7E">
      <w:pPr>
        <w:pStyle w:val="NormalHanging12a"/>
      </w:pPr>
      <w:r w:rsidRPr="00E446B7">
        <w:t>–</w:t>
      </w:r>
      <w:r w:rsidRPr="00E446B7">
        <w:tab/>
        <w:t>s ohledem na sdělení Komise ze dne 4. března 2021 nazvané „Akční plán pro evropský pilíř sociálních práv“ (</w:t>
      </w:r>
      <w:proofErr w:type="gramStart"/>
      <w:r w:rsidRPr="00E446B7">
        <w:t>COM(2021</w:t>
      </w:r>
      <w:proofErr w:type="gramEnd"/>
      <w:r w:rsidRPr="00E446B7">
        <w:t>)0102),</w:t>
      </w:r>
    </w:p>
    <w:p w:rsidR="00DC650F" w:rsidRPr="00E446B7" w:rsidRDefault="00DC650F" w:rsidP="00B82D7E">
      <w:pPr>
        <w:pStyle w:val="NormalHanging12a"/>
      </w:pPr>
      <w:r w:rsidRPr="00E446B7">
        <w:t>–</w:t>
      </w:r>
      <w:r w:rsidRPr="00E446B7">
        <w:tab/>
        <w:t>s ohledem na sociální závazek Rady, Komise, Parlamentu a sociálních partnerů z Porta ze dne 7. května 2021,</w:t>
      </w:r>
    </w:p>
    <w:p w:rsidR="00DC650F" w:rsidRPr="00E446B7" w:rsidRDefault="00DC650F" w:rsidP="00B82D7E">
      <w:pPr>
        <w:pStyle w:val="NormalHanging12a"/>
      </w:pPr>
      <w:r w:rsidRPr="00E446B7">
        <w:t>–</w:t>
      </w:r>
      <w:r w:rsidRPr="00E446B7">
        <w:tab/>
        <w:t>s ohledem na hodnocení Evropské fiskální rady ze dne 28. června 2023 týkající se vhodného nastavení fiskální politiky eurozóny v roce 2024,</w:t>
      </w:r>
    </w:p>
    <w:p w:rsidR="00DC650F" w:rsidRPr="00E446B7" w:rsidRDefault="00DC650F" w:rsidP="00B82D7E">
      <w:pPr>
        <w:pStyle w:val="NormalHanging12a"/>
      </w:pPr>
      <w:r w:rsidRPr="00E446B7">
        <w:t>–</w:t>
      </w:r>
      <w:r w:rsidRPr="00E446B7">
        <w:tab/>
        <w:t>s ohledem na výroční zprávu Evropské fiskální rady ze dne 4. října 2023,</w:t>
      </w:r>
    </w:p>
    <w:p w:rsidR="00DC650F" w:rsidRPr="00E446B7" w:rsidRDefault="00DC650F" w:rsidP="00B82D7E">
      <w:pPr>
        <w:pStyle w:val="NormalHanging12a"/>
        <w:rPr>
          <w:bCs/>
          <w:szCs w:val="23"/>
        </w:rPr>
      </w:pPr>
      <w:r w:rsidRPr="00E446B7">
        <w:t>–</w:t>
      </w:r>
      <w:r w:rsidRPr="00E446B7">
        <w:tab/>
        <w:t>s ohledem na sdělení Komise ze dne 9. listopadu 2022 o směrech pro reformu rámce správy ekonomických záležitostí EU (</w:t>
      </w:r>
      <w:proofErr w:type="gramStart"/>
      <w:r w:rsidRPr="00E446B7">
        <w:t>COM(2022</w:t>
      </w:r>
      <w:proofErr w:type="gramEnd"/>
      <w:r w:rsidRPr="00E446B7">
        <w:t>)0583),</w:t>
      </w:r>
    </w:p>
    <w:p w:rsidR="00DC650F" w:rsidRPr="00E446B7" w:rsidRDefault="00DC650F" w:rsidP="00B82D7E">
      <w:pPr>
        <w:pStyle w:val="NormalHanging12a"/>
      </w:pPr>
      <w:r w:rsidRPr="00E446B7">
        <w:t>–</w:t>
      </w:r>
      <w:r w:rsidRPr="00E446B7">
        <w:tab/>
        <w:t>s ohledem na návrh nařízení Evropského parlamentu a Rady o účinné koordinaci hospodářských politik a mnohostranném rozpočtovém dohledu a o zrušení nařízení Rady (ES) č. 1466/97, který předložila Komise dne 26. dubna 2023 (</w:t>
      </w:r>
      <w:proofErr w:type="gramStart"/>
      <w:r w:rsidRPr="00E446B7">
        <w:t>COM(2023</w:t>
      </w:r>
      <w:proofErr w:type="gramEnd"/>
      <w:r w:rsidRPr="00E446B7">
        <w:t>)0240),</w:t>
      </w:r>
    </w:p>
    <w:p w:rsidR="00DC650F" w:rsidRPr="00E446B7" w:rsidRDefault="00DC650F" w:rsidP="00B82D7E">
      <w:pPr>
        <w:pStyle w:val="NormalHanging12a"/>
      </w:pPr>
      <w:r w:rsidRPr="00E446B7">
        <w:t>–</w:t>
      </w:r>
      <w:r w:rsidRPr="00E446B7">
        <w:tab/>
        <w:t>s ohledem na návrh nařízení Rady, kterým se mění nařízení (ES) č. 1467/97 o urychlení a vyjasnění postupu při nadměrném schodku (</w:t>
      </w:r>
      <w:proofErr w:type="gramStart"/>
      <w:r w:rsidRPr="00E446B7">
        <w:t>COM(2023</w:t>
      </w:r>
      <w:proofErr w:type="gramEnd"/>
      <w:r w:rsidRPr="00E446B7">
        <w:t>)0241), který předložila Komise dne 26. dubna 2023,</w:t>
      </w:r>
    </w:p>
    <w:p w:rsidR="00DC650F" w:rsidRPr="00E446B7" w:rsidRDefault="00DC650F" w:rsidP="00B82D7E">
      <w:pPr>
        <w:pStyle w:val="NormalHanging12a"/>
      </w:pPr>
      <w:r w:rsidRPr="00E446B7">
        <w:lastRenderedPageBreak/>
        <w:t>–</w:t>
      </w:r>
      <w:r w:rsidRPr="00E446B7">
        <w:tab/>
        <w:t>s ohledem na návrh směrnice Rady, kterou se mění směrnice 2011/85/EU o požadavcích na rozpočtové rámce členských států (</w:t>
      </w:r>
      <w:proofErr w:type="gramStart"/>
      <w:r w:rsidRPr="00E446B7">
        <w:t>COM(2023</w:t>
      </w:r>
      <w:proofErr w:type="gramEnd"/>
      <w:r w:rsidRPr="00E446B7">
        <w:t>)0242), který předložila Komise dne 26. dubna 2023,</w:t>
      </w:r>
    </w:p>
    <w:p w:rsidR="00DC650F" w:rsidRPr="00E446B7" w:rsidRDefault="00DC650F" w:rsidP="00B82D7E">
      <w:pPr>
        <w:pStyle w:val="NormalHanging12a"/>
        <w:rPr>
          <w:bCs/>
          <w:szCs w:val="23"/>
        </w:rPr>
      </w:pPr>
      <w:r w:rsidRPr="00E446B7">
        <w:t>–</w:t>
      </w:r>
      <w:r w:rsidRPr="00E446B7">
        <w:tab/>
        <w:t>s ohledem na Granadské prohlášení přijaté dne 6. října 2023,</w:t>
      </w:r>
    </w:p>
    <w:p w:rsidR="00DC650F" w:rsidRPr="00E446B7" w:rsidRDefault="00DC650F" w:rsidP="00B82D7E">
      <w:pPr>
        <w:pStyle w:val="NormalHanging12a"/>
        <w:rPr>
          <w:shd w:val="clear" w:color="auto" w:fill="FFFFFF"/>
        </w:rPr>
      </w:pPr>
      <w:r w:rsidRPr="00E446B7">
        <w:t>–</w:t>
      </w:r>
      <w:r w:rsidRPr="00E446B7">
        <w:tab/>
      </w:r>
      <w:r w:rsidRPr="00E446B7">
        <w:rPr>
          <w:shd w:val="clear" w:color="auto" w:fill="FFFFFF"/>
        </w:rPr>
        <w:t>s ohledem na sdělení Komise ze dne 21. listopadu 2023 nazvané „Roční analýza udržitelného růstu 2024“ (</w:t>
      </w:r>
      <w:proofErr w:type="gramStart"/>
      <w:r w:rsidRPr="00E446B7">
        <w:t>COM(2023</w:t>
      </w:r>
      <w:proofErr w:type="gramEnd"/>
      <w:r w:rsidRPr="00E446B7">
        <w:t>)0901</w:t>
      </w:r>
      <w:r w:rsidRPr="00E446B7">
        <w:rPr>
          <w:shd w:val="clear" w:color="auto" w:fill="FFFFFF"/>
        </w:rPr>
        <w:t>),</w:t>
      </w:r>
    </w:p>
    <w:p w:rsidR="00DC650F" w:rsidRPr="00E446B7" w:rsidRDefault="00DC650F" w:rsidP="00170AA6">
      <w:pPr>
        <w:pStyle w:val="NormalHanging12a"/>
      </w:pPr>
      <w:r w:rsidRPr="00E446B7">
        <w:t>–</w:t>
      </w:r>
      <w:r w:rsidRPr="00E446B7">
        <w:tab/>
        <w:t>s ohledem na zprávu Komise ze dne 21. listopadu 202</w:t>
      </w:r>
      <w:r w:rsidR="00170AA6">
        <w:t>3</w:t>
      </w:r>
      <w:r w:rsidRPr="00E446B7">
        <w:rPr>
          <w:i/>
        </w:rPr>
        <w:t xml:space="preserve"> </w:t>
      </w:r>
      <w:r w:rsidRPr="00E446B7">
        <w:t>nazvanou „Zpráva mechanismu varování 2024“ (</w:t>
      </w:r>
      <w:proofErr w:type="gramStart"/>
      <w:r w:rsidRPr="00E446B7">
        <w:t>COM(2023</w:t>
      </w:r>
      <w:proofErr w:type="gramEnd"/>
      <w:r w:rsidRPr="00E446B7">
        <w:t>)0902) a na doporučení Komise ze dne 21. listopadu 202</w:t>
      </w:r>
      <w:r w:rsidR="00170AA6">
        <w:t>3</w:t>
      </w:r>
      <w:r w:rsidRPr="00E446B7">
        <w:t xml:space="preserve"> pro doporučení Rady týkající se hospodářské politiky eurozóny (COM(2023)0903),</w:t>
      </w:r>
    </w:p>
    <w:p w:rsidR="00DC650F" w:rsidRPr="00E446B7" w:rsidRDefault="00DC650F" w:rsidP="00170AA6">
      <w:pPr>
        <w:pStyle w:val="NormalHanging12a"/>
      </w:pPr>
      <w:r w:rsidRPr="00E446B7">
        <w:t>–</w:t>
      </w:r>
      <w:r w:rsidRPr="00E446B7">
        <w:tab/>
        <w:t>s ohledem na návrh společné zprávy Komise a Rady o zaměstnanosti ze dne 21. listopadu 202</w:t>
      </w:r>
      <w:r w:rsidR="00170AA6">
        <w:t>3</w:t>
      </w:r>
      <w:r w:rsidRPr="00E446B7">
        <w:t xml:space="preserve"> (COM(2023)0904),</w:t>
      </w:r>
      <w:bookmarkStart w:id="8" w:name="_GoBack"/>
      <w:bookmarkEnd w:id="8"/>
    </w:p>
    <w:p w:rsidR="00DC650F" w:rsidRPr="00E446B7" w:rsidRDefault="00DC650F" w:rsidP="00B82D7E">
      <w:pPr>
        <w:pStyle w:val="NormalHanging12a"/>
      </w:pPr>
      <w:r w:rsidRPr="00E446B7">
        <w:t>–</w:t>
      </w:r>
      <w:r w:rsidRPr="00E446B7">
        <w:tab/>
        <w:t>s ohledem na hospodářskou prognózu Komise z podzimu roku 2023, která byla zveřejněna dne 15. listopadu 2023,</w:t>
      </w:r>
    </w:p>
    <w:p w:rsidR="00DC650F" w:rsidRPr="00E446B7" w:rsidRDefault="00DC650F" w:rsidP="00B82D7E">
      <w:pPr>
        <w:pStyle w:val="NormalHanging12a"/>
      </w:pPr>
      <w:r w:rsidRPr="00E446B7">
        <w:t>–</w:t>
      </w:r>
      <w:r w:rsidRPr="00E446B7">
        <w:tab/>
        <w:t>s ohledem na článek 54 jednacího řádu,</w:t>
      </w:r>
    </w:p>
    <w:p w:rsidR="00DC650F" w:rsidRPr="00E446B7" w:rsidRDefault="00DC650F" w:rsidP="00B82D7E">
      <w:pPr>
        <w:pStyle w:val="NormalHanging12a"/>
      </w:pPr>
      <w:r w:rsidRPr="00E446B7">
        <w:t>–</w:t>
      </w:r>
      <w:r w:rsidRPr="00E446B7">
        <w:tab/>
        <w:t>s ohledem na stanovisko Rozpočtového výboru,</w:t>
      </w:r>
    </w:p>
    <w:p w:rsidR="00DC650F" w:rsidRPr="00E446B7" w:rsidRDefault="00DC650F" w:rsidP="00B82D7E">
      <w:pPr>
        <w:pStyle w:val="NormalHanging12a"/>
      </w:pPr>
      <w:r w:rsidRPr="00E446B7">
        <w:t>–</w:t>
      </w:r>
      <w:r w:rsidRPr="00E446B7">
        <w:tab/>
        <w:t>s ohledem na zprávu Hospodářského a měnového výboru (A9-0063/2024),</w:t>
      </w:r>
    </w:p>
    <w:p w:rsidR="00DC650F" w:rsidRPr="00E446B7" w:rsidRDefault="00DC650F" w:rsidP="00B82D7E">
      <w:pPr>
        <w:pStyle w:val="NormalHanging12a"/>
      </w:pPr>
      <w:r w:rsidRPr="00E446B7">
        <w:t>A.</w:t>
      </w:r>
      <w:r w:rsidRPr="00E446B7">
        <w:tab/>
        <w:t>vzhledem k tomu, že evropský semestr sehrává zásadní roli při koordinaci hospodářských, rozpočtových, strukturálních, sociálních a zaměstnaneckých politik v členských státech, čímž zajišťuje makroekonomickou stabilitu hospodářské a měnové unie;</w:t>
      </w:r>
    </w:p>
    <w:p w:rsidR="00DC650F" w:rsidRPr="00E446B7" w:rsidRDefault="00DC650F" w:rsidP="00B82D7E">
      <w:pPr>
        <w:pStyle w:val="NormalHanging12a"/>
      </w:pPr>
      <w:r w:rsidRPr="00E446B7">
        <w:t>B.</w:t>
      </w:r>
      <w:r w:rsidRPr="00E446B7">
        <w:tab/>
        <w:t xml:space="preserve">vzhledem k tomu, že podle prognózy Komise ze zimy 2024 se odhaduje, že hospodářská činnost v roce 2023 vzrostla o pouhých 0,5 % v EU i eurozóně na pozadí vysoké inflace a zpřísněných podmínek financování, po silném oživení v roce 2022; vzhledem k tomu, že růst HDP na rok 2024 byl revidován směrem dolů na 0,9 % (z 1,3 %) v EU a </w:t>
      </w:r>
      <w:proofErr w:type="gramStart"/>
      <w:r w:rsidRPr="00E446B7">
        <w:t>0,8 % (z 1,2</w:t>
      </w:r>
      <w:proofErr w:type="gramEnd"/>
      <w:r w:rsidRPr="00E446B7">
        <w:t xml:space="preserve"> %) v eurozóně; vzhledem k tomu, že v roce 2025 se stále očekává, že hospodářská činnost vzroste o 1,7 % v EU a o 1,5 % v eurozóně;</w:t>
      </w:r>
    </w:p>
    <w:p w:rsidR="00DC650F" w:rsidRPr="00E446B7" w:rsidRDefault="00DC650F" w:rsidP="00B82D7E">
      <w:pPr>
        <w:pStyle w:val="NormalHanging12a"/>
      </w:pPr>
      <w:r w:rsidRPr="00E446B7">
        <w:t>C.</w:t>
      </w:r>
      <w:r w:rsidRPr="00E446B7">
        <w:tab/>
        <w:t xml:space="preserve">vzhledem k tomu, že trh práce EU v první polovině roku 2023 i nadále vykazoval solidní výsledky, navzdory zpomalení hospodářského růstu; vzhledem k tomu, že podle prognózy Komise z podzimu 2023 však byl nedostatek pracovních sil i nadále akutní v různých odvětvích a povoláních, zejména v oblastech souvisejících s rozšířením </w:t>
      </w:r>
      <w:proofErr w:type="spellStart"/>
      <w:r w:rsidRPr="00E446B7">
        <w:t>nízkoemisních</w:t>
      </w:r>
      <w:proofErr w:type="spellEnd"/>
      <w:r w:rsidRPr="00E446B7">
        <w:t xml:space="preserve"> technologií a technologií s čistými emisemi a jejich prováděním; vzhledem k tomu, že nezaměstnanost v EU jako celku dosáhla historického minima, přičemž mezi členskými státy se vyskytují rozdíly; vzhledem k tomu, že nezaměstnanost mladých lidí dosáhla v prosinci 2023 14,7 % v EU a 14,4 % v eurozóně;</w:t>
      </w:r>
    </w:p>
    <w:p w:rsidR="00DC650F" w:rsidRPr="00E446B7" w:rsidRDefault="00DC650F" w:rsidP="00B82D7E">
      <w:pPr>
        <w:pStyle w:val="NormalHanging12a"/>
      </w:pPr>
      <w:r w:rsidRPr="00E446B7">
        <w:t>D.</w:t>
      </w:r>
      <w:r w:rsidRPr="00E446B7">
        <w:tab/>
        <w:t xml:space="preserve">vzhledem k tomu, že se predikuje, že inflace klesne z 6,3 % v roce 2023 na 3,0 % v roce 2024 a na 2,5 % v roce 2025 v EU a z 5,4 % v roce 2023 na 2,7 % v roce 2024 a 2,2 v roce 2025 v eurozóně, a to podle prognózy Komise ze zimy 2024; vzhledem k tomu, že fiskální politika musí podporovat měnovou politiku při snižování inflace a zajišťování fiskální udržitelnosti a zároveň poskytovat dostatečný prostor pro dodatečné investice a </w:t>
      </w:r>
      <w:r w:rsidRPr="00E446B7">
        <w:lastRenderedPageBreak/>
        <w:t>podporovat dlouhodobý růst;</w:t>
      </w:r>
    </w:p>
    <w:p w:rsidR="00DC650F" w:rsidRPr="00E446B7" w:rsidRDefault="00DC650F" w:rsidP="00B82D7E">
      <w:pPr>
        <w:pStyle w:val="NormalHanging12a"/>
      </w:pPr>
      <w:r w:rsidRPr="00E446B7">
        <w:t>E.</w:t>
      </w:r>
      <w:r w:rsidRPr="00E446B7">
        <w:tab/>
        <w:t>vzhledem k tomu, že inflace dopadá na různé příjmové skupiny různě a nízkopříjmové skupiny trpí neúměrně; vzhledem k tomu, že inflace by mohla vyvolat skutečnou krizi životních nákladů na některé segmenty obyvatelstva, což by představovalo výzvy pro sociální soudržnost;</w:t>
      </w:r>
    </w:p>
    <w:p w:rsidR="00DC650F" w:rsidRPr="00E446B7" w:rsidRDefault="00DC650F" w:rsidP="00B82D7E">
      <w:pPr>
        <w:pStyle w:val="NormalHanging12a"/>
      </w:pPr>
      <w:r w:rsidRPr="00E446B7">
        <w:t>F.</w:t>
      </w:r>
      <w:r w:rsidRPr="00E446B7">
        <w:tab/>
        <w:t>vzhledem k tomu, že se očekává, že poměr dluhu k HDP se v EU v roce 2023 sníží na 83,1 % (v eurozóně na 90,4 %); vzhledem k tomu, že se očekává, že poměr dluhu k HDP se v EU nepatrně sníží na 82,7 % v roce 2024 a 82,5 % v roce 2025; vzhledem k tomu, že se očekává, že poměr dluhu k HDP v eurozóně v roce 2024 klesne na přibližně 89,7 % a v roce 2025 na 89,5 %; vzhledem k tomu, že mezi jednotlivými členskými státy existují velké rozdíly v míře zadlužení; vzhledem k tomu, že vysoké poměry dluhu k HDP v kombinaci s vysokými úrokovými mírami a nejistou makroekonomickou situací mohou ohrozit dlouhodobou udržitelnost dluhu a hospodářskou stabilitu;</w:t>
      </w:r>
    </w:p>
    <w:p w:rsidR="00DC650F" w:rsidRPr="00E446B7" w:rsidRDefault="00DC650F" w:rsidP="00B82D7E">
      <w:pPr>
        <w:pStyle w:val="NormalHanging12a"/>
      </w:pPr>
      <w:r w:rsidRPr="00E446B7">
        <w:t>G.</w:t>
      </w:r>
      <w:r w:rsidRPr="00E446B7">
        <w:tab/>
        <w:t>vzhledem k tomu, že podle prognózy Komise z podzimu 2023 se očekává, že schodek veřejných financí v EU a v eurozóně klesne v roce 2023 na 3,2 % HDP a bude se dále snižovat na 2,8 % HDP v roce 2024 a 2,7 % v roce 2025; vzhledem k tomu, že na konci roku 2023 byla deaktivována obecná úniková doložka Paktu o stabilitě a růstu; vzhledem k tomu, že Komise oznámila, že v souladu se stávajícími právními předpisy předloží Radě na jaře 2024 návrh na zahájení postupu při nadměrném schodku na základě výsledků plnění rozpočtu za rok 2023;</w:t>
      </w:r>
    </w:p>
    <w:p w:rsidR="00DC650F" w:rsidRPr="00E446B7" w:rsidRDefault="00DC650F" w:rsidP="00B82D7E">
      <w:pPr>
        <w:pStyle w:val="NormalHanging12a"/>
      </w:pPr>
      <w:r w:rsidRPr="00E446B7">
        <w:t>H.</w:t>
      </w:r>
      <w:r w:rsidRPr="00E446B7">
        <w:tab/>
        <w:t>vzhledem k tomu, že v letech 2023 a 2024 se očekává, že celkové nastavení fiskální politiky se změní na restriktivní a v obou letech se sníží o 0,5 % HDP, a to především z důvodu téměř úplného ukončení opatření v oblasti energetiky souvisejících s krizí;</w:t>
      </w:r>
    </w:p>
    <w:p w:rsidR="00DC650F" w:rsidRPr="00E446B7" w:rsidRDefault="00DC650F" w:rsidP="00B82D7E">
      <w:pPr>
        <w:pStyle w:val="NormalHanging12a"/>
      </w:pPr>
      <w:r w:rsidRPr="00E446B7">
        <w:t>I.</w:t>
      </w:r>
      <w:r w:rsidRPr="00E446B7">
        <w:tab/>
        <w:t>vzhledem k tomu, že rychlá, rozhodná a koordinovaná politická reakce umožnila, aby se hospodářství EU zotavilo a řešilo socioekonomické dopady pandemie COVID-19 i ruské útočné války vůči Ukrajině, a umožnila překonat následnou energetickou krizi; vzhledem k tomu, že hospodářství v roce 2023 zpomalilo; vzhledem k tomu, že vyhlídky jsou i nadále obklopeny vysokou nejistotou a riziky, která souvisejí především s vývojem probíhající útočné války Ruska proti Ukrajině a se situací na Blízkém východě;</w:t>
      </w:r>
    </w:p>
    <w:p w:rsidR="00DC650F" w:rsidRPr="00E446B7" w:rsidRDefault="00DC650F" w:rsidP="00B82D7E">
      <w:pPr>
        <w:pStyle w:val="NormalHanging12a"/>
      </w:pPr>
      <w:r w:rsidRPr="00E446B7">
        <w:t>J.</w:t>
      </w:r>
      <w:r w:rsidRPr="00E446B7">
        <w:tab/>
        <w:t>vzhledem k tomu, že rušivé geopolitické události prokázaly, že je třeba, aby Evropská unie dále posílila svou otevřenou strategickou autonomii a zůstala konkurenceschopná na světovém trhu a zároveň zajistila, aby nikdo nebyl opomenut;</w:t>
      </w:r>
    </w:p>
    <w:p w:rsidR="00DC650F" w:rsidRPr="00E446B7" w:rsidRDefault="00DC650F" w:rsidP="00B82D7E">
      <w:pPr>
        <w:pStyle w:val="NormalHanging12a"/>
      </w:pPr>
      <w:r w:rsidRPr="00E446B7">
        <w:t>K.</w:t>
      </w:r>
      <w:r w:rsidRPr="00E446B7">
        <w:tab/>
        <w:t>vzhledem k tomu, že financování EU přispívá k makroekonomické síle na úrovni EU a zvýšení její vnitřní i vnější odolnosti v dobách krize a zároveň k podpoře členských států při financování nezbytných investic do priorit EU směřujících k řešení současných a budoucích výzev;</w:t>
      </w:r>
    </w:p>
    <w:p w:rsidR="00DC650F" w:rsidRPr="00E446B7" w:rsidRDefault="00DC650F" w:rsidP="00B82D7E">
      <w:pPr>
        <w:pStyle w:val="NormalHanging12a"/>
      </w:pPr>
      <w:r w:rsidRPr="00E446B7">
        <w:t>L.</w:t>
      </w:r>
      <w:r w:rsidRPr="00E446B7">
        <w:tab/>
        <w:t>vzhledem k tomu, že po rozsáhlé expanzi související s krizí v letech 2020 až 2022 se očekává, že nastavení fiskální politiky v eurozóně bude v letech 2023 a 2024 restriktivní; vzhledem k tomu, že nastavení fiskální politiky by mělo zůstat flexibilní vzhledem k vysoké míře nejistoty;</w:t>
      </w:r>
    </w:p>
    <w:p w:rsidR="00DC650F" w:rsidRPr="00E446B7" w:rsidRDefault="00DC650F" w:rsidP="00B82D7E">
      <w:pPr>
        <w:pStyle w:val="NormalHanging12a"/>
      </w:pPr>
      <w:r w:rsidRPr="00E446B7">
        <w:t>M.</w:t>
      </w:r>
      <w:r w:rsidRPr="00E446B7">
        <w:tab/>
        <w:t xml:space="preserve">vzhledem k tomu, že čisté veřejné investice vyjádřené jako procentní podíl HDP v EU </w:t>
      </w:r>
      <w:r w:rsidRPr="00E446B7">
        <w:lastRenderedPageBreak/>
        <w:t>po finanční krizi vyvolané pandemií COVID-19 prudce poklesly, přičemž v některých případech dosáhly záporných úrovní; vzhledem k tomu, že se tento procentní podíl dosud plně nevrátil na původní úroveň; vzhledem k tomu, že úspěch klimaticky neutrálních politik a digitální transformace je založen na společném evropském přístupu a vyžaduje opatření na úrovni EU i na úrovni členských států; vzhledem k tomu, že budoucí odolnost EU je úzce spjata s vyššími veřejnými a soukromými investicemi pro udržitelný růst a ambiciózním programem strukturálních reforem; vzhledem k tomu, že je nezbytné zabývat se potřebou včasné strategie k zajištění vhodných úrovní veřejných investic po skončení platnosti Nástroje pro oživení a odolnost v roce 2026; vzhledem k tomu, že splnění cílů Zelené dohody pro Evropu a Pařížské dohody vyžaduje značné veřejné a soukromé investice;</w:t>
      </w:r>
    </w:p>
    <w:p w:rsidR="00DC650F" w:rsidRPr="00E446B7" w:rsidRDefault="00DC650F" w:rsidP="00B82D7E">
      <w:pPr>
        <w:pStyle w:val="NormalHanging12a"/>
      </w:pPr>
      <w:r w:rsidRPr="00E446B7">
        <w:t>N.</w:t>
      </w:r>
      <w:r w:rsidRPr="00E446B7">
        <w:tab/>
        <w:t>vzhledem k tomu, že je třeba, aby členské státy měly zavedeny nezbytné kontrolní a auditní mechanismy, které zajistí dodržování zásad právního státu a budou chránit finanční zájmy EU, zejména s cílem předcházet podvodům, korupci a střetům zájmů a zajistit transparentnost; vzhledem k tomu, že je důležité, aby členské státy v tomto ohledu prováděly příslušná podpůrná doporučení pro jednotlivé země;</w:t>
      </w:r>
    </w:p>
    <w:p w:rsidR="00DC650F" w:rsidRPr="00E446B7" w:rsidRDefault="00DC650F" w:rsidP="00B82D7E">
      <w:pPr>
        <w:pStyle w:val="NormalHanging12a"/>
        <w:rPr>
          <w:b/>
        </w:rPr>
      </w:pPr>
      <w:r w:rsidRPr="00E446B7">
        <w:rPr>
          <w:b/>
          <w:i/>
        </w:rPr>
        <w:t>Hospodářské vyhlídky pro EU</w:t>
      </w:r>
    </w:p>
    <w:p w:rsidR="00DC650F" w:rsidRPr="00E446B7" w:rsidRDefault="00DC650F" w:rsidP="00B82D7E">
      <w:pPr>
        <w:pStyle w:val="NormalHanging12a"/>
      </w:pPr>
      <w:r w:rsidRPr="00E446B7">
        <w:t>1.</w:t>
      </w:r>
      <w:r w:rsidRPr="00E446B7">
        <w:tab/>
        <w:t>vyjadřuje znepokojení nad hospodářskou situací, přetrvávající nejistotou, slabým růstem, konkurenceschopností a produktivitou v EU; s obavami bere na vědomí pokračující dopad cen energií a inflace na kupní sílu domácností, což vede k většímu riziku chudoby, včetně energetické chudoby, pro mnoho Evropanů a na výkonnost podniků v EU, včetně těch malých a středních (MSP); vyzývá členské státy, aby podnikly další kroky k překonání těchto obtíží a provádění cílených opatření k zajištění spravedlivé hospodářské soutěže na jednotném trhu a k řešení přetrvávajících inflačních tlaků;</w:t>
      </w:r>
    </w:p>
    <w:p w:rsidR="00DC650F" w:rsidRPr="00E446B7" w:rsidRDefault="00DC650F" w:rsidP="00B82D7E">
      <w:pPr>
        <w:pStyle w:val="NormalHanging12a"/>
      </w:pPr>
      <w:r w:rsidRPr="00E446B7">
        <w:t>2.</w:t>
      </w:r>
      <w:r w:rsidRPr="00E446B7">
        <w:tab/>
        <w:t>konstatuje, že mnohé členské státy trpí strukturálními problémy, které brání jejich růstovému potenciálu; zdůrazňuje, že řešení strukturálních problémů má zásadní význam pro udržitelné oživení a trvalý růst a že provádění reforem zaměřených na řešení strukturálních nedostatků je klíčem nejen ke zlepšení schopnosti odolávat stávajícím výzvám a zvládat je, ale také k tomu, aby bylo možné uskutečnit souběžnou transformaci udržitelným a spravedlivým způsobem; zdůrazňuje, že ambiciózní strukturální reformy mají i nadále zásadní význam pro posílení hospodářské základny EU, podporu zakládání podniků a podnikání a posílení konkurenceschopnosti, produktivity a celkového růstového potenciálu EU;</w:t>
      </w:r>
    </w:p>
    <w:p w:rsidR="00DC650F" w:rsidRPr="00E446B7" w:rsidRDefault="00DC650F" w:rsidP="00B82D7E">
      <w:pPr>
        <w:pStyle w:val="NormalHanging12a"/>
      </w:pPr>
      <w:r w:rsidRPr="00E446B7">
        <w:t>3.</w:t>
      </w:r>
      <w:r w:rsidRPr="00E446B7">
        <w:tab/>
        <w:t xml:space="preserve">zdůrazňuje, že nedostatek veřejných a soukromých investic v některých členských státech omezuje potenciál sociálně vyváženého a environmentálně udržitelného růstu; domnívá se, že stěžejním faktorem k přilákání investic jsou předvídatelná pravidla, rovné podmínky a nízké náklady na splnění požadavků; vyzdvihuje, že tyto investice jsou klíčové, aby EU byla schopná vypořádat se se stávajícími výzvami, včetně spravedlivé zelené a digitální transformace, a že zvýší odolnost a dlouhodobou konkurenceschopnost EU při nadcházejících výzvách; je přesvědčen, že tyto investice by měly být doprovázeny reformami podporujícími růst a odolnost; upozorňuje na investice do obnovitelných zdrojů energie a energetické účinnosti, které jsou kromě jiného zapotřebí k tomu, aby se EU stala nezávislou na dovozu fosilních paliv a snížení inflace přiživované cenami energií; bere na vědomí, že v letech 2023 a 2024 bude očekávané nastavení fiskální politiky restriktivní; zdůrazňuje, že </w:t>
      </w:r>
      <w:proofErr w:type="spellStart"/>
      <w:r w:rsidRPr="00E446B7">
        <w:t>restriktivnost</w:t>
      </w:r>
      <w:proofErr w:type="spellEnd"/>
      <w:r w:rsidRPr="00E446B7">
        <w:t xml:space="preserve"> by </w:t>
      </w:r>
      <w:r w:rsidRPr="00E446B7">
        <w:lastRenderedPageBreak/>
        <w:t>neměla být na úkor investic, které by měly být v celé Unii zvýšeny;</w:t>
      </w:r>
    </w:p>
    <w:p w:rsidR="00DC650F" w:rsidRPr="00E446B7" w:rsidRDefault="00DC650F" w:rsidP="00B82D7E">
      <w:pPr>
        <w:pStyle w:val="NormalHanging12a"/>
      </w:pPr>
      <w:r w:rsidRPr="00E446B7">
        <w:t>4.</w:t>
      </w:r>
      <w:r w:rsidRPr="00E446B7">
        <w:tab/>
        <w:t>zdůrazňuje, že další prohloubení jednotného trhu a odstranění překážek pro investice, mimo jiné prostřednictvím reforem, které zefektivní a digitalizují plánování, povolování a další administrativní postupy, by pomohlo podpořit soukromé investice; opakuje, že průmyslová politika, jakož i hluboké a integrované kapitálové trhy a inovace EU mohou rovněž přispět podporou investic, ochranou globální konkurenceschopnosti EU a zmírňováním rizik spojených s nadměrnou závislostí na omezeném počtu třetích zemí, pokud jde o klíčové technologie, suroviny a průmyslové vstupy;</w:t>
      </w:r>
    </w:p>
    <w:p w:rsidR="00DC650F" w:rsidRPr="00E446B7" w:rsidRDefault="00DC650F" w:rsidP="00B82D7E">
      <w:pPr>
        <w:pStyle w:val="NormalHanging12a"/>
      </w:pPr>
      <w:r w:rsidRPr="00E446B7">
        <w:t>5.</w:t>
      </w:r>
      <w:r w:rsidRPr="00E446B7">
        <w:tab/>
        <w:t>vyzývá členské státy, aby prováděly přezkumy výdajů jako pravidelnou součást každoročního (nebo víceletého) rozpočtového procesu, což by pomohlo zlepšit účinnost a kvalitu veřejných výdajů; souhlasí s doporučením Komise vyjádřeným v roční analýze udržitelného růstu na rok 2024, aby členské státy co nejdříve ukončily opatření na podporu energetiky související s krizí a co nejdříve zastavily subvence na fosilní paliva; zdůrazňuje, že veřejné příjmy, zejména z daní, jsou zásadní pro zajištění udržitelnosti veřejných financí; vyzývá členské státy, aby přijaly opatření k boji proti daňovým podvodům, vyhýbání se daňovým povinnostem, daňovým únikům a praní peněz; vítá v tomto ohledu dohodu o balíčku o boji proti praní peněz;</w:t>
      </w:r>
    </w:p>
    <w:p w:rsidR="00DC650F" w:rsidRPr="00E446B7" w:rsidRDefault="00DC650F" w:rsidP="00B82D7E">
      <w:pPr>
        <w:pStyle w:val="NormalHanging12a"/>
      </w:pPr>
      <w:r w:rsidRPr="00E446B7">
        <w:t>6.</w:t>
      </w:r>
      <w:r w:rsidRPr="00E446B7">
        <w:tab/>
        <w:t>souhlasí s hodnocením Komise, že rizika spojená s vysokým zadlužením a cenovými rozdíly jsou i nadále významná, zejména v členských státech, kde obsluha dluhu vyžaduje velké refinancování dluhu nebo kde soukromý sektor čelí prudkému nárůstu úrokových plateb;</w:t>
      </w:r>
    </w:p>
    <w:p w:rsidR="00DC650F" w:rsidRPr="00E446B7" w:rsidRDefault="00DC650F" w:rsidP="00B82D7E">
      <w:pPr>
        <w:pStyle w:val="NormalHanging12a"/>
      </w:pPr>
      <w:r w:rsidRPr="00E446B7">
        <w:t>7.</w:t>
      </w:r>
      <w:r w:rsidRPr="00E446B7">
        <w:tab/>
        <w:t>vyzývá členské státy v eurozóně k prozkoumání všech prostředků k dokončení revize Smlouvy o Evropském mechanismu stability, která umožní zavedení společného jištění pro Jednotný fond pro řešení krizí, což by dále posílilo odolnost eurozóny;</w:t>
      </w:r>
    </w:p>
    <w:p w:rsidR="00DC650F" w:rsidRPr="00E446B7" w:rsidRDefault="00DC650F" w:rsidP="00B82D7E">
      <w:pPr>
        <w:pStyle w:val="NormalHanging12a"/>
      </w:pPr>
      <w:r w:rsidRPr="00E446B7">
        <w:rPr>
          <w:b/>
          <w:i/>
        </w:rPr>
        <w:t>Evropský semestr a Nástroj pro oživení a odolnost</w:t>
      </w:r>
    </w:p>
    <w:p w:rsidR="00DC650F" w:rsidRPr="00E446B7" w:rsidRDefault="00DC650F" w:rsidP="00B82D7E">
      <w:pPr>
        <w:pStyle w:val="NormalHanging12a"/>
      </w:pPr>
      <w:r w:rsidRPr="00E446B7">
        <w:t>8.</w:t>
      </w:r>
      <w:r w:rsidRPr="00E446B7">
        <w:tab/>
        <w:t>připomíná, že evropský semestr je zavedeným rámcem pro koordinaci rozpočtových, hospodářských a sociálních politik a politik zaměstnanosti v rámci celé Unie v souladu se Smlouvami, včetně evropského pilíře sociálních práv, a zajišťuje tak její makroekonomickou stabilitu, udržitelnou konvergenci ekonomické výkonnosti členských států a sociální soudržnost EU; vyzývá k silnějšímu převzetí odpovědnosti v rámci evropského semestru ze strany členských států, například prostřednictvím jejich místních a regionálních orgánů; konstatuje, že průmyslový plán Zelené dohody na rok 2023 je součástí strategie EU pro růst;</w:t>
      </w:r>
    </w:p>
    <w:p w:rsidR="00DC650F" w:rsidRPr="00E446B7" w:rsidRDefault="00DC650F" w:rsidP="00B82D7E">
      <w:pPr>
        <w:pStyle w:val="NormalHanging12a"/>
      </w:pPr>
      <w:r w:rsidRPr="00E446B7">
        <w:t>9.</w:t>
      </w:r>
      <w:r w:rsidRPr="00E446B7">
        <w:tab/>
        <w:t xml:space="preserve">sdílí názor, že doporučení pro jednotlivé země pro rok 2024 se musí zaměřit na konkrétní kritéria; zdůrazňuje, že rovněž musí sloužit k podpoře solidního hospodářského růstu podporujícího začlenění, posílení konkurenceschopnosti a makroekonomické stability, podpoře zelené a digitální transformace a zajištění sociální a mezigenerační spravedlnosti; bere na vědomí rozdíly mezi vnitrostátními prognózami růstu HDP, inflace, nezaměstnanosti, salda veřejných financí, hrubého veřejného dluhu a salda běžného účtu a konstatuje, že ukazují potřebu flexibilních přístupů založených na konkrétní realitě každého členského státu; v tomto ohledu vyzývá Komisi, aby doporučení pro jednotlivé země těsněji provázala s příslušnými zprávami o jednotlivých zemích; vyzývá k účinnému monitorování provádění doporučení pro jednotlivé země a příslušných reforem, jakož i pokroku při snižování zjištěných investičních mezer; </w:t>
      </w:r>
      <w:r w:rsidRPr="00E446B7">
        <w:lastRenderedPageBreak/>
        <w:t>zdůrazňuje, že doporučení pro jednotlivé země musí zohledňovat sociální zranitelnost a nezaměstnanost; bere na vědomí klesající počet sociálních doporučení pro jednotlivé země založených na srovnávacím přehledu sociálních ukazatelů;</w:t>
      </w:r>
    </w:p>
    <w:p w:rsidR="00DC650F" w:rsidRPr="00E446B7" w:rsidRDefault="00DC650F" w:rsidP="00B82D7E">
      <w:pPr>
        <w:pStyle w:val="NormalHanging12a"/>
      </w:pPr>
      <w:r w:rsidRPr="00E446B7">
        <w:t>10.</w:t>
      </w:r>
      <w:r w:rsidRPr="00E446B7">
        <w:tab/>
        <w:t xml:space="preserve">vítá flexibilitu při přizpůsobování Nástroje pro oživení a odolnost, např. v souvislosti s plánem </w:t>
      </w:r>
      <w:proofErr w:type="spellStart"/>
      <w:r w:rsidRPr="00E446B7">
        <w:t>REPowerEU</w:t>
      </w:r>
      <w:proofErr w:type="spellEnd"/>
      <w:r w:rsidRPr="00E446B7">
        <w:t>, na základě ponaučení vyvozeného z provádění nástroje; zdůrazňuje, že milníky a cíle uvedené v národních plánech obnovy by měly být v souladu s doporučeními pro jednotlivé země a že členské státy by se měly zabývat přinejmenším významnou podmnožinou doporučení pro jednotlivé země v rámci svých národních plánů pro oživení a odolnost; zdůrazňuje úspěch Nástroje pro oživení a odolnost; připomíná, že úspěch a účinnost finančních projektů bude měřena jejich dopadem na hospodářství a zaměstnanost, a vyzývá k rychlému, transparentnímu a účinnému provádění těchto projektů; v tomto ohledu podtrhuje, že dodržování nařízení o Nástroji pro oživení a odolnost a náležité provádění je zásadní pro důvěryhodnost Nástroje pro oživení a odolnost;</w:t>
      </w:r>
    </w:p>
    <w:p w:rsidR="00DC650F" w:rsidRPr="00E446B7" w:rsidRDefault="00DC650F" w:rsidP="00B82D7E">
      <w:pPr>
        <w:pStyle w:val="NormalHanging12a"/>
      </w:pPr>
      <w:r w:rsidRPr="00E446B7">
        <w:t>11.</w:t>
      </w:r>
      <w:r w:rsidRPr="00E446B7">
        <w:tab/>
        <w:t>bere na vědomí úlohu Nástroje pro oživení a odolnost při řešení globálních výzev vyplývajících z ekologické a digitální transformace hospodářství; zdůrazňuje, že reformy a investice v rámci plánů na podporu oživení a odolnosti musejí přispívat ke klimatickým cílům nařízení o Nástroji pro oživení a odolnost a plně dodržovat zásadu „významně nepoškozovat“; vyzývá členské státy, aby co nejvíce využily této příležitosti a použily Nástroj pro oživení a odolnost k transformaci svých ekonomik a ke zvýšení jejich konkurenceschopnosti; připomíná důležitost ověřování, že se finanční prostředky dostávají do reálné ekonomiky a k MSP a poukazuje na význam odpovědnosti a transparentnosti v případě subjektů, které jsou příjemci finančních prostředků EU;</w:t>
      </w:r>
    </w:p>
    <w:p w:rsidR="00DC650F" w:rsidRPr="00E446B7" w:rsidRDefault="00DC650F" w:rsidP="00B82D7E">
      <w:pPr>
        <w:pStyle w:val="NormalHanging12a"/>
      </w:pPr>
      <w:r w:rsidRPr="00E446B7">
        <w:t>12.</w:t>
      </w:r>
      <w:r w:rsidRPr="00E446B7">
        <w:tab/>
        <w:t>zdůrazňuje význam soukromých a veřejných investic v souvislosti s hospodářským oživením a při řízení souběžné transformace; připomíná, že Nástroj pro oživení a odolnost nenahrazuje zvláštní úlohu vnitrostátních veřejných investic; opakuje, že je třeba zajistit kvalitu, transparentnost a odpovědnost veřejných investic a vnitrostátních strategií v souladu s cíli souběžné transformace; zdůrazňuje, že tyto vnitrostátní strategie pro souběžnou transformaci by měly být doplněny Nástrojem pro oživení a odolnost a jinými evropskými investičními nástroji;</w:t>
      </w:r>
    </w:p>
    <w:p w:rsidR="00DC650F" w:rsidRPr="00E446B7" w:rsidRDefault="00DC650F" w:rsidP="00B82D7E">
      <w:pPr>
        <w:pStyle w:val="NormalHanging12a"/>
      </w:pPr>
      <w:r w:rsidRPr="00E446B7">
        <w:t>13.</w:t>
      </w:r>
      <w:r w:rsidRPr="00E446B7">
        <w:tab/>
        <w:t>podporuje sladění programů politiky soudržnosti EU s investičními potřebami zjištěnými na základě Nástroje pro oživení a odolnost a doporučení pro jednotlivé země; připomíná, že politika soudržnosti slouží širšímu souboru cílů než Nástroj pro oživení a odolnost a může doplňovat opatření dohodnutá v rámci Nástroje pro oživení a odolnost; vyzývá ke srovnatelnému začlenění zúčastněných stran, včetně sociálních partnerů, organizací občanské společnosti a podnikatelského sektoru, do návrhu a provádění národních plánů pro oživení a odolnost, stejně jako v případě programů politiky soudržnosti;</w:t>
      </w:r>
    </w:p>
    <w:p w:rsidR="00DC650F" w:rsidRPr="00E446B7" w:rsidRDefault="00DC650F" w:rsidP="00B82D7E">
      <w:pPr>
        <w:pStyle w:val="NormalHanging12a"/>
      </w:pPr>
      <w:r w:rsidRPr="00E446B7">
        <w:t>14.</w:t>
      </w:r>
      <w:r w:rsidRPr="00E446B7">
        <w:tab/>
        <w:t>zdůrazňuje, že koordinace mezi příslušnými orgány, mimo jiné i mezi vnitrostátními vládami a regionálními a místními orgány, je zásadní pro řízení Nástroje pro oživení a odolnost a pro překonání správních překážek a byrokracie;</w:t>
      </w:r>
    </w:p>
    <w:p w:rsidR="00DC650F" w:rsidRPr="00E446B7" w:rsidRDefault="00DC650F" w:rsidP="00B82D7E">
      <w:pPr>
        <w:pStyle w:val="NormalHanging12a"/>
      </w:pPr>
      <w:r w:rsidRPr="00E446B7">
        <w:t>15.</w:t>
      </w:r>
      <w:r w:rsidRPr="00E446B7">
        <w:tab/>
        <w:t xml:space="preserve">bere na vědomí prozatímní politickou dohodu uzavřenou </w:t>
      </w:r>
      <w:proofErr w:type="spellStart"/>
      <w:r w:rsidRPr="00E446B7">
        <w:t>spolunormotvůrci</w:t>
      </w:r>
      <w:proofErr w:type="spellEnd"/>
      <w:r w:rsidRPr="00E446B7">
        <w:t xml:space="preserve"> dne 10. února 2024 o reformě rámce správy ekonomických záležitostí EU, která má za cíl zajistit účinnou koordinaci hospodářských politik a udržitelnou konvergenci hospodářské a sociální výkonnosti členských států;</w:t>
      </w:r>
    </w:p>
    <w:p w:rsidR="00DC650F" w:rsidRPr="00E446B7" w:rsidRDefault="00DC650F" w:rsidP="00B82D7E">
      <w:pPr>
        <w:pStyle w:val="NormalHanging12a"/>
      </w:pPr>
      <w:r w:rsidRPr="00E446B7">
        <w:lastRenderedPageBreak/>
        <w:t>16.</w:t>
      </w:r>
      <w:r w:rsidRPr="00E446B7">
        <w:tab/>
        <w:t>vítá ponaučení vyvozené ze zvolených možností koncepce Nástroje pro oživení a odolnost; konstatuje, že reforma rámce správy ekonomických záležitostí nenabízí mechanismy pro finanční pobídky EU na podporu a prosazování vnitrostátních politických reforem a investic; zdůrazňuje, že stanovení nezbytné úrovně veřejných investic je zásadní pro dosažení hlavních cílů reformy rámce správy ekonomických záležitostí a pro řešení současných a budoucích priorit Unie; je znepokojen skutečností, že některé členské státy nebudou mít finanční kapacitu na to, aby samy financovaly spravedlivou zelenou a digitální transformaci;</w:t>
      </w:r>
    </w:p>
    <w:p w:rsidR="00DC650F" w:rsidRPr="00E446B7" w:rsidRDefault="00DC650F" w:rsidP="00B82D7E">
      <w:pPr>
        <w:pStyle w:val="NormalHanging12a"/>
      </w:pPr>
      <w:r w:rsidRPr="00E446B7">
        <w:t>17.</w:t>
      </w:r>
      <w:r w:rsidRPr="00E446B7">
        <w:tab/>
        <w:t>zdůrazňuje úlohu Evropského parlamentu v rámci správy ekonomických záležitostí EU a zasazuje se o větší zapojení Evropského parlamentu do evropského semestru při plném dodržování pravomocí stanovených ve Smlouvách; bere na vědomí dialog Komise s členskými státy o jejich individuálních fiskálně-strukturálních plánech; zdůrazňuje nutnost, aby se ke všem členským státům přistupovalo stejně; podtrhuje, že nárůst diskrečních pravomocí Komise v procesu přípravy střednědobých fiskálně-strukturálních plánů musí být doprovázen vyšší měrou dodržování pravidel pod dohledem Evropské fiskální rady, jakož i větší odpovědností a větším tokem informací směrem k Evropskému parlamentu; uznává, že hospodářský dialog, který je součástí evropského semestru, vytváří užitečný základ pro odpovědnost; domnívá se, že náležitá odpovědnost by vyžadovala, aby měl Evropský parlament nástroje, které mu umožní uplatnit důsledky na základě svého posouzení výkonnosti evropského semestru v souladu se Smlouvami;</w:t>
      </w:r>
    </w:p>
    <w:p w:rsidR="00B82D7E" w:rsidRDefault="00B82D7E" w:rsidP="00B82D7E">
      <w:pPr>
        <w:pStyle w:val="NormalHanging12a"/>
        <w:widowControl/>
        <w:jc w:val="center"/>
      </w:pPr>
      <w:r>
        <w:t>°</w:t>
      </w:r>
    </w:p>
    <w:p w:rsidR="00B82D7E" w:rsidRDefault="00B82D7E" w:rsidP="00B82D7E">
      <w:pPr>
        <w:pStyle w:val="NormalHanging12a"/>
        <w:widowControl/>
        <w:jc w:val="center"/>
      </w:pPr>
      <w:r>
        <w:t>°     °</w:t>
      </w:r>
    </w:p>
    <w:p w:rsidR="00DC650F" w:rsidRPr="00E446B7" w:rsidRDefault="00DC650F" w:rsidP="00B82D7E">
      <w:pPr>
        <w:spacing w:after="240"/>
        <w:ind w:left="567" w:hanging="567"/>
      </w:pPr>
      <w:r w:rsidRPr="00E446B7">
        <w:t>18.</w:t>
      </w:r>
      <w:r w:rsidRPr="00E446B7">
        <w:tab/>
        <w:t xml:space="preserve">pověřuje svou předsedkyni, aby předala toto usnesení Radě a Komisi. </w:t>
      </w:r>
    </w:p>
    <w:p w:rsidR="00DC650F" w:rsidRPr="00E446B7" w:rsidRDefault="00DC650F" w:rsidP="00DC650F"/>
    <w:sectPr w:rsidR="00DC650F" w:rsidRPr="00E446B7" w:rsidSect="00E446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1C7D" w:rsidRPr="00E446B7" w:rsidRDefault="00741C7D">
      <w:r w:rsidRPr="00E446B7">
        <w:separator/>
      </w:r>
    </w:p>
  </w:endnote>
  <w:endnote w:type="continuationSeparator" w:id="0">
    <w:p w:rsidR="00741C7D" w:rsidRPr="00E446B7" w:rsidRDefault="00741C7D">
      <w:r w:rsidRPr="00E446B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46B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46B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46B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1C7D" w:rsidRPr="00E446B7" w:rsidRDefault="00741C7D">
      <w:r w:rsidRPr="00E446B7">
        <w:separator/>
      </w:r>
    </w:p>
  </w:footnote>
  <w:footnote w:type="continuationSeparator" w:id="0">
    <w:p w:rsidR="00741C7D" w:rsidRPr="00E446B7" w:rsidRDefault="00741C7D">
      <w:r w:rsidRPr="00E446B7">
        <w:continuationSeparator/>
      </w:r>
    </w:p>
  </w:footnote>
  <w:footnote w:id="1">
    <w:p w:rsidR="00DC650F" w:rsidRPr="00E446B7" w:rsidRDefault="00DC650F" w:rsidP="00E446B7">
      <w:pPr>
        <w:pStyle w:val="FootnoteText"/>
        <w:ind w:left="567" w:hanging="567"/>
        <w:rPr>
          <w:sz w:val="24"/>
          <w:lang w:val="cs-CZ"/>
        </w:rPr>
      </w:pPr>
      <w:r w:rsidRPr="00E446B7">
        <w:rPr>
          <w:rStyle w:val="FootnoteReference"/>
          <w:sz w:val="24"/>
          <w:lang w:val="cs-CZ"/>
        </w:rPr>
        <w:footnoteRef/>
      </w:r>
      <w:r w:rsidR="00E446B7" w:rsidRPr="00E446B7">
        <w:rPr>
          <w:sz w:val="24"/>
          <w:lang w:val="cs-CZ"/>
        </w:rPr>
        <w:t xml:space="preserve"> </w:t>
      </w:r>
      <w:r w:rsidR="00E446B7" w:rsidRPr="00E446B7">
        <w:rPr>
          <w:sz w:val="24"/>
          <w:lang w:val="cs-CZ"/>
        </w:rPr>
        <w:tab/>
      </w:r>
      <w:proofErr w:type="spellStart"/>
      <w:r w:rsidRPr="00E446B7">
        <w:rPr>
          <w:sz w:val="24"/>
          <w:lang w:val="cs-CZ"/>
        </w:rPr>
        <w:t>Úř</w:t>
      </w:r>
      <w:proofErr w:type="spellEnd"/>
      <w:r w:rsidRPr="00E446B7">
        <w:rPr>
          <w:sz w:val="24"/>
          <w:lang w:val="cs-CZ"/>
        </w:rPr>
        <w:t xml:space="preserve">. </w:t>
      </w:r>
      <w:proofErr w:type="spellStart"/>
      <w:proofErr w:type="gramStart"/>
      <w:r w:rsidRPr="00E446B7">
        <w:rPr>
          <w:sz w:val="24"/>
          <w:lang w:val="cs-CZ"/>
        </w:rPr>
        <w:t>věst</w:t>
      </w:r>
      <w:proofErr w:type="spellEnd"/>
      <w:proofErr w:type="gramEnd"/>
      <w:r w:rsidRPr="00E446B7">
        <w:rPr>
          <w:sz w:val="24"/>
          <w:lang w:val="cs-CZ"/>
        </w:rPr>
        <w:t xml:space="preserve">. L 306, </w:t>
      </w:r>
      <w:proofErr w:type="gramStart"/>
      <w:r w:rsidRPr="00E446B7">
        <w:rPr>
          <w:sz w:val="24"/>
          <w:lang w:val="cs-CZ"/>
        </w:rPr>
        <w:t>23.11.2011</w:t>
      </w:r>
      <w:proofErr w:type="gramEnd"/>
      <w:r w:rsidRPr="00E446B7">
        <w:rPr>
          <w:sz w:val="24"/>
          <w:lang w:val="cs-CZ"/>
        </w:rPr>
        <w:t>, s. 41.</w:t>
      </w:r>
    </w:p>
  </w:footnote>
  <w:footnote w:id="2">
    <w:p w:rsidR="00DC650F" w:rsidRPr="00E446B7" w:rsidRDefault="00DC650F" w:rsidP="00E446B7">
      <w:pPr>
        <w:pStyle w:val="FootnoteText"/>
        <w:ind w:left="567" w:hanging="567"/>
        <w:rPr>
          <w:sz w:val="24"/>
          <w:lang w:val="cs-CZ"/>
        </w:rPr>
      </w:pPr>
      <w:r w:rsidRPr="00E446B7">
        <w:rPr>
          <w:rStyle w:val="FootnoteReference"/>
          <w:sz w:val="24"/>
          <w:lang w:val="cs-CZ"/>
        </w:rPr>
        <w:footnoteRef/>
      </w:r>
      <w:r w:rsidR="00E446B7" w:rsidRPr="00E446B7">
        <w:rPr>
          <w:sz w:val="24"/>
          <w:lang w:val="cs-CZ"/>
        </w:rPr>
        <w:t xml:space="preserve"> </w:t>
      </w:r>
      <w:r w:rsidR="00E446B7" w:rsidRPr="00E446B7">
        <w:rPr>
          <w:sz w:val="24"/>
          <w:lang w:val="cs-CZ"/>
        </w:rPr>
        <w:tab/>
      </w:r>
      <w:proofErr w:type="spellStart"/>
      <w:r w:rsidRPr="00E446B7">
        <w:rPr>
          <w:sz w:val="24"/>
          <w:lang w:val="cs-CZ"/>
        </w:rPr>
        <w:t>Úř</w:t>
      </w:r>
      <w:proofErr w:type="spellEnd"/>
      <w:r w:rsidRPr="00E446B7">
        <w:rPr>
          <w:sz w:val="24"/>
          <w:lang w:val="cs-CZ"/>
        </w:rPr>
        <w:t xml:space="preserve">. </w:t>
      </w:r>
      <w:proofErr w:type="spellStart"/>
      <w:proofErr w:type="gramStart"/>
      <w:r w:rsidRPr="00E446B7">
        <w:rPr>
          <w:sz w:val="24"/>
          <w:lang w:val="cs-CZ"/>
        </w:rPr>
        <w:t>věst</w:t>
      </w:r>
      <w:proofErr w:type="spellEnd"/>
      <w:proofErr w:type="gramEnd"/>
      <w:r w:rsidRPr="00E446B7">
        <w:rPr>
          <w:sz w:val="24"/>
          <w:lang w:val="cs-CZ"/>
        </w:rPr>
        <w:t xml:space="preserve">. L 306, </w:t>
      </w:r>
      <w:proofErr w:type="gramStart"/>
      <w:r w:rsidRPr="00E446B7">
        <w:rPr>
          <w:sz w:val="24"/>
          <w:lang w:val="cs-CZ"/>
        </w:rPr>
        <w:t>23.11.2011</w:t>
      </w:r>
      <w:proofErr w:type="gramEnd"/>
      <w:r w:rsidRPr="00E446B7">
        <w:rPr>
          <w:sz w:val="24"/>
          <w:lang w:val="cs-CZ"/>
        </w:rPr>
        <w:t>, s. 33.</w:t>
      </w:r>
    </w:p>
  </w:footnote>
  <w:footnote w:id="3">
    <w:p w:rsidR="00DC650F" w:rsidRPr="00E446B7" w:rsidRDefault="00DC650F" w:rsidP="00E446B7">
      <w:pPr>
        <w:pStyle w:val="FootnoteText"/>
        <w:ind w:left="567" w:hanging="567"/>
        <w:rPr>
          <w:sz w:val="24"/>
          <w:lang w:val="cs-CZ"/>
        </w:rPr>
      </w:pPr>
      <w:r w:rsidRPr="00E446B7">
        <w:rPr>
          <w:rStyle w:val="FootnoteReference"/>
          <w:sz w:val="24"/>
          <w:lang w:val="cs-CZ"/>
        </w:rPr>
        <w:footnoteRef/>
      </w:r>
      <w:r w:rsidR="00E446B7" w:rsidRPr="00E446B7">
        <w:rPr>
          <w:sz w:val="24"/>
          <w:lang w:val="cs-CZ"/>
        </w:rPr>
        <w:t xml:space="preserve"> </w:t>
      </w:r>
      <w:r w:rsidR="00E446B7" w:rsidRPr="00E446B7">
        <w:rPr>
          <w:sz w:val="24"/>
          <w:lang w:val="cs-CZ"/>
        </w:rPr>
        <w:tab/>
      </w:r>
      <w:proofErr w:type="spellStart"/>
      <w:r w:rsidRPr="00E446B7">
        <w:rPr>
          <w:sz w:val="24"/>
          <w:lang w:val="cs-CZ"/>
        </w:rPr>
        <w:t>Úř</w:t>
      </w:r>
      <w:proofErr w:type="spellEnd"/>
      <w:r w:rsidRPr="00E446B7">
        <w:rPr>
          <w:sz w:val="24"/>
          <w:lang w:val="cs-CZ"/>
        </w:rPr>
        <w:t xml:space="preserve">. </w:t>
      </w:r>
      <w:proofErr w:type="spellStart"/>
      <w:proofErr w:type="gramStart"/>
      <w:r w:rsidRPr="00E446B7">
        <w:rPr>
          <w:sz w:val="24"/>
          <w:lang w:val="cs-CZ"/>
        </w:rPr>
        <w:t>věst</w:t>
      </w:r>
      <w:proofErr w:type="spellEnd"/>
      <w:proofErr w:type="gramEnd"/>
      <w:r w:rsidRPr="00E446B7">
        <w:rPr>
          <w:sz w:val="24"/>
          <w:lang w:val="cs-CZ"/>
        </w:rPr>
        <w:t xml:space="preserve">. L 306, </w:t>
      </w:r>
      <w:proofErr w:type="gramStart"/>
      <w:r w:rsidRPr="00E446B7">
        <w:rPr>
          <w:sz w:val="24"/>
          <w:lang w:val="cs-CZ"/>
        </w:rPr>
        <w:t>23.11.2011</w:t>
      </w:r>
      <w:proofErr w:type="gramEnd"/>
      <w:r w:rsidRPr="00E446B7">
        <w:rPr>
          <w:sz w:val="24"/>
          <w:lang w:val="cs-CZ"/>
        </w:rPr>
        <w:t>, s. 1.</w:t>
      </w:r>
    </w:p>
  </w:footnote>
  <w:footnote w:id="4">
    <w:p w:rsidR="00DC650F" w:rsidRPr="00E446B7" w:rsidRDefault="00DC650F" w:rsidP="00E446B7">
      <w:pPr>
        <w:pStyle w:val="FootnoteText"/>
        <w:ind w:left="567" w:hanging="567"/>
        <w:rPr>
          <w:sz w:val="24"/>
          <w:lang w:val="cs-CZ"/>
        </w:rPr>
      </w:pPr>
      <w:r w:rsidRPr="00E446B7">
        <w:rPr>
          <w:rStyle w:val="FootnoteReference"/>
          <w:sz w:val="24"/>
          <w:lang w:val="cs-CZ"/>
        </w:rPr>
        <w:footnoteRef/>
      </w:r>
      <w:r w:rsidR="00E446B7" w:rsidRPr="00E446B7">
        <w:rPr>
          <w:sz w:val="24"/>
          <w:lang w:val="cs-CZ"/>
        </w:rPr>
        <w:t xml:space="preserve"> </w:t>
      </w:r>
      <w:r w:rsidR="00E446B7" w:rsidRPr="00E446B7">
        <w:rPr>
          <w:sz w:val="24"/>
          <w:lang w:val="cs-CZ"/>
        </w:rPr>
        <w:tab/>
      </w:r>
      <w:proofErr w:type="spellStart"/>
      <w:r w:rsidRPr="00E446B7">
        <w:rPr>
          <w:sz w:val="24"/>
          <w:lang w:val="cs-CZ"/>
        </w:rPr>
        <w:t>Úř</w:t>
      </w:r>
      <w:proofErr w:type="spellEnd"/>
      <w:r w:rsidRPr="00E446B7">
        <w:rPr>
          <w:sz w:val="24"/>
          <w:lang w:val="cs-CZ"/>
        </w:rPr>
        <w:t xml:space="preserve">. </w:t>
      </w:r>
      <w:proofErr w:type="spellStart"/>
      <w:proofErr w:type="gramStart"/>
      <w:r w:rsidRPr="00E446B7">
        <w:rPr>
          <w:sz w:val="24"/>
          <w:lang w:val="cs-CZ"/>
        </w:rPr>
        <w:t>věst</w:t>
      </w:r>
      <w:proofErr w:type="spellEnd"/>
      <w:proofErr w:type="gramEnd"/>
      <w:r w:rsidRPr="00E446B7">
        <w:rPr>
          <w:sz w:val="24"/>
          <w:lang w:val="cs-CZ"/>
        </w:rPr>
        <w:t xml:space="preserve">. L 306, </w:t>
      </w:r>
      <w:proofErr w:type="gramStart"/>
      <w:r w:rsidRPr="00E446B7">
        <w:rPr>
          <w:sz w:val="24"/>
          <w:lang w:val="cs-CZ"/>
        </w:rPr>
        <w:t>23.11.2011</w:t>
      </w:r>
      <w:proofErr w:type="gramEnd"/>
      <w:r w:rsidRPr="00E446B7">
        <w:rPr>
          <w:sz w:val="24"/>
          <w:lang w:val="cs-CZ"/>
        </w:rPr>
        <w:t>, s. 8.</w:t>
      </w:r>
    </w:p>
  </w:footnote>
  <w:footnote w:id="5">
    <w:p w:rsidR="00DC650F" w:rsidRPr="00E446B7" w:rsidRDefault="00DC650F" w:rsidP="00E446B7">
      <w:pPr>
        <w:pStyle w:val="FootnoteText"/>
        <w:ind w:left="567" w:hanging="567"/>
        <w:rPr>
          <w:sz w:val="24"/>
          <w:lang w:val="cs-CZ"/>
        </w:rPr>
      </w:pPr>
      <w:r w:rsidRPr="00E446B7">
        <w:rPr>
          <w:rStyle w:val="FootnoteReference"/>
          <w:sz w:val="24"/>
          <w:lang w:val="cs-CZ"/>
        </w:rPr>
        <w:footnoteRef/>
      </w:r>
      <w:r w:rsidR="00E446B7" w:rsidRPr="00E446B7">
        <w:rPr>
          <w:sz w:val="24"/>
          <w:lang w:val="cs-CZ"/>
        </w:rPr>
        <w:t xml:space="preserve"> </w:t>
      </w:r>
      <w:r w:rsidR="00E446B7" w:rsidRPr="00E446B7">
        <w:rPr>
          <w:sz w:val="24"/>
          <w:lang w:val="cs-CZ"/>
        </w:rPr>
        <w:tab/>
      </w:r>
      <w:proofErr w:type="spellStart"/>
      <w:r w:rsidRPr="00E446B7">
        <w:rPr>
          <w:sz w:val="24"/>
          <w:lang w:val="cs-CZ"/>
        </w:rPr>
        <w:t>Úř</w:t>
      </w:r>
      <w:proofErr w:type="spellEnd"/>
      <w:r w:rsidRPr="00E446B7">
        <w:rPr>
          <w:sz w:val="24"/>
          <w:lang w:val="cs-CZ"/>
        </w:rPr>
        <w:t xml:space="preserve">. </w:t>
      </w:r>
      <w:proofErr w:type="spellStart"/>
      <w:proofErr w:type="gramStart"/>
      <w:r w:rsidRPr="00E446B7">
        <w:rPr>
          <w:sz w:val="24"/>
          <w:lang w:val="cs-CZ"/>
        </w:rPr>
        <w:t>věst</w:t>
      </w:r>
      <w:proofErr w:type="spellEnd"/>
      <w:proofErr w:type="gramEnd"/>
      <w:r w:rsidRPr="00E446B7">
        <w:rPr>
          <w:sz w:val="24"/>
          <w:lang w:val="cs-CZ"/>
        </w:rPr>
        <w:t xml:space="preserve">. L 306, </w:t>
      </w:r>
      <w:proofErr w:type="gramStart"/>
      <w:r w:rsidRPr="00E446B7">
        <w:rPr>
          <w:sz w:val="24"/>
          <w:lang w:val="cs-CZ"/>
        </w:rPr>
        <w:t>23.11.2011</w:t>
      </w:r>
      <w:proofErr w:type="gramEnd"/>
      <w:r w:rsidRPr="00E446B7">
        <w:rPr>
          <w:sz w:val="24"/>
          <w:lang w:val="cs-CZ"/>
        </w:rPr>
        <w:t>, s. 12.</w:t>
      </w:r>
    </w:p>
  </w:footnote>
  <w:footnote w:id="6">
    <w:p w:rsidR="00DC650F" w:rsidRPr="00E446B7" w:rsidRDefault="00DC650F" w:rsidP="00E446B7">
      <w:pPr>
        <w:pStyle w:val="FootnoteText"/>
        <w:ind w:left="567" w:hanging="567"/>
        <w:rPr>
          <w:sz w:val="24"/>
          <w:lang w:val="cs-CZ"/>
        </w:rPr>
      </w:pPr>
      <w:r w:rsidRPr="00E446B7">
        <w:rPr>
          <w:rStyle w:val="FootnoteReference"/>
          <w:sz w:val="24"/>
          <w:lang w:val="cs-CZ"/>
        </w:rPr>
        <w:footnoteRef/>
      </w:r>
      <w:r w:rsidR="00E446B7" w:rsidRPr="00E446B7">
        <w:rPr>
          <w:sz w:val="24"/>
          <w:lang w:val="cs-CZ"/>
        </w:rPr>
        <w:t xml:space="preserve"> </w:t>
      </w:r>
      <w:r w:rsidR="00E446B7" w:rsidRPr="00E446B7">
        <w:rPr>
          <w:sz w:val="24"/>
          <w:lang w:val="cs-CZ"/>
        </w:rPr>
        <w:tab/>
      </w:r>
      <w:proofErr w:type="spellStart"/>
      <w:r w:rsidRPr="00E446B7">
        <w:rPr>
          <w:sz w:val="24"/>
          <w:lang w:val="cs-CZ"/>
        </w:rPr>
        <w:t>Úř</w:t>
      </w:r>
      <w:proofErr w:type="spellEnd"/>
      <w:r w:rsidRPr="00E446B7">
        <w:rPr>
          <w:sz w:val="24"/>
          <w:lang w:val="cs-CZ"/>
        </w:rPr>
        <w:t xml:space="preserve">. </w:t>
      </w:r>
      <w:proofErr w:type="spellStart"/>
      <w:proofErr w:type="gramStart"/>
      <w:r w:rsidRPr="00E446B7">
        <w:rPr>
          <w:sz w:val="24"/>
          <w:lang w:val="cs-CZ"/>
        </w:rPr>
        <w:t>věst</w:t>
      </w:r>
      <w:proofErr w:type="spellEnd"/>
      <w:proofErr w:type="gramEnd"/>
      <w:r w:rsidRPr="00E446B7">
        <w:rPr>
          <w:sz w:val="24"/>
          <w:lang w:val="cs-CZ"/>
        </w:rPr>
        <w:t xml:space="preserve">. L 306, </w:t>
      </w:r>
      <w:proofErr w:type="gramStart"/>
      <w:r w:rsidRPr="00E446B7">
        <w:rPr>
          <w:sz w:val="24"/>
          <w:lang w:val="cs-CZ"/>
        </w:rPr>
        <w:t>23.11.2011</w:t>
      </w:r>
      <w:proofErr w:type="gramEnd"/>
      <w:r w:rsidRPr="00E446B7">
        <w:rPr>
          <w:sz w:val="24"/>
          <w:lang w:val="cs-CZ"/>
        </w:rPr>
        <w:t>, s. 25.</w:t>
      </w:r>
    </w:p>
  </w:footnote>
  <w:footnote w:id="7">
    <w:p w:rsidR="00DC650F" w:rsidRPr="00E446B7" w:rsidRDefault="00DC650F" w:rsidP="00E446B7">
      <w:pPr>
        <w:pStyle w:val="FootnoteText"/>
        <w:ind w:left="567" w:hanging="567"/>
        <w:rPr>
          <w:sz w:val="24"/>
          <w:lang w:val="cs-CZ"/>
        </w:rPr>
      </w:pPr>
      <w:r w:rsidRPr="00E446B7">
        <w:rPr>
          <w:rStyle w:val="FootnoteReference"/>
          <w:sz w:val="24"/>
          <w:lang w:val="cs-CZ"/>
        </w:rPr>
        <w:footnoteRef/>
      </w:r>
      <w:r w:rsidR="00E446B7" w:rsidRPr="00E446B7">
        <w:rPr>
          <w:sz w:val="24"/>
          <w:lang w:val="cs-CZ"/>
        </w:rPr>
        <w:t xml:space="preserve"> </w:t>
      </w:r>
      <w:r w:rsidR="00E446B7" w:rsidRPr="00E446B7">
        <w:rPr>
          <w:sz w:val="24"/>
          <w:lang w:val="cs-CZ"/>
        </w:rPr>
        <w:tab/>
      </w:r>
      <w:proofErr w:type="spellStart"/>
      <w:r w:rsidRPr="00E446B7">
        <w:rPr>
          <w:sz w:val="24"/>
          <w:lang w:val="cs-CZ"/>
        </w:rPr>
        <w:t>Úř</w:t>
      </w:r>
      <w:proofErr w:type="spellEnd"/>
      <w:r w:rsidRPr="00E446B7">
        <w:rPr>
          <w:sz w:val="24"/>
          <w:lang w:val="cs-CZ"/>
        </w:rPr>
        <w:t xml:space="preserve">. </w:t>
      </w:r>
      <w:proofErr w:type="spellStart"/>
      <w:proofErr w:type="gramStart"/>
      <w:r w:rsidRPr="00E446B7">
        <w:rPr>
          <w:sz w:val="24"/>
          <w:lang w:val="cs-CZ"/>
        </w:rPr>
        <w:t>věst</w:t>
      </w:r>
      <w:proofErr w:type="spellEnd"/>
      <w:proofErr w:type="gramEnd"/>
      <w:r w:rsidRPr="00E446B7">
        <w:rPr>
          <w:sz w:val="24"/>
          <w:lang w:val="cs-CZ"/>
        </w:rPr>
        <w:t xml:space="preserve">. L 140, </w:t>
      </w:r>
      <w:proofErr w:type="gramStart"/>
      <w:r w:rsidRPr="00E446B7">
        <w:rPr>
          <w:sz w:val="24"/>
          <w:lang w:val="cs-CZ"/>
        </w:rPr>
        <w:t>27.5.2013</w:t>
      </w:r>
      <w:proofErr w:type="gramEnd"/>
      <w:r w:rsidRPr="00E446B7">
        <w:rPr>
          <w:sz w:val="24"/>
          <w:lang w:val="cs-CZ"/>
        </w:rPr>
        <w:t>, s. 1.</w:t>
      </w:r>
    </w:p>
  </w:footnote>
  <w:footnote w:id="8">
    <w:p w:rsidR="00DC650F" w:rsidRPr="00E446B7" w:rsidRDefault="00DC650F" w:rsidP="00E446B7">
      <w:pPr>
        <w:pStyle w:val="FootnoteText"/>
        <w:ind w:left="567" w:hanging="567"/>
        <w:rPr>
          <w:sz w:val="24"/>
          <w:lang w:val="cs-CZ"/>
        </w:rPr>
      </w:pPr>
      <w:r w:rsidRPr="00E446B7">
        <w:rPr>
          <w:rStyle w:val="FootnoteReference"/>
          <w:sz w:val="24"/>
          <w:lang w:val="cs-CZ"/>
        </w:rPr>
        <w:footnoteRef/>
      </w:r>
      <w:r w:rsidR="00E446B7" w:rsidRPr="00E446B7">
        <w:rPr>
          <w:sz w:val="24"/>
          <w:lang w:val="cs-CZ"/>
        </w:rPr>
        <w:t xml:space="preserve"> </w:t>
      </w:r>
      <w:r w:rsidR="00E446B7" w:rsidRPr="00E446B7">
        <w:rPr>
          <w:sz w:val="24"/>
          <w:lang w:val="cs-CZ"/>
        </w:rPr>
        <w:tab/>
      </w:r>
      <w:proofErr w:type="spellStart"/>
      <w:r w:rsidRPr="00E446B7">
        <w:rPr>
          <w:sz w:val="24"/>
          <w:lang w:val="cs-CZ"/>
        </w:rPr>
        <w:t>Úř</w:t>
      </w:r>
      <w:proofErr w:type="spellEnd"/>
      <w:r w:rsidRPr="00E446B7">
        <w:rPr>
          <w:sz w:val="24"/>
          <w:lang w:val="cs-CZ"/>
        </w:rPr>
        <w:t xml:space="preserve">. </w:t>
      </w:r>
      <w:proofErr w:type="spellStart"/>
      <w:proofErr w:type="gramStart"/>
      <w:r w:rsidRPr="00E446B7">
        <w:rPr>
          <w:sz w:val="24"/>
          <w:lang w:val="cs-CZ"/>
        </w:rPr>
        <w:t>věst</w:t>
      </w:r>
      <w:proofErr w:type="spellEnd"/>
      <w:proofErr w:type="gramEnd"/>
      <w:r w:rsidRPr="00E446B7">
        <w:rPr>
          <w:sz w:val="24"/>
          <w:lang w:val="cs-CZ"/>
        </w:rPr>
        <w:t xml:space="preserve">. L 140, </w:t>
      </w:r>
      <w:proofErr w:type="gramStart"/>
      <w:r w:rsidRPr="00E446B7">
        <w:rPr>
          <w:sz w:val="24"/>
          <w:lang w:val="cs-CZ"/>
        </w:rPr>
        <w:t>27.5.2013</w:t>
      </w:r>
      <w:proofErr w:type="gramEnd"/>
      <w:r w:rsidRPr="00E446B7">
        <w:rPr>
          <w:sz w:val="24"/>
          <w:lang w:val="cs-CZ"/>
        </w:rPr>
        <w:t>, s. 11.</w:t>
      </w:r>
    </w:p>
  </w:footnote>
  <w:footnote w:id="9">
    <w:p w:rsidR="00DC650F" w:rsidRPr="00E446B7" w:rsidRDefault="00DC650F" w:rsidP="00E446B7">
      <w:pPr>
        <w:pStyle w:val="FootnoteText"/>
        <w:ind w:left="567" w:hanging="567"/>
        <w:rPr>
          <w:sz w:val="24"/>
          <w:lang w:val="cs-CZ"/>
        </w:rPr>
      </w:pPr>
      <w:r w:rsidRPr="00E446B7">
        <w:rPr>
          <w:rStyle w:val="FootnoteReference"/>
          <w:sz w:val="24"/>
          <w:lang w:val="cs-CZ"/>
        </w:rPr>
        <w:footnoteRef/>
      </w:r>
      <w:r w:rsidR="00E446B7" w:rsidRPr="00E446B7">
        <w:rPr>
          <w:sz w:val="24"/>
          <w:lang w:val="cs-CZ"/>
        </w:rPr>
        <w:t xml:space="preserve"> </w:t>
      </w:r>
      <w:r w:rsidR="00E446B7" w:rsidRPr="00E446B7">
        <w:rPr>
          <w:sz w:val="24"/>
          <w:lang w:val="cs-CZ"/>
        </w:rPr>
        <w:tab/>
      </w:r>
      <w:proofErr w:type="spellStart"/>
      <w:r w:rsidRPr="00E446B7">
        <w:rPr>
          <w:sz w:val="24"/>
          <w:lang w:val="cs-CZ"/>
        </w:rPr>
        <w:t>Úř</w:t>
      </w:r>
      <w:proofErr w:type="spellEnd"/>
      <w:r w:rsidRPr="00E446B7">
        <w:rPr>
          <w:sz w:val="24"/>
          <w:lang w:val="cs-CZ"/>
        </w:rPr>
        <w:t xml:space="preserve">. </w:t>
      </w:r>
      <w:proofErr w:type="spellStart"/>
      <w:proofErr w:type="gramStart"/>
      <w:r w:rsidRPr="00E446B7">
        <w:rPr>
          <w:sz w:val="24"/>
          <w:lang w:val="cs-CZ"/>
        </w:rPr>
        <w:t>věst</w:t>
      </w:r>
      <w:proofErr w:type="spellEnd"/>
      <w:proofErr w:type="gramEnd"/>
      <w:r w:rsidRPr="00E446B7">
        <w:rPr>
          <w:sz w:val="24"/>
          <w:lang w:val="cs-CZ"/>
        </w:rPr>
        <w:t xml:space="preserve">. L 57, </w:t>
      </w:r>
      <w:proofErr w:type="gramStart"/>
      <w:r w:rsidRPr="00E446B7">
        <w:rPr>
          <w:sz w:val="24"/>
          <w:lang w:val="cs-CZ"/>
        </w:rPr>
        <w:t>18.2.2021</w:t>
      </w:r>
      <w:proofErr w:type="gramEnd"/>
      <w:r w:rsidRPr="00E446B7">
        <w:rPr>
          <w:sz w:val="24"/>
          <w:lang w:val="cs-CZ"/>
        </w:rPr>
        <w:t>, s. 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46B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46B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46B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63/2024"/>
    <w:docVar w:name="dvlangue" w:val="CS"/>
    <w:docVar w:name="dvnumam" w:val="0"/>
    <w:docVar w:name="dvpe" w:val="757.014"/>
    <w:docVar w:name="dvrapporteur" w:val="Zpravodaj: "/>
    <w:docVar w:name="dvtitre" w:val="Usnesení Evropského parlamentu ze dne 13. března 2024 o evropském semestru pro koordinaci hospodářské politiky na rok 2024(2023/2063(INI))"/>
  </w:docVars>
  <w:rsids>
    <w:rsidRoot w:val="00741C7D"/>
    <w:rsid w:val="00002272"/>
    <w:rsid w:val="00064002"/>
    <w:rsid w:val="000677B9"/>
    <w:rsid w:val="000831BA"/>
    <w:rsid w:val="000A42CC"/>
    <w:rsid w:val="000E7DD9"/>
    <w:rsid w:val="0010095E"/>
    <w:rsid w:val="00122FC9"/>
    <w:rsid w:val="00125B37"/>
    <w:rsid w:val="00170AA6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3FBB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1C7D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2D7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650F"/>
    <w:rsid w:val="00E365E1"/>
    <w:rsid w:val="00E446B7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267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132BF7"/>
  <w15:chartTrackingRefBased/>
  <w15:docId w15:val="{9C778736-41C9-40E6-A07B-793CB7AA7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C650F"/>
    <w:pPr>
      <w:spacing w:after="240"/>
      <w:ind w:left="567" w:hanging="567"/>
    </w:pPr>
  </w:style>
  <w:style w:type="paragraph" w:customStyle="1" w:styleId="EPComma">
    <w:name w:val="EPComma"/>
    <w:basedOn w:val="Normal"/>
    <w:rsid w:val="00DC650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DC650F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678E02-CB8A-44C8-8623-E1ACBD277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3220</Words>
  <Characters>18662</Characters>
  <Application>Microsoft Office Word</Application>
  <DocSecurity>0</DocSecurity>
  <Lines>518</Lines>
  <Paragraphs>266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SMAKALOVA Sona</cp:lastModifiedBy>
  <cp:revision>2</cp:revision>
  <cp:lastPrinted>2004-11-19T15:42:00Z</cp:lastPrinted>
  <dcterms:created xsi:type="dcterms:W3CDTF">2024-04-22T09:31:00Z</dcterms:created>
  <dcterms:modified xsi:type="dcterms:W3CDTF">2024-04-22T09:31:00Z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A9-0063/2024</vt:lpwstr>
  </property>
  <property fmtid="{D5CDD505-2E9C-101B-9397-08002B2CF9AE}" pid="4" name="&lt;Type&gt;">
    <vt:lpwstr>RR</vt:lpwstr>
  </property>
</Properties>
</file>