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849B7" w:rsidTr="0010095E">
        <w:trPr>
          <w:trHeight w:hRule="exact" w:val="1418"/>
        </w:trPr>
        <w:tc>
          <w:tcPr>
            <w:tcW w:w="6804" w:type="dxa"/>
            <w:shd w:val="clear" w:color="auto" w:fill="auto"/>
            <w:vAlign w:val="center"/>
          </w:tcPr>
          <w:p w:rsidR="00751A4A" w:rsidRPr="007849B7" w:rsidRDefault="00EC1C2A" w:rsidP="0010095E">
            <w:pPr>
              <w:pStyle w:val="EPName"/>
            </w:pPr>
            <w:r w:rsidRPr="007849B7">
              <w:t>Europa-Parlamentet</w:t>
            </w:r>
          </w:p>
          <w:p w:rsidR="00751A4A" w:rsidRPr="007849B7" w:rsidRDefault="00817416" w:rsidP="00756632">
            <w:pPr>
              <w:pStyle w:val="EPTerm"/>
              <w:rPr>
                <w:rStyle w:val="HideTWBExt"/>
                <w:noProof w:val="0"/>
                <w:vanish w:val="0"/>
                <w:color w:val="auto"/>
              </w:rPr>
            </w:pPr>
            <w:r w:rsidRPr="007849B7">
              <w:t>2019-2024</w:t>
            </w:r>
          </w:p>
        </w:tc>
        <w:tc>
          <w:tcPr>
            <w:tcW w:w="2268" w:type="dxa"/>
            <w:shd w:val="clear" w:color="auto" w:fill="auto"/>
          </w:tcPr>
          <w:p w:rsidR="00751A4A" w:rsidRPr="007849B7" w:rsidRDefault="00187494" w:rsidP="0010095E">
            <w:pPr>
              <w:pStyle w:val="EPLogo"/>
            </w:pPr>
            <w:r w:rsidRPr="007849B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849B7" w:rsidRDefault="00D058B8" w:rsidP="004C5D52">
      <w:pPr>
        <w:pStyle w:val="LineTop"/>
      </w:pPr>
    </w:p>
    <w:p w:rsidR="00680577" w:rsidRPr="007849B7" w:rsidRDefault="00EC1C2A" w:rsidP="00680577">
      <w:pPr>
        <w:pStyle w:val="EPBodyTA1"/>
      </w:pPr>
      <w:r w:rsidRPr="007849B7">
        <w:t>VEDTAGNE TEKSTER</w:t>
      </w:r>
    </w:p>
    <w:p w:rsidR="00D058B8" w:rsidRPr="007849B7" w:rsidRDefault="00D058B8" w:rsidP="00D058B8">
      <w:pPr>
        <w:pStyle w:val="LineBottom"/>
      </w:pPr>
    </w:p>
    <w:p w:rsidR="00EC1C2A" w:rsidRPr="007849B7" w:rsidRDefault="00EC1C2A" w:rsidP="00EC1C2A">
      <w:pPr>
        <w:pStyle w:val="ATHeading1"/>
      </w:pPr>
      <w:bookmarkStart w:id="0" w:name="TANumber"/>
      <w:r w:rsidRPr="007849B7">
        <w:t>P9_TA(2024)0</w:t>
      </w:r>
      <w:r w:rsidR="007A6B97">
        <w:t>156</w:t>
      </w:r>
      <w:bookmarkEnd w:id="0"/>
    </w:p>
    <w:p w:rsidR="00EC1C2A" w:rsidRPr="007849B7" w:rsidRDefault="00EC1C2A" w:rsidP="00EC1C2A">
      <w:pPr>
        <w:pStyle w:val="ATHeading2"/>
      </w:pPr>
      <w:bookmarkStart w:id="1" w:name="title"/>
      <w:r w:rsidRPr="007849B7">
        <w:t>Europæisk semester for samordning af de økonomiske politikker 2024</w:t>
      </w:r>
      <w:bookmarkEnd w:id="1"/>
    </w:p>
    <w:p w:rsidR="00EC1C2A" w:rsidRPr="007849B7" w:rsidRDefault="00EC1C2A" w:rsidP="00EC1C2A">
      <w:pPr>
        <w:rPr>
          <w:i/>
          <w:vanish/>
        </w:rPr>
      </w:pPr>
      <w:r w:rsidRPr="007849B7">
        <w:rPr>
          <w:i/>
        </w:rPr>
        <w:fldChar w:fldCharType="begin"/>
      </w:r>
      <w:r w:rsidRPr="007849B7">
        <w:rPr>
          <w:i/>
        </w:rPr>
        <w:instrText xml:space="preserve"> TC"(</w:instrText>
      </w:r>
      <w:bookmarkStart w:id="2" w:name="DocNumber"/>
      <w:r w:rsidRPr="007849B7">
        <w:rPr>
          <w:i/>
        </w:rPr>
        <w:instrText>A9-0063/2024</w:instrText>
      </w:r>
      <w:bookmarkEnd w:id="2"/>
      <w:r w:rsidRPr="007849B7">
        <w:rPr>
          <w:i/>
        </w:rPr>
        <w:instrText xml:space="preserve"> - Ordfører: René Repasi)"\l3 \n&gt; \* MERGEFORMAT </w:instrText>
      </w:r>
      <w:r w:rsidRPr="007849B7">
        <w:rPr>
          <w:i/>
        </w:rPr>
        <w:fldChar w:fldCharType="end"/>
      </w:r>
    </w:p>
    <w:p w:rsidR="00EC1C2A" w:rsidRPr="007849B7" w:rsidRDefault="00EC1C2A" w:rsidP="00EC1C2A">
      <w:pPr>
        <w:rPr>
          <w:vanish/>
        </w:rPr>
      </w:pPr>
      <w:bookmarkStart w:id="3" w:name="Commission"/>
      <w:r w:rsidRPr="007849B7">
        <w:rPr>
          <w:vanish/>
        </w:rPr>
        <w:t>Økonomi- og Valutaudvalget</w:t>
      </w:r>
      <w:bookmarkEnd w:id="3"/>
    </w:p>
    <w:p w:rsidR="00EC1C2A" w:rsidRPr="007849B7" w:rsidRDefault="00EC1C2A" w:rsidP="00EC1C2A">
      <w:pPr>
        <w:rPr>
          <w:vanish/>
        </w:rPr>
      </w:pPr>
      <w:bookmarkStart w:id="4" w:name="PE"/>
      <w:r w:rsidRPr="007849B7">
        <w:rPr>
          <w:vanish/>
        </w:rPr>
        <w:t>PE757.014</w:t>
      </w:r>
      <w:bookmarkEnd w:id="4"/>
    </w:p>
    <w:p w:rsidR="00EC1C2A" w:rsidRPr="007849B7" w:rsidRDefault="00EC1C2A" w:rsidP="00EC1C2A">
      <w:pPr>
        <w:pStyle w:val="ATHeading3"/>
      </w:pPr>
      <w:bookmarkStart w:id="5" w:name="Sujet"/>
      <w:r w:rsidRPr="007849B7">
        <w:t xml:space="preserve">Europa-Parlamentets beslutning af </w:t>
      </w:r>
      <w:r w:rsidR="003C3D3A" w:rsidRPr="007849B7">
        <w:t>13</w:t>
      </w:r>
      <w:r w:rsidRPr="007849B7">
        <w:t>. marts 2024 om det europæiske semester for samordning af de økonomiske politikker 2024</w:t>
      </w:r>
      <w:bookmarkEnd w:id="5"/>
      <w:r w:rsidRPr="007849B7">
        <w:t xml:space="preserve"> </w:t>
      </w:r>
      <w:bookmarkStart w:id="6" w:name="References"/>
      <w:r w:rsidRPr="007849B7">
        <w:t>(2023/2063(INI))</w:t>
      </w:r>
      <w:bookmarkEnd w:id="6"/>
    </w:p>
    <w:p w:rsidR="00865674" w:rsidRPr="007849B7" w:rsidRDefault="00865674" w:rsidP="00865674">
      <w:pPr>
        <w:pStyle w:val="EPComma"/>
      </w:pPr>
      <w:bookmarkStart w:id="7" w:name="TextBodyBegin"/>
      <w:bookmarkEnd w:id="7"/>
      <w:r w:rsidRPr="007849B7">
        <w:rPr>
          <w:i/>
        </w:rPr>
        <w:t>Europa-Parlamentet</w:t>
      </w:r>
      <w:r w:rsidRPr="007849B7">
        <w:t>,</w:t>
      </w:r>
    </w:p>
    <w:p w:rsidR="00865674" w:rsidRPr="007849B7" w:rsidRDefault="00865674" w:rsidP="00865674">
      <w:pPr>
        <w:pStyle w:val="NormalHanging12a"/>
      </w:pPr>
      <w:r w:rsidRPr="007849B7">
        <w:t>–</w:t>
      </w:r>
      <w:r w:rsidRPr="007849B7">
        <w:tab/>
        <w:t>der henviser til traktaten om Den Europæiske Unions funktionsmåde (TEUF), særlig artikel 121, stk. 2, og artikel 136,</w:t>
      </w:r>
    </w:p>
    <w:p w:rsidR="00865674" w:rsidRPr="007849B7" w:rsidRDefault="00865674" w:rsidP="00865674">
      <w:pPr>
        <w:pStyle w:val="NormalHanging12a"/>
      </w:pPr>
      <w:r w:rsidRPr="007849B7">
        <w:t>–</w:t>
      </w:r>
      <w:r w:rsidRPr="007849B7">
        <w:tab/>
        <w:t>der henviser til protokol nr. 1 til traktaten om Den Europæiske Union (TEU) og traktaten om Den Europæiske Unions funktionsmåde (TEUF) om de nationale parlamenters rolle i Den Europæiske Union,</w:t>
      </w:r>
    </w:p>
    <w:p w:rsidR="00865674" w:rsidRPr="007849B7" w:rsidRDefault="00865674" w:rsidP="00865674">
      <w:pPr>
        <w:pStyle w:val="NormalHanging12a"/>
      </w:pPr>
      <w:r w:rsidRPr="007849B7">
        <w:t>–</w:t>
      </w:r>
      <w:r w:rsidRPr="007849B7">
        <w:tab/>
        <w:t>der henviser til protokol nr. 2 til TEU og TEUF om anvendelse af nærhedsprincippet og proportionalitetsprincippet,</w:t>
      </w:r>
    </w:p>
    <w:p w:rsidR="00865674" w:rsidRPr="007849B7" w:rsidRDefault="00865674" w:rsidP="00865674">
      <w:pPr>
        <w:pStyle w:val="NormalHanging12a"/>
      </w:pPr>
      <w:r w:rsidRPr="007849B7">
        <w:t>–</w:t>
      </w:r>
      <w:r w:rsidRPr="007849B7">
        <w:tab/>
        <w:t>der henviser til traktaten om stabilitet, samordning og styring i Den Økonomiske og Monetære Union,</w:t>
      </w:r>
    </w:p>
    <w:p w:rsidR="00865674" w:rsidRPr="007849B7" w:rsidRDefault="00865674" w:rsidP="00865674">
      <w:pPr>
        <w:pStyle w:val="NormalHanging12a"/>
      </w:pPr>
      <w:r w:rsidRPr="007849B7">
        <w:t>–</w:t>
      </w:r>
      <w:r w:rsidRPr="007849B7">
        <w:tab/>
        <w:t>der henviser til Parisaftalen under De Forenede Nationers rammekonvention om klimaændringer (UNFCCC) og til verdensmålene for bæredygtig udvikling,</w:t>
      </w:r>
    </w:p>
    <w:p w:rsidR="00865674" w:rsidRPr="007849B7" w:rsidRDefault="00865674" w:rsidP="00865674">
      <w:pPr>
        <w:pStyle w:val="NormalHanging12a"/>
      </w:pPr>
      <w:r w:rsidRPr="007849B7">
        <w:t>–</w:t>
      </w:r>
      <w:r w:rsidRPr="007849B7">
        <w:tab/>
        <w:t>der henviser til Rådets direktiv 2011/85/EU af 8. november 2011 om krav til medlemsstaternes budgetmæssige rammer</w:t>
      </w:r>
      <w:r w:rsidRPr="007849B7">
        <w:rPr>
          <w:rStyle w:val="FootnoteReference"/>
          <w:szCs w:val="24"/>
        </w:rPr>
        <w:footnoteReference w:id="1"/>
      </w:r>
      <w:r w:rsidRPr="007849B7">
        <w:t>,</w:t>
      </w:r>
    </w:p>
    <w:p w:rsidR="00865674" w:rsidRPr="007849B7" w:rsidRDefault="00865674" w:rsidP="00865674">
      <w:pPr>
        <w:pStyle w:val="NormalHanging12a"/>
      </w:pPr>
      <w:r w:rsidRPr="007849B7">
        <w:t>–</w:t>
      </w:r>
      <w:r w:rsidRPr="007849B7">
        <w:tab/>
        <w:t>der henviser til Rådets forordning (EU) nr. 1177/2011 af 8. november 2011 om ændring af forordning (EF) nr. 1467/97 om fremskyndelse og afklaring af gennemførelsen af proceduren i forbindelse med uforholdsmæssigt store underskud</w:t>
      </w:r>
      <w:r w:rsidRPr="007849B7">
        <w:rPr>
          <w:vertAlign w:val="superscript"/>
        </w:rPr>
        <w:footnoteReference w:id="2"/>
      </w:r>
      <w:r w:rsidRPr="007849B7">
        <w:t>,</w:t>
      </w:r>
    </w:p>
    <w:p w:rsidR="00865674" w:rsidRPr="007849B7" w:rsidRDefault="00865674" w:rsidP="00865674">
      <w:pPr>
        <w:pStyle w:val="NormalHanging12a"/>
      </w:pPr>
      <w:r w:rsidRPr="007849B7">
        <w:t>–</w:t>
      </w:r>
      <w:r w:rsidRPr="007849B7">
        <w:tab/>
        <w:t>der henviser til Europa-Parlamentets og Rådets forordning (EU) nr. 1173/2011 af 16. november 2011 om en effektiv håndhævelse af budgetovervågningen i euroområdet</w:t>
      </w:r>
      <w:r w:rsidRPr="007849B7">
        <w:rPr>
          <w:vertAlign w:val="superscript"/>
        </w:rPr>
        <w:footnoteReference w:id="3"/>
      </w:r>
      <w:r w:rsidRPr="007849B7">
        <w:t>,</w:t>
      </w:r>
    </w:p>
    <w:p w:rsidR="00865674" w:rsidRPr="007849B7" w:rsidRDefault="00865674" w:rsidP="00865674">
      <w:pPr>
        <w:pStyle w:val="NormalHanging12a"/>
      </w:pPr>
      <w:r w:rsidRPr="007849B7">
        <w:t>–</w:t>
      </w:r>
      <w:r w:rsidRPr="007849B7">
        <w:tab/>
        <w:t xml:space="preserve">der henviser til Europa-Parlamentets og Rådets forordning (EU) nr. 1174/2011 af 16. november 2011 om håndhævelsesforanstaltninger til at korrigere uforholdsmæssigt </w:t>
      </w:r>
      <w:r w:rsidRPr="007849B7">
        <w:lastRenderedPageBreak/>
        <w:t>store makroøkonomiske ubalancer i euroområdet</w:t>
      </w:r>
      <w:r w:rsidRPr="007849B7">
        <w:rPr>
          <w:vertAlign w:val="superscript"/>
        </w:rPr>
        <w:footnoteReference w:id="4"/>
      </w:r>
      <w:r w:rsidRPr="007849B7">
        <w:t>,</w:t>
      </w:r>
    </w:p>
    <w:p w:rsidR="00865674" w:rsidRPr="007849B7" w:rsidRDefault="00865674" w:rsidP="00865674">
      <w:pPr>
        <w:pStyle w:val="NormalHanging12a"/>
      </w:pPr>
      <w:r w:rsidRPr="007849B7">
        <w:t>–</w:t>
      </w:r>
      <w:r w:rsidRPr="007849B7">
        <w:tab/>
        <w:t>der henviser til Europa-Parlamentets og Rådets forordning (EU) nr. 1175/2011 af 16. november 2011 om ændring af Rådets forordning (EF) nr. 1466/97 om styrkelse af overvågningen af budgetstillinger samt overvågning og samordning af økonomiske politikker</w:t>
      </w:r>
      <w:r w:rsidRPr="007849B7">
        <w:rPr>
          <w:vertAlign w:val="superscript"/>
        </w:rPr>
        <w:footnoteReference w:id="5"/>
      </w:r>
      <w:r w:rsidRPr="007849B7">
        <w:t>,</w:t>
      </w:r>
    </w:p>
    <w:p w:rsidR="00865674" w:rsidRPr="007849B7" w:rsidRDefault="00865674" w:rsidP="00865674">
      <w:pPr>
        <w:pStyle w:val="NormalHanging12a"/>
      </w:pPr>
      <w:r w:rsidRPr="007849B7">
        <w:t>–</w:t>
      </w:r>
      <w:r w:rsidRPr="007849B7">
        <w:tab/>
        <w:t>der henviser til Europa-Parlamentets og Rådets forordning (EU) nr. 1176/2011 af 16. november 2011 om forebyggelse og korrektion af makroøkonomiske ubalancer</w:t>
      </w:r>
      <w:r w:rsidRPr="007849B7">
        <w:rPr>
          <w:vertAlign w:val="superscript"/>
        </w:rPr>
        <w:footnoteReference w:id="6"/>
      </w:r>
      <w:r w:rsidRPr="007849B7">
        <w:t>,</w:t>
      </w:r>
    </w:p>
    <w:p w:rsidR="00865674" w:rsidRPr="007849B7" w:rsidRDefault="00865674" w:rsidP="00865674">
      <w:pPr>
        <w:pStyle w:val="NormalHanging12a"/>
      </w:pPr>
      <w:r w:rsidRPr="007849B7">
        <w:t>–</w:t>
      </w:r>
      <w:r w:rsidRPr="007849B7">
        <w:tab/>
        <w:t>der henviser til Europa-Parlamentets og Rådets forordning (EU) nr. 472/2013 af 21. maj 2013 om skærpelse af den økonomiske og budgetmæssige overvågning af medlemsstater i euroområdet, der har eller er truet af alvorlige vanskeligheder med hensyn til deres finansielle stabilitet</w:t>
      </w:r>
      <w:r w:rsidRPr="007849B7">
        <w:rPr>
          <w:rStyle w:val="FootnoteReference"/>
          <w:szCs w:val="24"/>
        </w:rPr>
        <w:footnoteReference w:id="7"/>
      </w:r>
      <w:r w:rsidRPr="007849B7">
        <w:t>,</w:t>
      </w:r>
    </w:p>
    <w:p w:rsidR="00865674" w:rsidRPr="007849B7" w:rsidRDefault="00865674" w:rsidP="00865674">
      <w:pPr>
        <w:pStyle w:val="NormalHanging12a"/>
      </w:pPr>
      <w:r w:rsidRPr="007849B7">
        <w:t>–</w:t>
      </w:r>
      <w:r w:rsidRPr="007849B7">
        <w:tab/>
        <w:t>der henviser til Europa-Parlamentets og Rådets forordning (EU) nr. 473/2013 af 21. maj 2013 om fælles bestemmelser om overvågning og evaluering af udkast til budgetplaner og til sikring af korrektion af uforholdsmæssigt store underskud i medlemsstaterne i euroområdet</w:t>
      </w:r>
      <w:r w:rsidRPr="007849B7">
        <w:rPr>
          <w:rStyle w:val="FootnoteReference"/>
          <w:szCs w:val="24"/>
        </w:rPr>
        <w:footnoteReference w:id="8"/>
      </w:r>
      <w:r w:rsidRPr="007849B7">
        <w:t>,</w:t>
      </w:r>
    </w:p>
    <w:p w:rsidR="00865674" w:rsidRPr="007849B7" w:rsidRDefault="00865674" w:rsidP="00865674">
      <w:pPr>
        <w:pStyle w:val="NormalHanging12a"/>
      </w:pPr>
      <w:r w:rsidRPr="007849B7">
        <w:t>–</w:t>
      </w:r>
      <w:r w:rsidRPr="007849B7">
        <w:tab/>
        <w:t xml:space="preserve">der henviser til Europa-Parlamentets og Rådets forordning (EU) 2021/241 af 12. februar 2021 om oprettelse af genopretnings- og </w:t>
      </w:r>
      <w:proofErr w:type="spellStart"/>
      <w:r w:rsidRPr="007849B7">
        <w:t>resiliensfaciliteten</w:t>
      </w:r>
      <w:proofErr w:type="spellEnd"/>
      <w:r w:rsidRPr="007849B7">
        <w:rPr>
          <w:rStyle w:val="FootnoteReference"/>
          <w:szCs w:val="24"/>
        </w:rPr>
        <w:footnoteReference w:id="9"/>
      </w:r>
      <w:r w:rsidRPr="007849B7">
        <w:t xml:space="preserve"> (forordningen om genopretnings- og </w:t>
      </w:r>
      <w:proofErr w:type="spellStart"/>
      <w:r w:rsidRPr="007849B7">
        <w:t>resiliensfaciliteten</w:t>
      </w:r>
      <w:proofErr w:type="spellEnd"/>
      <w:r w:rsidRPr="007849B7">
        <w:t>),</w:t>
      </w:r>
    </w:p>
    <w:p w:rsidR="00865674" w:rsidRPr="007849B7" w:rsidRDefault="00865674" w:rsidP="00865674">
      <w:pPr>
        <w:pStyle w:val="NormalHanging12a"/>
      </w:pPr>
      <w:r w:rsidRPr="007849B7">
        <w:t>–</w:t>
      </w:r>
      <w:r w:rsidRPr="007849B7">
        <w:tab/>
        <w:t>der henviser til Kommissionens meddelelse af 4. marts 2021 med titlen "Handlingsplan for den europæiske søjle for sociale rettigheder" (</w:t>
      </w:r>
      <w:proofErr w:type="gramStart"/>
      <w:r w:rsidRPr="007849B7">
        <w:t>COM(</w:t>
      </w:r>
      <w:proofErr w:type="gramEnd"/>
      <w:r w:rsidRPr="007849B7">
        <w:t>2021)0102),</w:t>
      </w:r>
    </w:p>
    <w:p w:rsidR="00865674" w:rsidRPr="007849B7" w:rsidRDefault="00865674" w:rsidP="00865674">
      <w:pPr>
        <w:pStyle w:val="NormalHanging12a"/>
      </w:pPr>
      <w:r w:rsidRPr="007849B7">
        <w:t>–</w:t>
      </w:r>
      <w:r w:rsidRPr="007849B7">
        <w:tab/>
        <w:t>der henviser til det tilsagn om socialt engagement, der blev givet på topmødet i Porto den 7. maj 2021 af Rådet, Kommissionen, Europa-Parlamentet og arbejdsmarkedets parter,</w:t>
      </w:r>
    </w:p>
    <w:p w:rsidR="00865674" w:rsidRPr="007849B7" w:rsidRDefault="00865674" w:rsidP="00865674">
      <w:pPr>
        <w:pStyle w:val="NormalHanging12a"/>
      </w:pPr>
      <w:r w:rsidRPr="007849B7">
        <w:t>–</w:t>
      </w:r>
      <w:r w:rsidRPr="007849B7">
        <w:tab/>
        <w:t>der henviser til Det Europæiske Finanspolitiske Råds vurdering af 28. juni 2023 af den fremadrettede finanspolitiske kurs for euroområdet i 2024,</w:t>
      </w:r>
    </w:p>
    <w:p w:rsidR="00865674" w:rsidRPr="007849B7" w:rsidRDefault="00865674" w:rsidP="00865674">
      <w:pPr>
        <w:pStyle w:val="NormalHanging12a"/>
      </w:pPr>
      <w:r w:rsidRPr="007849B7">
        <w:t>–</w:t>
      </w:r>
      <w:r w:rsidRPr="007849B7">
        <w:tab/>
        <w:t>der henviser til Det Europæiske Finanspolitiske Råds årsberetning af 4. oktober 2023,</w:t>
      </w:r>
    </w:p>
    <w:p w:rsidR="00865674" w:rsidRPr="007849B7" w:rsidRDefault="00865674" w:rsidP="00865674">
      <w:pPr>
        <w:pStyle w:val="NormalHanging12a"/>
        <w:rPr>
          <w:bCs/>
          <w:szCs w:val="23"/>
        </w:rPr>
      </w:pPr>
      <w:r w:rsidRPr="007849B7">
        <w:t>–</w:t>
      </w:r>
      <w:r w:rsidRPr="007849B7">
        <w:tab/>
        <w:t>der henviser til Kommissionens meddelelse af 9. november 2022 om retningslinjer for en reform af EU's ramme for økonomisk styring i EU (</w:t>
      </w:r>
      <w:proofErr w:type="gramStart"/>
      <w:r w:rsidRPr="007849B7">
        <w:t>COM(</w:t>
      </w:r>
      <w:proofErr w:type="gramEnd"/>
      <w:r w:rsidRPr="007849B7">
        <w:t>2022)0583),</w:t>
      </w:r>
    </w:p>
    <w:p w:rsidR="00865674" w:rsidRPr="007849B7" w:rsidRDefault="00865674" w:rsidP="00865674">
      <w:pPr>
        <w:pStyle w:val="NormalHanging12a"/>
      </w:pPr>
      <w:r w:rsidRPr="007849B7">
        <w:t>–</w:t>
      </w:r>
      <w:r w:rsidRPr="007849B7">
        <w:tab/>
        <w:t>der henviser til Kommissionens forslag af 26. april 2023 til Europa-Parlamentets og Rådets forordning om effektiv samordning af de økonomiske politikker og multilateral budgetovervågning og om ophævelse af Rådets forordning (EF) nr. 1466/97 (</w:t>
      </w:r>
      <w:proofErr w:type="gramStart"/>
      <w:r w:rsidRPr="007849B7">
        <w:t>COM(</w:t>
      </w:r>
      <w:proofErr w:type="gramEnd"/>
      <w:r w:rsidRPr="007849B7">
        <w:t>2023)0240),</w:t>
      </w:r>
    </w:p>
    <w:p w:rsidR="00865674" w:rsidRPr="007849B7" w:rsidRDefault="00865674" w:rsidP="00865674">
      <w:pPr>
        <w:pStyle w:val="NormalHanging12a"/>
      </w:pPr>
      <w:r w:rsidRPr="007849B7">
        <w:t>–</w:t>
      </w:r>
      <w:r w:rsidRPr="007849B7">
        <w:tab/>
        <w:t xml:space="preserve">der henviser til Kommissionens forslag af 26. april 2023 til Rådets forordning om </w:t>
      </w:r>
      <w:r w:rsidRPr="007849B7">
        <w:lastRenderedPageBreak/>
        <w:t>ændring af forordning (EF) nr. 1467/97 om fremskyndelse og afklaring af gennemførelsen af proceduren i forbindelse med uforholdsmæssigt store underskud (</w:t>
      </w:r>
      <w:proofErr w:type="gramStart"/>
      <w:r w:rsidRPr="007849B7">
        <w:t>COM(</w:t>
      </w:r>
      <w:proofErr w:type="gramEnd"/>
      <w:r w:rsidRPr="007849B7">
        <w:t>2023)0241),</w:t>
      </w:r>
    </w:p>
    <w:p w:rsidR="00865674" w:rsidRPr="007849B7" w:rsidRDefault="00865674" w:rsidP="00865674">
      <w:pPr>
        <w:pStyle w:val="NormalHanging12a"/>
      </w:pPr>
      <w:r w:rsidRPr="007849B7">
        <w:t>–</w:t>
      </w:r>
      <w:r w:rsidRPr="007849B7">
        <w:tab/>
        <w:t>der henviser til Kommissionens forslag af 26. april 2023 til Rådets direktiv om ændring af direktiv 2011/85/EU om krav til medlemsstaternes budgetmæssige rammer (</w:t>
      </w:r>
      <w:proofErr w:type="gramStart"/>
      <w:r w:rsidRPr="007849B7">
        <w:t>COM(</w:t>
      </w:r>
      <w:proofErr w:type="gramEnd"/>
      <w:r w:rsidRPr="007849B7">
        <w:t>2023)0242),</w:t>
      </w:r>
    </w:p>
    <w:p w:rsidR="00865674" w:rsidRPr="007849B7" w:rsidRDefault="00865674" w:rsidP="00865674">
      <w:pPr>
        <w:pStyle w:val="NormalHanging12a"/>
        <w:rPr>
          <w:bCs/>
          <w:szCs w:val="23"/>
        </w:rPr>
      </w:pPr>
      <w:r w:rsidRPr="007849B7">
        <w:t>–</w:t>
      </w:r>
      <w:r w:rsidRPr="007849B7">
        <w:tab/>
        <w:t>der henviser til Granadaerklæringen, der blev vedtaget den 6. oktober 2023,</w:t>
      </w:r>
    </w:p>
    <w:p w:rsidR="00865674" w:rsidRPr="007849B7" w:rsidRDefault="00865674" w:rsidP="00865674">
      <w:pPr>
        <w:pStyle w:val="NormalHanging12a"/>
        <w:rPr>
          <w:shd w:val="clear" w:color="auto" w:fill="FFFFFF"/>
        </w:rPr>
      </w:pPr>
      <w:r w:rsidRPr="007849B7">
        <w:t>–</w:t>
      </w:r>
      <w:r w:rsidRPr="007849B7">
        <w:tab/>
      </w:r>
      <w:r w:rsidRPr="007849B7">
        <w:rPr>
          <w:shd w:val="clear" w:color="auto" w:fill="FFFFFF"/>
        </w:rPr>
        <w:t>der henviser til Kommissionens meddelelse af 21. november 2023 med titlen "Årlig undersøgelse af bæredygtig vækst 2024" (</w:t>
      </w:r>
      <w:proofErr w:type="gramStart"/>
      <w:r w:rsidRPr="007849B7">
        <w:t>COM(</w:t>
      </w:r>
      <w:proofErr w:type="gramEnd"/>
      <w:r w:rsidRPr="007849B7">
        <w:t>2023)0901</w:t>
      </w:r>
      <w:r w:rsidRPr="007849B7">
        <w:rPr>
          <w:shd w:val="clear" w:color="auto" w:fill="FFFFFF"/>
        </w:rPr>
        <w:t>),</w:t>
      </w:r>
    </w:p>
    <w:p w:rsidR="00865674" w:rsidRPr="007849B7" w:rsidRDefault="00865674" w:rsidP="00865674">
      <w:pPr>
        <w:pStyle w:val="NormalHanging12a"/>
      </w:pPr>
      <w:r w:rsidRPr="007849B7">
        <w:t>–</w:t>
      </w:r>
      <w:r w:rsidRPr="007849B7">
        <w:tab/>
        <w:t>der henviser til Kommissionens</w:t>
      </w:r>
      <w:r w:rsidR="00466571">
        <w:t xml:space="preserve"> meddelelse af 21. november 2023</w:t>
      </w:r>
      <w:r w:rsidRPr="007849B7">
        <w:t xml:space="preserve"> med titlen "Rapport om varslingsmekanismen 2024" (</w:t>
      </w:r>
      <w:proofErr w:type="gramStart"/>
      <w:r w:rsidRPr="007849B7">
        <w:t>COM(</w:t>
      </w:r>
      <w:proofErr w:type="gramEnd"/>
      <w:r w:rsidRPr="007849B7">
        <w:t>2023)0902) og</w:t>
      </w:r>
      <w:bookmarkStart w:id="8" w:name="_GoBack"/>
      <w:bookmarkEnd w:id="8"/>
      <w:r w:rsidRPr="007849B7">
        <w:t xml:space="preserve"> til Kommissionens henstilling af 21. november 202</w:t>
      </w:r>
      <w:r w:rsidR="00466571">
        <w:t>3</w:t>
      </w:r>
      <w:r w:rsidRPr="007849B7">
        <w:t xml:space="preserve"> med henblik på Rådets henstilling om den økonomiske politik i euroområdet (COM(2023)0903),</w:t>
      </w:r>
    </w:p>
    <w:p w:rsidR="00865674" w:rsidRPr="007849B7" w:rsidRDefault="00865674" w:rsidP="00865674">
      <w:pPr>
        <w:pStyle w:val="NormalHanging12a"/>
      </w:pPr>
      <w:r w:rsidRPr="007849B7">
        <w:t>–</w:t>
      </w:r>
      <w:r w:rsidRPr="007849B7">
        <w:tab/>
        <w:t>der henviser til forslaget til en fælles rapport om beskæftigelsen fra Kommissionen og Rådet af 21. november 202</w:t>
      </w:r>
      <w:r w:rsidR="00466571">
        <w:t>3</w:t>
      </w:r>
      <w:r w:rsidRPr="007849B7">
        <w:t xml:space="preserve"> (</w:t>
      </w:r>
      <w:proofErr w:type="gramStart"/>
      <w:r w:rsidRPr="007849B7">
        <w:t>COM(</w:t>
      </w:r>
      <w:proofErr w:type="gramEnd"/>
      <w:r w:rsidRPr="007849B7">
        <w:t>2023)0904),</w:t>
      </w:r>
    </w:p>
    <w:p w:rsidR="00865674" w:rsidRPr="007849B7" w:rsidRDefault="00865674" w:rsidP="00865674">
      <w:pPr>
        <w:pStyle w:val="NormalHanging12a"/>
      </w:pPr>
      <w:r w:rsidRPr="007849B7">
        <w:t>–</w:t>
      </w:r>
      <w:r w:rsidRPr="007849B7">
        <w:tab/>
        <w:t>der henviser til Kommissionens økonomiske efterårsprognose 2023 af 15. november 2023,</w:t>
      </w:r>
    </w:p>
    <w:p w:rsidR="00865674" w:rsidRPr="007849B7" w:rsidRDefault="00865674" w:rsidP="00865674">
      <w:pPr>
        <w:pStyle w:val="NormalHanging12a"/>
      </w:pPr>
      <w:r w:rsidRPr="007849B7">
        <w:t>–</w:t>
      </w:r>
      <w:r w:rsidRPr="007849B7">
        <w:tab/>
        <w:t>der henviser til forretningsordenens artikel 54,</w:t>
      </w:r>
    </w:p>
    <w:p w:rsidR="00865674" w:rsidRPr="007849B7" w:rsidRDefault="00865674" w:rsidP="00865674">
      <w:pPr>
        <w:pStyle w:val="NormalHanging12a"/>
      </w:pPr>
      <w:r w:rsidRPr="007849B7">
        <w:t>–</w:t>
      </w:r>
      <w:r w:rsidRPr="007849B7">
        <w:tab/>
        <w:t>der henviser til udtalelse fra Budgetudvalget,</w:t>
      </w:r>
    </w:p>
    <w:p w:rsidR="00865674" w:rsidRPr="007849B7" w:rsidRDefault="00865674" w:rsidP="00865674">
      <w:pPr>
        <w:pStyle w:val="NormalHanging12a"/>
      </w:pPr>
      <w:r w:rsidRPr="007849B7">
        <w:t>–</w:t>
      </w:r>
      <w:r w:rsidRPr="007849B7">
        <w:tab/>
        <w:t>der henviser til betænkning fra Økonomi- og Valutaudvalget (A9-0063/2024),</w:t>
      </w:r>
    </w:p>
    <w:p w:rsidR="00865674" w:rsidRPr="007849B7" w:rsidRDefault="00865674" w:rsidP="00865674">
      <w:pPr>
        <w:pStyle w:val="NormalHanging12a"/>
      </w:pPr>
      <w:r w:rsidRPr="007849B7">
        <w:t>A.</w:t>
      </w:r>
      <w:r w:rsidRPr="007849B7">
        <w:tab/>
        <w:t>der henviser til, at det europæiske semester spiller en vigtig rolle for samordningen af medlemsstaternes økonomiske, budgetmæssige, strukturelle, sociale og beskæftigelsesmæssige politikker og derved sikrer den makroøkonomiske stabilitet i Den Økonomiske og Monetære Union;</w:t>
      </w:r>
    </w:p>
    <w:p w:rsidR="00865674" w:rsidRPr="007849B7" w:rsidRDefault="00865674" w:rsidP="00865674">
      <w:pPr>
        <w:pStyle w:val="NormalHanging12a"/>
      </w:pPr>
      <w:r w:rsidRPr="007849B7">
        <w:t>B.</w:t>
      </w:r>
      <w:r w:rsidRPr="007849B7">
        <w:tab/>
        <w:t>der henviser til, at den økonomiske aktivitet i 2023 ifølge Kommissionens vinterprognose 2024 anslås at være vokset med blot 0,5 % i både EU og euroområdet i lyset af høj inflation og strammere finansieringsvilkår efter et stærkt opsving i 2022; der henviser til, at den forventede BNP-vækst er blevet nedjusteret til 0,9 % (fra 1,3 %) i EU og 0,8 % (fra 1,2 %) i euroområdet i 2024; der henviser til, at den økonomiske aktivitet i 2025 stadig forventes at vokse med 1,7 % i EU og 1,5 % i euroområdet;</w:t>
      </w:r>
    </w:p>
    <w:p w:rsidR="00865674" w:rsidRPr="007849B7" w:rsidRDefault="00865674" w:rsidP="00865674">
      <w:pPr>
        <w:pStyle w:val="NormalHanging12a"/>
      </w:pPr>
      <w:r w:rsidRPr="007849B7">
        <w:t>C.</w:t>
      </w:r>
      <w:r w:rsidRPr="007849B7">
        <w:tab/>
        <w:t xml:space="preserve">der henviser til, at EU's arbejdsmarked fortsat klarede sig stærkt i første halvdel af 2023 på trods af afmatningen i den økonomiske vækst; der henviser til, at der ifølge Kommissionens efterårsprognose 2023 imidlertid fortsat var en akut mangel på arbejdskraft på tværs af mange sektorer og erhverv, især på områder relateret til </w:t>
      </w:r>
      <w:proofErr w:type="spellStart"/>
      <w:r w:rsidRPr="007849B7">
        <w:t>opskalering</w:t>
      </w:r>
      <w:proofErr w:type="spellEnd"/>
      <w:r w:rsidRPr="007849B7">
        <w:t xml:space="preserve"> og implementering af nettonul- og lavemissionsteknologier; der henviser til, at arbejdsløsheden nåede et historisk lavt niveau i EU som helhed med variationer mellem medlemsstaterne; der henviser til, at ungdomsarbejdsløsheden ifølge Eurostat nåede op på 14,7 % i EU og 14,4 % i euroområdet i december 2023;</w:t>
      </w:r>
    </w:p>
    <w:p w:rsidR="00865674" w:rsidRPr="007849B7" w:rsidRDefault="00865674" w:rsidP="00865674">
      <w:pPr>
        <w:pStyle w:val="NormalHanging12a"/>
      </w:pPr>
      <w:r w:rsidRPr="007849B7">
        <w:t>D.</w:t>
      </w:r>
      <w:r w:rsidRPr="007849B7">
        <w:tab/>
        <w:t xml:space="preserve">der henviser til, at inflationen ifølge Kommissionens vinterprognose 2024 forventes at </w:t>
      </w:r>
      <w:r w:rsidRPr="007849B7">
        <w:lastRenderedPageBreak/>
        <w:t>falde fra 6,3 % i 2023 til 3,0 % i 2024 og 2,5 % i 2025 i EU og fra 5,4 % i 2023 til 2,7 % i 2024 og 2,2 % i 2025 i euroområdet; der henviser til, at finanspolitikken skal understøtte de pengepolitiske foranstaltninger til at sænke inflationen og sikre finanspolitisk bæredygtighed og samtidig skabe tilstrækkelige muligheder for yderligere investeringer og understøtte den langsigtede vækst;</w:t>
      </w:r>
    </w:p>
    <w:p w:rsidR="00865674" w:rsidRPr="007849B7" w:rsidRDefault="00865674" w:rsidP="00865674">
      <w:pPr>
        <w:pStyle w:val="NormalHanging12a"/>
      </w:pPr>
      <w:r w:rsidRPr="007849B7">
        <w:t>E.</w:t>
      </w:r>
      <w:r w:rsidRPr="007849B7">
        <w:tab/>
        <w:t>der henviser til, at inflationen påvirker indkomstgrupper forskelligt, og at lavindkomstgrupper lider uforholdsmæssigt; der henviser til, at inflation kan skabe en reel leveomkostningskrise for visse befolkningssegmenter, hvilket udgør en udfordring for den sociale samhørighed;</w:t>
      </w:r>
    </w:p>
    <w:p w:rsidR="00865674" w:rsidRPr="007849B7" w:rsidRDefault="00865674" w:rsidP="00865674">
      <w:pPr>
        <w:pStyle w:val="NormalHanging12a"/>
      </w:pPr>
      <w:r w:rsidRPr="007849B7">
        <w:t>F.</w:t>
      </w:r>
      <w:r w:rsidRPr="007849B7">
        <w:tab/>
        <w:t>der henviser til, at gældskvoten forventes at falde til 83,1 % i EU i 2023 (90,4 % i euroområdet); der henviser til, at gældskvoten forventes at falde marginalt i EU til ca. 82,7 % i 2024 og 82,5 % i 2025; der henviser til, at gældskvoten i euroområdet forventes at falde til ca. 89,7 % i 2024 og 89,5 % i 2025; der henviser til, at der er store forskelle mellem de enkelte medlemsstaters gældsniveauer; der henviser til, at høje gældskvoter kombineret med høje renter og en usikker makroøkonomisk situation kan bringe den langsigtede gældsbæredygtighed og økonomiske stabilitet i fare;</w:t>
      </w:r>
    </w:p>
    <w:p w:rsidR="00865674" w:rsidRPr="007849B7" w:rsidRDefault="00865674" w:rsidP="00865674">
      <w:pPr>
        <w:pStyle w:val="NormalHanging12a"/>
      </w:pPr>
      <w:r w:rsidRPr="007849B7">
        <w:t>G.</w:t>
      </w:r>
      <w:r w:rsidRPr="007849B7">
        <w:tab/>
        <w:t xml:space="preserve">der henviser til, at det generelle offentlige underskud i EU og euroområdet ifølge Kommissionens efterårsprognose 2023 forventes at falde til 3,2 % af BNP i 2023 og falde yderligere til 2,8 % af BNP i 2024 og 2,7 % i 2025; der henviser til, at stabilitets‑ og vækstpagtens generelle undtagelsesklausul blev </w:t>
      </w:r>
      <w:proofErr w:type="spellStart"/>
      <w:r w:rsidRPr="007849B7">
        <w:t>deaktiveret</w:t>
      </w:r>
      <w:proofErr w:type="spellEnd"/>
      <w:r w:rsidRPr="007849B7">
        <w:t xml:space="preserve"> ved udgangen af 2023; der henviser til, at Kommissionen har meddelt, at den i overensstemmelse med de gældende regler vil fremsætte et forslag for Rådet om i foråret 2024 at indlede proceduren i forbindelse med uforholdsmæssigt store underskud på grundlag af endelige data for 2023;</w:t>
      </w:r>
    </w:p>
    <w:p w:rsidR="00865674" w:rsidRPr="007849B7" w:rsidRDefault="00865674" w:rsidP="00865674">
      <w:pPr>
        <w:pStyle w:val="NormalHanging12a"/>
      </w:pPr>
      <w:r w:rsidRPr="007849B7">
        <w:t>H.</w:t>
      </w:r>
      <w:r w:rsidRPr="007849B7">
        <w:tab/>
        <w:t>der henviser til, at den samlede finanspolitiske kurs i 2023 og 2024 forventes at blive kontraktiv, med 0,5 % af BNP begge år, primært som følge af den stort set fuldstændige udfasning af kriserelaterede energiforanstaltninger;</w:t>
      </w:r>
    </w:p>
    <w:p w:rsidR="00865674" w:rsidRPr="007849B7" w:rsidRDefault="00865674" w:rsidP="00865674">
      <w:pPr>
        <w:pStyle w:val="NormalHanging12a"/>
      </w:pPr>
      <w:r w:rsidRPr="007849B7">
        <w:t>I.</w:t>
      </w:r>
      <w:r w:rsidRPr="007849B7">
        <w:tab/>
        <w:t>der henviser til, at en hurtig, beslutsom og koordineret politisk reaktion gjorde det muligt for EU's økonomi at komme på fode igen og tackle de socioøkonomiske konsekvenser af covid-19-pandemien og Ruslands angrebskrig mod Ukraine og at navigere gennem den deraf følgende energikrise; der henviser til, at der skete en opbremsning i økonomien i 2023; der henviser til, at udsigterne fortsat er kendetegnet ved stor usikkerhed og store risici som følge af udviklingen i Ruslands igangværende angrebskrig mod Ukraine og konflikten i Mellemøsten;</w:t>
      </w:r>
    </w:p>
    <w:p w:rsidR="00865674" w:rsidRPr="007849B7" w:rsidRDefault="00865674" w:rsidP="00865674">
      <w:pPr>
        <w:pStyle w:val="NormalHanging12a"/>
      </w:pPr>
      <w:r w:rsidRPr="007849B7">
        <w:t>J.</w:t>
      </w:r>
      <w:r w:rsidRPr="007849B7">
        <w:tab/>
        <w:t xml:space="preserve">der henviser til, at disse </w:t>
      </w:r>
      <w:proofErr w:type="spellStart"/>
      <w:r w:rsidRPr="007849B7">
        <w:t>disruptive</w:t>
      </w:r>
      <w:proofErr w:type="spellEnd"/>
      <w:r w:rsidRPr="007849B7">
        <w:t xml:space="preserve"> geopolitiske begivenheder har vist, at det er nødvendigt, at EU yderligere styrker sin åbne strategiske autonomi og forbliver konkurrencedygtig på det globale marked og samtidig sikrer, at ingen lades i stikken;</w:t>
      </w:r>
    </w:p>
    <w:p w:rsidR="00865674" w:rsidRPr="007849B7" w:rsidRDefault="00865674" w:rsidP="00865674">
      <w:pPr>
        <w:pStyle w:val="NormalHanging12a"/>
      </w:pPr>
      <w:r w:rsidRPr="007849B7">
        <w:t>K.</w:t>
      </w:r>
      <w:r w:rsidRPr="007849B7">
        <w:tab/>
        <w:t>der henviser til, at EU-finansiering har bidraget til makroøkonomisk styrke på EU-plan og øger dens interne og eksterne modstandsdygtighed i krisetider og samtidig støtter medlemsstaterne i at finansiere de nødvendige investeringer i EU's prioriteter for at tackle nuværende og fremtidige udfordringer;</w:t>
      </w:r>
    </w:p>
    <w:p w:rsidR="00865674" w:rsidRPr="007849B7" w:rsidRDefault="00865674" w:rsidP="00865674">
      <w:pPr>
        <w:pStyle w:val="NormalHanging12a"/>
      </w:pPr>
      <w:r w:rsidRPr="007849B7">
        <w:t>L.</w:t>
      </w:r>
      <w:r w:rsidRPr="007849B7">
        <w:tab/>
        <w:t xml:space="preserve">der henviser til, at efter en betydelig kriserelateret ekspansion mellem 2020 og 2022 forventes den finanspolitiske kurs i euroområdet at være restriktiv i 2023 og 2024; der </w:t>
      </w:r>
      <w:r w:rsidRPr="007849B7">
        <w:lastRenderedPageBreak/>
        <w:t>henviser til, at den finanspolitiske kurs bør forblive fleksibel lyset af stor usikkerhed;</w:t>
      </w:r>
    </w:p>
    <w:p w:rsidR="00865674" w:rsidRPr="007849B7" w:rsidRDefault="00865674" w:rsidP="00865674">
      <w:pPr>
        <w:pStyle w:val="NormalHanging12a"/>
      </w:pPr>
      <w:r w:rsidRPr="007849B7">
        <w:t>M.</w:t>
      </w:r>
      <w:r w:rsidRPr="007849B7">
        <w:tab/>
        <w:t xml:space="preserve">der henviser til, at de offentlige nettoinvesteringer som en procentdel af BNP faldt kraftigt i EU efter finanskrisen som følge af covid-19-pandemien og i nogle tilfælde nåede negative niveauer; der henviser til, at dette forhold endnu ikke er genoprettet fuldt ud ; der henviser til, at succesen med klimaneutrale politikker og den digitale omstilling afhænger af en fælles europæisk tilgang og kræver foranstaltninger både på EU- og medlemsstatsplan; der henviser til, at EU's fremtidige modstandsdygtighed er tæt forbundet med øgede offentlige og private investeringer i bæredygtig vækst og en ambitiøs strukturreformdagsorden; der henviser til, at det er vigtigt at opfylde behovet for en rettidig strategi til at sikre passende offentlige investeringsniveauer efter udløbet af genopretnings‑ og </w:t>
      </w:r>
      <w:proofErr w:type="spellStart"/>
      <w:r w:rsidRPr="007849B7">
        <w:t>resiliensfaciliteten</w:t>
      </w:r>
      <w:proofErr w:type="spellEnd"/>
      <w:r w:rsidRPr="007849B7">
        <w:t xml:space="preserve"> i 2026; der henviser til, at det kræver omfattende offentlige og private investeringer at nå målene i den europæiske grønne pagt og Parisaftalen;</w:t>
      </w:r>
    </w:p>
    <w:p w:rsidR="00865674" w:rsidRPr="007849B7" w:rsidRDefault="00865674" w:rsidP="00865674">
      <w:pPr>
        <w:pStyle w:val="NormalHanging12a"/>
      </w:pPr>
      <w:r w:rsidRPr="007849B7">
        <w:t>N.</w:t>
      </w:r>
      <w:r w:rsidRPr="007849B7">
        <w:tab/>
        <w:t>der henviser til, at medlemsstaterne skal have indført de nødvendige overvågnings- og revisionsmekanismer til at sikre overholdelsen af retsstatsprincippet og beskytte EU's finansielle interesser, navnlig med henblik på at forebygge svig, korruption og interessekonflikter samt ved at sikre gennemsigtighed; der henviser til, at det er vigtigt, at medlemsstaterne gennemfører de relevante understøttende landespecifikke henstillinger i denne henseende;</w:t>
      </w:r>
    </w:p>
    <w:p w:rsidR="00865674" w:rsidRPr="007849B7" w:rsidRDefault="00865674" w:rsidP="00865674">
      <w:pPr>
        <w:pStyle w:val="NormalHanging12a"/>
        <w:rPr>
          <w:b/>
        </w:rPr>
      </w:pPr>
      <w:r w:rsidRPr="007849B7">
        <w:rPr>
          <w:b/>
          <w:i/>
        </w:rPr>
        <w:t>Økonomiske udsigter for EU</w:t>
      </w:r>
    </w:p>
    <w:p w:rsidR="00865674" w:rsidRPr="007849B7" w:rsidRDefault="00865674" w:rsidP="00865674">
      <w:pPr>
        <w:pStyle w:val="NormalHanging12a"/>
      </w:pPr>
      <w:r w:rsidRPr="007849B7">
        <w:t>1.</w:t>
      </w:r>
      <w:r w:rsidRPr="007849B7">
        <w:tab/>
        <w:t>udtrykker bekymring over den økonomiske situation, den vedvarende usikkerhed, den svage vækst, konkurrenceevnen og produktiviteten i EU; bemærker med bekymring energiprisernes og inflationens fortsatte indvirkning på husholdningernes købekraft, som fører til en øget risiko for fattigdom, herunder energifattigdom, for mange europæere, og på EU-virksomhedernes evne til at præstere, herunder små og mellemstore virksomheder (</w:t>
      </w:r>
      <w:proofErr w:type="spellStart"/>
      <w:r w:rsidRPr="007849B7">
        <w:t>SMV'er</w:t>
      </w:r>
      <w:proofErr w:type="spellEnd"/>
      <w:r w:rsidRPr="007849B7">
        <w:t>); opfordrer medlemsstaterne til at tage yderligere skridt til at overvinde disse vanskeligheder og til at gennemføre målrettede foranstaltninger for at sikre fair konkurrence på det indre marked og håndtere vedvarende inflationspres;</w:t>
      </w:r>
    </w:p>
    <w:p w:rsidR="00865674" w:rsidRPr="007849B7" w:rsidRDefault="00865674" w:rsidP="00865674">
      <w:pPr>
        <w:pStyle w:val="NormalHanging12a"/>
      </w:pPr>
      <w:r w:rsidRPr="007849B7">
        <w:t>2.</w:t>
      </w:r>
      <w:r w:rsidRPr="007849B7">
        <w:tab/>
        <w:t xml:space="preserve">bemærker, at mange medlemsstater lider under strukturelle udfordringer, der hæmmer deres vækstpotentiale; fremhæver, at håndtering af strukturelle udfordringer er afgørende for et holdbart opsving og fortsat vækst, og at gennemførelsen af reformer til afhjælpning af strukturelle sårbarheder er afgørende ikke blot for at forbedre evnen til at modstå og håndtere eksisterende udfordringer, men også for at gennemføre den dobbelte omstilling på en bæredygtig og retfærdig måde; fremhæver, at ambitiøse strukturelle reformer fortsat er vigtige for at styrke EU's økonomiske grundlag, fremme virksomhedsetablering og </w:t>
      </w:r>
      <w:proofErr w:type="spellStart"/>
      <w:r w:rsidRPr="007849B7">
        <w:t>iværksætteri</w:t>
      </w:r>
      <w:proofErr w:type="spellEnd"/>
      <w:r w:rsidRPr="007849B7">
        <w:t xml:space="preserve"> og styrke EU's konkurrenceevne, produktivitet og overordnede vækstpotentiale;</w:t>
      </w:r>
    </w:p>
    <w:p w:rsidR="00865674" w:rsidRPr="007849B7" w:rsidRDefault="00865674" w:rsidP="00865674">
      <w:pPr>
        <w:pStyle w:val="NormalHanging12a"/>
      </w:pPr>
      <w:r w:rsidRPr="007849B7">
        <w:t>3.</w:t>
      </w:r>
      <w:r w:rsidRPr="007849B7">
        <w:tab/>
        <w:t xml:space="preserve">understreger, at manglen på offentlige og private investeringer i visse medlemsstater hæmmer potentialet for socialt afbalanceret og bæredygtig vækst; mener, at forudsigelige regler, lige konkurrencevilkår og lavere efterlevelsesomkostninger er vigtige faktorer for at tiltrække investeringer; fremhæver, at disse investeringer er afgørende for EU's evne til at håndtere eksisterende udfordringer, herunder den grønne og den digitale omstilling, og at de vil øge EU's modstandsdygtighed og langsigtede konkurrenceevne under kommende udfordringer; mener, at disse investeringer bør </w:t>
      </w:r>
      <w:r w:rsidRPr="007849B7">
        <w:lastRenderedPageBreak/>
        <w:t>ledsages af vækst- og modstandsdygtighedsfremmende reformer; henleder opmærksomheden på de investeringer i vedvarende energi og energieffektivitet, der er nødvendige for bl.a. at gøre EU uafhængigt af importerede fossile brændstoffer og begrænse inflationen drevet af energipriser; noterer sig den kontraktive finanspolitiske kurs, der forventes i 2023 og 2024; understreger, at en kontraktiv kurs ikke bør anvendes på bekostning af investeringerne, som bør øges i hele EU;</w:t>
      </w:r>
    </w:p>
    <w:p w:rsidR="00865674" w:rsidRPr="007849B7" w:rsidRDefault="00865674" w:rsidP="00865674">
      <w:pPr>
        <w:pStyle w:val="NormalHanging12a"/>
      </w:pPr>
      <w:r w:rsidRPr="007849B7">
        <w:t>4.</w:t>
      </w:r>
      <w:r w:rsidRPr="007849B7">
        <w:tab/>
        <w:t>understreger, at en yderligere uddybning af det indre marked og fjernelse af hindringer for investeringer, herunder gennem reformer, der strømliner og digitaliserer planlægnings‑ og tilladelsesprocedurer og andre administrative procedurer, ville bidrage til at fremme private investeringer; gentager, at industripolitikken samt dybe og integrerede EU-kapitalmarkeder og innovation også kan bidrage hertil ved at støtte investeringer, sikre EU's globale konkurrencedygtighed og mindske risici som følge af overdreven afhængighed af et begrænset antal ikke-EU-lande for så vidt angår vigtige teknologier, råstoffer og industrielle produktionsmidler;</w:t>
      </w:r>
    </w:p>
    <w:p w:rsidR="00865674" w:rsidRPr="007849B7" w:rsidRDefault="00865674" w:rsidP="00865674">
      <w:pPr>
        <w:pStyle w:val="NormalHanging12a"/>
      </w:pPr>
      <w:r w:rsidRPr="007849B7">
        <w:t>5.</w:t>
      </w:r>
      <w:r w:rsidRPr="007849B7">
        <w:tab/>
        <w:t>opfordrer medlemsstaterne til at gennemgå udgifterne som en almindelig del af den flerårige/årlige budgetprocedure, hvilket ville bidrage til at øge de offentlige udgifters effektivitet og kvalitet; støtter Kommissionens henstilling i den årlige undersøgelse af bæredygtig vækst 2024 om, at medlemsstaterne bør udfase de kriserelaterede støtteforanstaltninger på energiområdet og hurtigst muligt udfase subsidier til fossile brændstoffer; understreger, at både offentlige indtægter og offentlige udgifter er afgørende for at sikre de offentlige finansers holdbarhed; opfordrer medlemsstaterne til at træffe foranstaltninger til at bekæmpe skattesvig, skatteundgåelse, skatteunddragelse og hvidvask af penge; glæder sig over aftalen om pakken til bekæmpelse af hvidvask af penge i denne henseende;</w:t>
      </w:r>
    </w:p>
    <w:p w:rsidR="00865674" w:rsidRPr="007849B7" w:rsidRDefault="00865674" w:rsidP="00865674">
      <w:pPr>
        <w:pStyle w:val="NormalHanging12a"/>
      </w:pPr>
      <w:r w:rsidRPr="007849B7">
        <w:t>6.</w:t>
      </w:r>
      <w:r w:rsidRPr="007849B7">
        <w:tab/>
        <w:t>er enig med Kommissionen, når den vurderer, at risici i forbindelse med høj gæld og store prisforskelle fortsat er relevante, især i medlemsstater, hvor gældsafvikling kræver omfattende refinansiering af gæld, eller hvor den private sektor rammes af høje rentebetalinger;</w:t>
      </w:r>
    </w:p>
    <w:p w:rsidR="00865674" w:rsidRPr="007849B7" w:rsidRDefault="00865674" w:rsidP="00865674">
      <w:pPr>
        <w:pStyle w:val="NormalHanging12a"/>
      </w:pPr>
      <w:r w:rsidRPr="007849B7">
        <w:t>7.</w:t>
      </w:r>
      <w:r w:rsidRPr="007849B7">
        <w:tab/>
        <w:t>opfordrer medlemsstaterne i euroområdet til at undersøge alle midler til at fuldføre revisionen af den europæiske stabilitetsmekanisme for at gøre det muligt at indføre den fælles bagstopperordning for Den Fælles Afviklingsfond, hvilket ville styrke euroområdets modstandsdygtighed yderligere;</w:t>
      </w:r>
    </w:p>
    <w:p w:rsidR="00865674" w:rsidRPr="007849B7" w:rsidRDefault="00865674" w:rsidP="00865674">
      <w:pPr>
        <w:pStyle w:val="NormalHanging12a"/>
      </w:pPr>
      <w:r w:rsidRPr="007849B7">
        <w:rPr>
          <w:b/>
          <w:i/>
        </w:rPr>
        <w:t xml:space="preserve">Det europæiske semester og genopretnings- og </w:t>
      </w:r>
      <w:proofErr w:type="spellStart"/>
      <w:r w:rsidRPr="007849B7">
        <w:rPr>
          <w:b/>
          <w:i/>
        </w:rPr>
        <w:t>resiliensfaciliteten</w:t>
      </w:r>
      <w:proofErr w:type="spellEnd"/>
    </w:p>
    <w:p w:rsidR="00865674" w:rsidRPr="007849B7" w:rsidRDefault="00865674" w:rsidP="00865674">
      <w:pPr>
        <w:pStyle w:val="NormalHanging12a"/>
      </w:pPr>
      <w:r w:rsidRPr="007849B7">
        <w:t>8.</w:t>
      </w:r>
      <w:r w:rsidRPr="007849B7">
        <w:tab/>
        <w:t>minder om, at det europæiske semester er den veletablerede ramme for koordinering af de budgetmæssige, økonomiske, sociale og beskæftigelsesmæssige politikker i hele Unionen i overensstemmelse med traktaterne, herunder den europæiske søjle for sociale rettigheder, hvorved dens makroøkonomiske stabilitet, den varige konvergens mellem medlemsstaternes økonomiske resultater og EU's sociale samhørighed sikres; opfordrer til, at medlemsstaterne i højere grad tager nationalt ejerskab i det europæiske semester, f.eks. gennem deres lokale og regionale myndigheder; bemærker, at industriplanen for den grønne pagt fra 2023 er en del af EU's vækststrategi;</w:t>
      </w:r>
    </w:p>
    <w:p w:rsidR="00865674" w:rsidRPr="007849B7" w:rsidRDefault="00865674" w:rsidP="00865674">
      <w:pPr>
        <w:pStyle w:val="NormalHanging12a"/>
      </w:pPr>
      <w:r w:rsidRPr="007849B7">
        <w:t>9.</w:t>
      </w:r>
      <w:r w:rsidRPr="007849B7">
        <w:tab/>
        <w:t xml:space="preserve">er enig i, at de landespecifikke henstillinger for 2024 skal fokusere på specifikke kriterier; understreger, at de også skal tjene til at fremme en sund og inklusiv økonomisk vækst, øge konkurrenceevnen og den makroøkonomiske stabilitet, fremme </w:t>
      </w:r>
      <w:r w:rsidRPr="007849B7">
        <w:lastRenderedPageBreak/>
        <w:t>den grønne og den digitale omstilling og sikre social retfærdighed og retfærdighed mellem generationerne; tager højde for forskellene i de nationale prognoser for BNP-vækst, inflation, arbejdsløshed, offentlig saldo, bruttostatsgæld og betalingsbalancens løbende poster og bemærker, at de viser behovet for en fleksibel tilgang, som er baseret på den specifikke situation i de enkelte medlemsstater; opfordrer i den henseende Kommissionen til at knytte de landespecifikke henstillinger tættere sammen med de respektive landerapporter; opfordrer til effektiv overvågning af gennemførelsen af de landespecifikke henstillinger og de relevante reformer såvel som fremskridtene med hensyn til at reducere de afdækkede investeringsbehov; understreger, at der i de landespecifikke henstillinger skal tages hensyn til sociale sårbarheder og arbejdsløshed; bemærker det faldende antal sociale landespecifikke henstillinger baseret på den sociale resultattavle;</w:t>
      </w:r>
    </w:p>
    <w:p w:rsidR="00865674" w:rsidRPr="007849B7" w:rsidRDefault="00865674" w:rsidP="00865674">
      <w:pPr>
        <w:pStyle w:val="NormalHanging12a"/>
      </w:pPr>
      <w:r w:rsidRPr="007849B7">
        <w:t>10.</w:t>
      </w:r>
      <w:r w:rsidRPr="007849B7">
        <w:tab/>
        <w:t xml:space="preserve">glæder sig over fleksibiliteten i tilpasningen af genopretnings- og </w:t>
      </w:r>
      <w:proofErr w:type="spellStart"/>
      <w:r w:rsidRPr="007849B7">
        <w:t>resiliensfaciliteten</w:t>
      </w:r>
      <w:proofErr w:type="spellEnd"/>
      <w:r w:rsidRPr="007849B7">
        <w:t xml:space="preserve">, f.eks. i forbindelse med </w:t>
      </w:r>
      <w:proofErr w:type="spellStart"/>
      <w:r w:rsidRPr="007849B7">
        <w:t>REPowerEU</w:t>
      </w:r>
      <w:proofErr w:type="spellEnd"/>
      <w:r w:rsidRPr="007849B7">
        <w:t xml:space="preserve">, baseret på erfaringer fra dens gennemførelse; fremhæver, at delmålene og målene i de nationale genopretningsplaner bør være i overensstemmelse med de landespecifikke henstillinger, og at medlemsstaterne som minimum bør tage fat på en betydelig del af de landespecifikke henstillinger som en del af deres nationale genopretnings- og resiliensplaner; understreger, at genopretnings- og </w:t>
      </w:r>
      <w:proofErr w:type="spellStart"/>
      <w:r w:rsidRPr="007849B7">
        <w:t>resiliensfaciliteten</w:t>
      </w:r>
      <w:proofErr w:type="spellEnd"/>
      <w:r w:rsidRPr="007849B7">
        <w:t xml:space="preserve"> er en succes; minder om, at de finansierede projekters succes og effektivitet vil blive målt på deres indvirkning på økonomien og beskæftigelsen, og opfordrer til en hurtig, gennemsigtig og effektiv gennemførelse af disse projekter; understreger i denne forbindelse, at overholdelse af forordningen om genopretnings- og </w:t>
      </w:r>
      <w:proofErr w:type="spellStart"/>
      <w:r w:rsidRPr="007849B7">
        <w:t>resiliensfaciliteten</w:t>
      </w:r>
      <w:proofErr w:type="spellEnd"/>
      <w:r w:rsidRPr="007849B7">
        <w:t xml:space="preserve"> og korrekt gennemførelse er afgørende for genopretnings- og </w:t>
      </w:r>
      <w:proofErr w:type="spellStart"/>
      <w:r w:rsidRPr="007849B7">
        <w:t>resiliensfacilitetens</w:t>
      </w:r>
      <w:proofErr w:type="spellEnd"/>
      <w:r w:rsidRPr="007849B7">
        <w:t xml:space="preserve"> troværdighed;</w:t>
      </w:r>
    </w:p>
    <w:p w:rsidR="00865674" w:rsidRPr="007849B7" w:rsidRDefault="00865674" w:rsidP="00865674">
      <w:pPr>
        <w:pStyle w:val="NormalHanging12a"/>
      </w:pPr>
      <w:r w:rsidRPr="007849B7">
        <w:t>11.</w:t>
      </w:r>
      <w:r w:rsidRPr="007849B7">
        <w:tab/>
        <w:t xml:space="preserve">bemærker den rolle, som genopretnings‑ og </w:t>
      </w:r>
      <w:proofErr w:type="spellStart"/>
      <w:r w:rsidRPr="007849B7">
        <w:t>resiliensfaciliteten</w:t>
      </w:r>
      <w:proofErr w:type="spellEnd"/>
      <w:r w:rsidRPr="007849B7">
        <w:t xml:space="preserve"> spiller med hensyn til at tackle de globale udfordringer, der følger af den grønne og den digitale omstilling af økonomien; understreger, at reformer og investeringer i forbindelse med genopretnings- og </w:t>
      </w:r>
      <w:proofErr w:type="spellStart"/>
      <w:r w:rsidRPr="007849B7">
        <w:t>resiliensplanerne</w:t>
      </w:r>
      <w:proofErr w:type="spellEnd"/>
      <w:r w:rsidRPr="007849B7">
        <w:t xml:space="preserve"> bidrager til klimamålene i forordningen om genopretnings- og </w:t>
      </w:r>
      <w:proofErr w:type="spellStart"/>
      <w:r w:rsidRPr="007849B7">
        <w:t>resiliensfaciliteten</w:t>
      </w:r>
      <w:proofErr w:type="spellEnd"/>
      <w:r w:rsidRPr="007849B7">
        <w:t xml:space="preserve"> og er i overensstemmelse med princippet om ikke at gøre væsentlig skade; opfordrer medlemsstaterne til at få det bedste ud af denne mulighed og udnytte genopretnings- og </w:t>
      </w:r>
      <w:proofErr w:type="spellStart"/>
      <w:r w:rsidRPr="007849B7">
        <w:t>resiliensfaciliteten</w:t>
      </w:r>
      <w:proofErr w:type="spellEnd"/>
      <w:r w:rsidRPr="007849B7">
        <w:t xml:space="preserve"> til at omlægge deres økonomier og gøre dem mere konkurrenceprægede; minder om vigtigheden af at kontrollere, at midlerne når frem til realøkonomien og </w:t>
      </w:r>
      <w:proofErr w:type="spellStart"/>
      <w:r w:rsidRPr="007849B7">
        <w:t>SMV'er</w:t>
      </w:r>
      <w:proofErr w:type="spellEnd"/>
      <w:r w:rsidRPr="007849B7">
        <w:t>, og understreger betydningen af ansvarlighed og gennemsigtighed for organer, der modtager EU-støtte;</w:t>
      </w:r>
    </w:p>
    <w:p w:rsidR="00865674" w:rsidRPr="007849B7" w:rsidRDefault="00865674" w:rsidP="00865674">
      <w:pPr>
        <w:pStyle w:val="NormalHanging12a"/>
      </w:pPr>
      <w:r w:rsidRPr="007849B7">
        <w:t>12.</w:t>
      </w:r>
      <w:r w:rsidRPr="007849B7">
        <w:tab/>
        <w:t xml:space="preserve">understreger vigtigheden af private og offentlige investeringer i forbindelse med den økonomiske genopretning og i forbindelse med forvaltningen af den dobbelte omstilling; minder om, at genopretnings‑ og </w:t>
      </w:r>
      <w:proofErr w:type="spellStart"/>
      <w:r w:rsidRPr="007849B7">
        <w:t>resiliensfaciliteten</w:t>
      </w:r>
      <w:proofErr w:type="spellEnd"/>
      <w:r w:rsidRPr="007849B7">
        <w:t xml:space="preserve"> ikke erstatter de nationale offentlige investeringers specifikke rolle; gentager nødvendigheden af at sikre kvalitet, gennemsigtighed og ansvarlighed i de offentlige investeringer samt nationale strategier for at stemme overens med målene for den dobbelte omstilling; fremhæver, at disse nationale strategier for den dobbelte omstilling skal supplere genopretnings‑ og </w:t>
      </w:r>
      <w:proofErr w:type="spellStart"/>
      <w:r w:rsidRPr="007849B7">
        <w:t>resiliensfaciliteten</w:t>
      </w:r>
      <w:proofErr w:type="spellEnd"/>
      <w:r w:rsidRPr="007849B7">
        <w:t xml:space="preserve"> og andre europæiske investeringsinstrumenter;</w:t>
      </w:r>
    </w:p>
    <w:p w:rsidR="00865674" w:rsidRPr="007849B7" w:rsidRDefault="00865674" w:rsidP="00865674">
      <w:pPr>
        <w:pStyle w:val="NormalHanging12a"/>
      </w:pPr>
      <w:r w:rsidRPr="007849B7">
        <w:t>13.</w:t>
      </w:r>
      <w:r w:rsidRPr="007849B7">
        <w:tab/>
        <w:t xml:space="preserve">støtter en strømlining af EU's samhørighedspolitiske programmer med de investeringsbehov, der er identificeret under genopretnings- og </w:t>
      </w:r>
      <w:proofErr w:type="spellStart"/>
      <w:r w:rsidRPr="007849B7">
        <w:t>resiliensfaciliteten</w:t>
      </w:r>
      <w:proofErr w:type="spellEnd"/>
      <w:r w:rsidRPr="007849B7">
        <w:t xml:space="preserve"> og i de landespecifikke henstillinger; minder om, at samhørighedspolitikken tjener et bredere sæt mål end genopretnings- og </w:t>
      </w:r>
      <w:proofErr w:type="spellStart"/>
      <w:r w:rsidRPr="007849B7">
        <w:t>resiliensfaciliteten</w:t>
      </w:r>
      <w:proofErr w:type="spellEnd"/>
      <w:r w:rsidRPr="007849B7">
        <w:t xml:space="preserve"> og kan supplere de tiltag, der er aftalt under genopretnings‑ og </w:t>
      </w:r>
      <w:proofErr w:type="spellStart"/>
      <w:r w:rsidRPr="007849B7">
        <w:t>resiliensfaciliteten</w:t>
      </w:r>
      <w:proofErr w:type="spellEnd"/>
      <w:r w:rsidRPr="007849B7">
        <w:t xml:space="preserve">; opfordrer til, at interessenternes </w:t>
      </w:r>
      <w:r w:rsidRPr="007849B7">
        <w:lastRenderedPageBreak/>
        <w:t>deltagelse, herunder arbejdsmarkedets parter, civilsamfundsorganisationer og erhvervslivet, på sammenlignelig vis indarbejdes i udarbejdelsen og gennemførelsen af nationale genopretnings- og resiliensplaner, som det er tilfældet for samhørighedspolitiske programmer;</w:t>
      </w:r>
    </w:p>
    <w:p w:rsidR="00865674" w:rsidRPr="007849B7" w:rsidRDefault="00865674" w:rsidP="00865674">
      <w:pPr>
        <w:pStyle w:val="NormalHanging12a"/>
      </w:pPr>
      <w:r w:rsidRPr="007849B7">
        <w:t>14.</w:t>
      </w:r>
      <w:r w:rsidRPr="007849B7">
        <w:tab/>
        <w:t xml:space="preserve">understreger, at koordinering mellem de relevante myndigheder, herunder mellem nationale regeringer og regionale og lokale myndigheder, er afgørende for at forvalte genopretnings- og </w:t>
      </w:r>
      <w:proofErr w:type="spellStart"/>
      <w:r w:rsidRPr="007849B7">
        <w:t>resiliensfaciliteten</w:t>
      </w:r>
      <w:proofErr w:type="spellEnd"/>
      <w:r w:rsidRPr="007849B7">
        <w:t xml:space="preserve"> og overvinde administrative barrierer og bureaukrati;</w:t>
      </w:r>
    </w:p>
    <w:p w:rsidR="00865674" w:rsidRPr="007849B7" w:rsidRDefault="00865674" w:rsidP="00865674">
      <w:pPr>
        <w:pStyle w:val="NormalHanging12a"/>
      </w:pPr>
      <w:r w:rsidRPr="007849B7">
        <w:t>15.</w:t>
      </w:r>
      <w:r w:rsidRPr="007849B7">
        <w:tab/>
        <w:t>noterer sig den foreløbige politiske aftale, der blev indgået mellem medlovgiverne den 10. februar 2024 om reformen af EU's ramme for økonomisk styring, som har til formål at sikre en effektiv koordinering af de økonomiske politikker og vedvarende konvergens mellem medlemsstaternes økonomiske og sociale resultater;</w:t>
      </w:r>
    </w:p>
    <w:p w:rsidR="00865674" w:rsidRPr="007849B7" w:rsidRDefault="00865674" w:rsidP="00865674">
      <w:pPr>
        <w:pStyle w:val="NormalHanging12a"/>
      </w:pPr>
      <w:r w:rsidRPr="007849B7">
        <w:t>16.</w:t>
      </w:r>
      <w:r w:rsidRPr="007849B7">
        <w:tab/>
        <w:t xml:space="preserve">glæder sig over erfaringerne i forbindelse med udformningen af styringen af genopretnings- og </w:t>
      </w:r>
      <w:proofErr w:type="spellStart"/>
      <w:r w:rsidRPr="007849B7">
        <w:t>resiliensfaciliteten</w:t>
      </w:r>
      <w:proofErr w:type="spellEnd"/>
      <w:r w:rsidRPr="007849B7">
        <w:t>; bemærker, at reformen af rammen for økonomisk styring ikke giver EU finansielle incitamentsmekanismer til at støtte og fremme nationale politiske reformer og investeringer; understreger, at tilvejebringelse af det nødvendige niveau af offentlige investeringer er afgørende for at nå de vigtigste mål for reformen af rammen for økonomisk styring og for at tage fat på Unionens nuværende og fremtidige prioriteter; er bekymret over, at nogle medlemsstater ikke vil have den finansielle kapacitet til at finansiere den retfærdige grønne og digitale omstilling alene;</w:t>
      </w:r>
    </w:p>
    <w:p w:rsidR="00865674" w:rsidRPr="007849B7" w:rsidRDefault="00865674" w:rsidP="00865674">
      <w:pPr>
        <w:pStyle w:val="NormalHanging12a"/>
      </w:pPr>
      <w:r w:rsidRPr="007849B7">
        <w:t>17.</w:t>
      </w:r>
      <w:r w:rsidRPr="007849B7">
        <w:tab/>
        <w:t>understreger Europa-Parlamentets rolle i EU's ramme for økonomisk styring og går ind for et øget engagement fra Europa-Parlamentets side i det europæiske semester, samtidig med at de beføjelser, der er fastsat i traktaterne, respekteres fuldt ud; noterer sig dialogen mellem Kommissionen og medlemsstaterne om deres individuelle finanspolitiske strukturplaner; understreger behovet for, at alle medlemsstater behandles ens; understreger, at en forøgelse af Kommissionens skønsbeføjelser i udviklingsprocessen for de mellemfristede finanspolitiske strukturplaner skal ledsages af øget overholdelse af reglerne under tilsyn af Det Europæiske Finanspolitiske Råd samt øget ansvarlighed og øget informationsstrøm til Europa-Parlamentet; anerkender, at den økonomiske dialog som led i det europæiske semester udgør et nyttigt grundlag for ansvarlighed; mener, at korrekt ansvarlighed vil kræve, at Europa-Parlamentet har instrumenter, der giver det mulighed for at anvende konsekvenser baseret på dets vurdering af gennemførelsen af det europæiske semester i overensstemmelse med traktaterne;</w:t>
      </w:r>
    </w:p>
    <w:p w:rsidR="00865674" w:rsidRPr="007849B7" w:rsidRDefault="00865674" w:rsidP="00865674">
      <w:pPr>
        <w:pStyle w:val="NormalHanging12a"/>
        <w:jc w:val="center"/>
      </w:pPr>
      <w:r w:rsidRPr="007849B7">
        <w:t>°</w:t>
      </w:r>
    </w:p>
    <w:p w:rsidR="00865674" w:rsidRPr="007849B7" w:rsidRDefault="00865674" w:rsidP="00865674">
      <w:pPr>
        <w:pStyle w:val="NormalHanging12a"/>
        <w:jc w:val="center"/>
      </w:pPr>
      <w:r w:rsidRPr="007849B7">
        <w:t>°</w:t>
      </w:r>
      <w:r w:rsidRPr="007849B7">
        <w:tab/>
        <w:t>°</w:t>
      </w:r>
    </w:p>
    <w:p w:rsidR="00865674" w:rsidRPr="007849B7" w:rsidRDefault="00865674" w:rsidP="00865674">
      <w:pPr>
        <w:spacing w:after="240"/>
        <w:ind w:left="567" w:hanging="567"/>
      </w:pPr>
      <w:r w:rsidRPr="007849B7">
        <w:t>18.</w:t>
      </w:r>
      <w:r w:rsidRPr="007849B7">
        <w:tab/>
        <w:t xml:space="preserve">pålægger sin formand at sende denne beslutning til Rådet og Kommissionen. </w:t>
      </w:r>
    </w:p>
    <w:p w:rsidR="00E365E1" w:rsidRPr="007849B7" w:rsidRDefault="00E365E1" w:rsidP="00EC1C2A">
      <w:bookmarkStart w:id="9" w:name="TextBodyEnd"/>
      <w:bookmarkEnd w:id="9"/>
    </w:p>
    <w:sectPr w:rsidR="00E365E1" w:rsidRPr="007849B7" w:rsidSect="0009291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1C2A" w:rsidRPr="00092910" w:rsidRDefault="00EC1C2A">
      <w:r w:rsidRPr="00092910">
        <w:separator/>
      </w:r>
    </w:p>
  </w:endnote>
  <w:endnote w:type="continuationSeparator" w:id="0">
    <w:p w:rsidR="00EC1C2A" w:rsidRPr="00092910" w:rsidRDefault="00EC1C2A">
      <w:r w:rsidRPr="0009291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9291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9291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9291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1C2A" w:rsidRPr="00092910" w:rsidRDefault="00EC1C2A">
      <w:r w:rsidRPr="00092910">
        <w:separator/>
      </w:r>
    </w:p>
  </w:footnote>
  <w:footnote w:type="continuationSeparator" w:id="0">
    <w:p w:rsidR="00EC1C2A" w:rsidRPr="00092910" w:rsidRDefault="00EC1C2A">
      <w:r w:rsidRPr="00092910">
        <w:continuationSeparator/>
      </w:r>
    </w:p>
  </w:footnote>
  <w:footnote w:id="1">
    <w:p w:rsidR="00865674" w:rsidRPr="00092910" w:rsidRDefault="00865674" w:rsidP="00092910">
      <w:pPr>
        <w:pStyle w:val="FootnoteText"/>
        <w:ind w:left="567" w:hanging="567"/>
        <w:rPr>
          <w:sz w:val="24"/>
          <w:lang w:val="da-DK"/>
        </w:rPr>
      </w:pPr>
      <w:r w:rsidRPr="00092910">
        <w:rPr>
          <w:rStyle w:val="FootnoteReference"/>
          <w:sz w:val="24"/>
          <w:lang w:val="da-DK"/>
        </w:rPr>
        <w:footnoteRef/>
      </w:r>
      <w:r w:rsidR="00092910" w:rsidRPr="00092910">
        <w:rPr>
          <w:sz w:val="24"/>
          <w:lang w:val="da-DK"/>
        </w:rPr>
        <w:t xml:space="preserve"> </w:t>
      </w:r>
      <w:r w:rsidR="00092910" w:rsidRPr="00092910">
        <w:rPr>
          <w:sz w:val="24"/>
          <w:lang w:val="da-DK"/>
        </w:rPr>
        <w:tab/>
      </w:r>
      <w:r w:rsidRPr="00092910">
        <w:rPr>
          <w:sz w:val="24"/>
          <w:lang w:val="da-DK"/>
        </w:rPr>
        <w:t>EUT L 306 af 23.11.2011, s. 41.</w:t>
      </w:r>
    </w:p>
  </w:footnote>
  <w:footnote w:id="2">
    <w:p w:rsidR="00865674" w:rsidRPr="00092910" w:rsidRDefault="00865674" w:rsidP="00092910">
      <w:pPr>
        <w:pStyle w:val="FootnoteText"/>
        <w:ind w:left="567" w:hanging="567"/>
        <w:rPr>
          <w:sz w:val="24"/>
          <w:lang w:val="da-DK"/>
        </w:rPr>
      </w:pPr>
      <w:r w:rsidRPr="00092910">
        <w:rPr>
          <w:rStyle w:val="FootnoteReference"/>
          <w:sz w:val="24"/>
          <w:lang w:val="da-DK"/>
        </w:rPr>
        <w:footnoteRef/>
      </w:r>
      <w:r w:rsidR="00092910" w:rsidRPr="00092910">
        <w:rPr>
          <w:sz w:val="24"/>
          <w:lang w:val="da-DK"/>
        </w:rPr>
        <w:t xml:space="preserve"> </w:t>
      </w:r>
      <w:r w:rsidR="00092910" w:rsidRPr="00092910">
        <w:rPr>
          <w:sz w:val="24"/>
          <w:lang w:val="da-DK"/>
        </w:rPr>
        <w:tab/>
      </w:r>
      <w:r w:rsidRPr="00092910">
        <w:rPr>
          <w:sz w:val="24"/>
          <w:lang w:val="da-DK"/>
        </w:rPr>
        <w:t>EUT L 306 af 23.11.2011, s. 33.</w:t>
      </w:r>
    </w:p>
  </w:footnote>
  <w:footnote w:id="3">
    <w:p w:rsidR="00865674" w:rsidRPr="00092910" w:rsidRDefault="00865674" w:rsidP="00092910">
      <w:pPr>
        <w:pStyle w:val="FootnoteText"/>
        <w:ind w:left="567" w:hanging="567"/>
        <w:rPr>
          <w:sz w:val="24"/>
          <w:lang w:val="da-DK"/>
        </w:rPr>
      </w:pPr>
      <w:r w:rsidRPr="00092910">
        <w:rPr>
          <w:rStyle w:val="FootnoteReference"/>
          <w:sz w:val="24"/>
          <w:lang w:val="da-DK"/>
        </w:rPr>
        <w:footnoteRef/>
      </w:r>
      <w:r w:rsidR="00092910" w:rsidRPr="00092910">
        <w:rPr>
          <w:sz w:val="24"/>
          <w:lang w:val="da-DK"/>
        </w:rPr>
        <w:t xml:space="preserve"> </w:t>
      </w:r>
      <w:r w:rsidR="00092910" w:rsidRPr="00092910">
        <w:rPr>
          <w:sz w:val="24"/>
          <w:lang w:val="da-DK"/>
        </w:rPr>
        <w:tab/>
      </w:r>
      <w:r w:rsidRPr="00092910">
        <w:rPr>
          <w:sz w:val="24"/>
          <w:lang w:val="da-DK"/>
        </w:rPr>
        <w:t>EUT L 306 af 23.11.2011, s. 1.</w:t>
      </w:r>
    </w:p>
  </w:footnote>
  <w:footnote w:id="4">
    <w:p w:rsidR="00865674" w:rsidRPr="00092910" w:rsidRDefault="00865674" w:rsidP="00092910">
      <w:pPr>
        <w:pStyle w:val="FootnoteText"/>
        <w:ind w:left="567" w:hanging="567"/>
        <w:rPr>
          <w:sz w:val="24"/>
          <w:lang w:val="da-DK"/>
        </w:rPr>
      </w:pPr>
      <w:r w:rsidRPr="00092910">
        <w:rPr>
          <w:rStyle w:val="FootnoteReference"/>
          <w:sz w:val="24"/>
          <w:lang w:val="da-DK"/>
        </w:rPr>
        <w:footnoteRef/>
      </w:r>
      <w:r w:rsidR="00092910" w:rsidRPr="00092910">
        <w:rPr>
          <w:sz w:val="24"/>
          <w:lang w:val="da-DK"/>
        </w:rPr>
        <w:t xml:space="preserve"> </w:t>
      </w:r>
      <w:r w:rsidR="00092910" w:rsidRPr="00092910">
        <w:rPr>
          <w:sz w:val="24"/>
          <w:lang w:val="da-DK"/>
        </w:rPr>
        <w:tab/>
      </w:r>
      <w:r w:rsidRPr="00092910">
        <w:rPr>
          <w:sz w:val="24"/>
          <w:lang w:val="da-DK"/>
        </w:rPr>
        <w:t>EUT L 306 af 23.11.2011, s. 8.</w:t>
      </w:r>
    </w:p>
  </w:footnote>
  <w:footnote w:id="5">
    <w:p w:rsidR="00865674" w:rsidRPr="00092910" w:rsidRDefault="00865674" w:rsidP="00092910">
      <w:pPr>
        <w:pStyle w:val="FootnoteText"/>
        <w:ind w:left="567" w:hanging="567"/>
        <w:rPr>
          <w:sz w:val="24"/>
          <w:lang w:val="da-DK"/>
        </w:rPr>
      </w:pPr>
      <w:r w:rsidRPr="00092910">
        <w:rPr>
          <w:rStyle w:val="FootnoteReference"/>
          <w:sz w:val="24"/>
          <w:lang w:val="da-DK"/>
        </w:rPr>
        <w:footnoteRef/>
      </w:r>
      <w:r w:rsidR="00092910" w:rsidRPr="00092910">
        <w:rPr>
          <w:sz w:val="24"/>
          <w:lang w:val="da-DK"/>
        </w:rPr>
        <w:t xml:space="preserve"> </w:t>
      </w:r>
      <w:r w:rsidR="00092910" w:rsidRPr="00092910">
        <w:rPr>
          <w:sz w:val="24"/>
          <w:lang w:val="da-DK"/>
        </w:rPr>
        <w:tab/>
      </w:r>
      <w:r w:rsidRPr="00092910">
        <w:rPr>
          <w:sz w:val="24"/>
          <w:lang w:val="da-DK"/>
        </w:rPr>
        <w:t>EUT L 306 af 23.11.2011, s. 12.</w:t>
      </w:r>
    </w:p>
  </w:footnote>
  <w:footnote w:id="6">
    <w:p w:rsidR="00865674" w:rsidRPr="00092910" w:rsidRDefault="00865674" w:rsidP="00092910">
      <w:pPr>
        <w:pStyle w:val="FootnoteText"/>
        <w:ind w:left="567" w:hanging="567"/>
        <w:rPr>
          <w:sz w:val="24"/>
          <w:lang w:val="da-DK"/>
        </w:rPr>
      </w:pPr>
      <w:r w:rsidRPr="00092910">
        <w:rPr>
          <w:rStyle w:val="FootnoteReference"/>
          <w:sz w:val="24"/>
          <w:lang w:val="da-DK"/>
        </w:rPr>
        <w:footnoteRef/>
      </w:r>
      <w:r w:rsidR="00092910" w:rsidRPr="00092910">
        <w:rPr>
          <w:sz w:val="24"/>
          <w:lang w:val="da-DK"/>
        </w:rPr>
        <w:t xml:space="preserve"> </w:t>
      </w:r>
      <w:r w:rsidR="00092910" w:rsidRPr="00092910">
        <w:rPr>
          <w:sz w:val="24"/>
          <w:lang w:val="da-DK"/>
        </w:rPr>
        <w:tab/>
      </w:r>
      <w:r w:rsidRPr="00092910">
        <w:rPr>
          <w:sz w:val="24"/>
          <w:lang w:val="da-DK"/>
        </w:rPr>
        <w:t>EUT L 306 af 23.11.2011, s. 25.</w:t>
      </w:r>
    </w:p>
  </w:footnote>
  <w:footnote w:id="7">
    <w:p w:rsidR="00865674" w:rsidRPr="00092910" w:rsidRDefault="00865674" w:rsidP="00092910">
      <w:pPr>
        <w:pStyle w:val="FootnoteText"/>
        <w:ind w:left="567" w:hanging="567"/>
        <w:rPr>
          <w:sz w:val="24"/>
          <w:lang w:val="da-DK"/>
        </w:rPr>
      </w:pPr>
      <w:r w:rsidRPr="00092910">
        <w:rPr>
          <w:rStyle w:val="FootnoteReference"/>
          <w:sz w:val="24"/>
          <w:lang w:val="da-DK"/>
        </w:rPr>
        <w:footnoteRef/>
      </w:r>
      <w:r w:rsidR="00092910" w:rsidRPr="00092910">
        <w:rPr>
          <w:sz w:val="24"/>
          <w:lang w:val="da-DK"/>
        </w:rPr>
        <w:t xml:space="preserve"> </w:t>
      </w:r>
      <w:r w:rsidR="00092910" w:rsidRPr="00092910">
        <w:rPr>
          <w:sz w:val="24"/>
          <w:lang w:val="da-DK"/>
        </w:rPr>
        <w:tab/>
      </w:r>
      <w:r w:rsidRPr="00092910">
        <w:rPr>
          <w:sz w:val="24"/>
          <w:lang w:val="da-DK"/>
        </w:rPr>
        <w:t>EUT L 140 af 27.5.2013, s. 1.</w:t>
      </w:r>
    </w:p>
  </w:footnote>
  <w:footnote w:id="8">
    <w:p w:rsidR="00865674" w:rsidRPr="00092910" w:rsidRDefault="00865674" w:rsidP="00092910">
      <w:pPr>
        <w:pStyle w:val="FootnoteText"/>
        <w:ind w:left="567" w:hanging="567"/>
        <w:rPr>
          <w:sz w:val="24"/>
          <w:lang w:val="da-DK"/>
        </w:rPr>
      </w:pPr>
      <w:r w:rsidRPr="00092910">
        <w:rPr>
          <w:rStyle w:val="FootnoteReference"/>
          <w:sz w:val="24"/>
          <w:lang w:val="da-DK"/>
        </w:rPr>
        <w:footnoteRef/>
      </w:r>
      <w:r w:rsidR="00092910" w:rsidRPr="00092910">
        <w:rPr>
          <w:sz w:val="24"/>
          <w:lang w:val="da-DK"/>
        </w:rPr>
        <w:t xml:space="preserve"> </w:t>
      </w:r>
      <w:r w:rsidR="00092910" w:rsidRPr="00092910">
        <w:rPr>
          <w:sz w:val="24"/>
          <w:lang w:val="da-DK"/>
        </w:rPr>
        <w:tab/>
      </w:r>
      <w:r w:rsidRPr="00092910">
        <w:rPr>
          <w:sz w:val="24"/>
          <w:lang w:val="da-DK"/>
        </w:rPr>
        <w:t>EUT L 140 af 27.5.2013, s. 11.</w:t>
      </w:r>
    </w:p>
  </w:footnote>
  <w:footnote w:id="9">
    <w:p w:rsidR="00865674" w:rsidRPr="00092910" w:rsidRDefault="00865674" w:rsidP="00092910">
      <w:pPr>
        <w:pStyle w:val="FootnoteText"/>
        <w:ind w:left="567" w:hanging="567"/>
        <w:rPr>
          <w:sz w:val="24"/>
          <w:lang w:val="da-DK"/>
        </w:rPr>
      </w:pPr>
      <w:r w:rsidRPr="00092910">
        <w:rPr>
          <w:rStyle w:val="FootnoteReference"/>
          <w:sz w:val="24"/>
          <w:lang w:val="da-DK"/>
        </w:rPr>
        <w:footnoteRef/>
      </w:r>
      <w:r w:rsidR="00092910" w:rsidRPr="00092910">
        <w:rPr>
          <w:sz w:val="24"/>
          <w:lang w:val="da-DK"/>
        </w:rPr>
        <w:t xml:space="preserve"> </w:t>
      </w:r>
      <w:r w:rsidR="00092910" w:rsidRPr="00092910">
        <w:rPr>
          <w:sz w:val="24"/>
          <w:lang w:val="da-DK"/>
        </w:rPr>
        <w:tab/>
      </w:r>
      <w:r w:rsidRPr="00092910">
        <w:rPr>
          <w:sz w:val="24"/>
          <w:lang w:val="da-DK"/>
        </w:rPr>
        <w:t>EUT L 57 af 18.2.2021, s. 17.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9291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9291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9291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3/2024"/>
    <w:docVar w:name="dvlangue" w:val="DA"/>
    <w:docVar w:name="dvnumam" w:val="0"/>
    <w:docVar w:name="dvpe" w:val="757.014"/>
    <w:docVar w:name="dvrapporteur" w:val="Ordfører: "/>
    <w:docVar w:name="dvtitre" w:val="Europa-Parlamentets beslutning af xx. marts 2024 om det europæiske semester for samordning af de økonomiske politikker 2024(2023/2063(INI))"/>
  </w:docVars>
  <w:rsids>
    <w:rsidRoot w:val="00EC1C2A"/>
    <w:rsid w:val="000000F7"/>
    <w:rsid w:val="00002272"/>
    <w:rsid w:val="00064002"/>
    <w:rsid w:val="000677B9"/>
    <w:rsid w:val="000831BA"/>
    <w:rsid w:val="00092910"/>
    <w:rsid w:val="000A42CC"/>
    <w:rsid w:val="000E7DD9"/>
    <w:rsid w:val="0010095E"/>
    <w:rsid w:val="00125B37"/>
    <w:rsid w:val="00187494"/>
    <w:rsid w:val="001F32AE"/>
    <w:rsid w:val="002767FF"/>
    <w:rsid w:val="002B18FE"/>
    <w:rsid w:val="002B5493"/>
    <w:rsid w:val="00343214"/>
    <w:rsid w:val="00361C00"/>
    <w:rsid w:val="00395FA1"/>
    <w:rsid w:val="003C3D3A"/>
    <w:rsid w:val="003E15D4"/>
    <w:rsid w:val="00411CCE"/>
    <w:rsid w:val="0041666E"/>
    <w:rsid w:val="00421060"/>
    <w:rsid w:val="00466571"/>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49B7"/>
    <w:rsid w:val="00786EC0"/>
    <w:rsid w:val="007A6B97"/>
    <w:rsid w:val="007D1690"/>
    <w:rsid w:val="007E22AD"/>
    <w:rsid w:val="00817416"/>
    <w:rsid w:val="00842779"/>
    <w:rsid w:val="00865674"/>
    <w:rsid w:val="00865F67"/>
    <w:rsid w:val="00881A7B"/>
    <w:rsid w:val="008840E5"/>
    <w:rsid w:val="00887B3E"/>
    <w:rsid w:val="008C2AC6"/>
    <w:rsid w:val="008F70B5"/>
    <w:rsid w:val="00930C23"/>
    <w:rsid w:val="0093193B"/>
    <w:rsid w:val="009509D8"/>
    <w:rsid w:val="00950B64"/>
    <w:rsid w:val="00981893"/>
    <w:rsid w:val="00A1687D"/>
    <w:rsid w:val="00A36B15"/>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60C3"/>
    <w:rsid w:val="00E365E1"/>
    <w:rsid w:val="00E820A4"/>
    <w:rsid w:val="00EB006A"/>
    <w:rsid w:val="00EB4772"/>
    <w:rsid w:val="00EC1C2A"/>
    <w:rsid w:val="00ED169E"/>
    <w:rsid w:val="00ED4235"/>
    <w:rsid w:val="00F04346"/>
    <w:rsid w:val="00F075DC"/>
    <w:rsid w:val="00F149E9"/>
    <w:rsid w:val="00F5134D"/>
    <w:rsid w:val="00F73127"/>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8B40B0"/>
  <w15:chartTrackingRefBased/>
  <w15:docId w15:val="{25A01C8F-21C8-4C5F-B565-5D6C846EF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65674"/>
    <w:pPr>
      <w:spacing w:after="240"/>
      <w:ind w:left="567" w:hanging="567"/>
    </w:pPr>
  </w:style>
  <w:style w:type="paragraph" w:customStyle="1" w:styleId="EPComma">
    <w:name w:val="EPComma"/>
    <w:basedOn w:val="Normal"/>
    <w:rsid w:val="00865674"/>
    <w:pPr>
      <w:spacing w:before="480" w:after="240"/>
    </w:pPr>
  </w:style>
  <w:style w:type="character" w:customStyle="1" w:styleId="NormalHanging12aChar">
    <w:name w:val="NormalHanging12a Char"/>
    <w:basedOn w:val="DefaultParagraphFont"/>
    <w:link w:val="NormalHanging12a"/>
    <w:locked/>
    <w:rsid w:val="00865674"/>
    <w:rPr>
      <w:sz w:val="24"/>
      <w:lang w:val="da-DK"/>
    </w:rPr>
  </w:style>
  <w:style w:type="paragraph" w:styleId="BalloonText">
    <w:name w:val="Balloon Text"/>
    <w:basedOn w:val="Normal"/>
    <w:link w:val="BalloonTextChar"/>
    <w:rsid w:val="000000F7"/>
    <w:rPr>
      <w:rFonts w:ascii="Segoe UI" w:hAnsi="Segoe UI" w:cs="Segoe UI"/>
      <w:sz w:val="18"/>
      <w:szCs w:val="18"/>
    </w:rPr>
  </w:style>
  <w:style w:type="character" w:customStyle="1" w:styleId="BalloonTextChar">
    <w:name w:val="Balloon Text Char"/>
    <w:basedOn w:val="DefaultParagraphFont"/>
    <w:link w:val="BalloonText"/>
    <w:rsid w:val="000000F7"/>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5DFEB6-11D2-44A2-B3DF-FF085541B3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3249</Words>
  <Characters>20486</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LITTLEJOHN Anne Louise</cp:lastModifiedBy>
  <cp:revision>2</cp:revision>
  <cp:lastPrinted>2004-11-19T15:42:00Z</cp:lastPrinted>
  <dcterms:created xsi:type="dcterms:W3CDTF">2024-04-16T09:28:00Z</dcterms:created>
  <dcterms:modified xsi:type="dcterms:W3CDTF">2024-04-16T09:28:00Z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A9-0063/2024</vt:lpwstr>
  </property>
  <property fmtid="{D5CDD505-2E9C-101B-9397-08002B2CF9AE}" pid="4" name="&lt;Type&gt;">
    <vt:lpwstr>RR</vt:lpwstr>
  </property>
</Properties>
</file>