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C485B" w:rsidTr="0010095E">
        <w:trPr>
          <w:trHeight w:hRule="exact" w:val="1418"/>
        </w:trPr>
        <w:tc>
          <w:tcPr>
            <w:tcW w:w="6804" w:type="dxa"/>
            <w:shd w:val="clear" w:color="auto" w:fill="auto"/>
            <w:vAlign w:val="center"/>
          </w:tcPr>
          <w:p w:rsidR="00751A4A" w:rsidRPr="004C485B" w:rsidRDefault="00CA76B3" w:rsidP="0010095E">
            <w:pPr>
              <w:pStyle w:val="EPName"/>
            </w:pPr>
            <w:r w:rsidRPr="004C485B">
              <w:t>Ευρωπαϊκό Κοινοβούλιο</w:t>
            </w:r>
          </w:p>
          <w:p w:rsidR="00751A4A" w:rsidRPr="004C485B" w:rsidRDefault="00817416" w:rsidP="00756632">
            <w:pPr>
              <w:pStyle w:val="EPTerm"/>
              <w:rPr>
                <w:rStyle w:val="HideTWBExt"/>
                <w:noProof w:val="0"/>
                <w:vanish w:val="0"/>
                <w:color w:val="auto"/>
              </w:rPr>
            </w:pPr>
            <w:r w:rsidRPr="004C485B">
              <w:t>2019-2024</w:t>
            </w:r>
          </w:p>
        </w:tc>
        <w:tc>
          <w:tcPr>
            <w:tcW w:w="2268" w:type="dxa"/>
            <w:shd w:val="clear" w:color="auto" w:fill="auto"/>
          </w:tcPr>
          <w:p w:rsidR="00751A4A" w:rsidRPr="004C485B" w:rsidRDefault="00187494" w:rsidP="0010095E">
            <w:pPr>
              <w:pStyle w:val="EPLogo"/>
            </w:pPr>
            <w:r w:rsidRPr="004C485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C485B" w:rsidRDefault="00D058B8" w:rsidP="004C5D52">
      <w:pPr>
        <w:pStyle w:val="LineTop"/>
      </w:pPr>
    </w:p>
    <w:p w:rsidR="00680577" w:rsidRPr="004C485B" w:rsidRDefault="00CA76B3" w:rsidP="00680577">
      <w:pPr>
        <w:pStyle w:val="EPBodyTA1"/>
      </w:pPr>
      <w:r w:rsidRPr="004C485B">
        <w:t>ΚΕΙΜΕΝΑ ΠΟΥ ΕΓΚΡΙΘΗΚΑΝ</w:t>
      </w:r>
    </w:p>
    <w:p w:rsidR="00D058B8" w:rsidRPr="004C485B" w:rsidRDefault="00D058B8" w:rsidP="00D058B8">
      <w:pPr>
        <w:pStyle w:val="LineBottom"/>
      </w:pPr>
    </w:p>
    <w:p w:rsidR="00CA76B3" w:rsidRPr="00C7534C" w:rsidRDefault="00CA76B3" w:rsidP="00CA76B3">
      <w:pPr>
        <w:pStyle w:val="ATHeading1"/>
      </w:pPr>
      <w:bookmarkStart w:id="0" w:name="TANumber"/>
      <w:r w:rsidRPr="004C485B">
        <w:t>P9_TA(2024)0</w:t>
      </w:r>
      <w:r w:rsidR="00C7534C" w:rsidRPr="00C7534C">
        <w:t>156</w:t>
      </w:r>
      <w:bookmarkEnd w:id="0"/>
    </w:p>
    <w:p w:rsidR="00CA76B3" w:rsidRPr="004C485B" w:rsidRDefault="00CA76B3" w:rsidP="00CA76B3">
      <w:pPr>
        <w:pStyle w:val="ATHeading2"/>
      </w:pPr>
      <w:bookmarkStart w:id="1" w:name="title"/>
      <w:r w:rsidRPr="004C485B">
        <w:t xml:space="preserve">Ευρωπαϊκό εξάμηνο </w:t>
      </w:r>
      <w:r w:rsidR="00AC4D92">
        <w:t>συντονισμού</w:t>
      </w:r>
      <w:r w:rsidRPr="004C485B">
        <w:t xml:space="preserve"> </w:t>
      </w:r>
      <w:r w:rsidR="00AC4D92" w:rsidRPr="004C485B">
        <w:t>τ</w:t>
      </w:r>
      <w:r w:rsidR="00AC4D92">
        <w:t>ων</w:t>
      </w:r>
      <w:r w:rsidR="00AC4D92" w:rsidRPr="004C485B">
        <w:t xml:space="preserve"> οικονομικ</w:t>
      </w:r>
      <w:r w:rsidR="00AC4D92">
        <w:t>ών</w:t>
      </w:r>
      <w:r w:rsidR="00AC4D92" w:rsidRPr="004C485B">
        <w:t xml:space="preserve"> πολιτικ</w:t>
      </w:r>
      <w:r w:rsidR="00AC4D92">
        <w:t>ών</w:t>
      </w:r>
      <w:r w:rsidR="00AC4D92" w:rsidRPr="004C485B">
        <w:t xml:space="preserve"> </w:t>
      </w:r>
      <w:r w:rsidRPr="004C485B">
        <w:t>2024</w:t>
      </w:r>
      <w:bookmarkEnd w:id="1"/>
    </w:p>
    <w:p w:rsidR="00CA76B3" w:rsidRPr="004C485B" w:rsidRDefault="00CA76B3" w:rsidP="00CA76B3">
      <w:pPr>
        <w:rPr>
          <w:i/>
          <w:vanish/>
        </w:rPr>
      </w:pPr>
      <w:r w:rsidRPr="004C485B">
        <w:rPr>
          <w:i/>
        </w:rPr>
        <w:fldChar w:fldCharType="begin"/>
      </w:r>
      <w:r w:rsidRPr="004C485B">
        <w:rPr>
          <w:i/>
        </w:rPr>
        <w:instrText xml:space="preserve"> TC"(</w:instrText>
      </w:r>
      <w:bookmarkStart w:id="2" w:name="DocNumber"/>
      <w:r w:rsidRPr="004C485B">
        <w:rPr>
          <w:i/>
        </w:rPr>
        <w:instrText>A9-0063/2024</w:instrText>
      </w:r>
      <w:bookmarkEnd w:id="2"/>
      <w:r w:rsidRPr="004C485B">
        <w:rPr>
          <w:i/>
        </w:rPr>
        <w:instrText xml:space="preserve"> - Εισηγητής: René Repasi)"\l3 \n&gt; \* MERGEFORMAT </w:instrText>
      </w:r>
      <w:r w:rsidRPr="004C485B">
        <w:rPr>
          <w:i/>
        </w:rPr>
        <w:fldChar w:fldCharType="end"/>
      </w:r>
    </w:p>
    <w:p w:rsidR="00CA76B3" w:rsidRPr="004C485B" w:rsidRDefault="00CA76B3" w:rsidP="00CA76B3">
      <w:pPr>
        <w:rPr>
          <w:vanish/>
        </w:rPr>
      </w:pPr>
      <w:bookmarkStart w:id="3" w:name="Commission"/>
      <w:r w:rsidRPr="004C485B">
        <w:rPr>
          <w:vanish/>
        </w:rPr>
        <w:t>Επιτροπή Οικονομικής και Νομισματικής Πολιτικής</w:t>
      </w:r>
      <w:bookmarkEnd w:id="3"/>
    </w:p>
    <w:p w:rsidR="00CA76B3" w:rsidRPr="004C485B" w:rsidRDefault="00CA76B3" w:rsidP="00CA76B3">
      <w:pPr>
        <w:rPr>
          <w:vanish/>
        </w:rPr>
      </w:pPr>
      <w:bookmarkStart w:id="4" w:name="PE"/>
      <w:r w:rsidRPr="004C485B">
        <w:rPr>
          <w:vanish/>
        </w:rPr>
        <w:t>PE757.014</w:t>
      </w:r>
      <w:bookmarkEnd w:id="4"/>
    </w:p>
    <w:p w:rsidR="00CA76B3" w:rsidRPr="004C485B" w:rsidRDefault="00CA76B3" w:rsidP="00CA76B3">
      <w:pPr>
        <w:pStyle w:val="ATHeading3"/>
      </w:pPr>
      <w:bookmarkStart w:id="5" w:name="Sujet"/>
      <w:r w:rsidRPr="004C485B">
        <w:t xml:space="preserve">Ψήφισμα του Ευρωπαϊκού Κοινοβουλίου </w:t>
      </w:r>
      <w:r w:rsidR="00914B95">
        <w:t xml:space="preserve">της </w:t>
      </w:r>
      <w:r w:rsidR="00AC4D92" w:rsidRPr="00C7534C">
        <w:t>13</w:t>
      </w:r>
      <w:r w:rsidR="00AC4D92">
        <w:t>ης</w:t>
      </w:r>
      <w:r w:rsidR="00914B95">
        <w:t xml:space="preserve"> Μαρτίου 2024 </w:t>
      </w:r>
      <w:r w:rsidRPr="004C485B">
        <w:t>σχετικά με το Ευρωπαϊκό Εξάμηνο συντονισμού των οικονομικών πολιτικών 2024</w:t>
      </w:r>
      <w:bookmarkEnd w:id="5"/>
      <w:r w:rsidRPr="004C485B">
        <w:t xml:space="preserve"> </w:t>
      </w:r>
      <w:bookmarkStart w:id="6" w:name="References"/>
      <w:r w:rsidRPr="004C485B">
        <w:t>(2023/2063(INI))</w:t>
      </w:r>
      <w:bookmarkEnd w:id="6"/>
    </w:p>
    <w:p w:rsidR="00B22636" w:rsidRPr="004C485B" w:rsidRDefault="00B22636" w:rsidP="00B22636">
      <w:pPr>
        <w:pStyle w:val="EPComma"/>
      </w:pPr>
      <w:bookmarkStart w:id="7" w:name="TextBodyBegin"/>
      <w:bookmarkEnd w:id="7"/>
      <w:r w:rsidRPr="004C485B">
        <w:rPr>
          <w:i/>
        </w:rPr>
        <w:t>Το Ευρωπαϊκό Κοινοβούλιο</w:t>
      </w:r>
      <w:r w:rsidRPr="004C485B">
        <w:t>,</w:t>
      </w:r>
    </w:p>
    <w:p w:rsidR="00B22636" w:rsidRPr="004C485B" w:rsidRDefault="00B22636" w:rsidP="00B22636">
      <w:pPr>
        <w:pStyle w:val="NormalHanging12a"/>
      </w:pPr>
      <w:r w:rsidRPr="004C485B">
        <w:t>–</w:t>
      </w:r>
      <w:r w:rsidRPr="004C485B">
        <w:tab/>
        <w:t>έχοντας υπόψη τη Συνθήκη για τη λειτουργία της Ευρωπαϊκής Ένωσης (ΣΛΕΕ) και ιδίως το άρθρο 121 παράγραφος 2 και το άρθρο 136,</w:t>
      </w:r>
    </w:p>
    <w:p w:rsidR="00B22636" w:rsidRPr="004C485B" w:rsidRDefault="00B22636" w:rsidP="00B22636">
      <w:pPr>
        <w:pStyle w:val="NormalHanging12a"/>
      </w:pPr>
      <w:r w:rsidRPr="004C485B">
        <w:t>–</w:t>
      </w:r>
      <w:r w:rsidRPr="004C485B">
        <w:tab/>
        <w:t>έχοντας υπόψη το πρωτόκολλο αριθ. 1 της Συνθήκης για την Ευρωπαϊκή Ένωση (ΣΕΕ) σχετικά με τον ρόλο των εθνικών κοινοβουλίων στην Ευρωπαϊκή Ένωση,</w:t>
      </w:r>
    </w:p>
    <w:p w:rsidR="00B22636" w:rsidRPr="004C485B" w:rsidRDefault="00B22636" w:rsidP="00B22636">
      <w:pPr>
        <w:pStyle w:val="NormalHanging12a"/>
      </w:pPr>
      <w:r w:rsidRPr="004C485B">
        <w:t>–</w:t>
      </w:r>
      <w:r w:rsidRPr="004C485B">
        <w:tab/>
        <w:t>έχοντας υπόψη το πρωτόκολλο αριθ. 2 της ΣΕΕ και της ΣΛΕΕ σχετικά με την εφαρμογή των αρχών της επικουρικότητας και της αναλογικότητας,</w:t>
      </w:r>
    </w:p>
    <w:p w:rsidR="00B22636" w:rsidRPr="004C485B" w:rsidRDefault="00B22636" w:rsidP="00B22636">
      <w:pPr>
        <w:pStyle w:val="NormalHanging12a"/>
      </w:pPr>
      <w:r w:rsidRPr="004C485B">
        <w:t>–</w:t>
      </w:r>
      <w:r w:rsidRPr="004C485B">
        <w:tab/>
        <w:t>έχοντας υπόψη τη Συνθήκη για τη σταθερότητα, τον συντονισμό και τη διακυβέρνηση στην Οικονομική και Νομισματική Ένωση,</w:t>
      </w:r>
    </w:p>
    <w:p w:rsidR="00B22636" w:rsidRPr="004C485B" w:rsidRDefault="00B22636" w:rsidP="00B22636">
      <w:pPr>
        <w:pStyle w:val="NormalHanging12a"/>
      </w:pPr>
      <w:r w:rsidRPr="004C485B">
        <w:t>–</w:t>
      </w:r>
      <w:r w:rsidRPr="004C485B">
        <w:tab/>
        <w:t xml:space="preserve">έχοντας υπόψη τη συμφωνία του Παρισιού, η οποία </w:t>
      </w:r>
      <w:proofErr w:type="spellStart"/>
      <w:r w:rsidRPr="004C485B">
        <w:t>συνήφθη</w:t>
      </w:r>
      <w:proofErr w:type="spellEnd"/>
      <w:r w:rsidRPr="004C485B">
        <w:t xml:space="preserve"> δυνάμει της σύμβασης-πλαισίου των Ηνωμένων Εθνών για την κλιματική αλλαγή, και τους Στόχους Βιώσιμης Ανάπτυξης,</w:t>
      </w:r>
    </w:p>
    <w:p w:rsidR="00B22636" w:rsidRPr="004C485B" w:rsidRDefault="00B22636" w:rsidP="00B22636">
      <w:pPr>
        <w:pStyle w:val="NormalHanging12a"/>
      </w:pPr>
      <w:r w:rsidRPr="004C485B">
        <w:t>–</w:t>
      </w:r>
      <w:r w:rsidRPr="004C485B">
        <w:tab/>
        <w:t>έχοντας υπόψη την οδηγία 2011/85/ΕE του Συμβουλίου, της 8ης Νοεμβρίου 2011, σχετικά με τις απαιτήσεις για τα δημοσιονομικά πλαίσια των κρατών μελών</w:t>
      </w:r>
      <w:r w:rsidRPr="004C485B">
        <w:rPr>
          <w:rStyle w:val="FootnoteReference"/>
          <w:szCs w:val="24"/>
        </w:rPr>
        <w:footnoteReference w:id="1"/>
      </w:r>
      <w:r w:rsidRPr="004C485B">
        <w:t>,</w:t>
      </w:r>
    </w:p>
    <w:p w:rsidR="00B22636" w:rsidRPr="004C485B" w:rsidRDefault="00B22636" w:rsidP="00B22636">
      <w:pPr>
        <w:pStyle w:val="NormalHanging12a"/>
      </w:pPr>
      <w:r w:rsidRPr="004C485B">
        <w:t>–</w:t>
      </w:r>
      <w:r w:rsidRPr="004C485B">
        <w:tab/>
        <w:t>έχοντας υπόψη τον κανονισμό (ΕΕ) αριθ. 1177/2011 του Συμβουλίου, της 8ης Νοεμβρίου 2011, για την τροποποίηση του κανονισμού (ΕΚ) αριθ. 1467/97 για την επιτάχυνση και τη διασαφήνιση της εφαρμογής της διαδικασίας υπερβολικού ελλείμματος</w:t>
      </w:r>
      <w:r w:rsidRPr="004C485B">
        <w:rPr>
          <w:vertAlign w:val="superscript"/>
        </w:rPr>
        <w:footnoteReference w:id="2"/>
      </w:r>
      <w:r w:rsidRPr="004C485B">
        <w:t>,</w:t>
      </w:r>
    </w:p>
    <w:p w:rsidR="00B22636" w:rsidRPr="004C485B" w:rsidRDefault="00B22636" w:rsidP="00B22636">
      <w:pPr>
        <w:pStyle w:val="NormalHanging12a"/>
      </w:pPr>
      <w:r w:rsidRPr="004C485B">
        <w:t>–</w:t>
      </w:r>
      <w:r w:rsidRPr="004C485B">
        <w:tab/>
        <w:t>έχοντας υπόψη τον κανονισμό (ΕΕ) αριθ. 1173/2011 του Ευρωπαϊκού Κοινοβουλίου και του Συμβουλίου, της 16ης Νοεμβρίου 2011, για την αποτελεσματική επιβολή της δημοσιονομικής εποπτείας στη ζώνη του ευρώ</w:t>
      </w:r>
      <w:r w:rsidRPr="004C485B">
        <w:rPr>
          <w:vertAlign w:val="superscript"/>
        </w:rPr>
        <w:footnoteReference w:id="3"/>
      </w:r>
      <w:r w:rsidRPr="004C485B">
        <w:t>,</w:t>
      </w:r>
    </w:p>
    <w:p w:rsidR="00B22636" w:rsidRPr="004C485B" w:rsidRDefault="00B22636" w:rsidP="00B22636">
      <w:pPr>
        <w:pStyle w:val="NormalHanging12a"/>
      </w:pPr>
      <w:r w:rsidRPr="004C485B">
        <w:t>–</w:t>
      </w:r>
      <w:r w:rsidRPr="004C485B">
        <w:tab/>
        <w:t xml:space="preserve">έχοντας υπόψη τον κανονισμό (ΕΕ) αριθ. 1174/2011 του Ευρωπαϊκού Κοινοβουλίου και του Συμβουλίου, της 16ης Νοεμβρίου 2011, σχετικά με κατασταλτικά μέτρα για τη </w:t>
      </w:r>
      <w:r w:rsidRPr="004C485B">
        <w:lastRenderedPageBreak/>
        <w:t>διόρθωση των υπερβολικών μακροοικονομικών ανισορροπιών στην ευρωζώνη</w:t>
      </w:r>
      <w:r w:rsidRPr="004C485B">
        <w:rPr>
          <w:vertAlign w:val="superscript"/>
        </w:rPr>
        <w:footnoteReference w:id="4"/>
      </w:r>
      <w:r w:rsidRPr="004C485B">
        <w:t>,</w:t>
      </w:r>
    </w:p>
    <w:p w:rsidR="00B22636" w:rsidRPr="004C485B" w:rsidRDefault="00B22636" w:rsidP="00B22636">
      <w:pPr>
        <w:pStyle w:val="NormalHanging12a"/>
      </w:pPr>
      <w:r w:rsidRPr="004C485B">
        <w:t>–</w:t>
      </w:r>
      <w:r w:rsidRPr="004C485B">
        <w:tab/>
        <w:t>έχοντας υπόψη τον κανονισμό (ΕΕ) αριθ. 1175/2011 του Ευρωπαϊκού Κοινοβουλίου και του Συμβουλίου, της 16ης Νοεμβρίου 2011, που τροποποιεί τον κανονισμό (ΕΚ) αριθ. 1466/97 του Συμβουλίου για την ενίσχυση της εποπτείας της δημοσιονομικής κατάστασης και την εποπτεία και τον συντονισμό των οικονομικών πολιτικών</w:t>
      </w:r>
      <w:r w:rsidRPr="004C485B">
        <w:rPr>
          <w:vertAlign w:val="superscript"/>
        </w:rPr>
        <w:footnoteReference w:id="5"/>
      </w:r>
      <w:r w:rsidRPr="004C485B">
        <w:t>,</w:t>
      </w:r>
    </w:p>
    <w:p w:rsidR="00B22636" w:rsidRPr="004C485B" w:rsidRDefault="00B22636" w:rsidP="00B22636">
      <w:pPr>
        <w:pStyle w:val="NormalHanging12a"/>
      </w:pPr>
      <w:r w:rsidRPr="004C485B">
        <w:t>–</w:t>
      </w:r>
      <w:r w:rsidRPr="004C485B">
        <w:tab/>
        <w:t>έχοντας υπόψη τον κανονισμό (ΕΕ) αριθ. 1176/2011 του Ευρωπαϊκού Κοινοβουλίου και του Συμβουλίου, της 16ης Νοεμβρίου 2011, σχετικά με την πρόληψη και τη διόρθωση των υπερβολικών μακροοικονομικών ανισορροπιών</w:t>
      </w:r>
      <w:r w:rsidRPr="004C485B">
        <w:rPr>
          <w:vertAlign w:val="superscript"/>
        </w:rPr>
        <w:footnoteReference w:id="6"/>
      </w:r>
      <w:r w:rsidRPr="004C485B">
        <w:t>,</w:t>
      </w:r>
    </w:p>
    <w:p w:rsidR="00B22636" w:rsidRPr="004C485B" w:rsidRDefault="00B22636" w:rsidP="00B22636">
      <w:pPr>
        <w:pStyle w:val="NormalHanging12a"/>
      </w:pPr>
      <w:r w:rsidRPr="004C485B">
        <w:t>–</w:t>
      </w:r>
      <w:r w:rsidRPr="004C485B">
        <w:tab/>
        <w:t>έχοντας υπόψη τον κανονισμό (ΕΕ) αριθ. 472/2013 του Ευρωπαϊκού Κοινοβουλίου και του Συμβουλίου, της 21ης Μαΐου 2013, για την ενίσχυση της οικονομικής και δημοσιονομικής εποπτείας των κρατών μελών στη ζώνη του ευρώ τα οποία αντιμετωπίζουν ή απειλούνται με σοβαρές δυσκολίες αναφορικά με τη χρηματοοικονομική τους σταθερότητα</w:t>
      </w:r>
      <w:r w:rsidRPr="004C485B">
        <w:rPr>
          <w:rStyle w:val="FootnoteReference"/>
          <w:szCs w:val="24"/>
        </w:rPr>
        <w:footnoteReference w:id="7"/>
      </w:r>
      <w:r w:rsidRPr="004C485B">
        <w:t>,</w:t>
      </w:r>
    </w:p>
    <w:p w:rsidR="00B22636" w:rsidRPr="004C485B" w:rsidRDefault="00B22636" w:rsidP="00B22636">
      <w:pPr>
        <w:pStyle w:val="NormalHanging12a"/>
      </w:pPr>
      <w:r w:rsidRPr="004C485B">
        <w:t>–</w:t>
      </w:r>
      <w:r w:rsidRPr="004C485B">
        <w:tab/>
        <w:t>έχοντας υπόψη τον κανονισμό (ΕΕ) αριθ. 473/2013 του Ευρωπαϊκού Κοινοβουλίου και του Συμβουλίου, της 21ης Μαΐου 2013, σχετικά με κοινές διατάξεις για την παρακολούθηση και την εκτίμηση των σχεδίων δημοσιονομικών προγραμμάτων και τη διασφάλιση της διόρθωσης του υπερβολικού ελλείμματος των κρατών μελών στη ζώνη του ευρώ</w:t>
      </w:r>
      <w:r w:rsidRPr="004C485B">
        <w:rPr>
          <w:rStyle w:val="FootnoteReference"/>
          <w:szCs w:val="24"/>
        </w:rPr>
        <w:footnoteReference w:id="8"/>
      </w:r>
      <w:r w:rsidRPr="004C485B">
        <w:t>,</w:t>
      </w:r>
    </w:p>
    <w:p w:rsidR="00B22636" w:rsidRPr="004C485B" w:rsidRDefault="00B22636" w:rsidP="00B22636">
      <w:pPr>
        <w:pStyle w:val="NormalHanging12a"/>
      </w:pPr>
      <w:r w:rsidRPr="004C485B">
        <w:t>–</w:t>
      </w:r>
      <w:r w:rsidRPr="004C485B">
        <w:tab/>
        <w:t>έχοντας υπόψη τον κανονισμό (ΕΕ) 2021/241 του Ευρωπαϊκού Κοινοβουλίου και του Συμβουλίου, της 12ης Φεβρουαρίου 2021, για τη θέσπιση του μηχανισμού ανάκαμψης και ανθεκτικότητας</w:t>
      </w:r>
      <w:r w:rsidRPr="004C485B">
        <w:rPr>
          <w:rStyle w:val="FootnoteReference"/>
          <w:szCs w:val="24"/>
        </w:rPr>
        <w:footnoteReference w:id="9"/>
      </w:r>
      <w:r w:rsidRPr="004C485B">
        <w:t xml:space="preserve"> (κανονισμός ΜΑΑ),</w:t>
      </w:r>
    </w:p>
    <w:p w:rsidR="00B22636" w:rsidRPr="004C485B" w:rsidRDefault="00B22636" w:rsidP="00B22636">
      <w:pPr>
        <w:pStyle w:val="NormalHanging12a"/>
      </w:pPr>
      <w:r w:rsidRPr="004C485B">
        <w:t>–</w:t>
      </w:r>
      <w:r w:rsidRPr="004C485B">
        <w:tab/>
        <w:t>έχοντας υπόψη την ανακοίνωση της Επιτροπής, της 4ης Μαρτίου 2021, με τίτλο «Σχέδιο δράσης για τον ευρωπαϊκό πυλώνα κοινωνικών δικαιωμάτων» [COM(2021)0102],</w:t>
      </w:r>
    </w:p>
    <w:p w:rsidR="00B22636" w:rsidRPr="004C485B" w:rsidRDefault="00B22636" w:rsidP="00B22636">
      <w:pPr>
        <w:pStyle w:val="NormalHanging12a"/>
      </w:pPr>
      <w:r w:rsidRPr="004C485B">
        <w:t>–</w:t>
      </w:r>
      <w:r w:rsidRPr="004C485B">
        <w:tab/>
        <w:t>έχοντας υπόψη την κοινωνική δέσμευση του Πόρτο, της 7ης Μαΐου 2021, μεταξύ του Συμβουλίου, της Επιτροπής, του Κοινοβουλίου και των κοινωνικών εταίρων,</w:t>
      </w:r>
    </w:p>
    <w:p w:rsidR="00B22636" w:rsidRPr="004C485B" w:rsidRDefault="00B22636" w:rsidP="00B22636">
      <w:pPr>
        <w:pStyle w:val="NormalHanging12a"/>
      </w:pPr>
      <w:r w:rsidRPr="004C485B">
        <w:t>–</w:t>
      </w:r>
      <w:r w:rsidRPr="004C485B">
        <w:tab/>
        <w:t>έχοντας υπόψη την εκτίμηση που εξέδωσε το Ευρωπαϊκό Δημοσιονομικό Συμβούλιο στις 28 Ιουνίου 2023 σχετικά με τον κατάλληλο δημοσιονομικό προσανατολισμό για τη ζώνη του ευρώ το 2024,</w:t>
      </w:r>
    </w:p>
    <w:p w:rsidR="00B22636" w:rsidRPr="004C485B" w:rsidRDefault="00B22636" w:rsidP="00B22636">
      <w:pPr>
        <w:pStyle w:val="NormalHanging12a"/>
      </w:pPr>
      <w:r w:rsidRPr="004C485B">
        <w:t>–</w:t>
      </w:r>
      <w:r w:rsidRPr="004C485B">
        <w:tab/>
        <w:t>έχοντας υπόψη την ετήσια έκθεση του Ευρωπαϊκού Δημοσιονομικού Συμβουλίου, της 4ης Οκτωβρίου 2023,</w:t>
      </w:r>
    </w:p>
    <w:p w:rsidR="00B22636" w:rsidRPr="004C485B" w:rsidRDefault="00B22636" w:rsidP="00B22636">
      <w:pPr>
        <w:pStyle w:val="NormalHanging12a"/>
        <w:rPr>
          <w:bCs/>
          <w:szCs w:val="23"/>
        </w:rPr>
      </w:pPr>
      <w:r w:rsidRPr="004C485B">
        <w:t>–</w:t>
      </w:r>
      <w:r w:rsidRPr="004C485B">
        <w:tab/>
        <w:t>έχοντας υπόψη την ανακοίνωση της Επιτροπής, της 9ης Νοεμβρίου 2022, σχετικά με τις κατευθύνσεις για τη μεταρρύθμιση του πλαισίου οικονομικής διακυβέρνησης της ΕΕ [COM(2022)0583],</w:t>
      </w:r>
    </w:p>
    <w:p w:rsidR="00B22636" w:rsidRPr="004C485B" w:rsidRDefault="00B22636" w:rsidP="00B22636">
      <w:pPr>
        <w:pStyle w:val="NormalHanging12a"/>
      </w:pPr>
      <w:r w:rsidRPr="004C485B">
        <w:t>–</w:t>
      </w:r>
      <w:r w:rsidRPr="004C485B">
        <w:tab/>
        <w:t xml:space="preserve">έχοντας υπόψη την πρόταση της Επιτροπής, της 26ης Απριλίου 2023, για κανονισμό </w:t>
      </w:r>
      <w:r w:rsidRPr="004C485B">
        <w:lastRenderedPageBreak/>
        <w:t>του Ευρωπαϊκού Κοινοβουλίου και του Συμβουλίου σχετικά με τον αποτελεσματικό συντονισμό των οικονομικών πολιτικών και την πολυμερή δημοσιονομική εποπτεία καθώς και την κατάργηση του κανονισμού (ΕΚ) αριθ. 1466/97 του Συμβουλίου [COM(2023)0240],</w:t>
      </w:r>
      <w:bookmarkStart w:id="8" w:name="_GoBack"/>
      <w:bookmarkEnd w:id="8"/>
    </w:p>
    <w:p w:rsidR="00B22636" w:rsidRPr="004C485B" w:rsidRDefault="00B22636" w:rsidP="00B22636">
      <w:pPr>
        <w:pStyle w:val="NormalHanging12a"/>
      </w:pPr>
      <w:r w:rsidRPr="004C485B">
        <w:t>–</w:t>
      </w:r>
      <w:r w:rsidRPr="004C485B">
        <w:tab/>
        <w:t>έχοντας υπόψη την πρόταση της Επιτροπής, της 26ης Απριλίου 2023, για κανονισμό του Συμβουλίου που τροποποιεί τον κανονισμό (EΚ) αριθ. 1467/97 για την επιτάχυνση και τη διασαφήνιση της εφαρμογής της διαδικασίας υπερβολικού ελλείμματος [COM(2023)0241],</w:t>
      </w:r>
    </w:p>
    <w:p w:rsidR="00B22636" w:rsidRPr="004C485B" w:rsidRDefault="00B22636" w:rsidP="00B22636">
      <w:pPr>
        <w:pStyle w:val="NormalHanging12a"/>
      </w:pPr>
      <w:r w:rsidRPr="004C485B">
        <w:t>–</w:t>
      </w:r>
      <w:r w:rsidRPr="004C485B">
        <w:tab/>
        <w:t>έχοντας υπόψη την πρόταση της Επιτροπής, της 26ης Απριλίου 2023, για οδηγία του Συμβουλίου για την τροποποίηση της οδηγίας 2011/85/Ε</w:t>
      </w:r>
      <w:r w:rsidR="000345EB">
        <w:rPr>
          <w:lang w:val="en-GB"/>
        </w:rPr>
        <w:t>E</w:t>
      </w:r>
      <w:r w:rsidRPr="004C485B">
        <w:t xml:space="preserve"> σχετικά με τις απαιτήσεις για τα δημοσιονομικά πλαίσια των κρατών μελών [COM(2023)0242],</w:t>
      </w:r>
    </w:p>
    <w:p w:rsidR="00B22636" w:rsidRPr="004C485B" w:rsidRDefault="00B22636" w:rsidP="00B22636">
      <w:pPr>
        <w:pStyle w:val="NormalHanging12a"/>
        <w:rPr>
          <w:bCs/>
          <w:szCs w:val="23"/>
        </w:rPr>
      </w:pPr>
      <w:r w:rsidRPr="004C485B">
        <w:t>–</w:t>
      </w:r>
      <w:r w:rsidRPr="004C485B">
        <w:tab/>
        <w:t>έχοντας υπόψη τη δήλωση της Γρανάδας, η οποία εγκρίθηκε στις 6 Οκτωβρίου 2023,</w:t>
      </w:r>
    </w:p>
    <w:p w:rsidR="00B22636" w:rsidRPr="004C485B" w:rsidRDefault="00B22636" w:rsidP="00B22636">
      <w:pPr>
        <w:pStyle w:val="NormalHanging12a"/>
        <w:rPr>
          <w:shd w:val="clear" w:color="auto" w:fill="FFFFFF"/>
        </w:rPr>
      </w:pPr>
      <w:r w:rsidRPr="004C485B">
        <w:t>–</w:t>
      </w:r>
      <w:r w:rsidRPr="004C485B">
        <w:tab/>
        <w:t>έχοντας υπόψη την ανακοίνωση της Επιτροπής, της 21ης Νοεμβρίου 2023, με τίτλο «Ετήσια έρευνα για τη βιώσιμη ανάπτυξη 2024» [COM(2023)0901],</w:t>
      </w:r>
    </w:p>
    <w:p w:rsidR="00B22636" w:rsidRPr="004C485B" w:rsidRDefault="00B22636" w:rsidP="00B22636">
      <w:pPr>
        <w:pStyle w:val="NormalHanging12a"/>
      </w:pPr>
      <w:r w:rsidRPr="004C485B">
        <w:t>–</w:t>
      </w:r>
      <w:r w:rsidRPr="004C485B">
        <w:tab/>
        <w:t>έχοντας υπόψη την ανακοίνωση της Επιτροπής, της 21ης Νοεμβρίου 2023, με τίτλο «Έκθεση του μηχανισμού επαγρύπνησης 2024» [COM(2023)0902] και τη σύσταση της Επιτροπής, της 21ης Νοεμβρίου 2023, για σύσταση του Συμβουλίου σχετικά με την οικονομική πολιτική της ζώνης του ευρώ [COM(2023)0903],</w:t>
      </w:r>
    </w:p>
    <w:p w:rsidR="00B22636" w:rsidRPr="004C485B" w:rsidRDefault="00B22636" w:rsidP="00B22636">
      <w:pPr>
        <w:pStyle w:val="NormalHanging12a"/>
      </w:pPr>
      <w:r w:rsidRPr="004C485B">
        <w:t>–</w:t>
      </w:r>
      <w:r w:rsidRPr="004C485B">
        <w:tab/>
        <w:t>έχοντας υπόψη την πρόταση της Επιτροπής και του Συμβουλίου, της 21ης Νοεμβρίου 202</w:t>
      </w:r>
      <w:r w:rsidR="000345EB" w:rsidRPr="000345EB">
        <w:t>3</w:t>
      </w:r>
      <w:r w:rsidRPr="004C485B">
        <w:t>, για κοινή έκθεση για την απασχόληση [COM(2023)0904],</w:t>
      </w:r>
    </w:p>
    <w:p w:rsidR="00B22636" w:rsidRPr="004C485B" w:rsidRDefault="00B22636" w:rsidP="00B22636">
      <w:pPr>
        <w:pStyle w:val="NormalHanging12a"/>
      </w:pPr>
      <w:r w:rsidRPr="004C485B">
        <w:t>–</w:t>
      </w:r>
      <w:r w:rsidRPr="004C485B">
        <w:tab/>
        <w:t>έχοντας υπόψη τις φθινοπωρινές οικονομικές προβλέψεις της Επιτροπής, του 2023, που δημοσιεύθηκαν στις 15 Νοεμβρίου 2023,</w:t>
      </w:r>
    </w:p>
    <w:p w:rsidR="00B22636" w:rsidRPr="004C485B" w:rsidRDefault="00B22636" w:rsidP="00B22636">
      <w:pPr>
        <w:pStyle w:val="NormalHanging12a"/>
      </w:pPr>
      <w:r w:rsidRPr="004C485B">
        <w:t>–</w:t>
      </w:r>
      <w:r w:rsidRPr="004C485B">
        <w:tab/>
        <w:t>έχοντας υπόψη το άρθρο 54 του Κανονισμού του,</w:t>
      </w:r>
    </w:p>
    <w:p w:rsidR="00B22636" w:rsidRPr="004C485B" w:rsidRDefault="00B22636" w:rsidP="00B22636">
      <w:pPr>
        <w:pStyle w:val="NormalHanging12a"/>
      </w:pPr>
      <w:r w:rsidRPr="004C485B">
        <w:t>–</w:t>
      </w:r>
      <w:r w:rsidRPr="004C485B">
        <w:tab/>
        <w:t>έχοντας υπόψη τη γνωμοδότηση της Επιτροπής Προϋπολογισμών,</w:t>
      </w:r>
    </w:p>
    <w:p w:rsidR="00B22636" w:rsidRPr="004C485B" w:rsidRDefault="00B22636" w:rsidP="00B22636">
      <w:pPr>
        <w:pStyle w:val="NormalHanging12a"/>
      </w:pPr>
      <w:r w:rsidRPr="004C485B">
        <w:t>–</w:t>
      </w:r>
      <w:r w:rsidRPr="004C485B">
        <w:tab/>
        <w:t>έχοντας υπόψη την έκθεση της Επιτροπής Οικονομικής και Νομισματικής Πολιτικής (A9-0063/2024),</w:t>
      </w:r>
    </w:p>
    <w:p w:rsidR="00B22636" w:rsidRPr="004C485B" w:rsidRDefault="00B22636" w:rsidP="00B22636">
      <w:pPr>
        <w:pStyle w:val="NormalHanging12a"/>
      </w:pPr>
      <w:r w:rsidRPr="004C485B">
        <w:t>Α.</w:t>
      </w:r>
      <w:r w:rsidRPr="004C485B">
        <w:tab/>
        <w:t>λαμβάνοντας υπόψη ότι το Ευρωπαϊκό Εξάμηνο διαδραματίζει ουσιαστικό ρόλο στον συντονισμό των οικονομικών, δημοσιονομικών, διαρθρωτικών και κοινωνικών πολιτικών των κρατών μελών, και των πολιτικών τους για την απασχόληση, διασφαλίζοντας έτσι τη μακροοικονομική σταθερότητα της Οικονομικής και Νομισματικής Ένωσης·</w:t>
      </w:r>
    </w:p>
    <w:p w:rsidR="00B22636" w:rsidRPr="004C485B" w:rsidRDefault="00B22636" w:rsidP="00B22636">
      <w:pPr>
        <w:pStyle w:val="NormalHanging12a"/>
      </w:pPr>
      <w:r w:rsidRPr="004C485B">
        <w:t>Β.</w:t>
      </w:r>
      <w:r w:rsidRPr="004C485B">
        <w:tab/>
        <w:t>λαμβάνοντας υπόψη ότι, σύμφωνα με τις χειμερινές προβλέψεις της Επιτροπής του 2024, εκτιμάται ότι το 2023 η οικονομική δραστηριότητα αυξήθηκε μόνο κατά 0,5 % τόσο στην ΕΕ όσο και στη ζώνη του ευρώ λόγω του υψηλού πληθωρισμού και των αυστηρότερων όρων χρηματοδότησης, μετά από ισχυρή ανάκαμψη το 2022· λαμβάνοντας υπόψη ότι η αναμενόμενη αύξηση του ΑΕΠ αναθεωρήθηκε προς τα κάτω στο 0,9 % (από 1,3 %) στην ΕΕ και στο 0,8 % (από 1,2 %) στη ζώνη του ευρώ για το 2024· λαμβάνοντας υπόψη ότι το 2025 η οικονομική δραστηριότητα αναμένεται ακόμα να αυξηθεί κατά 1,7 % στην ΕΕ και 1,5 % στη ζώνη του ευρώ·</w:t>
      </w:r>
    </w:p>
    <w:p w:rsidR="00B22636" w:rsidRPr="004C485B" w:rsidRDefault="00B22636" w:rsidP="00B22636">
      <w:pPr>
        <w:pStyle w:val="NormalHanging12a"/>
      </w:pPr>
      <w:r w:rsidRPr="004C485B">
        <w:t>Γ.</w:t>
      </w:r>
      <w:r w:rsidRPr="004C485B">
        <w:tab/>
        <w:t xml:space="preserve">λαμβάνοντας υπόψη ότι η αγορά εργασίας της ΕΕ συνέχισε να παρουσιάζει υψηλές </w:t>
      </w:r>
      <w:r w:rsidRPr="004C485B">
        <w:lastRenderedPageBreak/>
        <w:t xml:space="preserve">επιδόσεις κατά το πρώτο εξάμηνο του 2023, παρά την επιβράδυνση της οικονομικής μεγέθυνσης· λαμβάνοντας υπόψη ότι, σύμφωνα με τις φθινοπωρινές προβλέψεις της Επιτροπής του 2023, οι ελλείψεις εργατικού δυναμικού συνέχισαν να είναι έντονες σε πολλούς τομείς και επαγγέλματα, ιδίως σε τομείς που σχετίζονται με την κλιμάκωση και την εφαρμογή τεχνολογιών μηδενικών και χαμηλών εκπομπών· λαμβάνοντας υπόψη ότι η ανεργία έχει φτάσει σε ιστορικά χαμηλά επίπεδα στην ΕΕ στο σύνολό της, με διακύμανση μεταξύ των κρατών μελών· λαμβάνοντας υπόψη ότι, σύμφωνα με τα στοιχεία της </w:t>
      </w:r>
      <w:proofErr w:type="spellStart"/>
      <w:r w:rsidRPr="004C485B">
        <w:t>Eurostat</w:t>
      </w:r>
      <w:proofErr w:type="spellEnd"/>
      <w:r w:rsidRPr="004C485B">
        <w:t>, η ανεργία των νέων έφτασε στο 14,7 % στην ΕΕ και στο 14,4 % στη ζώνη του ευρώ τον Δεκέμβριο του 2023·</w:t>
      </w:r>
    </w:p>
    <w:p w:rsidR="00B22636" w:rsidRPr="004C485B" w:rsidRDefault="00B22636" w:rsidP="00B22636">
      <w:pPr>
        <w:pStyle w:val="NormalHanging12a"/>
      </w:pPr>
      <w:r w:rsidRPr="004C485B">
        <w:t>Δ.</w:t>
      </w:r>
      <w:r w:rsidRPr="004C485B">
        <w:tab/>
        <w:t>λαμβάνοντας υπόψη ότι ο πληθωρισμός προβλέπεται να μειωθεί από 6,3 % το 2023 σε 3,0 % το 2024 και 2,5 % το 2025 στην ΕΕ και από 5,4 % το 2023 σε 2,7 % το 2024 και 2,2 % το 2025 στη ζώνη του ευρώ, σύμφωνα με τις χειμερινές προβλέψεις της Επιτροπής του 2024· λαμβάνοντας υπόψη ότι η δημοσιονομική πολιτική πρέπει να στηρίζει τη νομισματική πολιτική για τη μείωση του πληθωρισμού και τη διασφάλιση της δημοσιονομικής βιωσιμότητας, παρέχοντας παράλληλα επαρκή περιθώρια για πρόσθετες επενδύσεις και στηρίζοντας τη μακροπρόθεσμη ανάπτυξη·</w:t>
      </w:r>
    </w:p>
    <w:p w:rsidR="00B22636" w:rsidRPr="004C485B" w:rsidRDefault="00B22636" w:rsidP="00B22636">
      <w:pPr>
        <w:pStyle w:val="NormalHanging12a"/>
      </w:pPr>
      <w:r w:rsidRPr="004C485B">
        <w:t>Ε.</w:t>
      </w:r>
      <w:r w:rsidRPr="004C485B">
        <w:tab/>
        <w:t>λαμβάνοντας υπόψη ότι ο πληθωρισμός επηρεάζει με άνισο τρόπο τις εισοδηματικές ομάδες και ότι οι ομάδες χαμηλού εισοδήματος πλήττονται δυσανάλογα· λαμβάνοντας υπόψη ότι ο πληθωρισμός θα μπορούσε να δημιουργήσει μια πραγματική κρίση κόστους ζωής για ορισμένα τμήματα του πληθυσμού, θέτοντας προκλήσεις για την κοινωνική συνοχή·</w:t>
      </w:r>
    </w:p>
    <w:p w:rsidR="00B22636" w:rsidRPr="004C485B" w:rsidRDefault="00B22636" w:rsidP="00B22636">
      <w:pPr>
        <w:pStyle w:val="NormalHanging12a"/>
      </w:pPr>
      <w:r w:rsidRPr="004C485B">
        <w:t>ΣΤ.</w:t>
      </w:r>
      <w:r w:rsidRPr="004C485B">
        <w:tab/>
        <w:t>λαμβάνοντας υπόψη ότι ο λόγος του χρέους προς το ΑΕΠ αναμένεται να μειωθεί στο 83,1 % στην ΕΕ το 2023 (90,4 % στη ζώνη του ευρώ)· λαμβάνοντας υπόψη ότι ο λόγος του χρέους προς το ΑΕΠ αναμένεται να μειωθεί οριακά στην ΕΕ σε περίπου 82,7 % το 2024 και 82,5 % το 2025· λαμβάνοντας υπόψη ότι ο λόγος του χρέους προς το ΑΕΠ της ζώνης του ευρώ αναμένεται να μειωθεί σε περίπου 89,7 % το 2024 και 89,5 % το 2025· λαμβάνοντας υπόψη ότι υπάρχει μεγάλη διακύμανση στα επίπεδα του χρέους των διαφόρων κρατών μελών· λαμβάνοντας υπόψη ότι οι υψηλοί λόγοι του χρέους προς το ΑΕΠ, σε συνδυασμό με τα υψηλά επιτόκια και την αβέβαιη μακροοικονομική κατάσταση, ενδέχεται να θέσουν σε κίνδυνο τη μακροπρόθεσμη βιωσιμότητα του χρέους και την οικονομική σταθερότητα·</w:t>
      </w:r>
    </w:p>
    <w:p w:rsidR="00B22636" w:rsidRPr="004C485B" w:rsidRDefault="00B22636" w:rsidP="00B22636">
      <w:pPr>
        <w:pStyle w:val="NormalHanging12a"/>
      </w:pPr>
      <w:r w:rsidRPr="004C485B">
        <w:t>Ζ.</w:t>
      </w:r>
      <w:r w:rsidRPr="004C485B">
        <w:tab/>
        <w:t>λαμβάνοντας υπόψη ότι, σύμφωνα με τις φθινοπωρινές προβλέψεις της Επιτροπής του 2023, το έλλειμμα γενικής κυβέρνησης αναμένεται να υποχωρήσει στο 3,2 % του ΑΕΠ το 2023 και να μειωθεί περαιτέρω στο 2,8 % του ΑΕΠ το 2024 και στο 2,7 % το 2025· λαμβάνοντας υπόψη ότι η γενική ρήτρα διαφυγής του Συμφώνου Σταθερότητας και Ανάπτυξης θα απενεργοποιηθεί στο τέλος του 2023· λαμβάνοντας υπόψη ότι η Επιτροπή ανακοίνωσε πως θα υποβάλει στο Συμβούλιο πρόταση για κίνηση διαδικασίας υπερβολικού ελλείμματος την άνοιξη του 2024, βάσει των απολογιστικών στοιχείων του 2023, σύμφωνα με τις ισχύουσες νομικές διατάξεις.</w:t>
      </w:r>
    </w:p>
    <w:p w:rsidR="00B22636" w:rsidRPr="004C485B" w:rsidRDefault="00B22636" w:rsidP="00B22636">
      <w:pPr>
        <w:pStyle w:val="NormalHanging12a"/>
      </w:pPr>
      <w:r w:rsidRPr="004C485B">
        <w:t>Η.</w:t>
      </w:r>
      <w:r w:rsidRPr="004C485B">
        <w:tab/>
        <w:t>λαμβάνοντας υπόψη ότι το 2023 και το 2024 ο συνολικός δημοσιονομικός προσανατολισμός αναμένεται να καταστεί συσταλτικός, κατά 0,5 % του ΑΕΠ και τα δύο έτη, κυρίως λόγω της σχεδόν πλήρους σταδιακής κατάργησης των σχετικών με την κρίση ενεργειακών μέτρων·</w:t>
      </w:r>
    </w:p>
    <w:p w:rsidR="00B22636" w:rsidRPr="004C485B" w:rsidRDefault="00B22636" w:rsidP="00B22636">
      <w:pPr>
        <w:pStyle w:val="NormalHanging12a"/>
      </w:pPr>
      <w:r w:rsidRPr="004C485B">
        <w:t>Θ.</w:t>
      </w:r>
      <w:r w:rsidRPr="004C485B">
        <w:tab/>
        <w:t xml:space="preserve">λαμβάνοντας υπόψη ότι η ταχεία, αποφασιστική και συντονισμένη πολιτική αντίδραση επέτρεψε στην οικονομία της ΕΕ να ανακάμψει και να αντιμετωπίσει τις κοινωνικοοικονομικές συνέπειες της πανδημίας </w:t>
      </w:r>
      <w:r w:rsidR="00914B95">
        <w:t xml:space="preserve">της </w:t>
      </w:r>
      <w:r w:rsidRPr="004C485B">
        <w:t xml:space="preserve">COVID-19 και του επιθετικού </w:t>
      </w:r>
      <w:r w:rsidRPr="004C485B">
        <w:lastRenderedPageBreak/>
        <w:t>πολέμου της Ρωσίας κατά της Ουκρανίας, και να αντιμετωπίσει την επακόλουθη ενεργειακή κρίση· λαμβάνοντας υπόψη ότι η οικονομία επιβραδύνθηκε το 2023· λαμβάνοντας υπόψη ότι οι προοπτικές εξακολουθούν να περιβάλλονται από υψηλό βαθμό αβεβαιότητας και κινδύνους, που σχετίζονται κυρίως με την εξέλιξη του συνεχιζόμενου επιθετικού πολέμου της Ρωσίας κατά της Ουκρανίας και τη σύγκρουση στη Μέση Ανατολή·</w:t>
      </w:r>
    </w:p>
    <w:p w:rsidR="00B22636" w:rsidRPr="004C485B" w:rsidRDefault="00B22636" w:rsidP="00B22636">
      <w:pPr>
        <w:pStyle w:val="NormalHanging12a"/>
      </w:pPr>
      <w:r w:rsidRPr="004C485B">
        <w:t>Ι.</w:t>
      </w:r>
      <w:r w:rsidRPr="004C485B">
        <w:tab/>
        <w:t>λαμβάνοντας υπόψη ότι αυτά τα ανατρεπτικά γεωπολιτικά γεγονότα έχουν καταδείξει ότι η Ευρωπαϊκή Ένωση πρέπει να ενισχύσει περαιτέρω την ανοικτή στρατηγική αυτονομία της και να παραμείνει ανταγωνιστική στην παγκόσμια αγορά, διασφαλίζοντας παράλληλα ότι κανείς δεν θα μείνει στο περιθώριο·</w:t>
      </w:r>
    </w:p>
    <w:p w:rsidR="00B22636" w:rsidRPr="004C485B" w:rsidRDefault="00B22636" w:rsidP="00B22636">
      <w:pPr>
        <w:pStyle w:val="NormalHanging12a"/>
      </w:pPr>
      <w:r w:rsidRPr="004C485B">
        <w:t>ΙΑ.</w:t>
      </w:r>
      <w:r w:rsidRPr="004C485B">
        <w:tab/>
        <w:t>λαμβάνοντας υπόψη ότι η χρηματοδότηση της ΕΕ έχει συμβάλει στη μακροοικονομική ισχύ σε επίπεδο ΕΕ και αυξάνει την εσωτερική και εξωτερική ανθεκτικότητά της σε περιόδους κρίσης, στηρίζοντας παράλληλα τα κράτη μέλη στη χρηματοδότηση των αναγκαίων επενδύσεων στις προτεραιότητες της ΕΕ για την αντιμετώπιση των σημερινών και των μελλοντικών προκλήσεων·</w:t>
      </w:r>
    </w:p>
    <w:p w:rsidR="00B22636" w:rsidRPr="004C485B" w:rsidRDefault="00B22636" w:rsidP="00B22636">
      <w:pPr>
        <w:pStyle w:val="NormalHanging12a"/>
      </w:pPr>
      <w:r w:rsidRPr="004C485B">
        <w:t>ΙΒ.</w:t>
      </w:r>
      <w:r w:rsidRPr="004C485B">
        <w:tab/>
        <w:t>λαμβάνοντας υπόψη ότι, μετά από σημαντική επέκταση που σχετίζεται με την κρίση μεταξύ 2020 και 2022, ο δημοσιονομικός προσανατολισμός στη ζώνη του ευρώ αναμένεται να είναι περιοριστικός το 2023 και το 2024· λαμβάνοντας υπόψη ότι ο δημοσιονομικός προσανατολισμός θα πρέπει να παραμείνει ευέλικτος λόγω της υψηλής αβεβαιότητας·</w:t>
      </w:r>
    </w:p>
    <w:p w:rsidR="00B22636" w:rsidRPr="004C485B" w:rsidRDefault="00B22636" w:rsidP="00B22636">
      <w:pPr>
        <w:pStyle w:val="NormalHanging12a"/>
      </w:pPr>
      <w:r w:rsidRPr="004C485B">
        <w:t>ΙΓ.</w:t>
      </w:r>
      <w:r w:rsidRPr="004C485B">
        <w:tab/>
        <w:t xml:space="preserve">λαμβάνοντας υπόψη ότι οι καθαρές δημόσιες επενδύσεις ως ποσοστό του ΑΕΠ μειώθηκαν απότομα στην ΕΕ μετά τη χρηματοπιστωτική κρίση που προέκυψε από την πανδημία </w:t>
      </w:r>
      <w:r w:rsidR="00914B95">
        <w:t xml:space="preserve">της </w:t>
      </w:r>
      <w:r w:rsidRPr="004C485B">
        <w:t>COVID-19, φθάνοντας σε αρνητικά επίπεδα σε ορισμένες περιπτώσεις· λαμβάνοντας υπόψη ότι το ποσοστό αυτό δεν έχει ακόμη ανακάμψει πλήρως· λαμβάνοντας υπόψη ότι η επιτυχία των κλιματικά ουδέτερων πολιτικών και του ψηφιακού μετασχηματισμού βασίζεται σε μια κοινή ευρωπαϊκή προσέγγιση και απαιτεί τη λήψη μέτρων τόσο σε επίπεδο ΕΕ όσο και σε επίπεδο κρατών μελών· λαμβάνοντας υπόψη ότι η μελλοντική ανθεκτικότητα της ΕΕ συνδέεται στενά με την αύξηση των δημόσιων και ιδιωτικών επενδύσεων για βιώσιμη ανάπτυξη και ένα φιλόδοξο πρόγραμμα διαρθρωτικών μεταρρυθμίσεων· λαμβάνοντας υπόψη ότι πρέπει οπωσδήποτε να εξετασθεί η ανάγκη εξασφάλισης κατάλληλου επιπέδου δημόσιων επενδύσεων μετά τη λήξη του Μηχανισμού Ανθεκτικότητας και Ανάκαμψης (ΜΑΑ) το 2026· λαμβάνοντας υπόψη ότι η επίτευξη των στόχων της Ευρωπαϊκής Πράσινης Συμφωνίας και της συμφωνίας του Παρισιού απαιτεί σημαντικές δημόσιες και ιδιωτικές επενδύσεις·</w:t>
      </w:r>
    </w:p>
    <w:p w:rsidR="00B22636" w:rsidRPr="004C485B" w:rsidRDefault="00B22636" w:rsidP="00B22636">
      <w:pPr>
        <w:pStyle w:val="NormalHanging12a"/>
      </w:pPr>
      <w:r w:rsidRPr="004C485B">
        <w:t>ΙΔ.</w:t>
      </w:r>
      <w:r w:rsidRPr="004C485B">
        <w:tab/>
        <w:t>λαμβάνοντας υπόψη ότι τα κράτη μέλη πρέπει να διαθέτουν τους απαιτούμενους μηχανισμούς παρακολούθησης και ελέγχου για τη διασφάλιση του σεβασμού του κράτους δικαίου και την προστασία των οικονομικών συμφερόντων της ΕΕ, ιδίως για την πρόληψη της απάτης, της διαφθοράς και των συγκρούσεων συμφερόντων, και για τη διασφάλιση της διαφάνειας· λαμβάνοντας υπόψη ότι είναι σημαντικό τα κράτη μέλη να εφαρμόσουν τις σχετικές ειδικές ανά χώρα συστάσεις (ΣΑΧ) στο πλαίσιο αυτό·</w:t>
      </w:r>
    </w:p>
    <w:p w:rsidR="00B22636" w:rsidRPr="004C485B" w:rsidRDefault="00B22636" w:rsidP="00B22636">
      <w:pPr>
        <w:pStyle w:val="NormalHanging12a"/>
        <w:rPr>
          <w:b/>
        </w:rPr>
      </w:pPr>
      <w:r w:rsidRPr="004C485B">
        <w:rPr>
          <w:b/>
          <w:i/>
        </w:rPr>
        <w:t>Οικονομικές προοπτικές για την ΕΕ</w:t>
      </w:r>
    </w:p>
    <w:p w:rsidR="00B22636" w:rsidRPr="004C485B" w:rsidRDefault="00C7534C" w:rsidP="00C7534C">
      <w:pPr>
        <w:pStyle w:val="NormalHanging12a"/>
        <w:ind w:hanging="570"/>
      </w:pPr>
      <w:r w:rsidRPr="004C485B">
        <w:t>1.</w:t>
      </w:r>
      <w:r w:rsidRPr="004C485B">
        <w:tab/>
      </w:r>
      <w:r w:rsidR="00B22636" w:rsidRPr="004C485B">
        <w:t xml:space="preserve">εκφράζει την ανησυχία του για την οικονομική κατάσταση, τη συνεχιζόμενη αβεβαιότητα, την ασθενή ανάπτυξη, την ανταγωνιστικότητα και την παραγωγικότητα στην ΕΕ· σημειώνει με ανησυχία τον συνεχή αντίκτυπο των τιμών της ενέργειας και </w:t>
      </w:r>
      <w:r w:rsidR="00B22636" w:rsidRPr="004C485B">
        <w:lastRenderedPageBreak/>
        <w:t xml:space="preserve">του πληθωρισμού στην αγοραστική δύναμη των νοικοκυριών, με αύξηση του κινδύνου φτώχειας, συμπεριλαμβανομένης της ενεργειακής φτώχειας, για πολλούς Ευρωπαίους, και στην ικανότητα απόδοσης των εταιρειών της ΕΕ, συμπεριλαμβανομένων των μικρών και μεσαίων επιχειρήσεων (ΜΜΕ)· καλεί τα κράτη μέλη να λάβουν περαιτέρω μέτρα για την υπέρβαση αυτών των δυσκολιών, και να εφαρμόσουν </w:t>
      </w:r>
      <w:proofErr w:type="spellStart"/>
      <w:r w:rsidR="00B22636" w:rsidRPr="004C485B">
        <w:t>στοχευμένα</w:t>
      </w:r>
      <w:proofErr w:type="spellEnd"/>
      <w:r w:rsidR="00B22636" w:rsidRPr="004C485B">
        <w:t xml:space="preserve"> μέτρα για τη διασφάλιση θεμιτού ανταγωνισμού στην ενιαία αγορά και την αντιμετώπιση των επίμονων πληθωριστικών πιέσεων·</w:t>
      </w:r>
    </w:p>
    <w:p w:rsidR="00B22636" w:rsidRPr="004C485B" w:rsidRDefault="00C7534C" w:rsidP="00C7534C">
      <w:pPr>
        <w:pStyle w:val="NormalHanging12a"/>
        <w:ind w:hanging="570"/>
      </w:pPr>
      <w:r w:rsidRPr="004C485B">
        <w:t>2.</w:t>
      </w:r>
      <w:r w:rsidRPr="004C485B">
        <w:tab/>
      </w:r>
      <w:r w:rsidR="00B22636" w:rsidRPr="004C485B">
        <w:t>σημειώνει ότι πολλά κράτη μέλη αντιμετωπίζουν διαρθρωτικές προκλήσεις που εμποδίζουν το αναπτυξιακό δυναμικό τους· επισημαίνει ότι η αντιμετώπιση των διαρθρωτικών προκλήσεων είναι ζωτικής σημασίας για τη βιώσιμη ανάκαμψη και τη συνεχή ανάπτυξη, και ότι η εφαρμογή μεταρρυθμίσεων για την αντιμετώπιση των διαρθρωτικών αδυναμιών είναι καίριας σημασίας όχι μόνο για τη βελτίωση της ικανότητας αντοχής στις υφιστάμενες προκλήσεις και αντιμετώπισής τους, αλλά και για την επίτευξη της διττής μετάβασης με βιώσιμο και δίκαιο τρόπο· επισημαίνει ότι οι φιλόδοξες διαρθρωτικές μεταρρυθμίσεις παραμένουν απαραίτητες για την ενίσχυση της οικονομικής βάσης της ΕΕ, την προώθηση της δημιουργίας επιχειρήσεων και της επιχειρηματικότητας και την ενίσχυση της ανταγωνιστικότητας, της παραγωγικότητας και του συνολικού αναπτυξιακού δυναμικού της ΕΕ·</w:t>
      </w:r>
    </w:p>
    <w:p w:rsidR="00B22636" w:rsidRPr="004C485B" w:rsidRDefault="00C7534C" w:rsidP="00C7534C">
      <w:pPr>
        <w:pStyle w:val="NormalHanging12a"/>
        <w:ind w:hanging="570"/>
      </w:pPr>
      <w:r w:rsidRPr="004C485B">
        <w:t>3.</w:t>
      </w:r>
      <w:r w:rsidRPr="004C485B">
        <w:tab/>
      </w:r>
      <w:r w:rsidR="00B22636" w:rsidRPr="004C485B">
        <w:t xml:space="preserve">τονίζει ότι η έλλειψη δημόσιων και ιδιωτικών επενδύσεων σε ορισμένα κράτη μέλη παρεμποδίζει τις δυνατότητες κοινωνικά δίκαιης και περιβαλλοντικά βιώσιμης ανάπτυξης· θεωρεί ότι οι προβλέψιμοι κανόνες, οι ίσοι όροι ανταγωνισμού και η μείωση του κόστους συμμόρφωσης αποτελούν καθοριστικούς παράγοντες για την προσέλκυση επενδύσεων· επισημαίνει ότι οι επενδύσεις αυτές είναι ζωτικής σημασίας για την ικανότητα της ΕΕ να αντιμετωπίζει τις υφιστάμενες προκλήσεις, συμπεριλαμβανομένης της δίκαιης πράσινης και ψηφιακής μετάβασης, και ότι θα αυξήσουν την ανθεκτικότητα και τη μακροπρόθεσμη ανταγωνιστικότητα της ΕΕ ενόψει των επικείμενων προκλήσεων· πιστεύει ότι οι επενδύσεις αυτές θα πρέπει να συνοδεύονται από μεταρρυθμίσεις που ενισχύουν την ανάπτυξη και την ανθεκτικότητα· </w:t>
      </w:r>
      <w:proofErr w:type="spellStart"/>
      <w:r w:rsidR="00B22636" w:rsidRPr="004C485B">
        <w:t>εφιστά</w:t>
      </w:r>
      <w:proofErr w:type="spellEnd"/>
      <w:r w:rsidR="00B22636" w:rsidRPr="004C485B">
        <w:t xml:space="preserve"> την προσοχή στις επενδύσεις σε ανανεώσιμες πηγές ενέργειας και ενεργειακή απόδοση που απαιτούνται, μεταξύ άλλων, για να καταστεί η ΕΕ ανεξάρτητη από εισαγόμενα ορυκτά καύσιμα και να περιοριστεί ο πληθωρισμός που οφείλεται στις τιμές της ενέργειας· λαμβάνει υπόψη τον συσταλτικό δημοσιονομικό προσανατολισμό που αναμένεται το 2023 και το 2024· επισημαίνει ότι η ενδεχόμενη συρρίκνωση δεν θα πρέπει να αποβεί εις βάρος των επενδύσεων, οι οποίες θα πρέπει να αυξηθούν σε ολόκληρη την Ένωση·</w:t>
      </w:r>
    </w:p>
    <w:p w:rsidR="00B22636" w:rsidRPr="004C485B" w:rsidRDefault="00C7534C" w:rsidP="00C7534C">
      <w:pPr>
        <w:pStyle w:val="NormalHanging12a"/>
        <w:ind w:hanging="570"/>
      </w:pPr>
      <w:r w:rsidRPr="004C485B">
        <w:t>4.</w:t>
      </w:r>
      <w:r w:rsidRPr="004C485B">
        <w:tab/>
      </w:r>
      <w:r w:rsidR="00B22636" w:rsidRPr="004C485B">
        <w:t xml:space="preserve">τονίζει ότι η περαιτέρω εμβάθυνση της ενιαίας αγοράς και η άρση των εμποδίων στις επενδύσεις, μεταξύ άλλων μέσω μεταρρυθμίσεων που </w:t>
      </w:r>
      <w:proofErr w:type="spellStart"/>
      <w:r w:rsidR="00B22636" w:rsidRPr="004C485B">
        <w:t>εξορθολογίζουν</w:t>
      </w:r>
      <w:proofErr w:type="spellEnd"/>
      <w:r w:rsidR="00B22636" w:rsidRPr="004C485B">
        <w:t xml:space="preserve"> και ψηφιοποιούν τον σχεδιασμό, την αδειοδότηση και άλλες διοικητικές διαδικασίες, θα συμβάλουν στην τόνωση των ιδιωτικών επενδύσεων· επαναλαμβάνει ότι η βιομηχανική πολιτική, καθώς και οι βαθιές και ολοκληρωμένες κεφαλαιαγορές και η καινοτομία της ΕΕ, μπορούν επίσης να συμβάλουν με τη στήριξη των επενδύσεων, τη διασφάλιση της παγκόσμιας ανταγωνιστικότητας της ΕΕ και τον μετριασμό των κινδύνων που συνδέονται με την υπερβολική εξάρτηση από περιορισμένο αριθμό τρίτων χωρών για βασικές τεχνολογίες, πρώτες ύλες και βιομηχανικές εισροές·</w:t>
      </w:r>
    </w:p>
    <w:p w:rsidR="00B22636" w:rsidRPr="004C485B" w:rsidRDefault="00C7534C" w:rsidP="00C7534C">
      <w:pPr>
        <w:pStyle w:val="NormalHanging12a"/>
        <w:ind w:hanging="570"/>
      </w:pPr>
      <w:r w:rsidRPr="004C485B">
        <w:t>5.</w:t>
      </w:r>
      <w:r w:rsidRPr="004C485B">
        <w:tab/>
      </w:r>
      <w:r w:rsidR="00B22636" w:rsidRPr="004C485B">
        <w:t xml:space="preserve">καλεί τα κράτη μέλη να διενεργούν σε τακτική βάση επανεξέταση των δαπανών στο πλαίσιο της (πολυετούς) ετήσιας διαδικασίας του προϋπολογισμού, η οποία αναμένεται να συμβάλει στη βελτίωση της αποδοτικότητας και της ποιότητας των δημόσιων δαπανών· συμφωνεί με τη σύσταση της Επιτροπής στην ετήσια έρευνα για τη βιώσιμη </w:t>
      </w:r>
      <w:r w:rsidR="00B22636" w:rsidRPr="004C485B">
        <w:lastRenderedPageBreak/>
        <w:t xml:space="preserve">ανάπτυξη του 2024, σύμφωνα με την οποία τα κράτη μέλη θα πρέπει να χαλαρώσουν τα μέτρα στήριξης της ενέργειας που σχετίζονται με την κρίση και να καταργήσουν σταδιακά τις επιδοτήσεις για τα ορυκτά καύσιμα το συντομότερο δυνατόν· τονίζει ότι τόσο τα δημόσια έσοδα, όσο και οι δημόσιες δαπάνες, έχουν καθοριστική σημασία για τη διασφάλιση της βιωσιμότητας των δημόσιων οικονομικών· καλεί τα κράτη μέλη να λάβουν μέτρα για την αντιμετώπιση της φορολογικής απάτης, της </w:t>
      </w:r>
      <w:proofErr w:type="spellStart"/>
      <w:r w:rsidR="00B22636" w:rsidRPr="004C485B">
        <w:t>φοροαποφυγής</w:t>
      </w:r>
      <w:proofErr w:type="spellEnd"/>
      <w:r w:rsidR="00B22636" w:rsidRPr="004C485B">
        <w:t>, της φοροδιαφυγής, και της νομιμοποίησης εσόδων από παράνομες δραστηριότητες· χαιρετίζει τη συμφωνία σχετικά με τη δέσμη μέτρων για την καταπολέμηση της νομιμοποίησης εσόδων από παράνομες δραστηριότητες στο πλαίσιο αυτό·</w:t>
      </w:r>
    </w:p>
    <w:p w:rsidR="00B22636" w:rsidRPr="004C485B" w:rsidRDefault="00C7534C" w:rsidP="00C7534C">
      <w:pPr>
        <w:pStyle w:val="NormalHanging12a"/>
        <w:ind w:hanging="570"/>
      </w:pPr>
      <w:r w:rsidRPr="004C485B">
        <w:t>6.</w:t>
      </w:r>
      <w:r w:rsidRPr="004C485B">
        <w:tab/>
      </w:r>
      <w:r w:rsidR="00B22636" w:rsidRPr="004C485B">
        <w:t xml:space="preserve">συμφωνεί με την εκτίμηση της Επιτροπής ότι οι κίνδυνοι που σχετίζονται με τις μεγάλες αποκλίσεις του χρέους και των τιμών παραμένουν σημαντικοί, ιδίως στα κράτη μέλη όπου η εξυπηρέτηση του χρέους απαιτεί μεγάλες </w:t>
      </w:r>
      <w:proofErr w:type="spellStart"/>
      <w:r w:rsidR="00B22636" w:rsidRPr="004C485B">
        <w:t>αναχρηματοδοτήσεις</w:t>
      </w:r>
      <w:proofErr w:type="spellEnd"/>
      <w:r w:rsidR="00B22636" w:rsidRPr="004C485B">
        <w:t xml:space="preserve"> του χρέους ή όπου ο ιδιωτικός τομέας αντιμετωπίζει απότομες αυξήσεις στις πληρωμές τόκων·</w:t>
      </w:r>
    </w:p>
    <w:p w:rsidR="00B22636" w:rsidRPr="004C485B" w:rsidRDefault="00C7534C" w:rsidP="00C7534C">
      <w:pPr>
        <w:pStyle w:val="NormalHanging12a"/>
        <w:ind w:hanging="570"/>
      </w:pPr>
      <w:r w:rsidRPr="004C485B">
        <w:t>7.</w:t>
      </w:r>
      <w:r w:rsidRPr="004C485B">
        <w:tab/>
      </w:r>
      <w:r w:rsidR="00B22636" w:rsidRPr="004C485B">
        <w:t>ζητεί να ολοκληρωθεί η κύρωση της αναθεωρημένης Συνθήκη για τη θέσπιση του ευρωπαϊκού μηχανισμού σταθερότητας, η οποία καθιστά δυνατή τη θέσπιση του κοινού μηχανισμού ασφαλείας για το Ενιαίο Ταμείο Εξυγίανσης, δεδομένου ότι θα ενισχύσει περαιτέρω την ανθεκτικότητα της ζώνης του ευρώ·</w:t>
      </w:r>
    </w:p>
    <w:p w:rsidR="00B22636" w:rsidRPr="004C485B" w:rsidRDefault="00B22636" w:rsidP="00B22636">
      <w:pPr>
        <w:pStyle w:val="NormalHanging12a"/>
      </w:pPr>
      <w:r w:rsidRPr="004C485B">
        <w:rPr>
          <w:b/>
          <w:i/>
        </w:rPr>
        <w:t>Το Ευρωπαϊκό Εξάμηνο και ο ΜΑΑ</w:t>
      </w:r>
    </w:p>
    <w:p w:rsidR="00B22636" w:rsidRPr="004C485B" w:rsidRDefault="00C7534C" w:rsidP="00C7534C">
      <w:pPr>
        <w:pStyle w:val="NormalHanging12a"/>
        <w:ind w:hanging="570"/>
      </w:pPr>
      <w:r w:rsidRPr="004C485B">
        <w:t>8.</w:t>
      </w:r>
      <w:r w:rsidRPr="004C485B">
        <w:tab/>
      </w:r>
      <w:r w:rsidR="00B22636" w:rsidRPr="004C485B">
        <w:t>υπενθυμίζει ότι το Ευρωπαϊκό Εξάμηνο είναι το καθιερωμένο πλαίσιο για τον συντονισμό των δημοσιονομικών, οικονομικών, κοινωνικών πολιτικών και των πολιτικών απασχόλησης σε ολόκληρη την Ένωση σύμφωνα με τις Συνθήκες, συμπεριλαμβανομένου του ευρωπαϊκού πυλώνα κοινωνικών δικαιωμάτων, διασφαλίζοντας έτσι τη μακροοικονομική σταθερότητα και την κοινωνική συνοχή της· ζητεί μεγαλύτερη εθνική οικειοποίηση από τα κράτη μέλη στο Ευρωπαϊκό Εξάμηνο, για παράδειγμα μέσω των τοπικών και περιφερειακών αρχών τους· σημειώνει ότι το βιομηχανικό σχέδιο της Πράσινης Συμφωνίας του 2023 αποτελεί μέρος της αναπτυξιακής στρατηγικής της ΕΕ·</w:t>
      </w:r>
    </w:p>
    <w:p w:rsidR="00B22636" w:rsidRPr="004C485B" w:rsidRDefault="00C7534C" w:rsidP="00C7534C">
      <w:pPr>
        <w:pStyle w:val="NormalHanging12a"/>
        <w:ind w:hanging="570"/>
      </w:pPr>
      <w:r w:rsidRPr="004C485B">
        <w:t>9.</w:t>
      </w:r>
      <w:r w:rsidRPr="004C485B">
        <w:tab/>
      </w:r>
      <w:r w:rsidR="00B22636" w:rsidRPr="004C485B">
        <w:t xml:space="preserve">συμμερίζεται την άποψη ότι οι ΣΑΧ του 2024 χρειάζεται να επικεντρωθούν σε συγκεκριμένα κριτήρια· υπογραμμίζει ότι πρέπει επίσης να χρησιμεύσουν για την προώθηση υγιούς και χωρίς αποκλεισμούς οικονομικής ανάπτυξης, την ενίσχυση της ανταγωνιστικότητας και της μακροοικονομικής σταθερότητας, την προώθηση της πράσινης και της ψηφιακής μετάβασης και τη διασφάλιση της κοινωνικής δικαιοσύνης και της δικαιοσύνης μεταξύ των γενεών· λαμβάνει υπόψη τις διαφορές όσον αφορά τις εθνικές προβλέψεις για την αύξηση του ΑΕΠ, τον πληθωρισμό, την ανεργία, το ισοζύγιο γενικής κυβέρνησης, το ακαθάριστο δημόσιο χρέος και το ισοζύγιο τρεχουσών συναλλαγών, και επισημαίνει ότι καταδεικνύουν την ανάγκη για ευέλικτες προσεγγίσεις, με βάση τη συγκεκριμένη πραγματικότητα κάθε κράτους μέλους· καλεί στο πλαίσιο αυτό την Επιτροπή να συνδέσει στενότερα τις ΣΑΧ με τις αντίστοιχες εκθέσεις ανά χώρα· ζητεί την αποτελεσματική παρακολούθηση της εφαρμογής των ΣΑΧ και των σχετικών μεταρρυθμίσεων, καθώς και της προόδου όσον αφορά τη μείωση των </w:t>
      </w:r>
      <w:proofErr w:type="spellStart"/>
      <w:r w:rsidR="00B22636" w:rsidRPr="004C485B">
        <w:t>εντοπισθέντων</w:t>
      </w:r>
      <w:proofErr w:type="spellEnd"/>
      <w:r w:rsidR="00B22636" w:rsidRPr="004C485B">
        <w:t xml:space="preserve"> επενδυτικών κενών· τονίζει ότι οι ΣΑΧ πρέπει να λαμβάνουν υπόψη τις κοινωνικές ευπάθειες και την ανεργία· σημειώνει τη μείωση του αριθμού των κοινωνικών ΣΑΧ με βάση τον κοινωνικό πίνακα αποτελεσμάτων·</w:t>
      </w:r>
    </w:p>
    <w:p w:rsidR="00B22636" w:rsidRPr="004C485B" w:rsidRDefault="00C7534C" w:rsidP="00C7534C">
      <w:pPr>
        <w:pStyle w:val="NormalHanging12a"/>
        <w:ind w:hanging="570"/>
      </w:pPr>
      <w:r w:rsidRPr="004C485B">
        <w:t>10.</w:t>
      </w:r>
      <w:r w:rsidRPr="004C485B">
        <w:tab/>
      </w:r>
      <w:r w:rsidR="00B22636" w:rsidRPr="004C485B">
        <w:t xml:space="preserve">εκφράζει την ικανοποίησή του για την ευελιξία στην προσαρμογή του ΜΑΑ, π.χ. στο πλαίσιο του </w:t>
      </w:r>
      <w:proofErr w:type="spellStart"/>
      <w:r w:rsidR="00B22636" w:rsidRPr="004C485B">
        <w:t>REPowerEU</w:t>
      </w:r>
      <w:proofErr w:type="spellEnd"/>
      <w:r w:rsidR="00B22636" w:rsidRPr="004C485B">
        <w:t xml:space="preserve">, με βάση τα διδάγματα που αντλήθηκαν από την εφαρμογή του· επισημαίνει ότι τα ορόσημα και οι στόχοι στα εθνικά σχέδια ανάκαμψης θα πρέπει </w:t>
      </w:r>
      <w:r w:rsidR="00B22636" w:rsidRPr="004C485B">
        <w:lastRenderedPageBreak/>
        <w:t>να συνάδουν με τις ειδικές ανά χώρα συστάσεις και ότι τα κράτη μέλη θα πρέπει να καλύπτουν τουλάχιστον ένα σημαντικό υποσύνολο των ΣΑΧ, στο πλαίσιο των οικείων εθνικών σχεδίων ανάκαμψης και ανθεκτικότητας· τονίζει την επιτυχία του ΜΑΑ· υπενθυμίζει ότι η επιτυχία και η αποτελεσματικότητα των χρηματοδοτούμενων έργων θα μετρηθούν με βάση τον αντίκτυπό τους στην οικονομία και την απασχόληση, και ζητεί την ταχεία, διαφανή και αποτελεσματική εφαρμογή των έργων αυτών· υπογραμμίζει, στο πλαίσιο αυτό, ότι η συμμόρφωση με τον κανονισμό ΜΑΑ και η ορθή εφαρμογή είναι ζωτικής σημασίας για την αξιοπιστία του ΜΑΑ·</w:t>
      </w:r>
    </w:p>
    <w:p w:rsidR="00B22636" w:rsidRPr="004C485B" w:rsidRDefault="00C7534C" w:rsidP="00C7534C">
      <w:pPr>
        <w:pStyle w:val="NormalHanging12a"/>
        <w:ind w:hanging="570"/>
      </w:pPr>
      <w:r w:rsidRPr="004C485B">
        <w:t>11.</w:t>
      </w:r>
      <w:r w:rsidRPr="004C485B">
        <w:tab/>
      </w:r>
      <w:r w:rsidR="00B22636" w:rsidRPr="004C485B">
        <w:t>επισημαίνει τον ρόλο που διαδραματίζει ο ΜΑΑ στην αντιμετώπιση των παγκόσμιων προκλήσεων που απορρέουν από την πράσινη μετάβαση και τον ψηφιακό μετασχηματισμό της οικονομίας· τονίζει ότι οι μεταρρυθμίσεις και οι επενδύσεις στο πλαίσιο των σχεδίων ανάκαμψης και ανθεκτικότητας συμβάλλουν στους κλιματικούς στόχους του κανονισμού ΜΑΑ και τηρούν την αρχή της «μη πρόκλησης σημαντικής βλάβης»· καλεί τα κράτη μέλη να αξιοποιήσουν στο έπακρο την ευκαιρία αυτήν και να χρησιμοποιήσουν τον ΜΑΑ για να μετασχηματίσουν τις οικονομίες τους και να τις καταστήσουν πιο ανταγωνιστικές· υπενθυμίζει ότι είναι σημαντικό να επαληθεύεται ότι τα κονδύλια φθάνουν στην πραγματική οικονομία και στις ΜΜΕ, και υπογραμμίζει τη σημασία της λογοδοσίας και της διαφάνειας για τους φορείς που λαμβάνουν χρηματοδότηση από την ΕΕ·</w:t>
      </w:r>
    </w:p>
    <w:p w:rsidR="00B22636" w:rsidRPr="004C485B" w:rsidRDefault="00C7534C" w:rsidP="00C7534C">
      <w:pPr>
        <w:pStyle w:val="NormalHanging12a"/>
        <w:ind w:hanging="570"/>
      </w:pPr>
      <w:r w:rsidRPr="004C485B">
        <w:t>12.</w:t>
      </w:r>
      <w:r w:rsidRPr="004C485B">
        <w:tab/>
      </w:r>
      <w:r w:rsidR="00B22636" w:rsidRPr="004C485B">
        <w:t>υπογραμμίζει τη σημασία των ιδιωτικών και δημόσιων επενδύσεων στο πλαίσιο της οικονομικής ανάκαμψης και στη διαχείριση της διττής μετάβασης· υπενθυμίζει ότι ο ΜΑΑ δεν υποκαθιστά τον ειδικό ρόλο των δημόσιων επενδύσεων σε εθνικό επίπεδο· επαναλαμβάνει την ανάγκη να διασφαλιστούν η ποιότητα, η διαφάνεια και η λογοδοσία στις δημόσιες επενδύσεις και στις εθνικές στρατηγικές ώστε να συνάδουν με τους στόχους της διττής μετάβασης· επισημαίνει ότι αυτές οι εθνικές στρατηγικές για τη διττή μετάβαση θα πρέπει να συμπληρώνουν τον ΜΑΑ και άλλα ευρωπαϊκά επενδυτικά μέσα·</w:t>
      </w:r>
    </w:p>
    <w:p w:rsidR="00B22636" w:rsidRPr="004C485B" w:rsidRDefault="00C7534C" w:rsidP="00C7534C">
      <w:pPr>
        <w:pStyle w:val="NormalHanging12a"/>
        <w:ind w:hanging="570"/>
      </w:pPr>
      <w:r w:rsidRPr="004C485B">
        <w:t>13.</w:t>
      </w:r>
      <w:r w:rsidRPr="004C485B">
        <w:tab/>
      </w:r>
      <w:r w:rsidR="00B22636" w:rsidRPr="004C485B">
        <w:t>υποστηρίζει τον εξορθολογισμό των προγραμμάτων της πολιτικής συνοχής της ΕΕ με τις επενδυτικές ανάγκες που προσδιορίζονται στο πλαίσιο του ΜΑΑ και στις ΣΑΧ· υπενθυμίζει ότι η πολιτική συνοχής εξυπηρετεί ένα ευρύτερο σύνολο στόχων από τον ΜΑΑ και μπορεί να συμπληρώνει τα μέτρα που συμφωνήθηκαν στο πλαίσιο του ΜΑΑ· ζητεί να ενσωματωθεί αντίστοιχα η συμμετοχή των ενδιαφερόμενων μερών, μεταξύ άλλων από τους κοινωνικούς εταίρους, τις οργανώσεις της κοινωνίας των πολιτών και τον επιχειρηματικό τομέα, στην κατάρτιση και την εφαρμογή των εθνικών σχεδίων ανάκαμψης και ανθεκτικότητας, όπως ισχύει για τα προγράμματα της πολιτικής συνοχής·</w:t>
      </w:r>
    </w:p>
    <w:p w:rsidR="00B22636" w:rsidRPr="004C485B" w:rsidRDefault="00C7534C" w:rsidP="00C7534C">
      <w:pPr>
        <w:pStyle w:val="NormalHanging12a"/>
        <w:ind w:hanging="570"/>
      </w:pPr>
      <w:r w:rsidRPr="004C485B">
        <w:t>14.</w:t>
      </w:r>
      <w:r w:rsidRPr="004C485B">
        <w:tab/>
      </w:r>
      <w:r w:rsidR="00B22636" w:rsidRPr="004C485B">
        <w:t>υπογραμμίζει ότι ο συντονισμός μεταξύ των αρμόδιων αρχών, μεταξύ άλλων μεταξύ των εθνικών κυβερνήσεων και των περιφερειακών και τοπικών αρχών, είναι ουσιαστικός για τη διαχείριση του ΜΑΑ και την υπέρβαση των διοικητικών φραγμών και της γραφειοκρατίας·</w:t>
      </w:r>
    </w:p>
    <w:p w:rsidR="00B22636" w:rsidRPr="004C485B" w:rsidRDefault="00C7534C" w:rsidP="00C7534C">
      <w:pPr>
        <w:pStyle w:val="NormalHanging12a"/>
        <w:ind w:hanging="570"/>
      </w:pPr>
      <w:r w:rsidRPr="004C485B">
        <w:t>15.</w:t>
      </w:r>
      <w:r w:rsidRPr="004C485B">
        <w:tab/>
      </w:r>
      <w:r w:rsidR="00B22636" w:rsidRPr="004C485B">
        <w:t xml:space="preserve">λαμβάνει υπόψη την προσωρινή πολιτική συμφωνία που επιτεύχθηκε μεταξύ των </w:t>
      </w:r>
      <w:proofErr w:type="spellStart"/>
      <w:r w:rsidR="00B22636" w:rsidRPr="004C485B">
        <w:t>συννομοθετών</w:t>
      </w:r>
      <w:proofErr w:type="spellEnd"/>
      <w:r w:rsidR="00B22636" w:rsidRPr="004C485B">
        <w:t xml:space="preserve"> στις 10 Φεβρουαρίου 2024 σχετικά με τη μεταρρύθμιση του πλαισίου οικονομικής διακυβέρνησης της ΕΕ, η οποία αποσκοπεί στη διασφάλιση του αποτελεσματικού συντονισμού των οικονομικών πολιτικών και της διαρκούς σύγκλισης των οικονομικών και κοινωνικών επιδόσεων των κρατών μελών·</w:t>
      </w:r>
    </w:p>
    <w:p w:rsidR="00B22636" w:rsidRPr="004C485B" w:rsidRDefault="00C7534C" w:rsidP="00C7534C">
      <w:pPr>
        <w:pStyle w:val="NormalHanging12a"/>
        <w:ind w:hanging="570"/>
      </w:pPr>
      <w:r w:rsidRPr="004C485B">
        <w:t>16.</w:t>
      </w:r>
      <w:r w:rsidRPr="004C485B">
        <w:tab/>
      </w:r>
      <w:r w:rsidR="00B22636" w:rsidRPr="004C485B">
        <w:t xml:space="preserve">εκφράζει την ικανοποίησή του για τα διδάγματα που αντλήθηκαν από τις επιλογές </w:t>
      </w:r>
      <w:r w:rsidR="00B22636" w:rsidRPr="004C485B">
        <w:lastRenderedPageBreak/>
        <w:t>σχεδιασμού για τη διακυβέρνηση του ΜΑΑ· σημειώνει ότι η μεταρρύθμιση του πλαισίου οικονομικής διακυβέρνησης δεν παρέχει μηχανισμούς οικονομικών κινήτρων της ΕΕ για τη στήριξη και την προώθηση μεταρρυθμίσεων και επενδύσεων εθνικής πολιτικής· τονίζει ότι η πρόβλεψη του αναγκαίου επιπέδου δημόσιων επενδύσεων είναι ζωτικής σημασίας για την επίτευξη των κύριων στόχων της μεταρρύθμισης του πλαισίου οικονομικής διακυβέρνησης και για την αντιμετώπιση των τρεχουσών και μελλοντικών προτεραιοτήτων της Ένωσης· εκφράζει την ανησυχία του για το γεγονός ότι ορισμένα κράτη μέλη δεν θα έχουν από μόνα τους τη χρηματοδοτική ικανότητα να χρηματοδοτήσουν τη δίκαιη πράσινη και ψηφιακή μετάβαση·</w:t>
      </w:r>
    </w:p>
    <w:p w:rsidR="00B22636" w:rsidRPr="004C485B" w:rsidRDefault="00C7534C" w:rsidP="00C7534C">
      <w:pPr>
        <w:pStyle w:val="NormalHanging12a"/>
        <w:ind w:hanging="570"/>
      </w:pPr>
      <w:r w:rsidRPr="004C485B">
        <w:t>17.</w:t>
      </w:r>
      <w:r w:rsidRPr="004C485B">
        <w:tab/>
      </w:r>
      <w:r w:rsidR="00B22636" w:rsidRPr="004C485B">
        <w:t>τονίζει τον ρόλο του Ευρωπαϊκού Κοινοβουλίου στο πλαίσιο οικονομικής διακυβέρνησης της ΕΕ και τάσσεται υπέρ της αυξημένης συμμετοχής του Ευρωπαϊκού Κοινοβουλίου στο Ευρωπαϊκό Εξάμηνο, με πλήρη σεβασμό των αρμοδιοτήτων που ορίζονται από τις Συνθήκες· σημειώνει τον διάλογο μεταξύ της Επιτροπής και των κρατών μελών σχετικά με τα επιμέρους δημοσιονομικά-διαρθρωτικά σχέδιά τους· τονίζει την ανάγκη ίσης μεταχείρισης όλων των κρατών μελών· υπογραμμίζει ότι η αύξηση της διακριτικής ευχέρειας της Επιτροπής κατά τη διαδικασία ανάπτυξης για τα μεσοπρόθεσμα δημοσιονομικά-διαρθρωτικά σχέδια πρέπει να συνοδεύεται από αυξημένη συμμόρφωση με τους κανόνες υπό τον έλεγχο του Ευρωπαϊκού Δημοσιονομικού Συμβουλίου, καθώς και από αυξημένη λογοδοσία και αύξηση της ροής πληροφοριών προς το Ευρωπαϊκό Κοινοβούλιο· αναγνωρίζει ότι ο οικονομικός διάλογος στο πλαίσιο του Ευρωπαϊκού Εξαμήνου αποτελεί χρήσιμο θεμέλιο της λογοδοσίας· θεωρεί ότι η δέουσα λογοδοσία θα απαιτούσε να διαθέτει το Ευρωπαϊκό Κοινοβούλιο μέσα που να του επιτρέπουν να επιβάλλει συνέπειες με βάση την αξιολόγησή του για τις επιδόσεις του Ευρωπαϊκού Εξαμήνου, σύμφωνα με τις Συνθήκες·</w:t>
      </w:r>
    </w:p>
    <w:p w:rsidR="00B22636" w:rsidRPr="004C485B" w:rsidRDefault="00B22636" w:rsidP="00B22636">
      <w:pPr>
        <w:pStyle w:val="NormalHanging12a"/>
        <w:jc w:val="center"/>
      </w:pPr>
      <w:r w:rsidRPr="004C485B">
        <w:t>°</w:t>
      </w:r>
    </w:p>
    <w:p w:rsidR="00B22636" w:rsidRPr="004C485B" w:rsidRDefault="00B22636" w:rsidP="00B22636">
      <w:pPr>
        <w:pStyle w:val="NormalHanging12a"/>
        <w:jc w:val="center"/>
      </w:pPr>
      <w:r w:rsidRPr="004C485B">
        <w:t>°</w:t>
      </w:r>
      <w:r w:rsidRPr="004C485B">
        <w:tab/>
        <w:t>°</w:t>
      </w:r>
    </w:p>
    <w:p w:rsidR="00B22636" w:rsidRPr="004C485B" w:rsidRDefault="00C7534C" w:rsidP="00C7534C">
      <w:pPr>
        <w:ind w:left="567" w:hanging="567"/>
      </w:pPr>
      <w:r w:rsidRPr="004C485B">
        <w:t>18.</w:t>
      </w:r>
      <w:r w:rsidRPr="004C485B">
        <w:tab/>
      </w:r>
      <w:r w:rsidR="00B22636" w:rsidRPr="004C485B">
        <w:t xml:space="preserve">αναθέτει στην Πρόεδρό του να διαβιβάσει το παρόν ψήφισμα στο Συμβούλιο και στην Επιτροπή. </w:t>
      </w:r>
    </w:p>
    <w:p w:rsidR="00B22636" w:rsidRPr="004C485B" w:rsidRDefault="00B22636" w:rsidP="00B22636"/>
    <w:p w:rsidR="00E365E1" w:rsidRPr="004C485B" w:rsidRDefault="00E365E1" w:rsidP="00CA76B3">
      <w:bookmarkStart w:id="9" w:name="TextBodyEnd"/>
      <w:bookmarkEnd w:id="9"/>
    </w:p>
    <w:sectPr w:rsidR="00E365E1" w:rsidRPr="004C485B" w:rsidSect="004C485B">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A76B3" w:rsidRPr="004C485B" w:rsidRDefault="00CA76B3">
      <w:r w:rsidRPr="004C485B">
        <w:separator/>
      </w:r>
    </w:p>
  </w:endnote>
  <w:endnote w:type="continuationSeparator" w:id="0">
    <w:p w:rsidR="00CA76B3" w:rsidRPr="004C485B" w:rsidRDefault="00CA76B3">
      <w:r w:rsidRPr="004C485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A76B3" w:rsidRPr="004C485B" w:rsidRDefault="00CA76B3">
      <w:r w:rsidRPr="004C485B">
        <w:separator/>
      </w:r>
    </w:p>
  </w:footnote>
  <w:footnote w:type="continuationSeparator" w:id="0">
    <w:p w:rsidR="00CA76B3" w:rsidRPr="004C485B" w:rsidRDefault="00CA76B3">
      <w:r w:rsidRPr="004C485B">
        <w:continuationSeparator/>
      </w:r>
    </w:p>
  </w:footnote>
  <w:footnote w:id="1">
    <w:p w:rsidR="00B22636" w:rsidRPr="004C485B" w:rsidRDefault="00B22636" w:rsidP="004C485B">
      <w:pPr>
        <w:pStyle w:val="FootnoteText"/>
        <w:ind w:left="567" w:hanging="567"/>
        <w:rPr>
          <w:sz w:val="24"/>
          <w:lang w:val="el-GR"/>
        </w:rPr>
      </w:pPr>
      <w:r w:rsidRPr="004C485B">
        <w:rPr>
          <w:rStyle w:val="FootnoteReference"/>
          <w:sz w:val="24"/>
          <w:lang w:val="el-GR"/>
        </w:rPr>
        <w:footnoteRef/>
      </w:r>
      <w:r w:rsidR="004C485B" w:rsidRPr="004C485B">
        <w:rPr>
          <w:sz w:val="24"/>
          <w:lang w:val="el-GR"/>
        </w:rPr>
        <w:t xml:space="preserve"> </w:t>
      </w:r>
      <w:r w:rsidR="004C485B" w:rsidRPr="004C485B">
        <w:rPr>
          <w:sz w:val="24"/>
          <w:lang w:val="el-GR"/>
        </w:rPr>
        <w:tab/>
      </w:r>
      <w:r w:rsidRPr="004C485B">
        <w:rPr>
          <w:sz w:val="24"/>
          <w:lang w:val="el-GR"/>
        </w:rPr>
        <w:t>ΕΕ L 306 της 23.11.2011, σ. 41.</w:t>
      </w:r>
    </w:p>
  </w:footnote>
  <w:footnote w:id="2">
    <w:p w:rsidR="00B22636" w:rsidRPr="004C485B" w:rsidRDefault="00B22636" w:rsidP="004C485B">
      <w:pPr>
        <w:pStyle w:val="FootnoteText"/>
        <w:ind w:left="567" w:hanging="567"/>
        <w:rPr>
          <w:sz w:val="24"/>
          <w:lang w:val="el-GR"/>
        </w:rPr>
      </w:pPr>
      <w:r w:rsidRPr="004C485B">
        <w:rPr>
          <w:rStyle w:val="FootnoteReference"/>
          <w:sz w:val="24"/>
          <w:lang w:val="el-GR"/>
        </w:rPr>
        <w:footnoteRef/>
      </w:r>
      <w:r w:rsidR="004C485B" w:rsidRPr="004C485B">
        <w:rPr>
          <w:sz w:val="24"/>
          <w:lang w:val="el-GR"/>
        </w:rPr>
        <w:t xml:space="preserve"> </w:t>
      </w:r>
      <w:r w:rsidR="004C485B" w:rsidRPr="004C485B">
        <w:rPr>
          <w:sz w:val="24"/>
          <w:lang w:val="el-GR"/>
        </w:rPr>
        <w:tab/>
      </w:r>
      <w:r w:rsidRPr="004C485B">
        <w:rPr>
          <w:sz w:val="24"/>
          <w:lang w:val="el-GR"/>
        </w:rPr>
        <w:t>ΕΕ L 306 της 23.11.2011, σ. 33.</w:t>
      </w:r>
    </w:p>
  </w:footnote>
  <w:footnote w:id="3">
    <w:p w:rsidR="00B22636" w:rsidRPr="004C485B" w:rsidRDefault="00B22636" w:rsidP="004C485B">
      <w:pPr>
        <w:pStyle w:val="FootnoteText"/>
        <w:ind w:left="567" w:hanging="567"/>
        <w:rPr>
          <w:sz w:val="24"/>
          <w:lang w:val="el-GR"/>
        </w:rPr>
      </w:pPr>
      <w:r w:rsidRPr="004C485B">
        <w:rPr>
          <w:rStyle w:val="FootnoteReference"/>
          <w:sz w:val="24"/>
          <w:lang w:val="el-GR"/>
        </w:rPr>
        <w:footnoteRef/>
      </w:r>
      <w:r w:rsidR="004C485B" w:rsidRPr="004C485B">
        <w:rPr>
          <w:sz w:val="24"/>
          <w:lang w:val="el-GR"/>
        </w:rPr>
        <w:t xml:space="preserve"> </w:t>
      </w:r>
      <w:r w:rsidR="004C485B" w:rsidRPr="004C485B">
        <w:rPr>
          <w:sz w:val="24"/>
          <w:lang w:val="el-GR"/>
        </w:rPr>
        <w:tab/>
      </w:r>
      <w:r w:rsidRPr="004C485B">
        <w:rPr>
          <w:sz w:val="24"/>
          <w:lang w:val="el-GR"/>
        </w:rPr>
        <w:t>ΕΕ L 306 της 23.11.2011, σ. 1.</w:t>
      </w:r>
    </w:p>
  </w:footnote>
  <w:footnote w:id="4">
    <w:p w:rsidR="00B22636" w:rsidRPr="004C485B" w:rsidRDefault="00B22636" w:rsidP="004C485B">
      <w:pPr>
        <w:pStyle w:val="FootnoteText"/>
        <w:ind w:left="567" w:hanging="567"/>
        <w:rPr>
          <w:sz w:val="24"/>
          <w:lang w:val="el-GR"/>
        </w:rPr>
      </w:pPr>
      <w:r w:rsidRPr="004C485B">
        <w:rPr>
          <w:rStyle w:val="FootnoteReference"/>
          <w:sz w:val="24"/>
          <w:lang w:val="el-GR"/>
        </w:rPr>
        <w:footnoteRef/>
      </w:r>
      <w:r w:rsidR="004C485B" w:rsidRPr="004C485B">
        <w:rPr>
          <w:sz w:val="24"/>
          <w:lang w:val="el-GR"/>
        </w:rPr>
        <w:t xml:space="preserve"> </w:t>
      </w:r>
      <w:r w:rsidR="004C485B" w:rsidRPr="004C485B">
        <w:rPr>
          <w:sz w:val="24"/>
          <w:lang w:val="el-GR"/>
        </w:rPr>
        <w:tab/>
      </w:r>
      <w:r w:rsidRPr="004C485B">
        <w:rPr>
          <w:sz w:val="24"/>
          <w:lang w:val="el-GR"/>
        </w:rPr>
        <w:t>ΕΕ L 306 της 23.11.2011, σ. 8.</w:t>
      </w:r>
    </w:p>
  </w:footnote>
  <w:footnote w:id="5">
    <w:p w:rsidR="00B22636" w:rsidRPr="004C485B" w:rsidRDefault="00B22636" w:rsidP="004C485B">
      <w:pPr>
        <w:pStyle w:val="FootnoteText"/>
        <w:ind w:left="567" w:hanging="567"/>
        <w:rPr>
          <w:sz w:val="24"/>
          <w:lang w:val="el-GR"/>
        </w:rPr>
      </w:pPr>
      <w:r w:rsidRPr="004C485B">
        <w:rPr>
          <w:rStyle w:val="FootnoteReference"/>
          <w:sz w:val="24"/>
          <w:lang w:val="el-GR"/>
        </w:rPr>
        <w:footnoteRef/>
      </w:r>
      <w:r w:rsidR="004C485B" w:rsidRPr="004C485B">
        <w:rPr>
          <w:sz w:val="24"/>
          <w:lang w:val="el-GR"/>
        </w:rPr>
        <w:t xml:space="preserve"> </w:t>
      </w:r>
      <w:r w:rsidR="004C485B" w:rsidRPr="004C485B">
        <w:rPr>
          <w:sz w:val="24"/>
          <w:lang w:val="el-GR"/>
        </w:rPr>
        <w:tab/>
      </w:r>
      <w:r w:rsidRPr="004C485B">
        <w:rPr>
          <w:sz w:val="24"/>
          <w:lang w:val="el-GR"/>
        </w:rPr>
        <w:t>ΕΕ L 306 της 23.11.2011, σ. 12.</w:t>
      </w:r>
    </w:p>
  </w:footnote>
  <w:footnote w:id="6">
    <w:p w:rsidR="00B22636" w:rsidRPr="004C485B" w:rsidRDefault="00B22636" w:rsidP="004C485B">
      <w:pPr>
        <w:pStyle w:val="FootnoteText"/>
        <w:ind w:left="567" w:hanging="567"/>
        <w:rPr>
          <w:sz w:val="24"/>
          <w:lang w:val="el-GR"/>
        </w:rPr>
      </w:pPr>
      <w:r w:rsidRPr="004C485B">
        <w:rPr>
          <w:rStyle w:val="FootnoteReference"/>
          <w:sz w:val="24"/>
          <w:lang w:val="el-GR"/>
        </w:rPr>
        <w:footnoteRef/>
      </w:r>
      <w:r w:rsidR="004C485B" w:rsidRPr="004C485B">
        <w:rPr>
          <w:sz w:val="24"/>
          <w:lang w:val="el-GR"/>
        </w:rPr>
        <w:t xml:space="preserve"> </w:t>
      </w:r>
      <w:r w:rsidR="004C485B" w:rsidRPr="004C485B">
        <w:rPr>
          <w:sz w:val="24"/>
          <w:lang w:val="el-GR"/>
        </w:rPr>
        <w:tab/>
      </w:r>
      <w:r w:rsidRPr="004C485B">
        <w:rPr>
          <w:sz w:val="24"/>
          <w:lang w:val="el-GR"/>
        </w:rPr>
        <w:t>ΕΕ L 306 της 23.11.2011, σ. 25.</w:t>
      </w:r>
    </w:p>
  </w:footnote>
  <w:footnote w:id="7">
    <w:p w:rsidR="00B22636" w:rsidRPr="004C485B" w:rsidRDefault="00B22636" w:rsidP="004C485B">
      <w:pPr>
        <w:pStyle w:val="FootnoteText"/>
        <w:ind w:left="567" w:hanging="567"/>
        <w:rPr>
          <w:sz w:val="24"/>
          <w:lang w:val="el-GR"/>
        </w:rPr>
      </w:pPr>
      <w:r w:rsidRPr="004C485B">
        <w:rPr>
          <w:rStyle w:val="FootnoteReference"/>
          <w:sz w:val="24"/>
          <w:lang w:val="el-GR"/>
        </w:rPr>
        <w:footnoteRef/>
      </w:r>
      <w:r w:rsidR="004C485B" w:rsidRPr="004C485B">
        <w:rPr>
          <w:sz w:val="24"/>
          <w:lang w:val="el-GR"/>
        </w:rPr>
        <w:t xml:space="preserve"> </w:t>
      </w:r>
      <w:r w:rsidR="004C485B" w:rsidRPr="004C485B">
        <w:rPr>
          <w:sz w:val="24"/>
          <w:lang w:val="el-GR"/>
        </w:rPr>
        <w:tab/>
      </w:r>
      <w:r w:rsidRPr="004C485B">
        <w:rPr>
          <w:sz w:val="24"/>
          <w:lang w:val="el-GR"/>
        </w:rPr>
        <w:t>ΕΕ L 140 της 27.5.2013, σ. 1.</w:t>
      </w:r>
    </w:p>
  </w:footnote>
  <w:footnote w:id="8">
    <w:p w:rsidR="00B22636" w:rsidRPr="004C485B" w:rsidRDefault="00B22636" w:rsidP="004C485B">
      <w:pPr>
        <w:pStyle w:val="FootnoteText"/>
        <w:ind w:left="567" w:hanging="567"/>
        <w:rPr>
          <w:sz w:val="24"/>
          <w:lang w:val="el-GR"/>
        </w:rPr>
      </w:pPr>
      <w:r w:rsidRPr="004C485B">
        <w:rPr>
          <w:rStyle w:val="FootnoteReference"/>
          <w:sz w:val="24"/>
          <w:lang w:val="el-GR"/>
        </w:rPr>
        <w:footnoteRef/>
      </w:r>
      <w:r w:rsidR="004C485B" w:rsidRPr="004C485B">
        <w:rPr>
          <w:sz w:val="24"/>
          <w:lang w:val="el-GR"/>
        </w:rPr>
        <w:t xml:space="preserve"> </w:t>
      </w:r>
      <w:r w:rsidR="004C485B" w:rsidRPr="004C485B">
        <w:rPr>
          <w:sz w:val="24"/>
          <w:lang w:val="el-GR"/>
        </w:rPr>
        <w:tab/>
      </w:r>
      <w:r w:rsidRPr="004C485B">
        <w:rPr>
          <w:sz w:val="24"/>
          <w:lang w:val="el-GR"/>
        </w:rPr>
        <w:t>ΕΕ L 140 της 27.5.2013, σ. 11.</w:t>
      </w:r>
    </w:p>
  </w:footnote>
  <w:footnote w:id="9">
    <w:p w:rsidR="00B22636" w:rsidRPr="004C485B" w:rsidRDefault="00B22636" w:rsidP="004C485B">
      <w:pPr>
        <w:pStyle w:val="FootnoteText"/>
        <w:ind w:left="567" w:hanging="567"/>
        <w:rPr>
          <w:sz w:val="24"/>
          <w:lang w:val="el-GR"/>
        </w:rPr>
      </w:pPr>
      <w:r w:rsidRPr="004C485B">
        <w:rPr>
          <w:rStyle w:val="FootnoteReference"/>
          <w:sz w:val="24"/>
          <w:lang w:val="el-GR"/>
        </w:rPr>
        <w:footnoteRef/>
      </w:r>
      <w:r w:rsidR="004C485B" w:rsidRPr="004C485B">
        <w:rPr>
          <w:sz w:val="24"/>
          <w:lang w:val="el-GR"/>
        </w:rPr>
        <w:t xml:space="preserve"> </w:t>
      </w:r>
      <w:r w:rsidR="004C485B" w:rsidRPr="004C485B">
        <w:rPr>
          <w:sz w:val="24"/>
          <w:lang w:val="el-GR"/>
        </w:rPr>
        <w:tab/>
      </w:r>
      <w:r w:rsidRPr="004C485B">
        <w:rPr>
          <w:sz w:val="24"/>
          <w:lang w:val="el-GR"/>
        </w:rPr>
        <w:t>ΕΕ L 57 της 18.2.2021, σ. 17.</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0D744E5B"/>
    <w:multiLevelType w:val="hybridMultilevel"/>
    <w:tmpl w:val="CB40FFE2"/>
    <w:lvl w:ilvl="0" w:tplc="E92CE52E">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42813CF"/>
    <w:multiLevelType w:val="hybridMultilevel"/>
    <w:tmpl w:val="57C45A9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3"/>
  </w:num>
  <w:num w:numId="45">
    <w:abstractNumId w:val="12"/>
  </w:num>
  <w:num w:numId="4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63/2024"/>
    <w:docVar w:name="dvlangue" w:val="EL"/>
    <w:docVar w:name="dvnumam" w:val="0"/>
    <w:docVar w:name="dvpe" w:val="757.014"/>
    <w:docVar w:name="dvrapporteur" w:val="Εισηγητής: "/>
    <w:docVar w:name="dvtitre" w:val="Ψήφισμα του Ευρωπαϊκού Κοινοβουλίου σχετικά με το Ευρωπαϊκό Εξάμηνο συντονισμού των οικονομικών πολιτικών 2024(2023/2063(INI))"/>
  </w:docVars>
  <w:rsids>
    <w:rsidRoot w:val="00CA76B3"/>
    <w:rsid w:val="00002272"/>
    <w:rsid w:val="000345EB"/>
    <w:rsid w:val="00064002"/>
    <w:rsid w:val="000677B9"/>
    <w:rsid w:val="000831BA"/>
    <w:rsid w:val="000A42CC"/>
    <w:rsid w:val="000E7DD9"/>
    <w:rsid w:val="0010095E"/>
    <w:rsid w:val="00125B37"/>
    <w:rsid w:val="00187494"/>
    <w:rsid w:val="001F32AE"/>
    <w:rsid w:val="002767FF"/>
    <w:rsid w:val="002B18FE"/>
    <w:rsid w:val="002B5493"/>
    <w:rsid w:val="00327859"/>
    <w:rsid w:val="00343214"/>
    <w:rsid w:val="00361C00"/>
    <w:rsid w:val="00395FA1"/>
    <w:rsid w:val="003E15D4"/>
    <w:rsid w:val="00411CCE"/>
    <w:rsid w:val="0041666E"/>
    <w:rsid w:val="00421060"/>
    <w:rsid w:val="00471C19"/>
    <w:rsid w:val="004867E3"/>
    <w:rsid w:val="00494A28"/>
    <w:rsid w:val="004C0004"/>
    <w:rsid w:val="004C485B"/>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14B95"/>
    <w:rsid w:val="00930C23"/>
    <w:rsid w:val="0093193B"/>
    <w:rsid w:val="009509D8"/>
    <w:rsid w:val="00950B64"/>
    <w:rsid w:val="00981893"/>
    <w:rsid w:val="00A1687D"/>
    <w:rsid w:val="00A43E52"/>
    <w:rsid w:val="00A4678D"/>
    <w:rsid w:val="00A778C7"/>
    <w:rsid w:val="00AB441E"/>
    <w:rsid w:val="00AB6293"/>
    <w:rsid w:val="00AC4D92"/>
    <w:rsid w:val="00AE0928"/>
    <w:rsid w:val="00AF3B82"/>
    <w:rsid w:val="00B12E95"/>
    <w:rsid w:val="00B22636"/>
    <w:rsid w:val="00B22876"/>
    <w:rsid w:val="00B558F0"/>
    <w:rsid w:val="00B90F50"/>
    <w:rsid w:val="00BD48FE"/>
    <w:rsid w:val="00BD7BD8"/>
    <w:rsid w:val="00BE6ADC"/>
    <w:rsid w:val="00C05BFE"/>
    <w:rsid w:val="00C23CD4"/>
    <w:rsid w:val="00C61C0C"/>
    <w:rsid w:val="00C7534C"/>
    <w:rsid w:val="00C941CB"/>
    <w:rsid w:val="00CA76B3"/>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227631E"/>
  <w15:chartTrackingRefBased/>
  <w15:docId w15:val="{E82C7209-331C-44F5-BE30-214D26FBEE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B22636"/>
    <w:pPr>
      <w:spacing w:after="240"/>
      <w:ind w:left="567" w:hanging="567"/>
    </w:pPr>
  </w:style>
  <w:style w:type="paragraph" w:customStyle="1" w:styleId="EPComma">
    <w:name w:val="EPComma"/>
    <w:basedOn w:val="Normal"/>
    <w:rsid w:val="00B22636"/>
    <w:pPr>
      <w:spacing w:before="480" w:after="240"/>
    </w:pPr>
  </w:style>
  <w:style w:type="character" w:customStyle="1" w:styleId="NormalHanging12aChar">
    <w:name w:val="NormalHanging12a Char"/>
    <w:basedOn w:val="DefaultParagraphFont"/>
    <w:link w:val="NormalHanging12a"/>
    <w:locked/>
    <w:rsid w:val="00B22636"/>
    <w:rPr>
      <w:sz w:val="24"/>
      <w:lang w:val="el-GR"/>
    </w:rPr>
  </w:style>
  <w:style w:type="paragraph" w:styleId="Header">
    <w:name w:val="header"/>
    <w:basedOn w:val="Normal"/>
    <w:link w:val="HeaderChar"/>
    <w:rsid w:val="00B90F50"/>
    <w:pPr>
      <w:tabs>
        <w:tab w:val="center" w:pos="4513"/>
        <w:tab w:val="right" w:pos="9026"/>
      </w:tabs>
    </w:pPr>
  </w:style>
  <w:style w:type="character" w:customStyle="1" w:styleId="HeaderChar">
    <w:name w:val="Header Char"/>
    <w:basedOn w:val="DefaultParagraphFont"/>
    <w:link w:val="Header"/>
    <w:rsid w:val="00B90F50"/>
    <w:rPr>
      <w:sz w:val="24"/>
      <w:lang w:val="el-GR"/>
    </w:rPr>
  </w:style>
  <w:style w:type="paragraph" w:styleId="ListParagraph">
    <w:name w:val="List Paragraph"/>
    <w:basedOn w:val="Normal"/>
    <w:uiPriority w:val="34"/>
    <w:qFormat/>
    <w:rsid w:val="00B90F50"/>
    <w:pPr>
      <w:ind w:left="720"/>
      <w:contextualSpacing/>
    </w:pPr>
  </w:style>
  <w:style w:type="paragraph" w:styleId="BalloonText">
    <w:name w:val="Balloon Text"/>
    <w:basedOn w:val="Normal"/>
    <w:link w:val="BalloonTextChar"/>
    <w:rsid w:val="00AC4D92"/>
    <w:rPr>
      <w:rFonts w:ascii="Segoe UI" w:hAnsi="Segoe UI" w:cs="Segoe UI"/>
      <w:sz w:val="18"/>
      <w:szCs w:val="18"/>
    </w:rPr>
  </w:style>
  <w:style w:type="character" w:customStyle="1" w:styleId="BalloonTextChar">
    <w:name w:val="Balloon Text Char"/>
    <w:basedOn w:val="DefaultParagraphFont"/>
    <w:link w:val="BalloonText"/>
    <w:rsid w:val="00AC4D92"/>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E225FC-3CBA-4B14-ACC6-0A98EDB99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3717</Words>
  <Characters>22085</Characters>
  <Application>Microsoft Office Word</Application>
  <DocSecurity>0</DocSecurity>
  <Lines>184</Lines>
  <Paragraphs>51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TZANIDI Anastasia</cp:lastModifiedBy>
  <cp:revision>2</cp:revision>
  <cp:lastPrinted>2004-11-19T15:42:00Z</cp:lastPrinted>
  <dcterms:created xsi:type="dcterms:W3CDTF">2024-04-17T09:40:00Z</dcterms:created>
  <dcterms:modified xsi:type="dcterms:W3CDTF">2024-04-17T09:40:00Z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A9-0063/2024</vt:lpwstr>
  </property>
  <property fmtid="{D5CDD505-2E9C-101B-9397-08002B2CF9AE}" pid="4" name="&lt;Type&gt;">
    <vt:lpwstr>RR</vt:lpwstr>
  </property>
</Properties>
</file>