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D1B" w:rsidTr="0010095E">
        <w:trPr>
          <w:trHeight w:hRule="exact" w:val="1418"/>
        </w:trPr>
        <w:tc>
          <w:tcPr>
            <w:tcW w:w="6804" w:type="dxa"/>
            <w:shd w:val="clear" w:color="auto" w:fill="auto"/>
            <w:vAlign w:val="center"/>
          </w:tcPr>
          <w:p w:rsidR="00751A4A" w:rsidRPr="00D94D1B" w:rsidRDefault="00B4285A" w:rsidP="0010095E">
            <w:pPr>
              <w:pStyle w:val="EPName"/>
            </w:pPr>
            <w:r w:rsidRPr="00D94D1B">
              <w:t>Europos Parlamentas</w:t>
            </w:r>
          </w:p>
          <w:p w:rsidR="00751A4A" w:rsidRPr="00D94D1B" w:rsidRDefault="00817416" w:rsidP="00756632">
            <w:pPr>
              <w:pStyle w:val="EPTerm"/>
              <w:rPr>
                <w:rStyle w:val="HideTWBExt"/>
                <w:noProof w:val="0"/>
                <w:vanish w:val="0"/>
                <w:color w:val="auto"/>
              </w:rPr>
            </w:pPr>
            <w:r w:rsidRPr="00D94D1B">
              <w:t>2019-2024</w:t>
            </w:r>
          </w:p>
        </w:tc>
        <w:tc>
          <w:tcPr>
            <w:tcW w:w="2268" w:type="dxa"/>
            <w:shd w:val="clear" w:color="auto" w:fill="auto"/>
          </w:tcPr>
          <w:p w:rsidR="00751A4A" w:rsidRPr="00D94D1B" w:rsidRDefault="00187494" w:rsidP="0010095E">
            <w:pPr>
              <w:pStyle w:val="EPLogo"/>
            </w:pPr>
            <w:r w:rsidRPr="00D94D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4D1B" w:rsidRDefault="00D058B8" w:rsidP="004C5D52">
      <w:pPr>
        <w:pStyle w:val="LineTop"/>
      </w:pPr>
    </w:p>
    <w:p w:rsidR="00680577" w:rsidRPr="00D94D1B" w:rsidRDefault="00B4285A" w:rsidP="00680577">
      <w:pPr>
        <w:pStyle w:val="EPBodyTA1"/>
      </w:pPr>
      <w:r w:rsidRPr="00D94D1B">
        <w:t>PRIIMTI TEKSTAI</w:t>
      </w:r>
    </w:p>
    <w:p w:rsidR="00D058B8" w:rsidRPr="00D94D1B" w:rsidRDefault="00D058B8" w:rsidP="00D058B8">
      <w:pPr>
        <w:pStyle w:val="LineBottom"/>
      </w:pPr>
    </w:p>
    <w:p w:rsidR="00B4285A" w:rsidRPr="00D94D1B" w:rsidRDefault="00B4285A" w:rsidP="00B4285A">
      <w:pPr>
        <w:pStyle w:val="ATHeading1"/>
      </w:pPr>
      <w:bookmarkStart w:id="0" w:name="TANumber"/>
      <w:r w:rsidRPr="00D94D1B">
        <w:t>P9_TA(2024)0</w:t>
      </w:r>
      <w:r w:rsidR="00FD7F3A">
        <w:t>156</w:t>
      </w:r>
      <w:bookmarkEnd w:id="0"/>
    </w:p>
    <w:p w:rsidR="00B4285A" w:rsidRPr="00D94D1B" w:rsidRDefault="00B4285A" w:rsidP="00B4285A">
      <w:pPr>
        <w:pStyle w:val="ATHeading2"/>
      </w:pPr>
      <w:bookmarkStart w:id="1" w:name="title"/>
      <w:r w:rsidRPr="00D94D1B">
        <w:t>2024 m. Europos ekonominės politikos koordinavimo semestras</w:t>
      </w:r>
      <w:bookmarkEnd w:id="1"/>
    </w:p>
    <w:p w:rsidR="00B4285A" w:rsidRPr="00D94D1B" w:rsidRDefault="00B4285A" w:rsidP="00B4285A">
      <w:pPr>
        <w:rPr>
          <w:i/>
          <w:vanish/>
        </w:rPr>
      </w:pPr>
      <w:r w:rsidRPr="00D94D1B">
        <w:rPr>
          <w:i/>
        </w:rPr>
        <w:fldChar w:fldCharType="begin"/>
      </w:r>
      <w:r w:rsidRPr="00D94D1B">
        <w:rPr>
          <w:i/>
        </w:rPr>
        <w:instrText xml:space="preserve"> TC"(</w:instrText>
      </w:r>
      <w:bookmarkStart w:id="2" w:name="DocNumber"/>
      <w:r w:rsidRPr="00D94D1B">
        <w:rPr>
          <w:i/>
        </w:rPr>
        <w:instrText>A9-0063/2024</w:instrText>
      </w:r>
      <w:bookmarkEnd w:id="2"/>
      <w:r w:rsidRPr="00D94D1B">
        <w:rPr>
          <w:i/>
        </w:rPr>
        <w:instrText xml:space="preserve"> - Pranešėjas: </w:instrText>
      </w:r>
      <w:proofErr w:type="spellStart"/>
      <w:r w:rsidRPr="00D94D1B">
        <w:rPr>
          <w:i/>
        </w:rPr>
        <w:instrText>René</w:instrText>
      </w:r>
      <w:proofErr w:type="spellEnd"/>
      <w:r w:rsidRPr="00D94D1B">
        <w:rPr>
          <w:i/>
        </w:rPr>
        <w:instrText xml:space="preserve"> </w:instrText>
      </w:r>
      <w:proofErr w:type="spellStart"/>
      <w:r w:rsidRPr="00D94D1B">
        <w:rPr>
          <w:i/>
        </w:rPr>
        <w:instrText>Repasi</w:instrText>
      </w:r>
      <w:proofErr w:type="spellEnd"/>
      <w:r w:rsidRPr="00D94D1B">
        <w:rPr>
          <w:i/>
        </w:rPr>
        <w:instrText xml:space="preserve">)"\l3 \n&gt; \* MERGEFORMAT </w:instrText>
      </w:r>
      <w:r w:rsidRPr="00D94D1B">
        <w:rPr>
          <w:i/>
        </w:rPr>
        <w:fldChar w:fldCharType="end"/>
      </w:r>
    </w:p>
    <w:p w:rsidR="00B4285A" w:rsidRPr="00D94D1B" w:rsidRDefault="00B4285A" w:rsidP="00B4285A">
      <w:pPr>
        <w:rPr>
          <w:vanish/>
        </w:rPr>
      </w:pPr>
      <w:bookmarkStart w:id="3" w:name="Commission"/>
      <w:r w:rsidRPr="00D94D1B">
        <w:rPr>
          <w:vanish/>
        </w:rPr>
        <w:t>Ekonomikos ir pinigų politikos komitetas</w:t>
      </w:r>
      <w:bookmarkEnd w:id="3"/>
    </w:p>
    <w:p w:rsidR="00B4285A" w:rsidRPr="00D94D1B" w:rsidRDefault="00B4285A" w:rsidP="00B4285A">
      <w:pPr>
        <w:rPr>
          <w:vanish/>
        </w:rPr>
      </w:pPr>
      <w:bookmarkStart w:id="4" w:name="PE"/>
      <w:r w:rsidRPr="00D94D1B">
        <w:rPr>
          <w:vanish/>
        </w:rPr>
        <w:t>PE757.014</w:t>
      </w:r>
      <w:bookmarkEnd w:id="4"/>
    </w:p>
    <w:p w:rsidR="00B4285A" w:rsidRPr="00D94D1B" w:rsidRDefault="006F45E2" w:rsidP="00D600CF">
      <w:pPr>
        <w:pStyle w:val="ATHeading3"/>
      </w:pPr>
      <w:bookmarkStart w:id="5" w:name="Sujet"/>
      <w:r>
        <w:t xml:space="preserve">2024 m. kovo 13 d. </w:t>
      </w:r>
      <w:r w:rsidR="00B4285A" w:rsidRPr="00D94D1B">
        <w:t>Europos Parlamento rezoliucija dėl 2024 m. Europos ekonominės politikos koordinavimo semestro</w:t>
      </w:r>
      <w:bookmarkEnd w:id="5"/>
      <w:r w:rsidR="00B4285A" w:rsidRPr="00D94D1B">
        <w:t xml:space="preserve"> </w:t>
      </w:r>
      <w:bookmarkStart w:id="6" w:name="References"/>
      <w:r w:rsidR="00B4285A" w:rsidRPr="00D94D1B">
        <w:t>(2023/2063(INI))</w:t>
      </w:r>
      <w:bookmarkEnd w:id="6"/>
    </w:p>
    <w:p w:rsidR="00AB57A9" w:rsidRPr="00D94D1B" w:rsidRDefault="00AB57A9" w:rsidP="00AB57A9">
      <w:pPr>
        <w:pStyle w:val="EPComma"/>
      </w:pPr>
      <w:bookmarkStart w:id="7" w:name="TextBodyBegin"/>
      <w:bookmarkEnd w:id="7"/>
      <w:r w:rsidRPr="00D94D1B">
        <w:rPr>
          <w:i/>
        </w:rPr>
        <w:t>Europos Parlamentas</w:t>
      </w:r>
      <w:r w:rsidRPr="00D94D1B">
        <w:t>,</w:t>
      </w:r>
    </w:p>
    <w:p w:rsidR="00AB57A9" w:rsidRPr="00D94D1B" w:rsidRDefault="00AB57A9" w:rsidP="00AB57A9">
      <w:pPr>
        <w:pStyle w:val="NormalHanging12a"/>
      </w:pPr>
      <w:r w:rsidRPr="00D94D1B">
        <w:t>–</w:t>
      </w:r>
      <w:r w:rsidRPr="00D94D1B">
        <w:tab/>
        <w:t>atsižvelgdamas į Sutartį dėl Europos Sąjungos veikimo (SESV), ypač į jos 121 straipsnio 2 dalį ir 136 straipsnį,</w:t>
      </w:r>
    </w:p>
    <w:p w:rsidR="00AB57A9" w:rsidRPr="00D94D1B" w:rsidRDefault="00AB57A9" w:rsidP="00AB57A9">
      <w:pPr>
        <w:pStyle w:val="NormalHanging12a"/>
      </w:pPr>
      <w:r w:rsidRPr="00D94D1B">
        <w:t>–</w:t>
      </w:r>
      <w:r w:rsidRPr="00D94D1B">
        <w:tab/>
        <w:t>atsižvelgdamas į Europos Sąjungos sutarties (ES sutarties) ir Sutarties dėl Europos Sąjungos veikimo (SESV) Protokolą Nr. 1 dėl nacionalinių parlamentų vaidmens Europos Sąjungoje,</w:t>
      </w:r>
    </w:p>
    <w:p w:rsidR="00AB57A9" w:rsidRPr="00D94D1B" w:rsidRDefault="00AB57A9" w:rsidP="00AB57A9">
      <w:pPr>
        <w:pStyle w:val="NormalHanging12a"/>
      </w:pPr>
      <w:r w:rsidRPr="00D94D1B">
        <w:t>–</w:t>
      </w:r>
      <w:r w:rsidRPr="00D94D1B">
        <w:tab/>
        <w:t>atsižvelgdamas į ES sutarties ir SESV Protokolą Nr. 2 dėl subsidiarumo ir proporcingumo principų taikymo,</w:t>
      </w:r>
    </w:p>
    <w:p w:rsidR="00AB57A9" w:rsidRPr="00D94D1B" w:rsidRDefault="00AB57A9" w:rsidP="00AB57A9">
      <w:pPr>
        <w:pStyle w:val="NormalHanging12a"/>
      </w:pPr>
      <w:r w:rsidRPr="00D94D1B">
        <w:t>–</w:t>
      </w:r>
      <w:r w:rsidRPr="00D94D1B">
        <w:tab/>
        <w:t>atsižvelgdamas į Sutartį dėl stabilumo, koordinavimo ir valdysenos ekonominėje ir pinigų sąjungoje,</w:t>
      </w:r>
    </w:p>
    <w:p w:rsidR="00AB57A9" w:rsidRPr="00D94D1B" w:rsidRDefault="00AB57A9" w:rsidP="00AB57A9">
      <w:pPr>
        <w:pStyle w:val="NormalHanging12a"/>
      </w:pPr>
      <w:r w:rsidRPr="00D94D1B">
        <w:t>–</w:t>
      </w:r>
      <w:r w:rsidRPr="00D94D1B">
        <w:tab/>
        <w:t>atsižvelgdamas į Paryžiaus susitarimą, priimtą pagal Jungtinių Tautų bendrąją klimato kaitos konvenciją, ir darnaus vystymosi tikslus,</w:t>
      </w:r>
    </w:p>
    <w:p w:rsidR="00AB57A9" w:rsidRPr="00D94D1B" w:rsidRDefault="00AB57A9" w:rsidP="00AB57A9">
      <w:pPr>
        <w:pStyle w:val="NormalHanging12a"/>
      </w:pPr>
      <w:r w:rsidRPr="00D94D1B">
        <w:t>–</w:t>
      </w:r>
      <w:r w:rsidRPr="00D94D1B">
        <w:tab/>
        <w:t>atsižvelgdamas į 2011 m. lapkričio 8 d. Tarybos direktyvą 2011/85/ES dėl reikalavimų valstybių narių biudžeto sistemoms</w:t>
      </w:r>
      <w:r w:rsidRPr="00D94D1B">
        <w:rPr>
          <w:rStyle w:val="FootnoteReference"/>
          <w:szCs w:val="24"/>
        </w:rPr>
        <w:footnoteReference w:id="1"/>
      </w:r>
      <w:r w:rsidRPr="00D94D1B">
        <w:t>,</w:t>
      </w:r>
    </w:p>
    <w:p w:rsidR="00AB57A9" w:rsidRPr="00D94D1B" w:rsidRDefault="00AB57A9" w:rsidP="00AB57A9">
      <w:pPr>
        <w:pStyle w:val="NormalHanging12a"/>
      </w:pPr>
      <w:r w:rsidRPr="00D94D1B">
        <w:t>–</w:t>
      </w:r>
      <w:r w:rsidRPr="00D94D1B">
        <w:tab/>
        <w:t>atsižvelgdamas į 2011 m. lapkričio 8 d. Tarybos reglamentą (ES) Nr. 1177/2011, kuriuo iš dalies keičiamas Reglamentas (EB) Nr. 1467/97 dėl perviršinio deficito procedūros įgyvendinimo paspartinimo ir paaiškinimo</w:t>
      </w:r>
      <w:r w:rsidRPr="00D94D1B">
        <w:rPr>
          <w:vertAlign w:val="superscript"/>
        </w:rPr>
        <w:footnoteReference w:id="2"/>
      </w:r>
      <w:r w:rsidRPr="00D94D1B">
        <w:t>,</w:t>
      </w:r>
    </w:p>
    <w:p w:rsidR="00AB57A9" w:rsidRPr="00D94D1B" w:rsidRDefault="00AB57A9" w:rsidP="00AB57A9">
      <w:pPr>
        <w:pStyle w:val="NormalHanging12a"/>
      </w:pPr>
      <w:r w:rsidRPr="00D94D1B">
        <w:t>–</w:t>
      </w:r>
      <w:r w:rsidRPr="00D94D1B">
        <w:tab/>
        <w:t xml:space="preserve">atsižvelgdamas į 2011 m. lapkričio 16 d. Europos Parlamento ir Tarybos reglamentą (ES) Nr. 1173/2011 dėl veiksmingo biudžeto priežiūros vykdymo užtikrinimo euro </w:t>
      </w:r>
      <w:r w:rsidRPr="00D94D1B">
        <w:lastRenderedPageBreak/>
        <w:t>zonoje</w:t>
      </w:r>
      <w:r w:rsidRPr="00D94D1B">
        <w:rPr>
          <w:vertAlign w:val="superscript"/>
        </w:rPr>
        <w:footnoteReference w:id="3"/>
      </w:r>
      <w:r w:rsidRPr="00D94D1B">
        <w:t>,</w:t>
      </w:r>
    </w:p>
    <w:p w:rsidR="00AB57A9" w:rsidRPr="00D94D1B" w:rsidRDefault="00AB57A9" w:rsidP="00AB57A9">
      <w:pPr>
        <w:pStyle w:val="NormalHanging12a"/>
      </w:pPr>
      <w:r w:rsidRPr="00D94D1B">
        <w:t>–</w:t>
      </w:r>
      <w:r w:rsidRPr="00D94D1B">
        <w:tab/>
        <w:t>atsižvelgdamas į 2011 m. lapkričio 16 d. Europos Parlamento ir Tarybos reglamentą (ES) Nr. 1174/2011 dėl vykdymo užtikrinimo priemonių, skirtų perviršiniams makroekonominiams disbalansams naikinti euro zonoje</w:t>
      </w:r>
      <w:r w:rsidRPr="00D94D1B">
        <w:rPr>
          <w:vertAlign w:val="superscript"/>
        </w:rPr>
        <w:footnoteReference w:id="4"/>
      </w:r>
      <w:r w:rsidRPr="00D94D1B">
        <w:t>,</w:t>
      </w:r>
    </w:p>
    <w:p w:rsidR="00AB57A9" w:rsidRPr="00D94D1B" w:rsidRDefault="00AB57A9" w:rsidP="00AB57A9">
      <w:pPr>
        <w:pStyle w:val="NormalHanging12a"/>
      </w:pPr>
      <w:r w:rsidRPr="00D94D1B">
        <w:t>–</w:t>
      </w:r>
      <w:r w:rsidRPr="00D94D1B">
        <w:tab/>
        <w:t>atsižvelgdamas į 2011 m. lapkričio 16 d. Europos Parlamento ir Tarybos reglamentą (ES) Nr. 1175/2011, kuriuo iš dalies keičiamas Tarybos reglamentas (EB) Nr. 1466/97 dėl biudžeto būklės priežiūros stiprinimo ir ekonominės politikos priežiūros bei koordinavimo</w:t>
      </w:r>
      <w:r w:rsidRPr="00D94D1B">
        <w:rPr>
          <w:vertAlign w:val="superscript"/>
        </w:rPr>
        <w:footnoteReference w:id="5"/>
      </w:r>
      <w:r w:rsidRPr="00D94D1B">
        <w:t>,</w:t>
      </w:r>
    </w:p>
    <w:p w:rsidR="00AB57A9" w:rsidRPr="00D94D1B" w:rsidRDefault="00AB57A9" w:rsidP="00AB57A9">
      <w:pPr>
        <w:pStyle w:val="NormalHanging12a"/>
      </w:pPr>
      <w:r w:rsidRPr="00D94D1B">
        <w:t>–</w:t>
      </w:r>
      <w:r w:rsidRPr="00D94D1B">
        <w:tab/>
        <w:t>atsižvelgdamas į 2011 m. lapkričio 16 d. Europos Parlamento ir Tarybos reglamentą (ES) Nr. 1176/2011 dėl makroekonominių disbalansų prevencijos ir naikinimo</w:t>
      </w:r>
      <w:r w:rsidRPr="00D94D1B">
        <w:rPr>
          <w:vertAlign w:val="superscript"/>
        </w:rPr>
        <w:footnoteReference w:id="6"/>
      </w:r>
      <w:r w:rsidRPr="00D94D1B">
        <w:t>,</w:t>
      </w:r>
    </w:p>
    <w:p w:rsidR="00AB57A9" w:rsidRPr="00D94D1B" w:rsidRDefault="00AB57A9" w:rsidP="00AB57A9">
      <w:pPr>
        <w:pStyle w:val="NormalHanging12a"/>
      </w:pPr>
      <w:r w:rsidRPr="00D94D1B">
        <w:t>–</w:t>
      </w:r>
      <w:r w:rsidRPr="00D94D1B">
        <w:tab/>
        <w:t>atsižvelgdamas į 2013 m. gegužės 21 d. Europos Parlamento ir Tarybos reglamentą (ES) Nr. 472/2013 dėl euro zonos valstybių narių, kurios turi didelių finansinio stabilumo sunkumų arba kurioms tokie sunkumai gresia, ekonominės ir biudžeto priežiūros griežtinimo</w:t>
      </w:r>
      <w:r w:rsidRPr="00D94D1B">
        <w:rPr>
          <w:rStyle w:val="FootnoteReference"/>
          <w:szCs w:val="24"/>
        </w:rPr>
        <w:footnoteReference w:id="7"/>
      </w:r>
      <w:r w:rsidRPr="00D94D1B">
        <w:t>,</w:t>
      </w:r>
    </w:p>
    <w:p w:rsidR="00AB57A9" w:rsidRPr="00D94D1B" w:rsidRDefault="00AB57A9" w:rsidP="00AB57A9">
      <w:pPr>
        <w:pStyle w:val="NormalHanging12a"/>
      </w:pPr>
      <w:r w:rsidRPr="00D94D1B">
        <w:t>–</w:t>
      </w:r>
      <w:r w:rsidRPr="00D94D1B">
        <w:tab/>
        <w:t>atsižvelgdamas į 2013 m. gegužės 21 d. Europos Parlamento ir Tarybos reglamentą (ES) Nr. 473/2013 dėl euro zonos valstybių narių biudžeto planų projektų stebėsenos bei vertinimo ir perviršinio deficito padėties ištaisymo užtikrinimo bendrųjų nuostatų</w:t>
      </w:r>
      <w:r w:rsidRPr="00D94D1B">
        <w:rPr>
          <w:rStyle w:val="FootnoteReference"/>
          <w:szCs w:val="24"/>
        </w:rPr>
        <w:footnoteReference w:id="8"/>
      </w:r>
      <w:r w:rsidRPr="00D94D1B">
        <w:t>,</w:t>
      </w:r>
    </w:p>
    <w:p w:rsidR="00AB57A9" w:rsidRPr="00D94D1B" w:rsidRDefault="00AB57A9" w:rsidP="00AB57A9">
      <w:pPr>
        <w:pStyle w:val="NormalHanging12a"/>
      </w:pPr>
      <w:r w:rsidRPr="00D94D1B">
        <w:t>–</w:t>
      </w:r>
      <w:r w:rsidRPr="00D94D1B">
        <w:tab/>
        <w:t>atsižvelgdamas į 2021 m. vasario 12 d. Europos Parlamento ir Tarybos reglamentą (ES) 2021/241, kuriuo nustatoma ekonomikos gaivinimo ir atsparumo didinimo priemonė</w:t>
      </w:r>
      <w:r w:rsidRPr="00D94D1B">
        <w:rPr>
          <w:rStyle w:val="FootnoteReference"/>
          <w:szCs w:val="24"/>
        </w:rPr>
        <w:footnoteReference w:id="9"/>
      </w:r>
      <w:r w:rsidRPr="00D94D1B">
        <w:t xml:space="preserve"> (EGADP reglamentas),</w:t>
      </w:r>
    </w:p>
    <w:p w:rsidR="00AB57A9" w:rsidRPr="00D94D1B" w:rsidRDefault="00AB57A9" w:rsidP="00AB57A9">
      <w:pPr>
        <w:pStyle w:val="NormalHanging12a"/>
      </w:pPr>
      <w:r w:rsidRPr="00D94D1B">
        <w:t>–</w:t>
      </w:r>
      <w:r w:rsidRPr="00D94D1B">
        <w:tab/>
        <w:t>atsižvelgdamas į 2021 m. kovo 4 d. Komisijos komunikatą „Europos socialinių teisių ramsčio veiksmų planas“ (COM(2021)0102),</w:t>
      </w:r>
    </w:p>
    <w:p w:rsidR="00AB57A9" w:rsidRPr="00D94D1B" w:rsidRDefault="00AB57A9" w:rsidP="00AB57A9">
      <w:pPr>
        <w:pStyle w:val="NormalHanging12a"/>
      </w:pPr>
      <w:r w:rsidRPr="00D94D1B">
        <w:t>–</w:t>
      </w:r>
      <w:r w:rsidRPr="00D94D1B">
        <w:tab/>
        <w:t>atsižvelgdamas į Tarybos, Komisijos, Parlamento ir socialinių partnerių 2021 m. gegužės 7 d. Porto socialinį įsipareigojimą,</w:t>
      </w:r>
    </w:p>
    <w:p w:rsidR="00AB57A9" w:rsidRPr="00D94D1B" w:rsidRDefault="00AB57A9" w:rsidP="00AB57A9">
      <w:pPr>
        <w:pStyle w:val="NormalHanging12a"/>
      </w:pPr>
      <w:r w:rsidRPr="00D94D1B">
        <w:t>–</w:t>
      </w:r>
      <w:r w:rsidRPr="00D94D1B">
        <w:tab/>
        <w:t>atsižvelgdamas į 2023 m. birželio 28 d. Europos fiskalinės valdybos paskelbtą tinkamų euro zonos fiskalinės politikos krypčių 2024 m. vertinimą,</w:t>
      </w:r>
    </w:p>
    <w:p w:rsidR="00AB57A9" w:rsidRPr="00D94D1B" w:rsidRDefault="00AB57A9" w:rsidP="00AB57A9">
      <w:pPr>
        <w:pStyle w:val="NormalHanging12a"/>
      </w:pPr>
      <w:r w:rsidRPr="00D94D1B">
        <w:t>–</w:t>
      </w:r>
      <w:r w:rsidRPr="00D94D1B">
        <w:tab/>
        <w:t>atsižvelgdamas į 2023 m. spalio 4 d. Europos fiskalinės valdybos metinę ataskaitą,</w:t>
      </w:r>
    </w:p>
    <w:p w:rsidR="00AB57A9" w:rsidRPr="00D94D1B" w:rsidRDefault="00AB57A9" w:rsidP="00AB57A9">
      <w:pPr>
        <w:pStyle w:val="NormalHanging12a"/>
        <w:rPr>
          <w:bCs/>
          <w:szCs w:val="23"/>
        </w:rPr>
      </w:pPr>
      <w:r w:rsidRPr="00D94D1B">
        <w:t>–</w:t>
      </w:r>
      <w:r w:rsidRPr="00D94D1B">
        <w:tab/>
        <w:t>atsižvelgdamas į 2022 m. lapkričio 9 d. Komisijos komunikatą dėl ES ekonomikos valdymo sistemos reformos gairių (COM(2022)0583),</w:t>
      </w:r>
    </w:p>
    <w:p w:rsidR="00AB57A9" w:rsidRPr="00D94D1B" w:rsidRDefault="00AB57A9" w:rsidP="00AB57A9">
      <w:pPr>
        <w:pStyle w:val="NormalHanging12a"/>
      </w:pPr>
      <w:r w:rsidRPr="00D94D1B">
        <w:t>–</w:t>
      </w:r>
      <w:r w:rsidRPr="00D94D1B">
        <w:tab/>
        <w:t xml:space="preserve">atsižvelgdamas į 2023 m. balandžio 26 d. Komisijos pasiūlymą dėl Europos Parlamento ir Tarybos reglamento dėl veiksmingo ekonominės politikos koordinavimo ir daugiašalės biudžeto priežiūros, kuriuo panaikinamas Tarybos reglamentas (EB) </w:t>
      </w:r>
      <w:r w:rsidRPr="00D94D1B">
        <w:lastRenderedPageBreak/>
        <w:t>Nr. 1466/97 (COM(2023)0240),</w:t>
      </w:r>
    </w:p>
    <w:p w:rsidR="00AB57A9" w:rsidRPr="00D94D1B" w:rsidRDefault="00AB57A9" w:rsidP="00AB57A9">
      <w:pPr>
        <w:pStyle w:val="NormalHanging12a"/>
      </w:pPr>
      <w:r w:rsidRPr="00D94D1B">
        <w:t>–</w:t>
      </w:r>
      <w:r w:rsidRPr="00D94D1B">
        <w:tab/>
        <w:t>atsižvelgdamas į 2023 m. balandžio 26 d. Komisijos pasiūlymą dėl Tarybos reglamento, kuriuo iš dalies keičiamas Reglamentas (EB) Nr. 1467/97 dėl perviršinio deficito procedūros įgyvendinimo paspartinimo ir paaiškinimo (COM(2023)0241),</w:t>
      </w:r>
    </w:p>
    <w:p w:rsidR="00AB57A9" w:rsidRPr="00D94D1B" w:rsidRDefault="00AB57A9" w:rsidP="00AB57A9">
      <w:pPr>
        <w:pStyle w:val="NormalHanging12a"/>
      </w:pPr>
      <w:r w:rsidRPr="00D94D1B">
        <w:t>–</w:t>
      </w:r>
      <w:r w:rsidRPr="00D94D1B">
        <w:tab/>
        <w:t>atsižvelgdamas į 2023 m. balandžio 26 d. Komisijos pasiūlymą dėl Tarybos direktyvos, kuria iš dalies keičiama Direktyva 2011/85/ES dėl reikalavimų valstybių narių biudžeto sistemoms (COM(2023)0242),</w:t>
      </w:r>
    </w:p>
    <w:p w:rsidR="00AB57A9" w:rsidRPr="00D94D1B" w:rsidRDefault="00AB57A9" w:rsidP="00AB57A9">
      <w:pPr>
        <w:pStyle w:val="NormalHanging12a"/>
        <w:rPr>
          <w:bCs/>
          <w:szCs w:val="23"/>
        </w:rPr>
      </w:pPr>
      <w:r w:rsidRPr="00D94D1B">
        <w:t>–</w:t>
      </w:r>
      <w:r w:rsidRPr="00D94D1B">
        <w:tab/>
        <w:t>atsižvelgdamas į 2023 m. spalio 6 d. priimtą Granados deklaraciją,</w:t>
      </w:r>
    </w:p>
    <w:p w:rsidR="00AB57A9" w:rsidRPr="00D94D1B" w:rsidRDefault="00AB57A9" w:rsidP="00AB57A9">
      <w:pPr>
        <w:pStyle w:val="NormalHanging12a"/>
        <w:rPr>
          <w:shd w:val="clear" w:color="auto" w:fill="FFFFFF"/>
        </w:rPr>
      </w:pPr>
      <w:r w:rsidRPr="00D94D1B">
        <w:t>–</w:t>
      </w:r>
      <w:r w:rsidRPr="00D94D1B">
        <w:tab/>
      </w:r>
      <w:r w:rsidRPr="00D94D1B">
        <w:rPr>
          <w:shd w:val="clear" w:color="auto" w:fill="FFFFFF"/>
        </w:rPr>
        <w:t>atsižvelgdamas į 2023 m. lapkričio 21 d. Komisijos komunikatą „2024 m. metinė tvaraus augimo apžvalga“ (</w:t>
      </w:r>
      <w:r w:rsidRPr="00D94D1B">
        <w:t>COM(2023)0901),</w:t>
      </w:r>
    </w:p>
    <w:p w:rsidR="00AB57A9" w:rsidRPr="00D94D1B" w:rsidRDefault="007F2220" w:rsidP="00AB57A9">
      <w:pPr>
        <w:pStyle w:val="NormalHanging12a"/>
      </w:pPr>
      <w:r>
        <w:t>–</w:t>
      </w:r>
      <w:r>
        <w:tab/>
        <w:t>atsižvelgdamas į 2023</w:t>
      </w:r>
      <w:r w:rsidR="00AB57A9" w:rsidRPr="00D94D1B">
        <w:t> m. lapkričio 21 d. Komisijos komunikatą „2024 m. įspėjimo mechanizmo atas</w:t>
      </w:r>
      <w:r>
        <w:t>kaita“ (COM(2023)0902) ir į 2023</w:t>
      </w:r>
      <w:r w:rsidR="00AB57A9" w:rsidRPr="00D94D1B">
        <w:t> m. lapkričio 21 d. Komisijos rekomendaciją dėl Tarybos rekomendacijos dėl euro zonos ekonominės politikos (COM(2023)0903),</w:t>
      </w:r>
    </w:p>
    <w:p w:rsidR="00AB57A9" w:rsidRPr="00D94D1B" w:rsidRDefault="007F2220" w:rsidP="00AB57A9">
      <w:pPr>
        <w:pStyle w:val="NormalHanging12a"/>
      </w:pPr>
      <w:r>
        <w:t>–</w:t>
      </w:r>
      <w:r>
        <w:tab/>
        <w:t>atsižvelgdamas į 2023</w:t>
      </w:r>
      <w:r w:rsidR="00AB57A9" w:rsidRPr="00D94D1B">
        <w:t> m. lapkričio 21 d. pasiūlymą dėl Komisijos ir Tarybos bendros užimtumo ataskaitos (COM(2023)0904),</w:t>
      </w:r>
    </w:p>
    <w:p w:rsidR="00AB57A9" w:rsidRPr="00D94D1B" w:rsidRDefault="00AB57A9" w:rsidP="00AB57A9">
      <w:pPr>
        <w:pStyle w:val="NormalHanging12a"/>
      </w:pPr>
      <w:r w:rsidRPr="00D94D1B">
        <w:t>–</w:t>
      </w:r>
      <w:r w:rsidRPr="00D94D1B">
        <w:tab/>
        <w:t>atsižvelgdamas į 2023 m. lapkričio 15 d. Komisijos paskelbtą 2023 m. rudens ekonominę prognozę,</w:t>
      </w:r>
    </w:p>
    <w:p w:rsidR="00AB57A9" w:rsidRPr="00D94D1B" w:rsidRDefault="00AB57A9" w:rsidP="00AB57A9">
      <w:pPr>
        <w:pStyle w:val="NormalHanging12a"/>
      </w:pPr>
      <w:r w:rsidRPr="00D94D1B">
        <w:t>–</w:t>
      </w:r>
      <w:r w:rsidRPr="00D94D1B">
        <w:tab/>
        <w:t>atsižvelgdamas į Darbo tvarkos taisyklių 54 straipsnį,</w:t>
      </w:r>
    </w:p>
    <w:p w:rsidR="00AB57A9" w:rsidRPr="00D94D1B" w:rsidRDefault="00AB57A9" w:rsidP="00AB57A9">
      <w:pPr>
        <w:pStyle w:val="NormalHanging12a"/>
      </w:pPr>
      <w:r w:rsidRPr="00D94D1B">
        <w:t>–</w:t>
      </w:r>
      <w:r w:rsidRPr="00D94D1B">
        <w:tab/>
        <w:t>atsižvelgdamas į Biudžeto komiteto nuomonę,</w:t>
      </w:r>
    </w:p>
    <w:p w:rsidR="00AB57A9" w:rsidRPr="00D94D1B" w:rsidRDefault="00AB57A9" w:rsidP="00AB57A9">
      <w:pPr>
        <w:pStyle w:val="NormalHanging12a"/>
      </w:pPr>
      <w:r w:rsidRPr="00D94D1B">
        <w:t>–</w:t>
      </w:r>
      <w:r w:rsidRPr="00D94D1B">
        <w:tab/>
        <w:t>atsižvelgdamas į Ekonomikos ir pinigų politikos komiteto pranešimą (A9-0063/2024),</w:t>
      </w:r>
    </w:p>
    <w:p w:rsidR="00AB57A9" w:rsidRPr="00D94D1B" w:rsidRDefault="00AB57A9" w:rsidP="00AB57A9">
      <w:pPr>
        <w:pStyle w:val="NormalHanging12a"/>
      </w:pPr>
      <w:r w:rsidRPr="00D94D1B">
        <w:t>A.</w:t>
      </w:r>
      <w:r w:rsidRPr="00D94D1B">
        <w:tab/>
        <w:t>kadangi Europos semestrui tenka esminis vaidmuo koordinuojant valstybių narių ekonominę, biudžetinę, struktūrinę, socialinę ir užimtumo politiką ir tokiu būdu užtikrinant ekonominės ir pinigų sąjungos makroekonominį stabilumą;</w:t>
      </w:r>
    </w:p>
    <w:p w:rsidR="00AB57A9" w:rsidRPr="00D94D1B" w:rsidRDefault="00AB57A9" w:rsidP="00AB57A9">
      <w:pPr>
        <w:pStyle w:val="NormalHanging12a"/>
      </w:pPr>
      <w:r w:rsidRPr="00D94D1B">
        <w:t>B.</w:t>
      </w:r>
      <w:r w:rsidRPr="00D94D1B">
        <w:tab/>
        <w:t>kadangi, remiantis Komisijos 2024 m. žiemos prognoze, apskaičiuota, kad dėl didelės infliacijos ir griežtesnių finansavimo sąlygų 2022 m. ekonominė veikla 2023 m. padidėjo tik 0,5 proc. tiek ES, tiek euro zonoje; kadangi 2024 m. numatomas BVP augimas sumažėjo iki 0,9 proc. (nuo 1,3 proc.) ES ir 0,8 proc. (nuo 1,2 proc.) euro zonoje; kadangi vis dar tikimasi, kad 2025 m. ekonominė veikla ES augs 1,7 proc., o euro zonoje – 1,5 proc.;</w:t>
      </w:r>
      <w:bookmarkStart w:id="8" w:name="_GoBack"/>
      <w:bookmarkEnd w:id="8"/>
    </w:p>
    <w:p w:rsidR="00AB57A9" w:rsidRPr="00D94D1B" w:rsidRDefault="00AB57A9" w:rsidP="00AB57A9">
      <w:pPr>
        <w:pStyle w:val="NormalHanging12a"/>
      </w:pPr>
      <w:r w:rsidRPr="00D94D1B">
        <w:t>C.</w:t>
      </w:r>
      <w:r w:rsidRPr="00D94D1B">
        <w:tab/>
        <w:t xml:space="preserve">kadangi, 2023 m. pirmąjį pusmetį ES darbo rinkos rezultatai ir toliau buvo geri, nepaisant sulėtėjusio ekonomikos augimo; kadangi, remiantis Komisijos 2023 m. rudens prognoze, darbo jėgos trūkumas ir toliau buvo didelis daugelyje sektorių ir profesijų, visų pirma srityse, susijusiose su poveikio klimatui neutralizavimo ir </w:t>
      </w:r>
      <w:proofErr w:type="spellStart"/>
      <w:r w:rsidRPr="00D94D1B">
        <w:t>mažataršių</w:t>
      </w:r>
      <w:proofErr w:type="spellEnd"/>
      <w:r w:rsidRPr="00D94D1B">
        <w:t xml:space="preserve"> technologijų plėtra ir įgyvendinimu; kadangi nedarbas visoje ES pasiekė istoriškai žemą lygį, nors rodikliai įvairiose valstybėse narėse skiriasi; kadangi, Eurostato duomenimis, 2023 m. gruodžio mėn. jaunimo nedarbas ES pasiekė 14,7 proc., o euro zonoje – 14,4 proc.;</w:t>
      </w:r>
    </w:p>
    <w:p w:rsidR="00AB57A9" w:rsidRPr="00D94D1B" w:rsidRDefault="00AB57A9" w:rsidP="00AB57A9">
      <w:pPr>
        <w:pStyle w:val="NormalHanging12a"/>
      </w:pPr>
      <w:r w:rsidRPr="00D94D1B">
        <w:lastRenderedPageBreak/>
        <w:t>D.</w:t>
      </w:r>
      <w:r w:rsidRPr="00D94D1B">
        <w:tab/>
        <w:t>kadangi, remiantis Komisijos 2024 m. žiemos prognoze, numatoma, kad infliacija sumažės nuo 6,3 proc. 2023 m. iki 3,0 proc. 2024 m. ir 2,5 proc. 2025 m. ir nuo 5,4 proc. 2023 m. iki 2,7 proc. 2024 m. ir 2,2 proc. 2025 m. euro zonoje; kadangi, kad fiskaline politika turi būti remiama pinigų politika mažinant infliaciją ir užtikrinant fiskalinį tvarumą, kartu suteikiant pakankamai galimybių papildomoms investicijoms ir remiant ilgalaikį augimą;</w:t>
      </w:r>
    </w:p>
    <w:p w:rsidR="00AB57A9" w:rsidRPr="00D94D1B" w:rsidRDefault="00AB57A9" w:rsidP="00AB57A9">
      <w:pPr>
        <w:pStyle w:val="NormalHanging12a"/>
      </w:pPr>
      <w:r w:rsidRPr="00D94D1B">
        <w:t>E.</w:t>
      </w:r>
      <w:r w:rsidRPr="00D94D1B">
        <w:tab/>
        <w:t>kadangi infliacija daro nevienodą poveikį pajamų grupėms, o mažas pajamas gaunančios grupės patiria neproporcingai didelį poveikį; kadangi dėl infliacijos tam tikruose gyventojų segmentuose gali kilti tikra pragyvenimo išlaidų krizė, dėl kurios kiltų sunkumų socialinei sanglaudai;</w:t>
      </w:r>
    </w:p>
    <w:p w:rsidR="00AB57A9" w:rsidRPr="00D94D1B" w:rsidRDefault="00AB57A9" w:rsidP="00AB57A9">
      <w:pPr>
        <w:pStyle w:val="NormalHanging12a"/>
      </w:pPr>
      <w:r w:rsidRPr="00D94D1B">
        <w:t>F.</w:t>
      </w:r>
      <w:r w:rsidRPr="00D94D1B">
        <w:tab/>
        <w:t>kadangi tikimasi, jog skolos ir BVP santykis 2023 m. ES sumažės iki 83,1 proc., o euro zonoje – iki 90,4 proc.; kadangi numatoma, jog skolos ir BVP santykis ES 2024 m. ir 2025 m. dar šiek tiek sumažės, iki atitinkamai maždaug 82,7 proc. ir 82,5 proc.; kadangi numatoma, kad 2024 m. euro zonos skolos ir BVP santykis sumažės iki maždaug 89,7 proc. ir iki 89,5 proc. 2025m. kadangi skirtingų valstybių narių skolos lygis labai skiriasi; kadangi didelis skolos ir BVP santykis kartu su didelėmis palūkanų normomis ir neaiškia makroekonomine padėtimi gali kelti pavojų ilgalaikiam skolos tvarumui ir ekonominiam stabilumui;</w:t>
      </w:r>
    </w:p>
    <w:p w:rsidR="00AB57A9" w:rsidRPr="00D94D1B" w:rsidRDefault="00AB57A9" w:rsidP="00AB57A9">
      <w:pPr>
        <w:pStyle w:val="NormalHanging12a"/>
      </w:pPr>
      <w:r w:rsidRPr="00D94D1B">
        <w:t>G.</w:t>
      </w:r>
      <w:r w:rsidRPr="00D94D1B">
        <w:tab/>
        <w:t>kadangi pagal Komisijos 2023 m. rudens prognozę numatoma, kad valdžios sektoriaus deficitas ES ir euro zonoje sumažės iki 3,2 proc. BVP 2023 m. ir toliau mažės iki 2,8 proc. BVP 2024 m. ir iki 2,7 proc. 2025 m.; kadangi Stabilumo ir augimo pakte nustatyta bendroji nukrypti leidžianti išlyga buvo nebetaikoma 2023 m. pabaigoje; kadangi Komisija paskelbė, kad 2024 m. pavasarį pateiks Tarybai pasiūlymą dėl deficitu grindžiamos perviršinio deficito procedūros inicijavimo, remdamasi 2023 m. rezultatų duomenimis, laikydamasi galiojančių teisinių nuostatų;</w:t>
      </w:r>
    </w:p>
    <w:p w:rsidR="00AB57A9" w:rsidRPr="00D94D1B" w:rsidRDefault="00AB57A9" w:rsidP="00AB57A9">
      <w:pPr>
        <w:pStyle w:val="NormalHanging12a"/>
      </w:pPr>
      <w:r w:rsidRPr="00D94D1B">
        <w:t>H.</w:t>
      </w:r>
      <w:r w:rsidRPr="00D94D1B">
        <w:tab/>
        <w:t>kadangi numatoma, kad 2023 ir 2024 m. bendra fiskalinės politikos kryptis abejais metais susitrauks 0,5 proc. BVP, visų pirma dėl beveik visiško su krize susijusių energetikos priemonių panaikinimo;</w:t>
      </w:r>
    </w:p>
    <w:p w:rsidR="00AB57A9" w:rsidRPr="00D94D1B" w:rsidRDefault="00AB57A9" w:rsidP="00AB57A9">
      <w:pPr>
        <w:pStyle w:val="NormalHanging12a"/>
      </w:pPr>
      <w:r w:rsidRPr="00D94D1B">
        <w:t>I.</w:t>
      </w:r>
      <w:r w:rsidRPr="00D94D1B">
        <w:tab/>
        <w:t>kadangi greitas, ryžtingas ir koordinuotas politinis atsakas suteikė ES ekonomikai galimybę atgaivinti COVID-19 pandemijos ir Rusijos agresijos karo prieš Ukrainą socialinius ir ekonominius padarinius ir įveikti dėl to kilusią energetikos krizę; kadangi 2023 m. ekonomika sulėtėjo; kadangi perspektyvas ir toliau supa didelis netikrumas ir rizika, susiję su besitęsiančio Rusijos agresijos karo prieš Ukrainą raida ir konfliktu Artimuosiuose Rytuose;</w:t>
      </w:r>
    </w:p>
    <w:p w:rsidR="00AB57A9" w:rsidRPr="00D94D1B" w:rsidRDefault="00AB57A9" w:rsidP="00AB57A9">
      <w:pPr>
        <w:pStyle w:val="NormalHanging12a"/>
      </w:pPr>
      <w:r w:rsidRPr="00D94D1B">
        <w:t>J.</w:t>
      </w:r>
      <w:r w:rsidRPr="00D94D1B">
        <w:tab/>
        <w:t>kadangi šie ardomieji geopolitiniai įvykiai parodė, kad Europos Sąjunga turi toliau stiprinti savo atvirą strateginį savarankiškumą ir išlikti konkurencinga pasaulinėje rinkoje, kartu užtikrinant, kad niekas nebūtų paliktas nuošalyje;</w:t>
      </w:r>
    </w:p>
    <w:p w:rsidR="00AB57A9" w:rsidRPr="00D94D1B" w:rsidRDefault="00AB57A9" w:rsidP="00AB57A9">
      <w:pPr>
        <w:pStyle w:val="NormalHanging12a"/>
      </w:pPr>
      <w:r w:rsidRPr="00D94D1B">
        <w:t>K.</w:t>
      </w:r>
      <w:r w:rsidRPr="00D94D1B">
        <w:tab/>
        <w:t>kadangi ES finansavimas prisidėjo prie makroekonominio stiprumo ES lygmeniu ir padidino ES vidaus ir išorės atsparumą krizės metu, kartu remiant valstybes nares finansuojant būtinas investicijas į ES prioritetus, kad būtų sprendžiamos dabartinės ir būsimos problemos;</w:t>
      </w:r>
    </w:p>
    <w:p w:rsidR="00AB57A9" w:rsidRPr="00D94D1B" w:rsidRDefault="00AB57A9" w:rsidP="00AB57A9">
      <w:pPr>
        <w:pStyle w:val="NormalHanging12a"/>
      </w:pPr>
      <w:r w:rsidRPr="00D94D1B">
        <w:t>L.</w:t>
      </w:r>
      <w:r w:rsidRPr="00D94D1B">
        <w:tab/>
        <w:t xml:space="preserve">kadangi numatoma, kad po didelės su krize susijusios plėtros 2020–2022 m. fiskalinės politikos kryptis euro zonoje 2023 ir 2024 m. bus ribojančio pobūdžio; kadangi fiskalinė </w:t>
      </w:r>
      <w:r w:rsidRPr="00D94D1B">
        <w:lastRenderedPageBreak/>
        <w:t>politika turėtų išlikti lanksti esant dideliam neapibrėžtumui;</w:t>
      </w:r>
    </w:p>
    <w:p w:rsidR="00AB57A9" w:rsidRPr="00D94D1B" w:rsidRDefault="00AB57A9" w:rsidP="00AB57A9">
      <w:pPr>
        <w:pStyle w:val="NormalHanging12a"/>
      </w:pPr>
      <w:r w:rsidRPr="00D94D1B">
        <w:t>M.</w:t>
      </w:r>
      <w:r w:rsidRPr="00D94D1B">
        <w:tab/>
        <w:t>kadangi po finansų krizės, kurią sukėlė COVID-19 pandemija, grynosios viešosios investicijos, išreikštos BVP procentine dalimi, labai sumažėjo ir kai kuriais atvejais pasiekė neigiamą lygį; kadangi šis santykis dar nevisiškai atsigavo; kadangi neutralaus poveikio klimatui politikos ir skaitmeninės transformacijos sėkmė priklauso nuo bendro Europos požiūrio ir reikia imtis priemonių tiek ES, tiek valstybių narių lygmeniu; kadangi būsimas ES atsparumas yra glaudžiai susijęs su didesnėmis viešosiomis ir privačiosiomis investicijomis į tvarų augimą ir plataus užmojo struktūrinių reformų darbotvarke; kadangi būtina laiku parengti strategiją, kuria būtų užtikrintas tinkamas viešųjų investicijų lygis pasibaigus Ekonomikos gaivinimo ir atsparumo didinimo priemonės (EGADP) galiojimui 2026 m.; kadangi siekiant Europos žaliojo kurso ir Paryžiaus susitarimo tikslų reikia didelių viešųjų ir privačių investicijų;</w:t>
      </w:r>
    </w:p>
    <w:p w:rsidR="00AB57A9" w:rsidRPr="00D94D1B" w:rsidRDefault="00AB57A9" w:rsidP="00AB57A9">
      <w:pPr>
        <w:pStyle w:val="NormalHanging12a"/>
      </w:pPr>
      <w:r w:rsidRPr="00D94D1B">
        <w:t>N.</w:t>
      </w:r>
      <w:r w:rsidRPr="00D94D1B">
        <w:tab/>
        <w:t>kadangi valstybės narės turi turėti būtinus stebėsenos ir audito mechanizmus, kad būtų užtikrintas teisinės valstybės principo laikymasis ir apsaugoti ES finansiniai interesai, visų pirma siekiant užkirsti kelią sukčiavimui, korupcijai ir interesų konfliktams ir užtikrinti skaidrumą; kadangi svarbu, kad valstybės narės šiuo atžvilgiu įgyvendintų atitinkamas konkrečioms šalims skirtas rekomendacijas;</w:t>
      </w:r>
    </w:p>
    <w:p w:rsidR="00AB57A9" w:rsidRPr="00D94D1B" w:rsidRDefault="00AB57A9" w:rsidP="00AB57A9">
      <w:pPr>
        <w:pStyle w:val="NormalHanging12a"/>
        <w:rPr>
          <w:b/>
        </w:rPr>
      </w:pPr>
      <w:r w:rsidRPr="00D94D1B">
        <w:rPr>
          <w:b/>
          <w:i/>
        </w:rPr>
        <w:t>Ekonominės ES perspektyvos</w:t>
      </w:r>
    </w:p>
    <w:p w:rsidR="00AB57A9" w:rsidRPr="00D94D1B" w:rsidRDefault="00AB57A9" w:rsidP="00AB57A9">
      <w:pPr>
        <w:pStyle w:val="NormalHanging12a"/>
      </w:pPr>
      <w:r w:rsidRPr="00D94D1B">
        <w:t>1.</w:t>
      </w:r>
      <w:r w:rsidRPr="00D94D1B">
        <w:tab/>
        <w:t>reiškia susirūpinimą dėl ekonominės padėties, nuolatinio netikrumo, silpno augimo, konkurencingumo ir našumo ES; susirūpinęs atkreipia dėmesį į nuolatinį energijos kainų ir infliacijos poveikį namų ūkių perkamajai galiai, dėl kurio daugeliui europiečių kyla didesnė skurdo, įskaitant energijos nepriteklių, rizika, ir ES įmonių, įskaitant mažąsias ir vidutines įmones (MVĮ), gebėjimui veikti; ragina valstybes nares imtis tolesnių veiksmų siekiant įveikti šiuos sunkumus ir įgyvendinti tikslines priemones, kuriomis būtų užtikrinta sąžininga konkurencija bendrojoje rinkoje ir sprendžiama nuolatinio infliacinio spaudimo problema;</w:t>
      </w:r>
    </w:p>
    <w:p w:rsidR="00AB57A9" w:rsidRPr="00D94D1B" w:rsidRDefault="00AB57A9" w:rsidP="00AB57A9">
      <w:pPr>
        <w:pStyle w:val="NormalHanging12a"/>
      </w:pPr>
      <w:r w:rsidRPr="00D94D1B">
        <w:t>2.</w:t>
      </w:r>
      <w:r w:rsidRPr="00D94D1B">
        <w:tab/>
        <w:t>pažymi, kad daugelis valstybių narių patiria struktūrinių problemų, kurios trukdo jų augimui; pabrėžia, kad norint užtikrinti tvarų ekonomikos atsigavimą ir nuolatinį augimą labai svarbu spręsti struktūrines problemas ir kad reformų, kuriomis siekiama spręsti struktūrinio pažeidžiamumo problemas, įgyvendinimas yra labai svarbus ne tik siekiant pagerinti gebėjimą atremti esamus iššūkius ir juos įveikti, bet ir darniai bei teisingai įgyvendinti dvigubą pertvarką; pabrėžia, kad reformos tebėra labai svarbios siekiant stiprinti ES ekonominę bazę, skatinti verslo kūrimą ir verslumą ir stiprinti ES konkurencingumą, našumą ir bendrą augimo potencialą;</w:t>
      </w:r>
    </w:p>
    <w:p w:rsidR="00AB57A9" w:rsidRPr="00D94D1B" w:rsidRDefault="00AB57A9" w:rsidP="00AB57A9">
      <w:pPr>
        <w:pStyle w:val="NormalHanging12a"/>
      </w:pPr>
      <w:r w:rsidRPr="00D94D1B">
        <w:t>3.</w:t>
      </w:r>
      <w:r w:rsidRPr="00D94D1B">
        <w:tab/>
        <w:t xml:space="preserve">pabrėžia, kad viešųjų ir privačiųjų investicijų trūkumas kai kuriose valstybėse narėse neleidžia atsiskleisti socialiai subalansuoto ir tvaraus augimo potencialui; mano, kad nuspėjamos taisyklės, vienodos sąlygos ir mažesnės reikalavimų laikymosi išlaidos yra pagrindiniai investicijų pritraukimo veiksniai; pabrėžia, kad šios investicijos yra labai svarbios ES gebėjimui įveikti esamus iššūkius, įskaitant teisingą žaliąją ir skaitmeninę pertvarką, ir kad jos padidins ES atsparumą ir ilgalaikį konkurencingumą būsimų uždavinių metu; mano, kad šios investicijos turėtų būti vykdomos kartu su ekonomikos augimą ir atsparumą didinančiomis reformomis; ragina atkreipti dėmesį į investicijas į atsinaujinančiuosius energijos išteklius ir energijos vartojimo efektyvumą, kurių reikia siekiant, be kita ko, padaryti ES nepriklausomą nuo importuojamo iškastinio kuro ir apriboti infliaciją, kurią lemia energijos kainos; atkreipia dėmesį į stabdomąją fiskalinės </w:t>
      </w:r>
      <w:r w:rsidRPr="00D94D1B">
        <w:lastRenderedPageBreak/>
        <w:t>politikos kryptį, kurios tikimasi 2023 ir 2024 m.; pabrėžia, kad bet koks susitraukimas neturėtų būti vykdomas investicijų, kurios turėtų būti didinamos visoje Sąjungoje, sąskaita;</w:t>
      </w:r>
    </w:p>
    <w:p w:rsidR="00AB57A9" w:rsidRPr="00D94D1B" w:rsidRDefault="00AB57A9" w:rsidP="00AB57A9">
      <w:pPr>
        <w:pStyle w:val="NormalHanging12a"/>
      </w:pPr>
      <w:r w:rsidRPr="00D94D1B">
        <w:t>4.</w:t>
      </w:r>
      <w:r w:rsidRPr="00D94D1B">
        <w:tab/>
        <w:t>pabrėžia, kad tolesnis bendrosios rinkos stiprinimas ir kliūčių investicijoms šalinimas, be kita ko, vykdant reformas, kuriomis racionalizuojamas ir skaitmeninamas planavimas, leidimų išdavimas ir kitos administracinės procedūros, padėtų skatinti privačias investicijas; pakartoja, kad pramonės politika, taip pat tvirtos ir integruotos ES kapitalo rinkos ir inovacijos taip pat gali prisidėti remiant investicijas, apsaugant ES konkurencingumą pasaulyje ir mažinant riziką, susijusią su pernelyg didele priklausomybe nuo riboto skaičiaus ES nepriklausančių šalių, susijusių su pagrindinėmis technologijomis, žaliavomis ir pramonės ištekliais;</w:t>
      </w:r>
    </w:p>
    <w:p w:rsidR="00AB57A9" w:rsidRPr="00D94D1B" w:rsidRDefault="00AB57A9" w:rsidP="00AB57A9">
      <w:pPr>
        <w:pStyle w:val="NormalHanging12a"/>
      </w:pPr>
      <w:r w:rsidRPr="00D94D1B">
        <w:t>5.</w:t>
      </w:r>
      <w:r w:rsidRPr="00D94D1B">
        <w:tab/>
        <w:t>ragina valstybes nares atlikti išlaidų peržiūras kaip reguliarią (daugiamečio) biudžeto proceso dalį, nes tai padėtų pagerinti viešųjų išlaidų veiksmingumą ir kokybę; pritaria Komisijos 2024 m. metinėje tvaraus augimo apžvalgoje pateiktai rekomendacijai, kad valstybės narės turėtų kuo greičiau atsisakyti su krize susijusių paramos energetikai priemonių ir laipsniškai panaikinti subsidijas iškastiniam kurui; pabrėžia, kad ir valdžios sektoriaus pajamos, ir valdžios sektoriaus išlaidos yra būtinos viešųjų finansų tvarumui užtikrinti; ragina valstybes nares imtis veiksmų mokestinio sukčiavimo, mokesčių vengimo ir jų slėpimo bei pinigų plovimo problemoms spręsti; šiuo atžvilgiu palankiai vertina susitarimą dėl kovos su pinigų plovimu dokumentų rinkinio;</w:t>
      </w:r>
    </w:p>
    <w:p w:rsidR="00AB57A9" w:rsidRPr="00D94D1B" w:rsidRDefault="00AB57A9" w:rsidP="00AB57A9">
      <w:pPr>
        <w:pStyle w:val="NormalHanging12a"/>
      </w:pPr>
      <w:r w:rsidRPr="00D94D1B">
        <w:t>6.</w:t>
      </w:r>
      <w:r w:rsidRPr="00D94D1B">
        <w:tab/>
        <w:t>pritaria Komisijos vertinimui, kad rizika, susijusi su dideliais skolos ir kainų skirtumais, tebėra aktuali, visų pirma tose valstybėse narėse, kuriose skolai tvarkyti reikia didelio skolos termino pratęsimo arba kuriose privačiajame sektoriuje labai padidėja palūkanų mokėjimai;</w:t>
      </w:r>
    </w:p>
    <w:p w:rsidR="00AB57A9" w:rsidRPr="00D94D1B" w:rsidRDefault="00AB57A9" w:rsidP="00AB57A9">
      <w:pPr>
        <w:pStyle w:val="NormalHanging12a"/>
      </w:pPr>
      <w:r w:rsidRPr="00D94D1B">
        <w:t>7.</w:t>
      </w:r>
      <w:r w:rsidRPr="00D94D1B">
        <w:tab/>
        <w:t>ragina euro zonos valstybes nares išnagrinėti visas priemones, kad būtų užbaigta Europos stabilumo mechanizmo sutarties peržiūra, kad būtų galima nustatyti Bendro pertvarkymo fondo bendrą finansinio stabilumo stiprinimo priemonę, kuri dar labiau padidintų euro zonos atsparumą;</w:t>
      </w:r>
    </w:p>
    <w:p w:rsidR="00AB57A9" w:rsidRPr="00D94D1B" w:rsidRDefault="00AB57A9" w:rsidP="00AB57A9">
      <w:pPr>
        <w:pStyle w:val="NormalHanging12a"/>
      </w:pPr>
      <w:r w:rsidRPr="00D94D1B">
        <w:rPr>
          <w:b/>
          <w:i/>
        </w:rPr>
        <w:t>Europos semestras ir EGADP</w:t>
      </w:r>
    </w:p>
    <w:p w:rsidR="00AB57A9" w:rsidRPr="00D94D1B" w:rsidRDefault="00AB57A9" w:rsidP="00AB57A9">
      <w:pPr>
        <w:pStyle w:val="NormalHanging12a"/>
      </w:pPr>
      <w:r w:rsidRPr="00D94D1B">
        <w:t>8.</w:t>
      </w:r>
      <w:r w:rsidRPr="00D94D1B">
        <w:tab/>
        <w:t>primena, kad Europos semestras yra nusistovėjusi biudžeto, ekonominės, socialinės ir užimtumo politikos koordinavimo visoje Sąjungoje sistema pagal Sutartis, įskaitant Europos socialinių teisių ramstį, taip užtikrinant jo makroekonominį stabilumą, tvarią valstybių narių ekonominės veiklos rezultatų konvergenciją ir ES socialinę sanglaudą; ragina valstybes nares užtikrinti didesnę nacionalinę atsakomybę Europos semestre, pvz., per savo vietos ir regionų valdžios institucijas; pažymi, kad 2023 m. žaliojo kurso pramonės planas yra ES augimo strategija;</w:t>
      </w:r>
    </w:p>
    <w:p w:rsidR="00AB57A9" w:rsidRPr="00D94D1B" w:rsidRDefault="00AB57A9" w:rsidP="00AB57A9">
      <w:pPr>
        <w:pStyle w:val="NormalHanging12a"/>
      </w:pPr>
      <w:r w:rsidRPr="00D94D1B">
        <w:t>9.</w:t>
      </w:r>
      <w:r w:rsidRPr="00D94D1B">
        <w:tab/>
        <w:t xml:space="preserve">pritaria nuomonei, kad 2024 m. konkrečioms šalims skirtose rekomendacijose daugiausia dėmesio turi būti skiriama konkretiems kriterijams; pabrėžia, kad jos taip pat turi padėti skatinti patikimą ir integracinį ekonomikos augimą, didinti konkurencingumą ir makroekonominį stabilumą, skatinti žaliąją ir skaitmeninę pertvarką ir užtikrinti socialinį ir kartų teisingumą; atsižvelgia į nacionalinių BVP augimo, infliacijos, nedarbo, valdžios sektoriaus balanso, bendrosios valstybės skolos ir einamosios sąskaitos balanso prognozių skirtumus ir pažymi, kad jos rodo, jog reikia lanksčių metodų, pagrįstų konkrečia kiekvienos valstybės narės tikrove; atsižvelgdamas į tai, </w:t>
      </w:r>
      <w:r w:rsidRPr="00D94D1B">
        <w:lastRenderedPageBreak/>
        <w:t>ragina Komisiją labiau susieti konkrečioms šalims skirtas rekomendacijas su atitinkamomis šalių ataskaitomis; ragina veiksmingai stebėti konkrečioms šalims skirtų rekomendacijų ir atitinkamų reformų įgyvendinimą, taip pat pažangą mažinant nustatytus investicijų trūkumus; pabrėžia, kad konkrečioms šalims skirtose rekomendacijose turi būti atsižvelgiama į socialinį pažeidžiamumą ir nedarbą; atkreipia dėmesį į tai, kad, remiantis socialinių rodiklių suvestine, mažėja socialinių rekomendacijų skaičius;</w:t>
      </w:r>
    </w:p>
    <w:p w:rsidR="00AB57A9" w:rsidRPr="00D94D1B" w:rsidRDefault="00AB57A9" w:rsidP="00AB57A9">
      <w:pPr>
        <w:pStyle w:val="NormalHanging12a"/>
      </w:pPr>
      <w:r w:rsidRPr="00D94D1B">
        <w:t>10.</w:t>
      </w:r>
      <w:r w:rsidRPr="00D94D1B">
        <w:tab/>
        <w:t>palankiai vertina lankstumą koreguojant EGADP, pvz., „</w:t>
      </w:r>
      <w:proofErr w:type="spellStart"/>
      <w:r w:rsidRPr="00D94D1B">
        <w:t>REPowerEU</w:t>
      </w:r>
      <w:proofErr w:type="spellEnd"/>
      <w:r w:rsidRPr="00D94D1B">
        <w:t>“ kontekste, remiantis patirtimi, įgyta ją įgyvendinant; pabrėžia, kad nacionaliniuose ekonomikos gaivinimo planuose nustatytos tarpinės ir siektinos reikšmės turėtų atitikti konkrečioms šalims skirtas rekomendacijas ir kad valstybės narės savo nacionaliniuose ekonomikos gaivinimo ir atsparumo didinimo planuose turėtų atsižvelgti bent į didelę konkrečioms šalims skirtų rekomendacijų dalį; pabrėžia EGADP sėkmę; primena, kad finansuojamų projektų sėkmė ir veiksmingumas bus vertinami pagal jų poveikį ekonomikai ir užimtumui, ir ragina greitai, skaidriai ir veiksmingai įgyvendinti šiuos projektus; atsižvelgdamas į tai pabrėžia, kad EGADP reglamento laikymasis ir tinkamas įgyvendinimas yra labai svarbūs EGADP patikimumui;</w:t>
      </w:r>
    </w:p>
    <w:p w:rsidR="00AB57A9" w:rsidRPr="00D94D1B" w:rsidRDefault="00AB57A9" w:rsidP="00AB57A9">
      <w:pPr>
        <w:pStyle w:val="NormalHanging12a"/>
      </w:pPr>
      <w:r w:rsidRPr="00D94D1B">
        <w:t>11.</w:t>
      </w:r>
      <w:r w:rsidRPr="00D94D1B">
        <w:tab/>
        <w:t>pabrėžia EGADP vaidmenį stengiantis įveikti pasaulinius iššūkius, kurių kyla dėl žaliosios pertvarkos ir ekonomikos skaitmeninės transformacijos; pabrėžia, kad ekonomikos gaivinimo ir atsparumo didinimo planuose numatytomis reformomis ir investicijomis prisidedama prie EGADP reglamento klimato srities tikslų ir laikomasi reikšmingos žalos nedarymo principo; ragina valstybes nares pasinaudoti EGADP ir pertvarkyti savo ekonomiką bei padidintų jos konkurencingumą; primena, kad svarbu patikrinti, ar lėšos pasiekia realiąją ekonomiką ir MVĮ, ir pabrėžia ES finansavimą gaunančių įstaigų atskaitomybės ir skaidrumo svarbą;</w:t>
      </w:r>
    </w:p>
    <w:p w:rsidR="00AB57A9" w:rsidRPr="00D94D1B" w:rsidRDefault="00AB57A9" w:rsidP="00AB57A9">
      <w:pPr>
        <w:pStyle w:val="NormalHanging12a"/>
      </w:pPr>
      <w:r w:rsidRPr="00D94D1B">
        <w:t>12.</w:t>
      </w:r>
      <w:r w:rsidRPr="00D94D1B">
        <w:tab/>
        <w:t>pabrėžia privačiųjų ir viešųjų investicijų svarbą ekonomikos atsigavimo ir dvejopos pertvarkos valdymo kontekste; primena, kad Ekonomikos gaivinimo ir atsparumo didinimo priemone nepakeičiamas specifinis nacionalinių viešųjų investicijų vaidmuo; pakartoja, kad reikia užtikrinti viešųjų investicijų ir nacionalinių strategijų kokybę, skaidrumą ir atskaitomybę, kad jos būtų suderintos su dvejopos pertvarkos tikslais; pabrėžia, kad šios nacionalinės dvejopos pertvarkos strategijos turėtų papildyti EGADP ir kitas Europos investicijų priemones;</w:t>
      </w:r>
    </w:p>
    <w:p w:rsidR="00AB57A9" w:rsidRPr="00D94D1B" w:rsidRDefault="00AB57A9" w:rsidP="00AB57A9">
      <w:pPr>
        <w:pStyle w:val="NormalHanging12a"/>
      </w:pPr>
      <w:r w:rsidRPr="00D94D1B">
        <w:t>13.</w:t>
      </w:r>
      <w:r w:rsidRPr="00D94D1B">
        <w:tab/>
        <w:t>pritaria ES sanglaudos politikos programų suderinimui su investicijų poreikiais, nustatytais EGADP ir konkrečioms šalims skirtose rekomendacijose; primena, kad sanglaudos politika siekiama platesnio tikslų rinkinio nei EGADP ir gali papildyti priemones, dėl kurių susitarta pagal EGADP; ragina įtraukti suinteresuotuosius subjektus, įskaitant socialinius partnerius, pilietinės visuomenės organizacijas ir verslo sektorių, rengiant ir įgyvendinant nacionalinius ekonomikos gaivinimo ir atsparumo didinimo planus, kaip ir sanglaudos politikos programų atveju;</w:t>
      </w:r>
    </w:p>
    <w:p w:rsidR="00AB57A9" w:rsidRPr="00D94D1B" w:rsidRDefault="00AB57A9" w:rsidP="00AB57A9">
      <w:pPr>
        <w:pStyle w:val="NormalHanging12a"/>
      </w:pPr>
      <w:r w:rsidRPr="00D94D1B">
        <w:t>14.</w:t>
      </w:r>
      <w:r w:rsidRPr="00D94D1B">
        <w:tab/>
        <w:t>pabrėžia, kad atitinkamų valdžios institucijų, įskaitant nacionalines vyriausybes ir regionų bei vietos valdžios institucijas, veiksmų koordinavimas yra labai svarbus siekiant valdyti EGADP ir įveikti administracines kliūtis ir biurokratiją;</w:t>
      </w:r>
    </w:p>
    <w:p w:rsidR="00AB57A9" w:rsidRPr="00D94D1B" w:rsidRDefault="00AB57A9" w:rsidP="00AB57A9">
      <w:pPr>
        <w:pStyle w:val="NormalHanging12a"/>
      </w:pPr>
      <w:r w:rsidRPr="00D94D1B">
        <w:t>15.</w:t>
      </w:r>
      <w:r w:rsidRPr="00D94D1B">
        <w:tab/>
        <w:t xml:space="preserve">atkreipia dėmesį į 2024 m. vasario 10 d. teisėkūros institucijų pasiektą preliminarų politinį susitarimą dėl ES ekonomikos valdymo sistemos reformos, kuriuo siekiama užtikrinti veiksmingą ekonominės politikos koordinavimą ir tvarią valstybių narių </w:t>
      </w:r>
      <w:r w:rsidRPr="00D94D1B">
        <w:lastRenderedPageBreak/>
        <w:t>ekonominės ir socialinės veiklos rezultatų konvergenciją;</w:t>
      </w:r>
    </w:p>
    <w:p w:rsidR="00AB57A9" w:rsidRPr="00D94D1B" w:rsidRDefault="00AB57A9" w:rsidP="00AB57A9">
      <w:pPr>
        <w:pStyle w:val="NormalHanging12a"/>
      </w:pPr>
      <w:r w:rsidRPr="00D94D1B">
        <w:t>16.</w:t>
      </w:r>
      <w:r w:rsidRPr="00D94D1B">
        <w:tab/>
        <w:t>palankiai vertina patirtį, įgytą pasirenkant EGADP valdymo koncepciją; pažymi, kad ekonomikos valdymo sistemos reforma nesuteikia ES finansinių paskatų mechanizmų, kuriais būtų remiamos ir skatinamos nacionalinės politikos reformos ir investicijos; pabrėžia, kad norint pasiekti pagrindinius ekonomikos valdymo sistemos reformos tikslus ir įgyvendinti dabartinius ir būsimus Sąjungos prioritetus labai svarbu užtikrinti būtiną viešųjų investicijų lygį; yra susirūpinęs dėl to, kad kai kurios valstybės narės pačios neturės finansinių pajėgumų teisingai žaliajai ir skaitmeninei pertvarkai finansuoti;</w:t>
      </w:r>
    </w:p>
    <w:p w:rsidR="00AB57A9" w:rsidRPr="00D94D1B" w:rsidRDefault="00AB57A9" w:rsidP="00AB57A9">
      <w:pPr>
        <w:pStyle w:val="NormalHanging12a"/>
      </w:pPr>
      <w:r w:rsidRPr="00D94D1B">
        <w:t>17.</w:t>
      </w:r>
      <w:r w:rsidRPr="00D94D1B">
        <w:tab/>
        <w:t>pabrėžia Europos Parlamento vaidmenį ES ekonomikos valdymo sistemoje ir pasisako už aktyvesnį Europos Parlamento dalyvavimą Europos semestre, kartu visapusiškai atsižvelgiant į Sutartimis nustatytą kompetenciją; atkreipia dėmesį į Komisijos ir valstybių narių dialogą dėl jų individualių fiskalinių struktūrinių planų; pabrėžia, kad visoms valstybėms narėms turi būti taikomos vienodos sąlygos; pabrėžia, kad didinant Komisijos veiksmų laisvę rengiant vidutinio laikotarpio fiskalinius struktūrinius planus kartu turi būti labiau laikomasi taisyklių, kurias tikrina Europos fiskalinė valdyba, taip pat didesnė atskaitomybė ir didesnis informacijos srautas Europos Parlamentui; pripažįsta, kad ekonominis dialogas, kaip Europos semestro dalis, yra naudingas ataskaitų teikimo pagrindas; mano, kad siekiant užtikrinti tinkamą atskaitomybę reikėtų, kad Europos Parlamentas turėtų priemonių, leidžiančių jam taikyti pasekmes, grindžiamas jo atliktu Europos semestro veiksmingumo vertinimu pagal Sutartis;</w:t>
      </w:r>
    </w:p>
    <w:p w:rsidR="00AB57A9" w:rsidRPr="00D94D1B" w:rsidRDefault="00AB57A9" w:rsidP="00AB57A9">
      <w:pPr>
        <w:pStyle w:val="NormalHanging12a"/>
        <w:jc w:val="center"/>
      </w:pPr>
      <w:r w:rsidRPr="00D94D1B">
        <w:t>°</w:t>
      </w:r>
    </w:p>
    <w:p w:rsidR="00AB57A9" w:rsidRPr="00D94D1B" w:rsidRDefault="00AB57A9" w:rsidP="00AB57A9">
      <w:pPr>
        <w:pStyle w:val="NormalHanging12a"/>
        <w:jc w:val="center"/>
      </w:pPr>
      <w:r w:rsidRPr="00D94D1B">
        <w:t>°</w:t>
      </w:r>
      <w:r w:rsidRPr="00D94D1B">
        <w:tab/>
        <w:t>°</w:t>
      </w:r>
    </w:p>
    <w:p w:rsidR="00AB57A9" w:rsidRPr="00D94D1B" w:rsidRDefault="00AB57A9" w:rsidP="00AB57A9">
      <w:r w:rsidRPr="00D94D1B">
        <w:t>18.</w:t>
      </w:r>
      <w:r w:rsidRPr="00D94D1B">
        <w:tab/>
        <w:t xml:space="preserve">paveda Pirmininkei perduoti šią rezoliuciją Tarybai ir Komisijai. </w:t>
      </w:r>
    </w:p>
    <w:p w:rsidR="00E365E1" w:rsidRPr="00D94D1B" w:rsidRDefault="00E365E1" w:rsidP="00D600CF">
      <w:pPr>
        <w:ind w:left="567" w:hanging="567"/>
      </w:pPr>
      <w:bookmarkStart w:id="9" w:name="TextBodyEnd"/>
      <w:bookmarkEnd w:id="9"/>
    </w:p>
    <w:sectPr w:rsidR="00E365E1" w:rsidRPr="00D94D1B" w:rsidSect="00D94D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85A" w:rsidRPr="00D94D1B" w:rsidRDefault="00B4285A">
      <w:r w:rsidRPr="00D94D1B">
        <w:separator/>
      </w:r>
    </w:p>
  </w:endnote>
  <w:endnote w:type="continuationSeparator" w:id="0">
    <w:p w:rsidR="00B4285A" w:rsidRPr="00D94D1B" w:rsidRDefault="00B4285A">
      <w:r w:rsidRPr="00D94D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85A" w:rsidRPr="00D94D1B" w:rsidRDefault="00B4285A">
      <w:r w:rsidRPr="00D94D1B">
        <w:separator/>
      </w:r>
    </w:p>
  </w:footnote>
  <w:footnote w:type="continuationSeparator" w:id="0">
    <w:p w:rsidR="00B4285A" w:rsidRPr="00D94D1B" w:rsidRDefault="00B4285A">
      <w:r w:rsidRPr="00D94D1B">
        <w:continuationSeparator/>
      </w:r>
    </w:p>
  </w:footnote>
  <w:footnote w:id="1">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41.</w:t>
      </w:r>
    </w:p>
  </w:footnote>
  <w:footnote w:id="2">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33.</w:t>
      </w:r>
    </w:p>
  </w:footnote>
  <w:footnote w:id="3">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1.</w:t>
      </w:r>
    </w:p>
  </w:footnote>
  <w:footnote w:id="4">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8.</w:t>
      </w:r>
    </w:p>
  </w:footnote>
  <w:footnote w:id="5">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12.</w:t>
      </w:r>
    </w:p>
  </w:footnote>
  <w:footnote w:id="6">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306, 2011 11 23, p. 25.</w:t>
      </w:r>
    </w:p>
  </w:footnote>
  <w:footnote w:id="7">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140, 2013 5 27, p. 1.</w:t>
      </w:r>
    </w:p>
  </w:footnote>
  <w:footnote w:id="8">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140, 2013 5 27, p. 11.</w:t>
      </w:r>
    </w:p>
  </w:footnote>
  <w:footnote w:id="9">
    <w:p w:rsidR="00AB57A9" w:rsidRPr="00D94D1B" w:rsidRDefault="00AB57A9" w:rsidP="00D94D1B">
      <w:pPr>
        <w:pStyle w:val="FootnoteText"/>
        <w:ind w:left="567" w:hanging="567"/>
        <w:rPr>
          <w:sz w:val="24"/>
          <w:lang w:val="lt-LT"/>
        </w:rPr>
      </w:pPr>
      <w:r w:rsidRPr="00D94D1B">
        <w:rPr>
          <w:rStyle w:val="FootnoteReference"/>
          <w:sz w:val="24"/>
          <w:lang w:val="lt-LT"/>
        </w:rPr>
        <w:footnoteRef/>
      </w:r>
      <w:r w:rsidR="00D94D1B" w:rsidRPr="00D94D1B">
        <w:rPr>
          <w:sz w:val="24"/>
          <w:lang w:val="lt-LT"/>
        </w:rPr>
        <w:t xml:space="preserve"> </w:t>
      </w:r>
      <w:r w:rsidR="00D94D1B" w:rsidRPr="00D94D1B">
        <w:rPr>
          <w:sz w:val="24"/>
          <w:lang w:val="lt-LT"/>
        </w:rPr>
        <w:tab/>
      </w:r>
      <w:r w:rsidRPr="00D94D1B">
        <w:rPr>
          <w:sz w:val="24"/>
          <w:lang w:val="lt-LT"/>
        </w:rPr>
        <w:t>OL L 57, 2021 2 18,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4D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LT"/>
    <w:docVar w:name="dvnumam" w:val="0"/>
    <w:docVar w:name="dvpe" w:val="757.014"/>
    <w:docVar w:name="dvrapporteur" w:val="Pranešėjas: "/>
    <w:docVar w:name="dvtitre" w:val="Europos Parlamento rezoliucija dėl 2024 m. Europos ekonominės politikos koordinavimo semestro(2023/2063(INI))"/>
  </w:docVars>
  <w:rsids>
    <w:rsidRoot w:val="00B4285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5E2"/>
    <w:rsid w:val="006F74FA"/>
    <w:rsid w:val="00731ADD"/>
    <w:rsid w:val="00734777"/>
    <w:rsid w:val="00747932"/>
    <w:rsid w:val="00751A4A"/>
    <w:rsid w:val="00756632"/>
    <w:rsid w:val="00762C74"/>
    <w:rsid w:val="00786EC0"/>
    <w:rsid w:val="007D1690"/>
    <w:rsid w:val="007E22AD"/>
    <w:rsid w:val="007F222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A9"/>
    <w:rsid w:val="00AB6293"/>
    <w:rsid w:val="00AE0928"/>
    <w:rsid w:val="00AF3B82"/>
    <w:rsid w:val="00B12E95"/>
    <w:rsid w:val="00B22876"/>
    <w:rsid w:val="00B4285A"/>
    <w:rsid w:val="00B558F0"/>
    <w:rsid w:val="00BD48FE"/>
    <w:rsid w:val="00BD7BD8"/>
    <w:rsid w:val="00BE6ADC"/>
    <w:rsid w:val="00C05BFE"/>
    <w:rsid w:val="00C23CD4"/>
    <w:rsid w:val="00C61C0C"/>
    <w:rsid w:val="00C941CB"/>
    <w:rsid w:val="00CC2357"/>
    <w:rsid w:val="00CF071A"/>
    <w:rsid w:val="00D058B8"/>
    <w:rsid w:val="00D56C11"/>
    <w:rsid w:val="00D600CF"/>
    <w:rsid w:val="00D834A0"/>
    <w:rsid w:val="00D872DF"/>
    <w:rsid w:val="00D91E21"/>
    <w:rsid w:val="00D94D1B"/>
    <w:rsid w:val="00DA7FCD"/>
    <w:rsid w:val="00E365E1"/>
    <w:rsid w:val="00E820A4"/>
    <w:rsid w:val="00EB006A"/>
    <w:rsid w:val="00EB2911"/>
    <w:rsid w:val="00EB4772"/>
    <w:rsid w:val="00ED169E"/>
    <w:rsid w:val="00ED4235"/>
    <w:rsid w:val="00F04346"/>
    <w:rsid w:val="00F075DC"/>
    <w:rsid w:val="00F149E9"/>
    <w:rsid w:val="00F5134D"/>
    <w:rsid w:val="00F74202"/>
    <w:rsid w:val="00F87713"/>
    <w:rsid w:val="00FB4360"/>
    <w:rsid w:val="00FD0C70"/>
    <w:rsid w:val="00FD7F3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5A87C"/>
  <w15:chartTrackingRefBased/>
  <w15:docId w15:val="{54A2089E-99AE-44CD-94F4-E8ACCFA7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B57A9"/>
    <w:pPr>
      <w:spacing w:after="240"/>
      <w:ind w:left="567" w:hanging="567"/>
    </w:pPr>
  </w:style>
  <w:style w:type="paragraph" w:customStyle="1" w:styleId="EPComma">
    <w:name w:val="EPComma"/>
    <w:basedOn w:val="Normal"/>
    <w:rsid w:val="00AB57A9"/>
    <w:pPr>
      <w:spacing w:before="480" w:after="240"/>
    </w:pPr>
  </w:style>
  <w:style w:type="character" w:customStyle="1" w:styleId="NormalHanging12aChar">
    <w:name w:val="NormalHanging12a Char"/>
    <w:basedOn w:val="DefaultParagraphFont"/>
    <w:link w:val="NormalHanging12a"/>
    <w:locked/>
    <w:rsid w:val="00AB57A9"/>
    <w:rPr>
      <w:sz w:val="24"/>
      <w:lang w:val="lt-LT"/>
    </w:rPr>
  </w:style>
  <w:style w:type="paragraph" w:styleId="BalloonText">
    <w:name w:val="Balloon Text"/>
    <w:basedOn w:val="Normal"/>
    <w:link w:val="BalloonTextChar"/>
    <w:rsid w:val="006F45E2"/>
    <w:rPr>
      <w:rFonts w:ascii="Segoe UI" w:hAnsi="Segoe UI" w:cs="Segoe UI"/>
      <w:sz w:val="18"/>
      <w:szCs w:val="18"/>
    </w:rPr>
  </w:style>
  <w:style w:type="character" w:customStyle="1" w:styleId="BalloonTextChar">
    <w:name w:val="Balloon Text Char"/>
    <w:basedOn w:val="DefaultParagraphFont"/>
    <w:link w:val="BalloonText"/>
    <w:rsid w:val="006F45E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00979-6BC4-4441-8328-DE8F4C4EB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2800</Words>
  <Characters>19163</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2024-04-17T12:32:00Z</dcterms:created>
  <dcterms:modified xsi:type="dcterms:W3CDTF">2024-04-17T12:32:00Z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A9-0063/2024</vt:lpwstr>
  </property>
  <property fmtid="{D5CDD505-2E9C-101B-9397-08002B2CF9AE}" pid="4" name="&lt;Type&gt;">
    <vt:lpwstr>RR</vt:lpwstr>
  </property>
</Properties>
</file>