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1C6" w:rsidTr="0010095E">
        <w:trPr>
          <w:trHeight w:hRule="exact" w:val="1418"/>
        </w:trPr>
        <w:tc>
          <w:tcPr>
            <w:tcW w:w="6804" w:type="dxa"/>
            <w:shd w:val="clear" w:color="auto" w:fill="auto"/>
            <w:vAlign w:val="center"/>
          </w:tcPr>
          <w:p w:rsidR="00751A4A" w:rsidRPr="004701C6" w:rsidRDefault="00A07343" w:rsidP="0010095E">
            <w:pPr>
              <w:pStyle w:val="EPName"/>
            </w:pPr>
            <w:r w:rsidRPr="004701C6">
              <w:t>Eiropas Parlaments</w:t>
            </w:r>
          </w:p>
          <w:p w:rsidR="00751A4A" w:rsidRPr="004701C6" w:rsidRDefault="00817416" w:rsidP="00756632">
            <w:pPr>
              <w:pStyle w:val="EPTerm"/>
              <w:rPr>
                <w:rStyle w:val="HideTWBExt"/>
                <w:noProof w:val="0"/>
                <w:vanish w:val="0"/>
                <w:color w:val="auto"/>
              </w:rPr>
            </w:pPr>
            <w:r w:rsidRPr="004701C6">
              <w:t>2019-2024</w:t>
            </w:r>
          </w:p>
        </w:tc>
        <w:tc>
          <w:tcPr>
            <w:tcW w:w="2268" w:type="dxa"/>
            <w:shd w:val="clear" w:color="auto" w:fill="auto"/>
          </w:tcPr>
          <w:p w:rsidR="00751A4A" w:rsidRPr="004701C6" w:rsidRDefault="00187494" w:rsidP="0010095E">
            <w:pPr>
              <w:pStyle w:val="EPLogo"/>
            </w:pPr>
            <w:r w:rsidRPr="004701C6">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01C6" w:rsidRDefault="00D058B8" w:rsidP="004C5D52">
      <w:pPr>
        <w:pStyle w:val="LineTop"/>
      </w:pPr>
    </w:p>
    <w:p w:rsidR="00680577" w:rsidRPr="004701C6" w:rsidRDefault="00A07343" w:rsidP="00680577">
      <w:pPr>
        <w:pStyle w:val="EPBodyTA1"/>
      </w:pPr>
      <w:r w:rsidRPr="004701C6">
        <w:t>PIEŅEMTIE TEKSTI</w:t>
      </w:r>
    </w:p>
    <w:p w:rsidR="00D058B8" w:rsidRPr="004701C6" w:rsidRDefault="00D058B8" w:rsidP="00D058B8">
      <w:pPr>
        <w:pStyle w:val="LineBottom"/>
      </w:pPr>
    </w:p>
    <w:p w:rsidR="00A07343" w:rsidRPr="004701C6" w:rsidRDefault="00A07343" w:rsidP="00A07343">
      <w:pPr>
        <w:pStyle w:val="ATHeading1"/>
      </w:pPr>
      <w:bookmarkStart w:id="0" w:name="TANumber"/>
      <w:r w:rsidRPr="004701C6">
        <w:t>P9_TA(2024)0</w:t>
      </w:r>
      <w:bookmarkEnd w:id="0"/>
      <w:r w:rsidR="004C192E">
        <w:t>156</w:t>
      </w:r>
    </w:p>
    <w:p w:rsidR="00A07343" w:rsidRPr="004701C6" w:rsidRDefault="00DD3196" w:rsidP="00A07343">
      <w:pPr>
        <w:pStyle w:val="ATHeading2"/>
      </w:pPr>
      <w:r w:rsidRPr="004701C6">
        <w:t>Eiropas ekonomikas politikas koordinēšanas pusgads – 2024. gads</w:t>
      </w:r>
    </w:p>
    <w:p w:rsidR="00A07343" w:rsidRPr="004701C6" w:rsidRDefault="00A07343" w:rsidP="00A07343">
      <w:pPr>
        <w:rPr>
          <w:i/>
          <w:vanish/>
        </w:rPr>
      </w:pPr>
      <w:r w:rsidRPr="004701C6">
        <w:rPr>
          <w:i/>
        </w:rPr>
        <w:fldChar w:fldCharType="begin"/>
      </w:r>
      <w:r w:rsidRPr="004701C6">
        <w:rPr>
          <w:i/>
        </w:rPr>
        <w:instrText xml:space="preserve"> TC"(</w:instrText>
      </w:r>
      <w:bookmarkStart w:id="1" w:name="DocNumber"/>
      <w:r w:rsidRPr="004701C6">
        <w:rPr>
          <w:i/>
        </w:rPr>
        <w:instrText>A9-0063/2024</w:instrText>
      </w:r>
      <w:bookmarkEnd w:id="1"/>
      <w:r w:rsidRPr="004701C6">
        <w:rPr>
          <w:i/>
        </w:rPr>
        <w:instrText xml:space="preserve"> - Referents: René Repasi)"\l3 \n&gt; \* MERGEFORMAT </w:instrText>
      </w:r>
      <w:r w:rsidRPr="004701C6">
        <w:rPr>
          <w:i/>
        </w:rPr>
        <w:fldChar w:fldCharType="end"/>
      </w:r>
    </w:p>
    <w:p w:rsidR="00A07343" w:rsidRPr="004701C6" w:rsidRDefault="00A07343" w:rsidP="00A07343">
      <w:pPr>
        <w:rPr>
          <w:vanish/>
        </w:rPr>
      </w:pPr>
      <w:bookmarkStart w:id="2" w:name="Commission"/>
      <w:r w:rsidRPr="004701C6">
        <w:rPr>
          <w:vanish/>
        </w:rPr>
        <w:t>Ekonomikas un monetārā komiteja</w:t>
      </w:r>
      <w:bookmarkEnd w:id="2"/>
    </w:p>
    <w:p w:rsidR="00A07343" w:rsidRPr="004701C6" w:rsidRDefault="00A07343" w:rsidP="00A07343">
      <w:pPr>
        <w:rPr>
          <w:vanish/>
        </w:rPr>
      </w:pPr>
      <w:bookmarkStart w:id="3" w:name="PE"/>
      <w:r w:rsidRPr="004701C6">
        <w:rPr>
          <w:vanish/>
        </w:rPr>
        <w:t>PE757.014</w:t>
      </w:r>
      <w:bookmarkEnd w:id="3"/>
    </w:p>
    <w:p w:rsidR="00E30CB8" w:rsidRPr="004701C6" w:rsidRDefault="00A07343" w:rsidP="00DD3196">
      <w:pPr>
        <w:pStyle w:val="ATHeading3"/>
      </w:pPr>
      <w:bookmarkStart w:id="4" w:name="Sujet"/>
      <w:r w:rsidRPr="004701C6">
        <w:t xml:space="preserve">Eiropas Parlamenta 2024. gada </w:t>
      </w:r>
      <w:r w:rsidR="00DD3196" w:rsidRPr="004701C6">
        <w:t>13</w:t>
      </w:r>
      <w:r w:rsidRPr="004701C6">
        <w:t xml:space="preserve">. </w:t>
      </w:r>
      <w:r w:rsidR="00DD3196" w:rsidRPr="004701C6">
        <w:t>marta</w:t>
      </w:r>
      <w:r w:rsidRPr="004701C6">
        <w:t xml:space="preserve"> rezolūcija par Eiropas ekonomikas politikas koordinēšanas pusgadu 2024. gadā</w:t>
      </w:r>
      <w:bookmarkEnd w:id="4"/>
      <w:r w:rsidRPr="004701C6">
        <w:t xml:space="preserve"> </w:t>
      </w:r>
      <w:bookmarkStart w:id="5" w:name="References"/>
      <w:r w:rsidRPr="004701C6">
        <w:t>(2023/2063(INI))</w:t>
      </w:r>
      <w:bookmarkStart w:id="6" w:name="TextBodyBegin"/>
      <w:bookmarkEnd w:id="5"/>
      <w:bookmarkEnd w:id="6"/>
    </w:p>
    <w:p w:rsidR="00E30CB8" w:rsidRPr="004701C6" w:rsidRDefault="00E30CB8" w:rsidP="00E30CB8">
      <w:pPr>
        <w:pStyle w:val="EPComma"/>
      </w:pPr>
      <w:r w:rsidRPr="004701C6">
        <w:rPr>
          <w:i/>
          <w:iCs/>
        </w:rPr>
        <w:t>Eiropas Parlaments,</w:t>
      </w:r>
    </w:p>
    <w:p w:rsidR="00E30CB8" w:rsidRPr="004701C6" w:rsidRDefault="00E30CB8" w:rsidP="00E30CB8">
      <w:pPr>
        <w:pStyle w:val="NormalHanging12a"/>
      </w:pPr>
      <w:r w:rsidRPr="004701C6">
        <w:t>–</w:t>
      </w:r>
      <w:r w:rsidRPr="004701C6">
        <w:tab/>
        <w:t>ņemot vērā Līgumu par Eiropas Savienības darbību (LESD), jo īpaši tā 121. panta 2. punktu un 136. pantu,</w:t>
      </w:r>
    </w:p>
    <w:p w:rsidR="00E30CB8" w:rsidRPr="004701C6" w:rsidRDefault="00E30CB8" w:rsidP="00E30CB8">
      <w:pPr>
        <w:pStyle w:val="NormalHanging12a"/>
      </w:pPr>
      <w:r w:rsidRPr="004701C6">
        <w:t>–</w:t>
      </w:r>
      <w:r w:rsidRPr="004701C6">
        <w:tab/>
        <w:t>ņemot vērā Līguma par Eiropas Savienību (LES) un LESD Protokolu Nr. 1 par valstu parlamentu lomu Eiropas Savienībā,</w:t>
      </w:r>
    </w:p>
    <w:p w:rsidR="00E30CB8" w:rsidRPr="004701C6" w:rsidRDefault="00E30CB8" w:rsidP="00E30CB8">
      <w:pPr>
        <w:pStyle w:val="NormalHanging12a"/>
      </w:pPr>
      <w:r w:rsidRPr="004701C6">
        <w:t>–</w:t>
      </w:r>
      <w:r w:rsidRPr="004701C6">
        <w:tab/>
        <w:t>ņemot vērā LES un LESD Protokolu Nr. 2 par subsidiaritātes principa un proporcionalitātes principa piemērošanu,</w:t>
      </w:r>
    </w:p>
    <w:p w:rsidR="00E30CB8" w:rsidRPr="004701C6" w:rsidRDefault="00E30CB8" w:rsidP="00E30CB8">
      <w:pPr>
        <w:pStyle w:val="NormalHanging12a"/>
      </w:pPr>
      <w:r w:rsidRPr="004701C6">
        <w:t>–</w:t>
      </w:r>
      <w:r w:rsidRPr="004701C6">
        <w:tab/>
        <w:t>ņemot vērā Līgumu par stabilitāti, koordināciju un pārvaldību ekonomiskajā un monetārajā savienībā,</w:t>
      </w:r>
    </w:p>
    <w:p w:rsidR="00E30CB8" w:rsidRPr="004701C6" w:rsidRDefault="00E30CB8" w:rsidP="00E30CB8">
      <w:pPr>
        <w:pStyle w:val="NormalHanging12a"/>
      </w:pPr>
      <w:r w:rsidRPr="004701C6">
        <w:t>–</w:t>
      </w:r>
      <w:r w:rsidRPr="004701C6">
        <w:tab/>
        <w:t>ņemot vērā Apvienoto Nāciju Organizācijas Vispārējās konvencijas par klimata pārmaiņām ietvaros pieņemto Parīzes nolīgumu un ilgtspējīgas attīstības mērķus,</w:t>
      </w:r>
    </w:p>
    <w:p w:rsidR="00E30CB8" w:rsidRPr="004701C6" w:rsidRDefault="00E30CB8" w:rsidP="00E30CB8">
      <w:pPr>
        <w:pStyle w:val="NormalHanging12a"/>
      </w:pPr>
      <w:r w:rsidRPr="004701C6">
        <w:t>–</w:t>
      </w:r>
      <w:r w:rsidRPr="004701C6">
        <w:tab/>
        <w:t>ņemot vērā Padomes 2011. gada 8. novembra Direktīvu 2011/85/ES par prasībām dalībvalstu budžeta struktūrām</w:t>
      </w:r>
      <w:r w:rsidRPr="004701C6">
        <w:rPr>
          <w:rStyle w:val="FootnoteReference"/>
          <w:szCs w:val="24"/>
        </w:rPr>
        <w:footnoteReference w:id="1"/>
      </w:r>
      <w:r w:rsidRPr="004701C6">
        <w:t>,</w:t>
      </w:r>
    </w:p>
    <w:p w:rsidR="00E30CB8" w:rsidRPr="004701C6" w:rsidRDefault="00E30CB8" w:rsidP="00E30CB8">
      <w:pPr>
        <w:pStyle w:val="NormalHanging12a"/>
      </w:pPr>
      <w:r w:rsidRPr="004701C6">
        <w:t>–</w:t>
      </w:r>
      <w:r w:rsidRPr="004701C6">
        <w:tab/>
        <w:t>ņemot vērā Padomes 2011. gada 8. novembra Regulu (ES) Nr. 1177/2011, ar kuru groza Regulu (EK) Nr. 1467/97 par to, kā paātrināt un precizēt pārmērīga budžeta deficīta novēršanas procedūras īstenošanu</w:t>
      </w:r>
      <w:r w:rsidRPr="004701C6">
        <w:rPr>
          <w:vertAlign w:val="superscript"/>
        </w:rPr>
        <w:footnoteReference w:id="2"/>
      </w:r>
      <w:r w:rsidRPr="004701C6">
        <w:t>,</w:t>
      </w:r>
    </w:p>
    <w:p w:rsidR="00E30CB8" w:rsidRPr="004701C6" w:rsidRDefault="00E30CB8" w:rsidP="00E30CB8">
      <w:pPr>
        <w:pStyle w:val="NormalHanging12a"/>
      </w:pPr>
      <w:r w:rsidRPr="004701C6">
        <w:t>–</w:t>
      </w:r>
      <w:r w:rsidRPr="004701C6">
        <w:tab/>
        <w:t xml:space="preserve">ņemot vērā Eiropas Parlamenta un Padomes 2011. gada 16. novembra Regulu (ES) Nr. 1173/2011 par efektīvu budžeta uzraudzības īstenošanu </w:t>
      </w:r>
      <w:proofErr w:type="spellStart"/>
      <w:r w:rsidRPr="004701C6">
        <w:t>eurozonā</w:t>
      </w:r>
      <w:proofErr w:type="spellEnd"/>
      <w:r w:rsidRPr="004701C6">
        <w:rPr>
          <w:vertAlign w:val="superscript"/>
        </w:rPr>
        <w:footnoteReference w:id="3"/>
      </w:r>
      <w:r w:rsidRPr="004701C6">
        <w:t>,</w:t>
      </w:r>
    </w:p>
    <w:p w:rsidR="00E30CB8" w:rsidRPr="004701C6" w:rsidRDefault="00E30CB8" w:rsidP="00E30CB8">
      <w:pPr>
        <w:pStyle w:val="NormalHanging12a"/>
      </w:pPr>
      <w:r w:rsidRPr="004701C6">
        <w:t>–</w:t>
      </w:r>
      <w:r w:rsidRPr="004701C6">
        <w:tab/>
        <w:t xml:space="preserve">ņemot vērā Eiropas Parlamenta un Padomes 2011. gada 16. novembra Regulu (ES) Nr. 1174/2011 par izpildes pasākumiem pārmērīgas makroekonomiskās nelīdzsvarotības koriģēšanai </w:t>
      </w:r>
      <w:proofErr w:type="spellStart"/>
      <w:r w:rsidRPr="004701C6">
        <w:t>eurozonā</w:t>
      </w:r>
      <w:proofErr w:type="spellEnd"/>
      <w:r w:rsidRPr="004701C6">
        <w:rPr>
          <w:vertAlign w:val="superscript"/>
        </w:rPr>
        <w:footnoteReference w:id="4"/>
      </w:r>
      <w:r w:rsidRPr="004701C6">
        <w:t>,</w:t>
      </w:r>
    </w:p>
    <w:p w:rsidR="00E30CB8" w:rsidRPr="004701C6" w:rsidRDefault="00E30CB8" w:rsidP="00E30CB8">
      <w:pPr>
        <w:pStyle w:val="NormalHanging12a"/>
      </w:pPr>
      <w:r w:rsidRPr="004701C6">
        <w:lastRenderedPageBreak/>
        <w:t>–</w:t>
      </w:r>
      <w:r w:rsidRPr="004701C6">
        <w:tab/>
        <w:t>ņemot vērā Eiropas Parlamenta un Padomes 2011. gada 16. novembra Regulu (ES) Nr. 1175/2011, ar ko groza Padomes Regulu (EK) Nr. 1466/97 par budžeta stāvokļa uzraudzības un ekonomikas politikas uzraudzības un koordinācijas stiprināšanu</w:t>
      </w:r>
      <w:r w:rsidRPr="004701C6">
        <w:rPr>
          <w:vertAlign w:val="superscript"/>
        </w:rPr>
        <w:footnoteReference w:id="5"/>
      </w:r>
      <w:r w:rsidRPr="004701C6">
        <w:t>,</w:t>
      </w:r>
    </w:p>
    <w:p w:rsidR="00E30CB8" w:rsidRPr="004701C6" w:rsidRDefault="00E30CB8" w:rsidP="00E30CB8">
      <w:pPr>
        <w:pStyle w:val="NormalHanging12a"/>
      </w:pPr>
      <w:r w:rsidRPr="004701C6">
        <w:t>–</w:t>
      </w:r>
      <w:r w:rsidRPr="004701C6">
        <w:tab/>
        <w:t>ņemot vērā Eiropas Parlamenta un Padomes 2011. gada 16. novembra Regulu (ES) Nr. 1176/2011 par to, kā novērst un koriģēt makroekonomisko nelīdzsvarotību</w:t>
      </w:r>
      <w:r w:rsidRPr="004701C6">
        <w:rPr>
          <w:vertAlign w:val="superscript"/>
        </w:rPr>
        <w:footnoteReference w:id="6"/>
      </w:r>
      <w:r w:rsidRPr="004701C6">
        <w:t>,</w:t>
      </w:r>
    </w:p>
    <w:p w:rsidR="00E30CB8" w:rsidRPr="004701C6" w:rsidRDefault="00E30CB8" w:rsidP="00E30CB8">
      <w:pPr>
        <w:pStyle w:val="NormalHanging12a"/>
      </w:pPr>
      <w:r w:rsidRPr="004701C6">
        <w:t>–</w:t>
      </w:r>
      <w:r w:rsidRPr="004701C6">
        <w:tab/>
        <w:t xml:space="preserve">ņemot vērā Eiropas Parlamenta un Padomes 2013. gada 21. maija Regulu (ES) Nr. 472/2013 par to </w:t>
      </w:r>
      <w:proofErr w:type="spellStart"/>
      <w:r w:rsidRPr="004701C6">
        <w:t>eurozonas</w:t>
      </w:r>
      <w:proofErr w:type="spellEnd"/>
      <w:r w:rsidRPr="004701C6">
        <w:t xml:space="preserve"> dalībvalstu ekonomiskās un budžeta uzraudzības pastiprināšanu, kurās ir vai kurām draud nopietnas finanšu stabilitātes grūtības</w:t>
      </w:r>
      <w:r w:rsidRPr="004701C6">
        <w:rPr>
          <w:rStyle w:val="FootnoteReference"/>
          <w:szCs w:val="24"/>
        </w:rPr>
        <w:footnoteReference w:id="7"/>
      </w:r>
      <w:r w:rsidRPr="004701C6">
        <w:t>,</w:t>
      </w:r>
    </w:p>
    <w:p w:rsidR="00E30CB8" w:rsidRPr="004701C6" w:rsidRDefault="00E30CB8" w:rsidP="00E30CB8">
      <w:pPr>
        <w:pStyle w:val="NormalHanging12a"/>
      </w:pPr>
      <w:r w:rsidRPr="004701C6">
        <w:t>–</w:t>
      </w:r>
      <w:r w:rsidRPr="004701C6">
        <w:tab/>
        <w:t xml:space="preserve">ņemot vērā Eiropas Parlamenta un Padomes 2013. gada 21. maija Regulu (ES) Nr. 473/2013 par kopīgiem noteikumiem budžeta plānu projektu uzraudzībai un novērtēšanai un pārmērīga budžeta deficīta novēršanai </w:t>
      </w:r>
      <w:proofErr w:type="spellStart"/>
      <w:r w:rsidRPr="004701C6">
        <w:t>eurozonas</w:t>
      </w:r>
      <w:proofErr w:type="spellEnd"/>
      <w:r w:rsidRPr="004701C6">
        <w:t xml:space="preserve"> dalībvalstīs</w:t>
      </w:r>
      <w:r w:rsidRPr="004701C6">
        <w:rPr>
          <w:rStyle w:val="FootnoteReference"/>
          <w:szCs w:val="24"/>
        </w:rPr>
        <w:footnoteReference w:id="8"/>
      </w:r>
      <w:r w:rsidRPr="004701C6">
        <w:t>,</w:t>
      </w:r>
    </w:p>
    <w:p w:rsidR="00E30CB8" w:rsidRPr="004701C6" w:rsidRDefault="00E30CB8" w:rsidP="00E30CB8">
      <w:pPr>
        <w:pStyle w:val="NormalHanging12a"/>
      </w:pPr>
      <w:r w:rsidRPr="004701C6">
        <w:t>–</w:t>
      </w:r>
      <w:r w:rsidRPr="004701C6">
        <w:tab/>
        <w:t>ņemot vērā Eiropas Parlamenta un Padomes 2021. gada 12. februāra Regulu (ES) 2021/241, ar ko izveido Atveseļošanas un noturības mehānismu</w:t>
      </w:r>
      <w:r w:rsidRPr="004701C6">
        <w:rPr>
          <w:rStyle w:val="FootnoteReference"/>
          <w:szCs w:val="24"/>
        </w:rPr>
        <w:footnoteReference w:id="9"/>
      </w:r>
      <w:r w:rsidRPr="004701C6">
        <w:t xml:space="preserve"> (ANM regula),</w:t>
      </w:r>
    </w:p>
    <w:p w:rsidR="00E30CB8" w:rsidRPr="004701C6" w:rsidRDefault="00E30CB8" w:rsidP="00E30CB8">
      <w:pPr>
        <w:pStyle w:val="NormalHanging12a"/>
      </w:pPr>
      <w:r w:rsidRPr="004701C6">
        <w:t>–</w:t>
      </w:r>
      <w:r w:rsidRPr="004701C6">
        <w:tab/>
        <w:t>ņemot vērā Komisijas 2021. gada 4. marta paziņojumu "Eiropas sociālo tiesību pīlāra rīcības plāns" (COM(2021)0102),</w:t>
      </w:r>
    </w:p>
    <w:p w:rsidR="00E30CB8" w:rsidRPr="004701C6" w:rsidRDefault="00E30CB8" w:rsidP="00E30CB8">
      <w:pPr>
        <w:pStyle w:val="NormalHanging12a"/>
      </w:pPr>
      <w:r w:rsidRPr="004701C6">
        <w:t>–</w:t>
      </w:r>
      <w:r w:rsidRPr="004701C6">
        <w:tab/>
        <w:t>ņemot vērā Padomes, Komisijas, Parlamenta un sociālo partneru 2021. gada 7. maija Portu sociālās saistības,</w:t>
      </w:r>
    </w:p>
    <w:p w:rsidR="00E30CB8" w:rsidRPr="004701C6" w:rsidRDefault="00E30CB8" w:rsidP="00E30CB8">
      <w:pPr>
        <w:pStyle w:val="NormalHanging12a"/>
      </w:pPr>
      <w:r w:rsidRPr="004701C6">
        <w:t>–</w:t>
      </w:r>
      <w:r w:rsidRPr="004701C6">
        <w:tab/>
        <w:t xml:space="preserve">ņemot vērā Eiropas Fiskālās padomes 2023. gada 28. jūnija </w:t>
      </w:r>
      <w:proofErr w:type="spellStart"/>
      <w:r w:rsidRPr="004701C6">
        <w:t>izvērtējumu</w:t>
      </w:r>
      <w:proofErr w:type="spellEnd"/>
      <w:r w:rsidRPr="004701C6">
        <w:t xml:space="preserve"> par </w:t>
      </w:r>
      <w:proofErr w:type="spellStart"/>
      <w:r w:rsidRPr="004701C6">
        <w:t>eurozonai</w:t>
      </w:r>
      <w:proofErr w:type="spellEnd"/>
      <w:r w:rsidRPr="004701C6">
        <w:t xml:space="preserve"> 2024. gadā piemērotu fiskālo nostāju,</w:t>
      </w:r>
    </w:p>
    <w:p w:rsidR="00E30CB8" w:rsidRPr="004701C6" w:rsidRDefault="00E30CB8" w:rsidP="00E30CB8">
      <w:pPr>
        <w:pStyle w:val="NormalHanging12a"/>
      </w:pPr>
      <w:r w:rsidRPr="004701C6">
        <w:t>–</w:t>
      </w:r>
      <w:r w:rsidRPr="004701C6">
        <w:tab/>
        <w:t>ņemot vērā Eiropas Fiskālās padomes 2023. gada 4. oktobra gada pārskatu,</w:t>
      </w:r>
    </w:p>
    <w:p w:rsidR="00E30CB8" w:rsidRPr="004701C6" w:rsidRDefault="00E30CB8" w:rsidP="00E30CB8">
      <w:pPr>
        <w:pStyle w:val="NormalHanging12a"/>
        <w:rPr>
          <w:bCs/>
          <w:szCs w:val="23"/>
        </w:rPr>
      </w:pPr>
      <w:r w:rsidRPr="004701C6">
        <w:t>–</w:t>
      </w:r>
      <w:r w:rsidRPr="004701C6">
        <w:tab/>
        <w:t>ņemot vērā Komisijas 2022. gada 9. novembra paziņojumu par ES ekonomikas pārvaldības sistēmas reformas ievirzēm (COM(2022)0583),</w:t>
      </w:r>
    </w:p>
    <w:p w:rsidR="00E30CB8" w:rsidRPr="004701C6" w:rsidRDefault="00E30CB8" w:rsidP="00E30CB8">
      <w:pPr>
        <w:pStyle w:val="NormalHanging12a"/>
      </w:pPr>
      <w:r w:rsidRPr="004701C6">
        <w:t>–</w:t>
      </w:r>
      <w:r w:rsidRPr="004701C6">
        <w:tab/>
        <w:t>ņemot vērā Komisijas 2023. gada 26. aprīļa priekšlikumu Eiropas Parlamenta un Padomes regulai par ekonomikas politikas efektīvu koordināciju un budžeta daudzpusēju uzraudzību un ar ko atceļ Padomes Regulu (EK) Nr. 1466/97 (COM(2023)0240),</w:t>
      </w:r>
    </w:p>
    <w:p w:rsidR="00E30CB8" w:rsidRPr="004701C6" w:rsidRDefault="00E30CB8" w:rsidP="00E30CB8">
      <w:pPr>
        <w:pStyle w:val="NormalHanging12a"/>
      </w:pPr>
      <w:r w:rsidRPr="004701C6">
        <w:t>–</w:t>
      </w:r>
      <w:r w:rsidRPr="004701C6">
        <w:tab/>
        <w:t>ņemot vērā Komisijas 2023. gada 26. aprīļa priekšlikumu Padomes regulai, ar kuru groza Regulu (EK) Nr. 1467/97 par to, kā paātrināt un precizēt pārmērīga budžeta deficīta novēršanas procedūras īstenošanu (COM(2023)0241),</w:t>
      </w:r>
    </w:p>
    <w:p w:rsidR="00E30CB8" w:rsidRPr="004701C6" w:rsidRDefault="00E30CB8" w:rsidP="00E30CB8">
      <w:pPr>
        <w:pStyle w:val="NormalHanging12a"/>
      </w:pPr>
      <w:r w:rsidRPr="004701C6">
        <w:t>–</w:t>
      </w:r>
      <w:r w:rsidRPr="004701C6">
        <w:tab/>
        <w:t>ņemot vērā Komisijas 2023. gada 26. aprīļa priekšlikumu Padomes direktīvai, ar ko groza Direktīvu 2011/85/ES par prasībām dalībvalstu budžeta struktūrām (COM(2023)0242),</w:t>
      </w:r>
    </w:p>
    <w:p w:rsidR="00E30CB8" w:rsidRPr="004701C6" w:rsidRDefault="00E30CB8" w:rsidP="00E30CB8">
      <w:pPr>
        <w:pStyle w:val="NormalHanging12a"/>
        <w:rPr>
          <w:bCs/>
          <w:szCs w:val="23"/>
        </w:rPr>
      </w:pPr>
      <w:r w:rsidRPr="004701C6">
        <w:lastRenderedPageBreak/>
        <w:t>–</w:t>
      </w:r>
      <w:r w:rsidRPr="004701C6">
        <w:tab/>
        <w:t>ņemot vērā 2023. gada 6. oktobrī pieņemto Granadas deklarāciju,</w:t>
      </w:r>
    </w:p>
    <w:p w:rsidR="00E30CB8" w:rsidRPr="004701C6" w:rsidRDefault="00E30CB8" w:rsidP="00E30CB8">
      <w:pPr>
        <w:pStyle w:val="NormalHanging12a"/>
        <w:rPr>
          <w:shd w:val="clear" w:color="auto" w:fill="FFFFFF"/>
        </w:rPr>
      </w:pPr>
      <w:r w:rsidRPr="004701C6">
        <w:t>–</w:t>
      </w:r>
      <w:r w:rsidRPr="004701C6">
        <w:tab/>
      </w:r>
      <w:r w:rsidRPr="004701C6">
        <w:rPr>
          <w:shd w:val="clear" w:color="auto" w:fill="FFFFFF"/>
        </w:rPr>
        <w:t>ņemot vērā Komisijas 2023. gada 21. novembra paziņojumu "2024. gada ilgtspējīgas izaugsmes pētījums" (COM(2023)0901),</w:t>
      </w:r>
    </w:p>
    <w:p w:rsidR="00E30CB8" w:rsidRPr="004701C6" w:rsidRDefault="00E30CB8" w:rsidP="00E30CB8">
      <w:pPr>
        <w:pStyle w:val="NormalHanging12a"/>
      </w:pPr>
      <w:r w:rsidRPr="004701C6">
        <w:t>–</w:t>
      </w:r>
      <w:r w:rsidRPr="004701C6">
        <w:tab/>
        <w:t>ņemot vērā Komisijas 2023. gada 21. novembra ziņojumu "2024. gada brīdināšanas mehānisma ziņojums" (COM(2023)0902) un Komisijas 202</w:t>
      </w:r>
      <w:r w:rsidR="00922C29">
        <w:t>3</w:t>
      </w:r>
      <w:r w:rsidRPr="004701C6">
        <w:t xml:space="preserve">. gada 21. novembra ieteikumu Padomes ieteikumam par </w:t>
      </w:r>
      <w:proofErr w:type="spellStart"/>
      <w:r w:rsidRPr="004701C6">
        <w:t>eurozonas</w:t>
      </w:r>
      <w:proofErr w:type="spellEnd"/>
      <w:r w:rsidRPr="004701C6">
        <w:t xml:space="preserve"> ekonomikas politiku (COM(202</w:t>
      </w:r>
      <w:r w:rsidR="00922C29">
        <w:t>3</w:t>
      </w:r>
      <w:r w:rsidRPr="004701C6">
        <w:t>)0903),</w:t>
      </w:r>
    </w:p>
    <w:p w:rsidR="00E30CB8" w:rsidRPr="004701C6" w:rsidRDefault="00E30CB8" w:rsidP="00E30CB8">
      <w:pPr>
        <w:pStyle w:val="NormalHanging12a"/>
      </w:pPr>
      <w:r w:rsidRPr="004701C6">
        <w:t>–</w:t>
      </w:r>
      <w:r w:rsidRPr="004701C6">
        <w:tab/>
        <w:t>ņemot vērā 202</w:t>
      </w:r>
      <w:r w:rsidR="00922C29">
        <w:t>3</w:t>
      </w:r>
      <w:r w:rsidRPr="004701C6">
        <w:t>. gada 21. novembra priekšlikumu Komisijas un Padomes kopīgam ziņojumam par nodarbinātību (COM(2023)0904),</w:t>
      </w:r>
    </w:p>
    <w:p w:rsidR="00E30CB8" w:rsidRPr="004701C6" w:rsidRDefault="00E30CB8" w:rsidP="00E30CB8">
      <w:pPr>
        <w:pStyle w:val="NormalHanging12a"/>
      </w:pPr>
      <w:r w:rsidRPr="004701C6">
        <w:t>–</w:t>
      </w:r>
      <w:r w:rsidRPr="004701C6">
        <w:tab/>
        <w:t>ņemot vērā 2023. gada 15. novembrī publicēto Komisijas 2023. gada rudens ekonomikas prognozi,</w:t>
      </w:r>
    </w:p>
    <w:p w:rsidR="00E30CB8" w:rsidRPr="004701C6" w:rsidRDefault="00E30CB8" w:rsidP="00E30CB8">
      <w:pPr>
        <w:pStyle w:val="NormalHanging12a"/>
      </w:pPr>
      <w:r w:rsidRPr="004701C6">
        <w:t>–</w:t>
      </w:r>
      <w:r w:rsidRPr="004701C6">
        <w:tab/>
        <w:t>ņemot vērā Reglamenta 54. pantu,</w:t>
      </w:r>
    </w:p>
    <w:p w:rsidR="00E30CB8" w:rsidRPr="004701C6" w:rsidRDefault="00E30CB8" w:rsidP="00E30CB8">
      <w:pPr>
        <w:pStyle w:val="NormalHanging12a"/>
      </w:pPr>
      <w:r w:rsidRPr="004701C6">
        <w:t>–</w:t>
      </w:r>
      <w:r w:rsidRPr="004701C6">
        <w:tab/>
        <w:t>ņemot vērā Budžeta komitejas atzinumu,</w:t>
      </w:r>
    </w:p>
    <w:p w:rsidR="00E30CB8" w:rsidRPr="004701C6" w:rsidRDefault="00E30CB8" w:rsidP="00E30CB8">
      <w:pPr>
        <w:pStyle w:val="NormalHanging12a"/>
      </w:pPr>
      <w:r w:rsidRPr="004701C6">
        <w:t>–</w:t>
      </w:r>
      <w:r w:rsidRPr="004701C6">
        <w:tab/>
        <w:t>ņemot vērā Ekonomikas un monetārās komitejas ziņojumu (A9-0063/2024),</w:t>
      </w:r>
    </w:p>
    <w:p w:rsidR="00E30CB8" w:rsidRPr="004701C6" w:rsidRDefault="00E30CB8" w:rsidP="00E30CB8">
      <w:pPr>
        <w:pStyle w:val="NormalHanging12a"/>
      </w:pPr>
      <w:r w:rsidRPr="004701C6">
        <w:t>A.</w:t>
      </w:r>
      <w:r w:rsidRPr="004701C6">
        <w:tab/>
        <w:t>tā kā Eiropas pusgadam ir būtiska nozīme ekonomikas, budžeta, strukturālās, sociālās un nodarbinātības politikas koordinēšanā dalībvalstīs, tādējādi aizsargājot ekonomiskās un monetārās savienības makroekonomisko stabilitāti;</w:t>
      </w:r>
    </w:p>
    <w:p w:rsidR="00E30CB8" w:rsidRPr="004701C6" w:rsidRDefault="00E30CB8" w:rsidP="00E30CB8">
      <w:pPr>
        <w:pStyle w:val="NormalHanging12a"/>
      </w:pPr>
      <w:r w:rsidRPr="004701C6">
        <w:t>B.</w:t>
      </w:r>
      <w:r w:rsidRPr="004701C6">
        <w:tab/>
        <w:t xml:space="preserve">tā kā saskaņā ar Komisijas 2024. gada ziemas prognozi tiek lēsts, ka ekonomiskā aktivitāte 2023. gadā gan ES, gan </w:t>
      </w:r>
      <w:proofErr w:type="spellStart"/>
      <w:r w:rsidRPr="004701C6">
        <w:t>eurozonā</w:t>
      </w:r>
      <w:proofErr w:type="spellEnd"/>
      <w:r w:rsidRPr="004701C6">
        <w:t xml:space="preserve"> pēc spēcīgas atveseļošanās 2022. gadā ir palielinājusies tikai par 0,5 %, ņemot vērā augsto inflāciju un stingrākus finansēšanas nosacījumus; tā kā paredzamais IKP pieaugums 2024. gadā ir samazināts līdz 0,9 % (no 1,3 %) ES un 0,8 % (no 1,2 %) </w:t>
      </w:r>
      <w:proofErr w:type="spellStart"/>
      <w:r w:rsidRPr="004701C6">
        <w:t>eurozonā</w:t>
      </w:r>
      <w:proofErr w:type="spellEnd"/>
      <w:r w:rsidRPr="004701C6">
        <w:t xml:space="preserve">; tā kā paredzams, ka 2025. gadā ekonomiskā aktivitāte ES palielināsies par 1,7 % un </w:t>
      </w:r>
      <w:proofErr w:type="spellStart"/>
      <w:r w:rsidRPr="004701C6">
        <w:t>eurozonā</w:t>
      </w:r>
      <w:proofErr w:type="spellEnd"/>
      <w:r w:rsidRPr="004701C6">
        <w:t xml:space="preserve"> — par 1,5 %;</w:t>
      </w:r>
    </w:p>
    <w:p w:rsidR="00E30CB8" w:rsidRPr="004701C6" w:rsidRDefault="00E30CB8" w:rsidP="00E30CB8">
      <w:pPr>
        <w:pStyle w:val="NormalHanging12a"/>
      </w:pPr>
      <w:r w:rsidRPr="004701C6">
        <w:t>C.</w:t>
      </w:r>
      <w:r w:rsidRPr="004701C6">
        <w:tab/>
        <w:t xml:space="preserve">tā kā, neraugoties uz ekonomikas izaugsmes palēnināšanos, ES darba tirgus 2023. gada pirmajā pusē turpināja uzrādīt labus rezultātus; tā kā saskaņā ar Komisijas 2023. gada rudens prognozi darbaspēka trūkums joprojām bija akūts daudzās nozarēs un profesijās, konkrētāk, jomās, kas saistītas ar neto nulles emisiju un </w:t>
      </w:r>
      <w:proofErr w:type="spellStart"/>
      <w:r w:rsidRPr="004701C6">
        <w:t>mazemisiju</w:t>
      </w:r>
      <w:proofErr w:type="spellEnd"/>
      <w:r w:rsidRPr="004701C6">
        <w:t xml:space="preserve"> tehnoloģiju izvēršanu un īstenošanu; tā kā bezdarba līmenis ES kopumā ir sasniedzis vēsturiski zemāko līmeni, lai gan pastāv atšķirības starp dalībvalstīm; tā kā saskaņā ar </w:t>
      </w:r>
      <w:proofErr w:type="spellStart"/>
      <w:r w:rsidRPr="004701C6">
        <w:rPr>
          <w:i/>
          <w:iCs/>
        </w:rPr>
        <w:t>Eurostat</w:t>
      </w:r>
      <w:proofErr w:type="spellEnd"/>
      <w:r w:rsidRPr="004701C6">
        <w:t xml:space="preserve"> datiem 2023. gada decembrī jauniešu bezdarbs ES sasniedza 14,7 % un </w:t>
      </w:r>
      <w:proofErr w:type="spellStart"/>
      <w:r w:rsidRPr="004701C6">
        <w:t>eurozonā</w:t>
      </w:r>
      <w:proofErr w:type="spellEnd"/>
      <w:r w:rsidRPr="004701C6">
        <w:t xml:space="preserve"> — 14,4 %;</w:t>
      </w:r>
    </w:p>
    <w:p w:rsidR="00E30CB8" w:rsidRPr="004701C6" w:rsidRDefault="00E30CB8" w:rsidP="00E30CB8">
      <w:pPr>
        <w:pStyle w:val="NormalHanging12a"/>
      </w:pPr>
      <w:r w:rsidRPr="004701C6">
        <w:t>D.</w:t>
      </w:r>
      <w:r w:rsidRPr="004701C6">
        <w:tab/>
        <w:t xml:space="preserve">tā kā saskaņā ar Komisijas 2024. gada ziemas prognozi inflācija ES samazināsies no 6,3 % 2023. gadā līdz 3,0 % 2024. gadā un 2,5 % 2025. gadā ES, bet </w:t>
      </w:r>
      <w:proofErr w:type="spellStart"/>
      <w:r w:rsidRPr="004701C6">
        <w:t>eurozonā</w:t>
      </w:r>
      <w:proofErr w:type="spellEnd"/>
      <w:r w:rsidRPr="004701C6">
        <w:t xml:space="preserve"> — no 5,4 % 2023. gadā līdz 2,7 % 2024. gadā un 2,2 % 2025. gadā  atkārtoti norāda, ka fiskālai politikai ir jāatbalsta monetārā politika inflācijas samazināšanā un fiskālās ilgtspējas aizsargāšanā, vienlaikus nodrošinot pietiekamu telpu papildu investīcijām un atbalstot ilgtermiņa izaugsmi;</w:t>
      </w:r>
    </w:p>
    <w:p w:rsidR="00E30CB8" w:rsidRPr="004701C6" w:rsidRDefault="00E30CB8" w:rsidP="00E30CB8">
      <w:pPr>
        <w:pStyle w:val="NormalHanging12a"/>
      </w:pPr>
      <w:r w:rsidRPr="004701C6">
        <w:t>E.</w:t>
      </w:r>
      <w:r w:rsidRPr="004701C6">
        <w:tab/>
        <w:t>tā kā inflācija atšķirīgi ietekmē ienākumu grupas un nesamērīgi cieš grupas ar zemiem ienākumiem; tā kā inflācija varētu radīt patiesu dzīves dārdzības krīzi atsevišķām iedzīvotāju grupām, radot problēmas sociālajai kohēzijai;</w:t>
      </w:r>
    </w:p>
    <w:p w:rsidR="00E30CB8" w:rsidRPr="004701C6" w:rsidRDefault="00E30CB8" w:rsidP="00E30CB8">
      <w:pPr>
        <w:pStyle w:val="NormalHanging12a"/>
      </w:pPr>
      <w:r w:rsidRPr="004701C6">
        <w:lastRenderedPageBreak/>
        <w:t>F.</w:t>
      </w:r>
      <w:r w:rsidRPr="004701C6">
        <w:tab/>
        <w:t xml:space="preserve">tā kā ir sagaidāms, ka parāda attiecība pret IKP Savienībā 2023. gadā samazināsies līdz 83,1 % (90,4 % </w:t>
      </w:r>
      <w:proofErr w:type="spellStart"/>
      <w:r w:rsidRPr="004701C6">
        <w:t>eurozonā</w:t>
      </w:r>
      <w:proofErr w:type="spellEnd"/>
      <w:r w:rsidRPr="004701C6">
        <w:t xml:space="preserve">); tā kā ir sagaidāms, ka parāda attiecība pret IKP Savienībā nedaudz samazināsies līdz aptuveni 82,7 % 2024. gadā un 82,5 % 2025. gadā; tā kā ir sagaidāms, ka </w:t>
      </w:r>
      <w:proofErr w:type="spellStart"/>
      <w:r w:rsidRPr="004701C6">
        <w:t>eurozonas</w:t>
      </w:r>
      <w:proofErr w:type="spellEnd"/>
      <w:r w:rsidRPr="004701C6">
        <w:t xml:space="preserve"> parāda attiecība pret IKP samazināsies līdz aptuveni 89,7 % 2024. gadā un 89,5 % 2025. gadā; tā kā parāda līmeņi dažādās dalībvalstīs ir ļoti atšķirīgi; tā kā augsta parāda attiecība pret IKP apvienojumā ar augstām procentu likmēm un neskaidru makroekonomisko situāciju var apdraudēt parāda ilgtspēju un ekonomikas stabilitāti ilgtermiņā;</w:t>
      </w:r>
    </w:p>
    <w:p w:rsidR="00E30CB8" w:rsidRPr="004701C6" w:rsidRDefault="00E30CB8" w:rsidP="00E30CB8">
      <w:pPr>
        <w:pStyle w:val="NormalHanging12a"/>
      </w:pPr>
      <w:r w:rsidRPr="004701C6">
        <w:t>G.</w:t>
      </w:r>
      <w:r w:rsidRPr="004701C6">
        <w:tab/>
        <w:t xml:space="preserve">tā kā saskaņā ar Komisijas 2023. gada rudens prognozi tiek lēsts, ka valdību budžeta deficīts ES samazināsies līdz 3,2 % no IKP 2023. gadā un turpinās samazināties līdz 2,8 % no IKP 2024. gadā un līdz 2,7 % — 2025. gadā; tā kā Stabilitātes un izaugsmes </w:t>
      </w:r>
      <w:proofErr w:type="spellStart"/>
      <w:r w:rsidRPr="004701C6">
        <w:t>pakta</w:t>
      </w:r>
      <w:proofErr w:type="spellEnd"/>
      <w:r w:rsidRPr="004701C6">
        <w:t xml:space="preserve"> vispārējā izņēmuma klauzula tika deaktivēta 2023. gada beigās; tā kā Komisija ir paziņojusi, ka tā ierosinās Padomei 2024. gada pavasarī sākt uz budžeta deficītu balstītas pārmērīga budžeta deficīta novēršanas procedūras, pamatojoties uz izpildes datiem par 2023. gadu un ievērojot spēkā esošās tiesību normas;</w:t>
      </w:r>
    </w:p>
    <w:p w:rsidR="00E30CB8" w:rsidRPr="004701C6" w:rsidRDefault="00E30CB8" w:rsidP="00E30CB8">
      <w:pPr>
        <w:pStyle w:val="NormalHanging12a"/>
      </w:pPr>
      <w:r w:rsidRPr="004701C6">
        <w:t>H.</w:t>
      </w:r>
      <w:r w:rsidRPr="004701C6">
        <w:tab/>
        <w:t>tā kā ir sagaidāms, ka 2023. un 2024. gadā kopējā fiskālā nostāja kļūs ierobežojoša, proti, par 0,5 % no IKP abos gados, ko galvenokārt nosaka gandrīz pabeigtā ar krīzi saistīto enerģētikas pasākumu pakāpeniskā pārtraukšana;</w:t>
      </w:r>
    </w:p>
    <w:p w:rsidR="00E30CB8" w:rsidRPr="004701C6" w:rsidRDefault="00E30CB8" w:rsidP="00E30CB8">
      <w:pPr>
        <w:pStyle w:val="NormalHanging12a"/>
      </w:pPr>
      <w:r w:rsidRPr="004701C6">
        <w:t>I.</w:t>
      </w:r>
      <w:r w:rsidRPr="004701C6">
        <w:tab/>
        <w:t>tā kā ātra, izlēmīga un koordinēta politiskā reakcija ļāva ES ekonomikai atlabt un novērst Covid-19 pandēmijas un Krievijas agresijas kara pret Ukrainu sociālekonomiskās sekas, kā arī pārvarēt no tā izrietošo enerģētikas krīzi; tā kā 2023. gadā ekonomika palēninājās; tā kā prognozes joprojām raksturo liela nenoteiktība un riski, kas saistīti ar notiekošo Krievijas agresijas karu pret Ukrainu un konfliktu Tuvajos Austrumos;</w:t>
      </w:r>
    </w:p>
    <w:p w:rsidR="00E30CB8" w:rsidRPr="004701C6" w:rsidRDefault="00E30CB8" w:rsidP="00E30CB8">
      <w:pPr>
        <w:pStyle w:val="NormalHanging12a"/>
      </w:pPr>
      <w:r w:rsidRPr="004701C6">
        <w:t>J.</w:t>
      </w:r>
      <w:r w:rsidRPr="004701C6">
        <w:tab/>
        <w:t>tā kā postošie ģeopolitiskie notikumi ir parādījuši, ka Eiropas Savienībai ir vēl vairāk jānostiprina sava atvērtā stratēģiskā autonomija un jāsaglabā konkurētspēja globālajā tirgū, vienlaikus nodrošinot, ka neviens netiek atstāts novārtā;</w:t>
      </w:r>
    </w:p>
    <w:p w:rsidR="00E30CB8" w:rsidRPr="004701C6" w:rsidRDefault="00E30CB8" w:rsidP="00E30CB8">
      <w:pPr>
        <w:pStyle w:val="NormalHanging12a"/>
      </w:pPr>
      <w:r w:rsidRPr="004701C6">
        <w:t>K.</w:t>
      </w:r>
      <w:r w:rsidRPr="004701C6">
        <w:tab/>
        <w:t>tā kā ES finansējums ir veicinājis makroekonomisko stabilitāti ES līmenī un palielina ES iekšējo un ārējo noturību krīzes laikā, vienlaikus palīdzot dalībvalstīm finansēt nepieciešamos ieguldījumus ES prioritātēs pašreizējo un turpmāko problēmu risināšanai;</w:t>
      </w:r>
    </w:p>
    <w:p w:rsidR="00E30CB8" w:rsidRPr="004701C6" w:rsidRDefault="00E30CB8" w:rsidP="00E30CB8">
      <w:pPr>
        <w:pStyle w:val="NormalHanging12a"/>
      </w:pPr>
      <w:r w:rsidRPr="004701C6">
        <w:t>L.</w:t>
      </w:r>
      <w:r w:rsidRPr="004701C6">
        <w:tab/>
        <w:t xml:space="preserve">tā kā pēc ievērojamas ar krīzi saistītas ekspansijas laikposmā no 2020. līdz 2022. gadam ir sagaidāms, ka fiskālā nostāja </w:t>
      </w:r>
      <w:proofErr w:type="spellStart"/>
      <w:r w:rsidRPr="004701C6">
        <w:t>eurozonā</w:t>
      </w:r>
      <w:proofErr w:type="spellEnd"/>
      <w:r w:rsidRPr="004701C6">
        <w:t xml:space="preserve"> 2023. un 2024. gadā būs ierobežojoša; tā kā fiskālajai </w:t>
      </w:r>
      <w:proofErr w:type="spellStart"/>
      <w:r w:rsidRPr="004701C6">
        <w:t>nostājai</w:t>
      </w:r>
      <w:proofErr w:type="spellEnd"/>
      <w:r w:rsidRPr="004701C6">
        <w:t xml:space="preserve"> ir jāsaglabā elastība, ņemot vērā lielo nenoteiktību;</w:t>
      </w:r>
    </w:p>
    <w:p w:rsidR="00E30CB8" w:rsidRPr="004701C6" w:rsidRDefault="00E30CB8" w:rsidP="00E30CB8">
      <w:pPr>
        <w:pStyle w:val="NormalHanging12a"/>
      </w:pPr>
      <w:r w:rsidRPr="004701C6">
        <w:t>M.</w:t>
      </w:r>
      <w:r w:rsidRPr="004701C6">
        <w:tab/>
        <w:t xml:space="preserve">tā kā pēc finanšu krīzes, ko izraisīja Covid-19 pandēmija, ES strauji samazinājās neto publisko ieguldījumu īpatsvars IKP, dažos gadījumos sasniedzot negatīvu līmeni; tā kā šī attiecība vēl nav pilnībā atjaunojusies; tā kā </w:t>
      </w:r>
      <w:proofErr w:type="spellStart"/>
      <w:r w:rsidRPr="004701C6">
        <w:t>klimatneitrālas</w:t>
      </w:r>
      <w:proofErr w:type="spellEnd"/>
      <w:r w:rsidRPr="004701C6">
        <w:t xml:space="preserve"> politikas un digitālās pārveides panākumi ir atkarīgi no kopējas Eiropas pieejas un tādēļ ir vajadzīgi pasākumi gan ES, gan dalībvalstu līmenī; tā kā ES turpmākā noturība ir cieši saistīta ar lielākām publiskajām un privātajām investīcijām ilgtspējīgai izaugsmei un vērienīgu strukturālo reformu programmu; tā kā ir obligāti jāpievēršas vajadzībai pēc savlaicīgas stratēģijas, kas nodrošinātu pienācīgu publisko investīciju līmeni pēc Atveseļošanas un noturības mehānisma (ANM) darbības termiņa beigām 2026. gadā; tā kā, lai sasniegtu Eiropas zaļā kursa un Parīzes nolīguma mērķus, ir vajadzīgi ievērojami publiskie un privātie </w:t>
      </w:r>
      <w:r w:rsidRPr="004701C6">
        <w:lastRenderedPageBreak/>
        <w:t>ieguldījumi;</w:t>
      </w:r>
    </w:p>
    <w:p w:rsidR="00E30CB8" w:rsidRPr="004701C6" w:rsidRDefault="00E30CB8" w:rsidP="00E30CB8">
      <w:pPr>
        <w:pStyle w:val="NormalHanging12a"/>
      </w:pPr>
      <w:r w:rsidRPr="004701C6">
        <w:t>N.</w:t>
      </w:r>
      <w:r w:rsidRPr="004701C6">
        <w:tab/>
        <w:t xml:space="preserve">tā kā dalībvalstīs jābūt ieviestiem vajadzīgajiem kontroles un revīzijas mehānismiem, kas nodrošinātu tiesiskuma ievērošanu un aizsargātu ES finanšu intereses, it īpaši nolūkā novērst krāpšanu, korupciju un interešu konfliktus un garantēt </w:t>
      </w:r>
      <w:proofErr w:type="spellStart"/>
      <w:r w:rsidRPr="004701C6">
        <w:t>pārredzamību</w:t>
      </w:r>
      <w:proofErr w:type="spellEnd"/>
      <w:r w:rsidRPr="004701C6">
        <w:t>; tā kā ir svarīgi, lai dalībvalstis šajā sakarā īstenotu attiecīgus konkrētām valstīm adresētus ieteikumus (KVAI);</w:t>
      </w:r>
    </w:p>
    <w:p w:rsidR="00E30CB8" w:rsidRPr="004701C6" w:rsidRDefault="00E30CB8" w:rsidP="00E30CB8">
      <w:pPr>
        <w:pStyle w:val="NormalHanging12a"/>
        <w:rPr>
          <w:b/>
        </w:rPr>
      </w:pPr>
      <w:r w:rsidRPr="004701C6">
        <w:rPr>
          <w:b/>
          <w:i/>
        </w:rPr>
        <w:t>ES ekonomiskā perspektīva</w:t>
      </w:r>
    </w:p>
    <w:p w:rsidR="00E30CB8" w:rsidRPr="004701C6" w:rsidRDefault="00E30CB8" w:rsidP="00E30CB8">
      <w:pPr>
        <w:pStyle w:val="NormalHanging12a"/>
      </w:pPr>
      <w:r w:rsidRPr="004701C6">
        <w:t>1.</w:t>
      </w:r>
      <w:r w:rsidRPr="004701C6">
        <w:tab/>
        <w:t>pauž bažas par ekonomisko situāciju, pastāvīgo nenoteiktību, vājo izaugsmi, konkurētspēju un ražīgumu ES; ar bažām norāda uz enerģijas cenu un inflācijas pastāvīgo ietekmi uz mājsaimniecību pirktspēju, kā rezultātā daudziem Eiropas iedzīvotājiem palielinās nabadzības, tai skaitā enerģētiskās nabadzības, risks, un uz ES uzņēmumu, arī uz mazo un vidējo uzņēmumu (MVU), spēju darboties; lai nodrošinātu godīgu konkurenci vienotajā tirgū un novērstu pastāvīgo inflācijas spiedienu, aicina dalībvalstis veikt turpmākus pasākumus, kas ļautu pārvarēt šīs grūtības, un īstenot mērķtiecīgus pasākumus,</w:t>
      </w:r>
    </w:p>
    <w:p w:rsidR="00E30CB8" w:rsidRPr="004701C6" w:rsidRDefault="00E30CB8" w:rsidP="00E30CB8">
      <w:pPr>
        <w:pStyle w:val="NormalHanging12a"/>
      </w:pPr>
      <w:r w:rsidRPr="004701C6">
        <w:t>2.</w:t>
      </w:r>
      <w:r w:rsidRPr="004701C6">
        <w:tab/>
        <w:t xml:space="preserve">norāda, ka daudzas dalībvalstis saskaras ar strukturālām problēmām, kuras kavē to izaugsmes potenciālu; uzsver, ka strukturālo problēmu risināšana ir izšķiroši svarīga ilgtspējīgai atveseļošanai un nepārtrauktai izaugsmei un ka tādu reformu īstenošana, ar kurām novērš strukturālo neaizsargātību, ir būtiska ne tikai, lai uzlabotu spēju izturēt un pārvarēt esošās problēmas, bet arī, lai ilgtspējīgā un taisnīgā veidā īstenotu divējādo pārkārtošanos; uzsver, ka vērienīgas strukturālas reformas joprojām ir būtiskas ES ekonomiskās bāzes stiprināšanai, uzņēmumu izveides un </w:t>
      </w:r>
      <w:proofErr w:type="spellStart"/>
      <w:r w:rsidRPr="004701C6">
        <w:t>darījumdarbības</w:t>
      </w:r>
      <w:proofErr w:type="spellEnd"/>
      <w:r w:rsidRPr="004701C6">
        <w:t xml:space="preserve"> veicināšanai un Savienības konkurētspējas, ražīguma un vispārējā izaugsmes potenciāla stiprināšanai;</w:t>
      </w:r>
    </w:p>
    <w:p w:rsidR="00E30CB8" w:rsidRPr="004701C6" w:rsidRDefault="00E30CB8" w:rsidP="00E30CB8">
      <w:pPr>
        <w:pStyle w:val="NormalHanging12a"/>
      </w:pPr>
      <w:r w:rsidRPr="004701C6">
        <w:t>3.</w:t>
      </w:r>
      <w:r w:rsidRPr="004701C6">
        <w:tab/>
        <w:t xml:space="preserve">uzsver, ka dažās dalībvalstīs publisko un privāto investīciju trūkums neļauj atraisīties to sociāli taisnīgas un </w:t>
      </w:r>
      <w:proofErr w:type="spellStart"/>
      <w:r w:rsidRPr="004701C6">
        <w:t>vidiski</w:t>
      </w:r>
      <w:proofErr w:type="spellEnd"/>
      <w:r w:rsidRPr="004701C6">
        <w:t xml:space="preserve"> ilgtspējīgas izaugsmes potenciālam; uzskata, ka investīciju piesaistē izšķiroša nozīme ir tādiem faktoriem kā paredzami noteikumi, vienlīdzīgi konkurences apstākļi un mazākas atbilstības nodrošināšanas izmaksas; uzsver, ka šīs investīcijas ir izšķiroši svarīgas ES spējai risināt pašreizējās problēmas, tai skaitā īstenot taisnīgu zaļo un digitālo pārkārtošanos, un ka tās palielinās ES noturību un ilgtermiņa konkurētspēju gaidāmo problēmu laikā; uzskata, ka minētās investīcijas būtu jāpapildina ar izaugsmi un noturību veicinošām reformām; vērš uzmanību uz investīcijām </w:t>
      </w:r>
      <w:proofErr w:type="spellStart"/>
      <w:r w:rsidRPr="004701C6">
        <w:t>atjaunīgajos</w:t>
      </w:r>
      <w:proofErr w:type="spellEnd"/>
      <w:r w:rsidRPr="004701C6">
        <w:t xml:space="preserve"> energoresursos un energoefektivitātē, kas nepieciešamas, lai cita starpā padarītu ES neatkarīgu no fosilā kurināmā importa un ierobežotu enerģijas cenu izraisīto inflāciju; pieņem zināšanai 2023. un 2024. gadā gaidāmo fiskālās nostājas ierobežošanu; uzsver, ka ierobežojumi nebūtu jāīsteno uz investīciju rēķina, jo investīcijas Savienībā ir jāpalielina;</w:t>
      </w:r>
    </w:p>
    <w:p w:rsidR="00E30CB8" w:rsidRPr="004701C6" w:rsidRDefault="00E30CB8" w:rsidP="00E30CB8">
      <w:pPr>
        <w:pStyle w:val="NormalHanging12a"/>
      </w:pPr>
      <w:r w:rsidRPr="004701C6">
        <w:t>4.</w:t>
      </w:r>
      <w:r w:rsidRPr="004701C6">
        <w:tab/>
        <w:t xml:space="preserve">uzsver, ka vienotā tirgus turpmāka padziļināšana un investīciju kavējošo šķēršļu likvidēšana, arī ar reformām, kas racionalizē un </w:t>
      </w:r>
      <w:proofErr w:type="spellStart"/>
      <w:r w:rsidRPr="004701C6">
        <w:t>digitalizē</w:t>
      </w:r>
      <w:proofErr w:type="spellEnd"/>
      <w:r w:rsidRPr="004701C6">
        <w:t xml:space="preserve"> plānošanu, atļauju izsniegšanu un citas administratīvās procedūras, palīdzētu veicināt privātās investīcijas; atkārtoti norāda, ka rūpniecības politika, kā arī padziļināti un integrēti ES kapitāla tirgi un inovācija var arī sniegt ieguldījumu, atbalstot investīcijas, aizsargājot ES globālo konkurētspēju un izvairoties no riskiem saistībā ar pārmērīgu paļaušanos uz ierobežotu skaitu trešo valstu būtisku tehnoloģiju, izejvielu un rūpniecības izejmateriālu ieguvei;</w:t>
      </w:r>
    </w:p>
    <w:p w:rsidR="00E30CB8" w:rsidRPr="004701C6" w:rsidRDefault="00E30CB8" w:rsidP="00E30CB8">
      <w:pPr>
        <w:pStyle w:val="NormalHanging12a"/>
      </w:pPr>
      <w:r w:rsidRPr="004701C6">
        <w:lastRenderedPageBreak/>
        <w:t>5.</w:t>
      </w:r>
      <w:r w:rsidRPr="004701C6">
        <w:tab/>
        <w:t>aicina dalībvalstis (daudz)gadu budžeta procesu ietvaros regulāri pārskatīt izdevumus, kas palīdzētu uzlabot publisko izdevumu efektivitāti un kvalitāti; piekrīt Komisijas ieteikumam 2024. gada ilgtspējīgas izaugsmes pētījumā, ka dalībvalstīm pēc iespējas ātrāk būtu jāpārtrauc ar krīzi saistīti enerģētikas atbalsta pasākumi un pakāpeniski jāpārtrauc fosilā kurināmā subsīdijas; uzsver, ka publisko finanšu stabilitātes nodrošināšanai ir svarīgi gan valsts ieņēmumi, gan izdevumi; aicina dalībvalstis rīkoties, lai novērstu krāpšanu nodokļu jomā, nodokļu apiešanu un izvairīšanos no nodokļu maksāšanas, kā arī nelikumīgi iegūtu līdzekļu legalizāciju; šajā sakarā atzinīgi vērtē atzinīgi vērtē vienošanos par tiesību aktu kopumu noziedzīgi iegūtu līdzekļu legalizācijas novēršanas jomā;</w:t>
      </w:r>
    </w:p>
    <w:p w:rsidR="00E30CB8" w:rsidRPr="004701C6" w:rsidRDefault="00E30CB8" w:rsidP="00E30CB8">
      <w:pPr>
        <w:pStyle w:val="NormalHanging12a"/>
      </w:pPr>
      <w:r w:rsidRPr="004701C6">
        <w:t>6.</w:t>
      </w:r>
      <w:r w:rsidRPr="004701C6">
        <w:tab/>
        <w:t>piekrīt Komisijas novērtējumam, ka joprojām pastāv būtiski riski saistībā ar lielajām parāda un cenu atšķirībām, it sevišķi dalībvalstīs, kur parāda apkalpošanai ir vajadzīgas apjomīgas parāda refinansēšanas vai kur privātais sektors saskaras ar procentu maksājumu krasu pieaugumu;</w:t>
      </w:r>
    </w:p>
    <w:p w:rsidR="00E30CB8" w:rsidRPr="004701C6" w:rsidRDefault="00E30CB8" w:rsidP="00E30CB8">
      <w:pPr>
        <w:pStyle w:val="NormalHanging12a"/>
      </w:pPr>
      <w:r w:rsidRPr="004701C6">
        <w:t>7.</w:t>
      </w:r>
      <w:r w:rsidRPr="004701C6">
        <w:tab/>
        <w:t xml:space="preserve">aicina </w:t>
      </w:r>
      <w:proofErr w:type="spellStart"/>
      <w:r w:rsidRPr="004701C6">
        <w:t>eurozonas</w:t>
      </w:r>
      <w:proofErr w:type="spellEnd"/>
      <w:r w:rsidRPr="004701C6">
        <w:t xml:space="preserve"> dalībvalstis izpētīt visus līdzekļus, kā pabeigt Eiropas Stabilitātes mehānisma līguma pārskatīšanu, kas ļautu vienotajam noregulējuma fondam ieviest kopēju atbalsta mehānismu, tādējādi vēl vairāk stiprinot </w:t>
      </w:r>
      <w:proofErr w:type="spellStart"/>
      <w:r w:rsidRPr="004701C6">
        <w:t>eurozonas</w:t>
      </w:r>
      <w:proofErr w:type="spellEnd"/>
      <w:r w:rsidRPr="004701C6">
        <w:t xml:space="preserve"> noturību;</w:t>
      </w:r>
    </w:p>
    <w:p w:rsidR="00E30CB8" w:rsidRPr="004701C6" w:rsidRDefault="00E30CB8" w:rsidP="00E30CB8">
      <w:pPr>
        <w:pStyle w:val="NormalHanging12a"/>
      </w:pPr>
      <w:r w:rsidRPr="004701C6">
        <w:rPr>
          <w:b/>
          <w:i/>
        </w:rPr>
        <w:t>Eiropas pusgads un ANM</w:t>
      </w:r>
    </w:p>
    <w:p w:rsidR="00E30CB8" w:rsidRPr="004701C6" w:rsidRDefault="00E30CB8" w:rsidP="00E30CB8">
      <w:pPr>
        <w:pStyle w:val="NormalHanging12a"/>
      </w:pPr>
      <w:r w:rsidRPr="004701C6">
        <w:t>8.</w:t>
      </w:r>
      <w:r w:rsidRPr="004701C6">
        <w:tab/>
        <w:t>atgādina, ka Eiropas pusgads ir labi izveidota sistēma budžeta, ekonomikas, sociālās un nodarbinātības politikas koordinēšanai visā Savienībā atbilstīgi Līgumiem, tai skaitā Eiropas sociālo tiesību pīlāram, tādējādi aizsargājot tās makroekonomisko stabilitāti, dalībvalstu ekonomikas snieguma ilgtspējīgu konverģenci un ES sociālo kohēziju; aicina dalībvalstis uzņemties lielāku atbildību Eiropas pusgadā, piemēram, ar vietējo un reģionālo iestāžu starpniecību; norāda, ka 2023. gada zaļā kursa industriālais plāns ir daļa no ES izaugsmes stratēģijas;</w:t>
      </w:r>
    </w:p>
    <w:p w:rsidR="00E30CB8" w:rsidRPr="004701C6" w:rsidRDefault="00E30CB8" w:rsidP="00E30CB8">
      <w:pPr>
        <w:pStyle w:val="NormalHanging12a"/>
      </w:pPr>
      <w:r w:rsidRPr="004701C6">
        <w:t>9.</w:t>
      </w:r>
      <w:r w:rsidRPr="004701C6">
        <w:tab/>
        <w:t>piekrīt viedoklim, ka 2024. gadā KVAI ir jākoncentrējas uz konkrētiem kritērijiem; uzsver, ka tiem ir arī jāveicina stabila un iekļaujoša ekonomiskā izaugsme, jāuzlabo konkurētspēja un makroekonomiskā stabilitāte, jāveicina zaļā un digitālā pārkārtošanās un jānodrošina sociālais un paaudžu taisnīgums; ņem vērā atšķirības valstu prognozēs attiecībā uz IKP pieaugumu, inflāciju, bezdarbu, vispārējo valsts bilanci, kopējo valsts parādu un tekošā konta maksājumu bilanci un norāda, ka tās liecina par to, ka ir vajadzīgas elastīgas pieejas, kuras balstās uz katras dalībvalsts konkrētajiem apstākļiem; šajā sakarā aicina Komisiju nodrošināt ciešāku KVAI sasaisti ar attiecīgajiem valstu ziņojumiem; aicina efektīvi uzraudzīt KVAI un attiecīgo reformu īstenošanu, kā arī progresu konstatēto investīciju trūkumu mazināšanā; uzsver, ka KVAI ir jāņem vērā sociālā neaizsargātība un bezdarbs; norāda, ka samazinās to sociālo KVAI skaits, kuru pamatā ir sociālo rezultātu pārskats;</w:t>
      </w:r>
    </w:p>
    <w:p w:rsidR="00E30CB8" w:rsidRPr="004701C6" w:rsidRDefault="00E30CB8" w:rsidP="00E30CB8">
      <w:pPr>
        <w:pStyle w:val="NormalHanging12a"/>
      </w:pPr>
      <w:r w:rsidRPr="004701C6">
        <w:t>10.</w:t>
      </w:r>
      <w:r w:rsidRPr="004701C6">
        <w:tab/>
        <w:t xml:space="preserve">atzinīgi vērtē elastību ANM pielāgošanā, piemēram, saistībā ar </w:t>
      </w:r>
      <w:proofErr w:type="spellStart"/>
      <w:r w:rsidRPr="004701C6">
        <w:rPr>
          <w:i/>
          <w:iCs/>
        </w:rPr>
        <w:t>REPowerEU</w:t>
      </w:r>
      <w:proofErr w:type="spellEnd"/>
      <w:r w:rsidRPr="004701C6">
        <w:t>, pamatojoties uz pieredzi, kas gūta tā īstenošanā; uzsver, ka valstu atveseļošanas plānu starpposma mērķiem un galamērķiem būtu jāatbilst KVAI un ka dalībvalstīm savos valsts atveseļošanas un noturības plānos būtu jāpievēršas vismaz nozīmīgai CSR apakškopai; uzsver ANM panākumus; atgādina, ka finansēto projektu panākumus un efektivitāti vērtēs pēc to ietekmes uz ekonomiku un nodarbinātību, un aicina ātri, pārredzami un efektīvi īstenot šos projektus; šajā sakarā uzsver, ka ANM regulas ievērošana un pareiza īstenošana ir izšķiroši svarīga ANM uzticamībai;</w:t>
      </w:r>
    </w:p>
    <w:p w:rsidR="00E30CB8" w:rsidRPr="004701C6" w:rsidRDefault="00E30CB8" w:rsidP="00E30CB8">
      <w:pPr>
        <w:pStyle w:val="NormalHanging12a"/>
      </w:pPr>
      <w:r w:rsidRPr="004701C6">
        <w:lastRenderedPageBreak/>
        <w:t>11.</w:t>
      </w:r>
      <w:r w:rsidRPr="004701C6">
        <w:tab/>
        <w:t xml:space="preserve">norāda uz ANM lomu tādu globālu problēmu risināšanā, kas izriet no zaļās pārkārtošanās un ekonomikas digitālās pārveides; uzsver, ka atveseļošanas un noturības plānos paredzētās reformas un investīcijas palīdz sasniegt ANM regulā noteiktos mērķus klimata jomā un ievēro principu "nenodarīt būtisku kaitējumu"; aicina dalībvalstis maksimāli izmantot šo iespēju un ar ANM palīdzību pārveidot savas ekonomikas un padarīt tās konkurētspējīgākas; atgādina, cik svarīgi ir pārbaudīt, vai līdzekļi nonāk līdz reālajai ekonomikai un MVU, un uzsver, cik svarīga ir </w:t>
      </w:r>
      <w:proofErr w:type="spellStart"/>
      <w:r w:rsidRPr="004701C6">
        <w:t>pārskatatbildība</w:t>
      </w:r>
      <w:proofErr w:type="spellEnd"/>
      <w:r w:rsidRPr="004701C6">
        <w:t xml:space="preserve"> un </w:t>
      </w:r>
      <w:proofErr w:type="spellStart"/>
      <w:r w:rsidRPr="004701C6">
        <w:t>pārredzamība</w:t>
      </w:r>
      <w:proofErr w:type="spellEnd"/>
      <w:r w:rsidRPr="004701C6">
        <w:t xml:space="preserve"> struktūrām, kas saņem ES finansējumu;</w:t>
      </w:r>
    </w:p>
    <w:p w:rsidR="00E30CB8" w:rsidRPr="004701C6" w:rsidRDefault="00E30CB8" w:rsidP="00E30CB8">
      <w:pPr>
        <w:pStyle w:val="NormalHanging12a"/>
      </w:pPr>
      <w:r w:rsidRPr="004701C6">
        <w:t>12.</w:t>
      </w:r>
      <w:r w:rsidRPr="004701C6">
        <w:tab/>
        <w:t xml:space="preserve">uzsver privāto un publisko ieguldījumu nozīmi saistībā ar ekonomikas atveseļošanu un divkāršās pārejas pārvaldību; atgādina, ka ANM neaizstāj valstu publisko investīciju īpašo lomu; atkārtoti uzsver vajadzību nodrošināt publisko investīciju un valstu stratēģiju kvalitāti, </w:t>
      </w:r>
      <w:proofErr w:type="spellStart"/>
      <w:r w:rsidRPr="004701C6">
        <w:t>pārredzamību</w:t>
      </w:r>
      <w:proofErr w:type="spellEnd"/>
      <w:r w:rsidRPr="004701C6">
        <w:t xml:space="preserve"> un </w:t>
      </w:r>
      <w:proofErr w:type="spellStart"/>
      <w:r w:rsidRPr="004701C6">
        <w:t>pārskatatbildību</w:t>
      </w:r>
      <w:proofErr w:type="spellEnd"/>
      <w:r w:rsidRPr="004701C6">
        <w:t xml:space="preserve"> nolūkā saskaņot tās ar divkāršās pārkārtošanās mērķiem; uzsver, ka šīm valstu stratēģijām attiecībā uz divkāršo pārkārtošanos jāpapildina ANM un citi Eiropas ieguldījumu instrumenti;</w:t>
      </w:r>
    </w:p>
    <w:p w:rsidR="00E30CB8" w:rsidRPr="004701C6" w:rsidRDefault="00E30CB8" w:rsidP="00E30CB8">
      <w:pPr>
        <w:pStyle w:val="NormalHanging12a"/>
      </w:pPr>
      <w:r w:rsidRPr="004701C6">
        <w:t>13.</w:t>
      </w:r>
      <w:r w:rsidRPr="004701C6">
        <w:tab/>
        <w:t xml:space="preserve">atbalsta ES kohēzijas politikas programmu racionalizēšanu, ieguldījumu vajadzības norādot ANM un KVAI ietvaros; atgādina, ka kohēzijas politika kalpo plašākam mērķu kopumam nekā ANM un var papildināt pasākumus, par kuriem panākta vienošanās ANM ietvaros; aicina valstu ekonomikas atveseļošanas un noturības plānu izstrādē un īstenošanā līdzīgā veidā iekļaut ieinteresēto personu, tai skaitā sociālo partneru, pilsoniskās sabiedrības organizāciju un </w:t>
      </w:r>
      <w:proofErr w:type="spellStart"/>
      <w:r w:rsidRPr="004701C6">
        <w:t>darījumdarbības</w:t>
      </w:r>
      <w:proofErr w:type="spellEnd"/>
      <w:r w:rsidRPr="004701C6">
        <w:t xml:space="preserve"> sektora, līdzdalību, kā tas ir kohēzijas politikas programmu gadījumā;</w:t>
      </w:r>
    </w:p>
    <w:p w:rsidR="00E30CB8" w:rsidRPr="004701C6" w:rsidRDefault="00E30CB8" w:rsidP="00E30CB8">
      <w:pPr>
        <w:pStyle w:val="NormalHanging12a"/>
      </w:pPr>
      <w:r w:rsidRPr="004701C6">
        <w:t>14.</w:t>
      </w:r>
      <w:r w:rsidRPr="004701C6">
        <w:tab/>
        <w:t>uzsver, ka koordinācija starp attiecīgajām iestādēm, tai skaitā valstu valdībām un reģionālajām un vietējām iestādēm, ir būtiska, lai pārvaldītu ANM un pārvarētu administratīvos šķēršļus un birokrātiju;</w:t>
      </w:r>
    </w:p>
    <w:p w:rsidR="00E30CB8" w:rsidRPr="004701C6" w:rsidRDefault="00E30CB8" w:rsidP="00E30CB8">
      <w:pPr>
        <w:pStyle w:val="NormalHanging12a"/>
      </w:pPr>
      <w:r w:rsidRPr="004701C6">
        <w:t>15.</w:t>
      </w:r>
      <w:r w:rsidRPr="004701C6">
        <w:tab/>
        <w:t>pieņem zināšanai provizorisko politisko vienošanos, ko likumdevēji 2024. gada 10. februārī panāca par ES ekonomikas pārvaldības sistēmas reformu, kuras mērķis ir nodrošināt efektīvu ekonomikas politikas koordināciju un ilgtspējīgu dalībvalstu ekonomiskās un sociālās jomas konverģenci;</w:t>
      </w:r>
    </w:p>
    <w:p w:rsidR="00E30CB8" w:rsidRPr="004701C6" w:rsidRDefault="00E30CB8" w:rsidP="00E30CB8">
      <w:pPr>
        <w:pStyle w:val="NormalHanging12a"/>
      </w:pPr>
      <w:r w:rsidRPr="004701C6">
        <w:t>16.</w:t>
      </w:r>
      <w:r w:rsidRPr="004701C6">
        <w:tab/>
        <w:t>atzinīgi vērtē pieredzi, kas gūta, izvēloties ANM pārvaldības modeli; norāda, ka ekonomikas pārvaldības sistēmas reforma neparedz ES finanšu stimulējošus mehānismus, kas atbalstītu un veicinātu valstu politikas reformas un ieguldījumus; uzsver, ka, lai sasniegtu ekonomikas pārvaldības sistēmas reformas galvenos mērķus un risinātu Savienības pašreizējās un turpmākās prioritātes, ir būtiski nodrošināt vajadzīgo publisko investīciju līmeni; pauž bažas par to, ka dažām dalībvalstīm nebūs finanšu jaudas pašām finansēt taisnīgu zaļo un digitālo pārkārtošanos;</w:t>
      </w:r>
    </w:p>
    <w:p w:rsidR="00E30CB8" w:rsidRPr="004701C6" w:rsidRDefault="00E30CB8" w:rsidP="00E30CB8">
      <w:pPr>
        <w:pStyle w:val="NormalHanging12a"/>
      </w:pPr>
      <w:r w:rsidRPr="004701C6">
        <w:t>17.</w:t>
      </w:r>
      <w:r w:rsidRPr="004701C6">
        <w:tab/>
        <w:t xml:space="preserve">uzsver Eiropas Parlamenta lomu ES ekonomikas pārvaldības sistēmā un atbalsta Eiropas Parlamenta lielāku iesaistīšanos Eiropas pusgadā, vienlaikus pilnībā ievērojot Līgumos noteiktās kompetences; norāda uz Komisijas un dalībvalstu dialogu par to individuālajiem fiskālajiem un strukturālajiem plāniem; uzsver, ka pret visām dalībvalstīm ir jāizturas vienlīdzīgi; uzsver, ka, palielinot Komisijas rīcības brīvību vidēja termiņa fiskālo un strukturālo plānu izstrādes procesā, vienlaikus ir jāpanāk lielāka atbilstība noteikumiem, kurus uzrauga Eiropas Fiskālā padome, kā arī jāpalielina </w:t>
      </w:r>
      <w:proofErr w:type="spellStart"/>
      <w:r w:rsidRPr="004701C6">
        <w:t>pārskatatbildība</w:t>
      </w:r>
      <w:proofErr w:type="spellEnd"/>
      <w:r w:rsidRPr="004701C6">
        <w:t xml:space="preserve"> un jāpalielina informācijas plūsma uz Eiropas Parlamentu; atzīst, ka dialogs par ekonomikas jautājumiem, kas iekļauts Eiropas pusgadā, kalpo par lietderīgu pamatu </w:t>
      </w:r>
      <w:proofErr w:type="spellStart"/>
      <w:r w:rsidRPr="004701C6">
        <w:t>pārskatatbildībai</w:t>
      </w:r>
      <w:proofErr w:type="spellEnd"/>
      <w:r w:rsidRPr="004701C6">
        <w:t xml:space="preserve">; uzskata, ka pienācīgas </w:t>
      </w:r>
      <w:proofErr w:type="spellStart"/>
      <w:r w:rsidRPr="004701C6">
        <w:t>pārskatatbildības</w:t>
      </w:r>
      <w:proofErr w:type="spellEnd"/>
      <w:r w:rsidRPr="004701C6">
        <w:t xml:space="preserve"> veicināšanai būtu </w:t>
      </w:r>
      <w:r w:rsidRPr="004701C6">
        <w:lastRenderedPageBreak/>
        <w:t>nepieciešams, lai Eiropas Parlamenta rīcībā būtu instrumenti, kas ļauj tam piemērot sekas, pamatojoties uz tā veikto Eiropas pusgada darbības novērtējumu saskaņā ar Līgumiem;</w:t>
      </w:r>
    </w:p>
    <w:p w:rsidR="00E30CB8" w:rsidRPr="004701C6" w:rsidRDefault="00E30CB8" w:rsidP="00E30CB8">
      <w:pPr>
        <w:pStyle w:val="NormalHanging12a"/>
        <w:jc w:val="center"/>
      </w:pPr>
      <w:r w:rsidRPr="004701C6">
        <w:t>°</w:t>
      </w:r>
    </w:p>
    <w:p w:rsidR="00E30CB8" w:rsidRPr="004701C6" w:rsidRDefault="00E30CB8" w:rsidP="00E30CB8">
      <w:pPr>
        <w:pStyle w:val="NormalHanging12a"/>
        <w:jc w:val="center"/>
      </w:pPr>
      <w:r w:rsidRPr="004701C6">
        <w:t>°</w:t>
      </w:r>
      <w:r w:rsidRPr="004701C6">
        <w:tab/>
        <w:t>°</w:t>
      </w:r>
    </w:p>
    <w:p w:rsidR="00E30CB8" w:rsidRPr="004701C6" w:rsidRDefault="00E30CB8" w:rsidP="00DD3196">
      <w:pPr>
        <w:pStyle w:val="NormalHanging12a"/>
      </w:pPr>
      <w:r w:rsidRPr="004701C6">
        <w:t>18.</w:t>
      </w:r>
      <w:r w:rsidRPr="004701C6">
        <w:tab/>
        <w:t xml:space="preserve">uzdod priekšsēdētājai šo rezolūciju nosūtīt Padomei un Komisijai. </w:t>
      </w:r>
    </w:p>
    <w:p w:rsidR="00E30CB8" w:rsidRPr="004701C6" w:rsidRDefault="00E30CB8" w:rsidP="00E30CB8"/>
    <w:p w:rsidR="00E365E1" w:rsidRPr="004701C6" w:rsidRDefault="00E365E1" w:rsidP="00A07343"/>
    <w:sectPr w:rsidR="00E365E1" w:rsidRPr="004701C6" w:rsidSect="000B6A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343" w:rsidRPr="000B6A5C" w:rsidRDefault="00A07343">
      <w:r w:rsidRPr="000B6A5C">
        <w:separator/>
      </w:r>
    </w:p>
  </w:endnote>
  <w:endnote w:type="continuationSeparator" w:id="0">
    <w:p w:rsidR="00A07343" w:rsidRPr="000B6A5C" w:rsidRDefault="00A07343">
      <w:r w:rsidRPr="000B6A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A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A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A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343" w:rsidRPr="000B6A5C" w:rsidRDefault="00A07343">
      <w:r w:rsidRPr="000B6A5C">
        <w:separator/>
      </w:r>
    </w:p>
  </w:footnote>
  <w:footnote w:type="continuationSeparator" w:id="0">
    <w:p w:rsidR="00A07343" w:rsidRPr="000B6A5C" w:rsidRDefault="00A07343">
      <w:r w:rsidRPr="000B6A5C">
        <w:continuationSeparator/>
      </w:r>
    </w:p>
  </w:footnote>
  <w:footnote w:id="1">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306, 23.11.2011., 41. lpp.</w:t>
      </w:r>
    </w:p>
  </w:footnote>
  <w:footnote w:id="2">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306, 23.11.2011., 33. lpp.</w:t>
      </w:r>
    </w:p>
  </w:footnote>
  <w:footnote w:id="3">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306, 23.11.2011., 1. lpp.</w:t>
      </w:r>
    </w:p>
  </w:footnote>
  <w:footnote w:id="4">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306, 23.11.2011., 8. lpp.</w:t>
      </w:r>
    </w:p>
  </w:footnote>
  <w:footnote w:id="5">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306, 23.11.2011., 12. lpp.</w:t>
      </w:r>
    </w:p>
  </w:footnote>
  <w:footnote w:id="6">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306, 23.11.2011., 25. lpp.</w:t>
      </w:r>
    </w:p>
  </w:footnote>
  <w:footnote w:id="7">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140, 27.5.2013., 1. lpp.</w:t>
      </w:r>
    </w:p>
  </w:footnote>
  <w:footnote w:id="8">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OV L 140, 27.5.2013., 11. lpp.</w:t>
      </w:r>
    </w:p>
  </w:footnote>
  <w:footnote w:id="9">
    <w:p w:rsidR="00E30CB8" w:rsidRPr="000B6A5C" w:rsidRDefault="00E30CB8" w:rsidP="000B6A5C">
      <w:pPr>
        <w:pStyle w:val="FootnoteText"/>
        <w:ind w:left="567" w:hanging="567"/>
        <w:rPr>
          <w:sz w:val="24"/>
          <w:lang w:val="lv-LV"/>
        </w:rPr>
      </w:pPr>
      <w:r w:rsidRPr="000B6A5C">
        <w:rPr>
          <w:rStyle w:val="FootnoteReference"/>
          <w:sz w:val="24"/>
          <w:lang w:val="lv-LV"/>
        </w:rPr>
        <w:footnoteRef/>
      </w:r>
      <w:r w:rsidR="000B6A5C" w:rsidRPr="000B6A5C">
        <w:rPr>
          <w:sz w:val="24"/>
          <w:lang w:val="lv-LV"/>
        </w:rPr>
        <w:t xml:space="preserve"> </w:t>
      </w:r>
      <w:r w:rsidR="000B6A5C" w:rsidRPr="000B6A5C">
        <w:rPr>
          <w:sz w:val="24"/>
          <w:lang w:val="lv-LV"/>
        </w:rPr>
        <w:tab/>
      </w:r>
      <w:r w:rsidRPr="000B6A5C">
        <w:rPr>
          <w:sz w:val="24"/>
          <w:lang w:val="lv-LV"/>
        </w:rPr>
        <w:t xml:space="preserve">OV L 57, </w:t>
      </w:r>
      <w:r w:rsidRPr="000B6A5C">
        <w:rPr>
          <w:sz w:val="24"/>
          <w:lang w:val="lv-LV"/>
        </w:rPr>
        <w:t>18.2.2021</w:t>
      </w:r>
      <w:r w:rsidR="0012371E">
        <w:rPr>
          <w:sz w:val="24"/>
          <w:lang w:val="lv-LV"/>
        </w:rPr>
        <w:t>.</w:t>
      </w:r>
      <w:bookmarkStart w:id="7" w:name="_GoBack"/>
      <w:bookmarkEnd w:id="7"/>
      <w:r w:rsidRPr="000B6A5C">
        <w:rPr>
          <w:sz w:val="24"/>
          <w:lang w:val="lv-LV"/>
        </w:rPr>
        <w:t>, 17.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A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A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A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LV"/>
    <w:docVar w:name="dvnumam" w:val="0"/>
    <w:docVar w:name="dvpe" w:val="757.014"/>
    <w:docVar w:name="dvrapporteur" w:val="Referents: "/>
    <w:docVar w:name="dvtitre" w:val="Eiropas Parlamenta 2024. gada XX. XXX  rezolūcija par Eiropas ekonomikas politikas koordinēšanas pusgadu 2024. gadā(2023/2063(INI))"/>
  </w:docVars>
  <w:rsids>
    <w:rsidRoot w:val="00A07343"/>
    <w:rsid w:val="00002272"/>
    <w:rsid w:val="00064002"/>
    <w:rsid w:val="000677B9"/>
    <w:rsid w:val="000831BA"/>
    <w:rsid w:val="000A42CC"/>
    <w:rsid w:val="000B6A5C"/>
    <w:rsid w:val="000E7DD9"/>
    <w:rsid w:val="0010095E"/>
    <w:rsid w:val="0012371E"/>
    <w:rsid w:val="00125B37"/>
    <w:rsid w:val="00187494"/>
    <w:rsid w:val="001F32AE"/>
    <w:rsid w:val="002767FF"/>
    <w:rsid w:val="002B18FE"/>
    <w:rsid w:val="002B5493"/>
    <w:rsid w:val="00343214"/>
    <w:rsid w:val="00361C00"/>
    <w:rsid w:val="00395FA1"/>
    <w:rsid w:val="003E15D4"/>
    <w:rsid w:val="00411CCE"/>
    <w:rsid w:val="0041666E"/>
    <w:rsid w:val="00421060"/>
    <w:rsid w:val="004701C6"/>
    <w:rsid w:val="00471C19"/>
    <w:rsid w:val="004867E3"/>
    <w:rsid w:val="00494A28"/>
    <w:rsid w:val="004C0004"/>
    <w:rsid w:val="004C192E"/>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C29"/>
    <w:rsid w:val="00930C23"/>
    <w:rsid w:val="0093193B"/>
    <w:rsid w:val="009509D8"/>
    <w:rsid w:val="00950B64"/>
    <w:rsid w:val="00981893"/>
    <w:rsid w:val="00A0734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196"/>
    <w:rsid w:val="00E30CB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69CEE"/>
  <w15:chartTrackingRefBased/>
  <w15:docId w15:val="{DA93E652-70A9-4F9E-AC4F-DBE0DC82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30CB8"/>
    <w:rPr>
      <w:b/>
    </w:rPr>
  </w:style>
  <w:style w:type="paragraph" w:customStyle="1" w:styleId="NormalHanging12a">
    <w:name w:val="NormalHanging12a"/>
    <w:basedOn w:val="Normal"/>
    <w:link w:val="NormalHanging12aChar"/>
    <w:rsid w:val="00E30CB8"/>
    <w:pPr>
      <w:spacing w:after="240"/>
      <w:ind w:left="567" w:hanging="567"/>
    </w:pPr>
  </w:style>
  <w:style w:type="paragraph" w:customStyle="1" w:styleId="EPComma">
    <w:name w:val="EPComma"/>
    <w:basedOn w:val="Normal"/>
    <w:rsid w:val="00E30CB8"/>
    <w:pPr>
      <w:spacing w:before="480" w:after="240"/>
    </w:pPr>
  </w:style>
  <w:style w:type="character" w:customStyle="1" w:styleId="NormalHanging12aChar">
    <w:name w:val="NormalHanging12a Char"/>
    <w:basedOn w:val="DefaultParagraphFont"/>
    <w:link w:val="NormalHanging12a"/>
    <w:locked/>
    <w:rsid w:val="00E30CB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48DA1-C8C0-4C0E-929D-C9197BB88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2751</Words>
  <Characters>18089</Characters>
  <Application>Microsoft Office Word</Application>
  <DocSecurity>0</DocSecurity>
  <Lines>753</Lines>
  <Paragraphs>694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2024-04-17T15:30:00Z</dcterms:created>
  <dcterms:modified xsi:type="dcterms:W3CDTF">2024-04-17T15:30:00Z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A9-0063/2024</vt:lpwstr>
  </property>
  <property fmtid="{D5CDD505-2E9C-101B-9397-08002B2CF9AE}" pid="4" name="&lt;Type&gt;">
    <vt:lpwstr>RR</vt:lpwstr>
  </property>
</Properties>
</file>