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D362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D3620" w:rsidRDefault="00501B46" w:rsidP="0010095E">
            <w:pPr>
              <w:pStyle w:val="EPName"/>
            </w:pPr>
            <w:r w:rsidRPr="00CD3620">
              <w:t>Parlament Europejski</w:t>
            </w:r>
          </w:p>
          <w:p w:rsidR="00751A4A" w:rsidRPr="00CD362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D362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D3620" w:rsidRDefault="00187494" w:rsidP="0010095E">
            <w:pPr>
              <w:pStyle w:val="EPLogo"/>
            </w:pPr>
            <w:r w:rsidRPr="00CD3620">
              <w:rPr>
                <w:noProof/>
                <w:lang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D3620" w:rsidRDefault="00D058B8" w:rsidP="004C5D52">
      <w:pPr>
        <w:pStyle w:val="LineTop"/>
      </w:pPr>
    </w:p>
    <w:p w:rsidR="00680577" w:rsidRPr="00CD3620" w:rsidRDefault="00501B46" w:rsidP="00680577">
      <w:pPr>
        <w:pStyle w:val="EPBodyTA1"/>
      </w:pPr>
      <w:r w:rsidRPr="00CD3620">
        <w:t>TEKSTY PRZYJĘTE</w:t>
      </w:r>
    </w:p>
    <w:p w:rsidR="00D058B8" w:rsidRPr="00CD3620" w:rsidRDefault="00D058B8" w:rsidP="00D058B8">
      <w:pPr>
        <w:pStyle w:val="LineBottom"/>
      </w:pPr>
    </w:p>
    <w:p w:rsidR="00501B46" w:rsidRPr="00CD3620" w:rsidRDefault="00501B46" w:rsidP="00501B46">
      <w:pPr>
        <w:pStyle w:val="ATHeading1"/>
      </w:pPr>
      <w:bookmarkStart w:id="0" w:name="TANumber"/>
      <w:r w:rsidRPr="00CD3620">
        <w:t>P9_TA(2024)0</w:t>
      </w:r>
      <w:bookmarkEnd w:id="0"/>
      <w:r w:rsidR="002D0773">
        <w:t>156</w:t>
      </w:r>
    </w:p>
    <w:p w:rsidR="00501B46" w:rsidRPr="00CD3620" w:rsidRDefault="00501B46" w:rsidP="00501B46">
      <w:pPr>
        <w:pStyle w:val="ATHeading2"/>
      </w:pPr>
      <w:bookmarkStart w:id="1" w:name="title"/>
      <w:r w:rsidRPr="00CD3620">
        <w:t>Europejski semestr na rzecz koordynacji polityki gospodarczej – 2024 r.</w:t>
      </w:r>
      <w:bookmarkEnd w:id="1"/>
    </w:p>
    <w:p w:rsidR="00501B46" w:rsidRPr="00CD3620" w:rsidRDefault="00501B46" w:rsidP="00501B46">
      <w:pPr>
        <w:rPr>
          <w:i/>
          <w:vanish/>
        </w:rPr>
      </w:pPr>
      <w:r w:rsidRPr="00CD3620">
        <w:rPr>
          <w:i/>
        </w:rPr>
        <w:fldChar w:fldCharType="begin"/>
      </w:r>
      <w:r w:rsidRPr="00CD3620">
        <w:rPr>
          <w:i/>
        </w:rPr>
        <w:instrText xml:space="preserve"> TC"(</w:instrText>
      </w:r>
      <w:bookmarkStart w:id="2" w:name="DocNumber"/>
      <w:r w:rsidRPr="00CD3620">
        <w:rPr>
          <w:i/>
        </w:rPr>
        <w:instrText>A9-0063/2024</w:instrText>
      </w:r>
      <w:bookmarkEnd w:id="2"/>
      <w:r w:rsidRPr="00CD3620">
        <w:rPr>
          <w:i/>
        </w:rPr>
        <w:instrText xml:space="preserve"> - Sprawozdawca: René Repasi)"\l3 \n&gt; \* MERGEFORMAT </w:instrText>
      </w:r>
      <w:r w:rsidRPr="00CD3620">
        <w:rPr>
          <w:i/>
        </w:rPr>
        <w:fldChar w:fldCharType="end"/>
      </w:r>
    </w:p>
    <w:p w:rsidR="00501B46" w:rsidRPr="00CD3620" w:rsidRDefault="00501B46" w:rsidP="00501B46">
      <w:pPr>
        <w:rPr>
          <w:vanish/>
        </w:rPr>
      </w:pPr>
      <w:bookmarkStart w:id="3" w:name="Commission"/>
      <w:r w:rsidRPr="00CD3620">
        <w:rPr>
          <w:vanish/>
        </w:rPr>
        <w:t>Komisja Gospodarcza i Monetarna</w:t>
      </w:r>
      <w:bookmarkEnd w:id="3"/>
    </w:p>
    <w:p w:rsidR="00501B46" w:rsidRPr="00CD3620" w:rsidRDefault="00501B46" w:rsidP="00501B46">
      <w:pPr>
        <w:rPr>
          <w:vanish/>
        </w:rPr>
      </w:pPr>
      <w:bookmarkStart w:id="4" w:name="PE"/>
      <w:r w:rsidRPr="00CD3620">
        <w:rPr>
          <w:vanish/>
        </w:rPr>
        <w:t>PE757.014</w:t>
      </w:r>
      <w:bookmarkEnd w:id="4"/>
    </w:p>
    <w:p w:rsidR="00501B46" w:rsidRPr="00CD3620" w:rsidRDefault="00501B46" w:rsidP="00501B46">
      <w:pPr>
        <w:pStyle w:val="ATHeading3"/>
      </w:pPr>
      <w:bookmarkStart w:id="5" w:name="Sujet"/>
      <w:r w:rsidRPr="00CD3620">
        <w:t xml:space="preserve">Rezolucja Parlamentu Europejskiego z dnia </w:t>
      </w:r>
      <w:r w:rsidR="009E7EDE">
        <w:t>13 marca</w:t>
      </w:r>
      <w:r w:rsidRPr="00CD3620">
        <w:t xml:space="preserve"> 2024 r. w sprawie europejskiego semestru na rzecz koordynacji polityki gospodarczej – 2024 r.</w:t>
      </w:r>
      <w:bookmarkEnd w:id="5"/>
      <w:r w:rsidRPr="00CD3620">
        <w:t xml:space="preserve"> </w:t>
      </w:r>
      <w:bookmarkStart w:id="6" w:name="References"/>
      <w:r w:rsidRPr="00CD3620">
        <w:t>(2023/2063(INI))</w:t>
      </w:r>
      <w:bookmarkEnd w:id="6"/>
    </w:p>
    <w:p w:rsidR="000065E7" w:rsidRPr="00CD3620" w:rsidRDefault="000065E7" w:rsidP="000065E7">
      <w:pPr>
        <w:pStyle w:val="EPComma"/>
      </w:pPr>
      <w:bookmarkStart w:id="7" w:name="TextBodyBegin"/>
      <w:bookmarkEnd w:id="7"/>
      <w:r w:rsidRPr="00CD3620">
        <w:rPr>
          <w:i/>
        </w:rPr>
        <w:t>Parlament Europejski</w:t>
      </w:r>
      <w:r w:rsidRPr="00CD3620">
        <w:t>,</w:t>
      </w:r>
    </w:p>
    <w:p w:rsidR="000065E7" w:rsidRPr="00CD3620" w:rsidRDefault="000065E7" w:rsidP="000065E7">
      <w:pPr>
        <w:pStyle w:val="NormalHanging12a"/>
      </w:pPr>
      <w:r w:rsidRPr="00CD3620">
        <w:t>–</w:t>
      </w:r>
      <w:r w:rsidRPr="00CD3620">
        <w:tab/>
        <w:t>uwzględniając Traktat o funkcjonowaniu Unii Europejskiej (TFUE), w szczególności jego art. 121 ust. 2 i art. 136,</w:t>
      </w:r>
    </w:p>
    <w:p w:rsidR="000065E7" w:rsidRPr="00CD3620" w:rsidRDefault="000065E7" w:rsidP="000065E7">
      <w:pPr>
        <w:pStyle w:val="NormalHanging12a"/>
      </w:pPr>
      <w:r w:rsidRPr="00CD3620">
        <w:t>–</w:t>
      </w:r>
      <w:r w:rsidRPr="00CD3620">
        <w:tab/>
        <w:t>uwzględniając Protokół nr 1 do Traktatu o Unii Europejskiej (TUE) i TFUE w sprawie roli parlamentów narodowych w Unii Europejskiej,</w:t>
      </w:r>
    </w:p>
    <w:p w:rsidR="000065E7" w:rsidRPr="00CD3620" w:rsidRDefault="000065E7" w:rsidP="000065E7">
      <w:pPr>
        <w:pStyle w:val="NormalHanging12a"/>
      </w:pPr>
      <w:r w:rsidRPr="00CD3620">
        <w:t>–</w:t>
      </w:r>
      <w:r w:rsidRPr="00CD3620">
        <w:tab/>
        <w:t>uwzględniając Protokół nr 2 do TUE i TFUE w sprawie stosowania zasad pomocniczości i proporcjonalności,</w:t>
      </w:r>
    </w:p>
    <w:p w:rsidR="000065E7" w:rsidRPr="00CD3620" w:rsidRDefault="000065E7" w:rsidP="000065E7">
      <w:pPr>
        <w:pStyle w:val="NormalHanging12a"/>
      </w:pPr>
      <w:r w:rsidRPr="00CD3620">
        <w:t>–</w:t>
      </w:r>
      <w:r w:rsidRPr="00CD3620">
        <w:tab/>
        <w:t>uwzględniając Traktat o stabilności, koordynacji i zarządzaniu w unii gospodarczej i walutowej,</w:t>
      </w:r>
    </w:p>
    <w:p w:rsidR="000065E7" w:rsidRPr="00CD3620" w:rsidRDefault="000065E7" w:rsidP="000065E7">
      <w:pPr>
        <w:pStyle w:val="NormalHanging12a"/>
      </w:pPr>
      <w:r w:rsidRPr="00CD3620">
        <w:t>–</w:t>
      </w:r>
      <w:r w:rsidRPr="00CD3620">
        <w:tab/>
        <w:t>uwzględniając porozumienie paryskie w kontekście Ramowej konwencji Narodów Zjednoczonych w sprawie zmian klimatu oraz cele zrównoważonego rozwoju,</w:t>
      </w:r>
    </w:p>
    <w:p w:rsidR="000065E7" w:rsidRPr="00CD3620" w:rsidRDefault="000065E7" w:rsidP="000065E7">
      <w:pPr>
        <w:pStyle w:val="NormalHanging12a"/>
      </w:pPr>
      <w:r w:rsidRPr="00CD3620">
        <w:t>–</w:t>
      </w:r>
      <w:r w:rsidRPr="00CD3620">
        <w:tab/>
        <w:t>uwzględniając dyrektywę Rady 2011/85/UE z dnia 8 listopada 2011 r. w sprawie wymogów dla ram budżetowych państw członkowskich</w:t>
      </w:r>
      <w:r w:rsidRPr="00CD3620">
        <w:rPr>
          <w:rStyle w:val="FootnoteReference"/>
          <w:szCs w:val="24"/>
        </w:rPr>
        <w:footnoteReference w:id="1"/>
      </w:r>
      <w:r w:rsidRPr="00CD3620">
        <w:t>,</w:t>
      </w:r>
    </w:p>
    <w:p w:rsidR="000065E7" w:rsidRPr="00CD3620" w:rsidRDefault="000065E7" w:rsidP="000065E7">
      <w:pPr>
        <w:pStyle w:val="NormalHanging12a"/>
      </w:pPr>
      <w:r w:rsidRPr="00CD3620">
        <w:t>–</w:t>
      </w:r>
      <w:r w:rsidRPr="00CD3620">
        <w:tab/>
        <w:t>uwzględniając rozporządzenie Rady (UE) nr 1177/2011 z dnia 8 listopada 2011 r. zmieniające rozporządzenie (WE) nr 1467/97 w sprawie przyspieszenia i wyjaśnienia procedury nadmiernego deficytu</w:t>
      </w:r>
      <w:r w:rsidRPr="00CD3620">
        <w:rPr>
          <w:vertAlign w:val="superscript"/>
        </w:rPr>
        <w:footnoteReference w:id="2"/>
      </w:r>
      <w:r w:rsidRPr="00CD3620">
        <w:t>,</w:t>
      </w:r>
    </w:p>
    <w:p w:rsidR="000065E7" w:rsidRPr="00CD3620" w:rsidRDefault="000065E7" w:rsidP="000065E7">
      <w:pPr>
        <w:pStyle w:val="NormalHanging12a"/>
      </w:pPr>
      <w:r w:rsidRPr="00CD3620">
        <w:t>–</w:t>
      </w:r>
      <w:r w:rsidRPr="00CD3620">
        <w:tab/>
        <w:t>uwzględniając rozporządzenie Parlamentu Europejskiego i Rady (UE) nr 1173/2011 z dnia 16 listopada 2011 r. w sprawie skutecznego egzekwowania nadzoru budżetowego w strefie euro</w:t>
      </w:r>
      <w:r w:rsidRPr="00CD3620">
        <w:rPr>
          <w:vertAlign w:val="superscript"/>
        </w:rPr>
        <w:footnoteReference w:id="3"/>
      </w:r>
      <w:r w:rsidRPr="00CD3620">
        <w:t>,</w:t>
      </w:r>
    </w:p>
    <w:p w:rsidR="000065E7" w:rsidRPr="00CD3620" w:rsidRDefault="000065E7" w:rsidP="000065E7">
      <w:pPr>
        <w:pStyle w:val="NormalHanging12a"/>
      </w:pPr>
      <w:r w:rsidRPr="00CD3620">
        <w:t>–</w:t>
      </w:r>
      <w:r w:rsidRPr="00CD3620">
        <w:tab/>
        <w:t xml:space="preserve">uwzględniając rozporządzenie Parlamentu Europejskiego i Rady (UE) nr 1174/2011 z dnia 16 listopada 2011 r. w sprawie środków egzekwowania korekty nadmiernych </w:t>
      </w:r>
      <w:r w:rsidRPr="00CD3620">
        <w:lastRenderedPageBreak/>
        <w:t>zakłóceń równowagi makroekonomicznej w strefie euro</w:t>
      </w:r>
      <w:r w:rsidRPr="00CD3620">
        <w:rPr>
          <w:vertAlign w:val="superscript"/>
        </w:rPr>
        <w:footnoteReference w:id="4"/>
      </w:r>
      <w:r w:rsidRPr="00CD3620">
        <w:t>,</w:t>
      </w:r>
    </w:p>
    <w:p w:rsidR="000065E7" w:rsidRPr="00CD3620" w:rsidRDefault="000065E7" w:rsidP="000065E7">
      <w:pPr>
        <w:pStyle w:val="NormalHanging12a"/>
      </w:pPr>
      <w:r w:rsidRPr="00CD3620">
        <w:t>–</w:t>
      </w:r>
      <w:r w:rsidRPr="00CD3620">
        <w:tab/>
        <w:t>uwzględniając rozporządzenie Parlamentu Europejskiego i Rady (UE) nr 1175/2011 z dnia 16 listopada 2011 r. zmieniające rozporządzenie Rady (WE) nr 1466/97 w sprawie wzmocnienia nadzoru pozycji budżetowych oraz nadzoru i koordynacji polityk gospodarczych</w:t>
      </w:r>
      <w:r w:rsidRPr="00CD3620">
        <w:rPr>
          <w:vertAlign w:val="superscript"/>
        </w:rPr>
        <w:footnoteReference w:id="5"/>
      </w:r>
      <w:r w:rsidRPr="00CD3620">
        <w:t>,</w:t>
      </w:r>
    </w:p>
    <w:p w:rsidR="000065E7" w:rsidRPr="00CD3620" w:rsidRDefault="000065E7" w:rsidP="000065E7">
      <w:pPr>
        <w:pStyle w:val="NormalHanging12a"/>
      </w:pPr>
      <w:r w:rsidRPr="00CD3620">
        <w:t>–</w:t>
      </w:r>
      <w:r w:rsidRPr="00CD3620">
        <w:tab/>
        <w:t>uwzględniając rozporządzenie Parlamentu Europejskiego i Rady (UE) nr 1176/2011 z dnia 16 listopada 2011 r. w sprawie zapobiegania zakłóceniom równowagi makroekonomicznej i ich korygowania</w:t>
      </w:r>
      <w:r w:rsidRPr="00CD3620">
        <w:rPr>
          <w:vertAlign w:val="superscript"/>
        </w:rPr>
        <w:footnoteReference w:id="6"/>
      </w:r>
      <w:r w:rsidRPr="00CD3620">
        <w:t>,</w:t>
      </w:r>
    </w:p>
    <w:p w:rsidR="000065E7" w:rsidRPr="00CD3620" w:rsidRDefault="000065E7" w:rsidP="000065E7">
      <w:pPr>
        <w:pStyle w:val="NormalHanging12a"/>
      </w:pPr>
      <w:r w:rsidRPr="00CD3620">
        <w:t>–</w:t>
      </w:r>
      <w:r w:rsidRPr="00CD3620">
        <w:tab/>
        <w:t>uwzględniając rozporządzenie Parlamentu Europejskiego i Rady (UE) nr 472/2013 z dnia 21 maja 2013 r. w sprawie wzmocnienia nadzoru gospodarczego i budżetowego nad państwami członkowskimi należącymi do strefy euro dotkniętymi lub zagrożonymi poważnymi trudnościami w odniesieniu do ich stabilności finansowej</w:t>
      </w:r>
      <w:r w:rsidRPr="00CD3620">
        <w:rPr>
          <w:rStyle w:val="FootnoteReference"/>
          <w:szCs w:val="24"/>
        </w:rPr>
        <w:footnoteReference w:id="7"/>
      </w:r>
      <w:r w:rsidRPr="00CD3620">
        <w:t>,</w:t>
      </w:r>
    </w:p>
    <w:p w:rsidR="000065E7" w:rsidRPr="00CD3620" w:rsidRDefault="000065E7" w:rsidP="000065E7">
      <w:pPr>
        <w:pStyle w:val="NormalHanging12a"/>
      </w:pPr>
      <w:r w:rsidRPr="00CD3620">
        <w:t>–</w:t>
      </w:r>
      <w:r w:rsidRPr="00CD3620">
        <w:tab/>
        <w:t>uwzględniając rozporządzenie Parlamentu Europejskiego i Rady (UE) nr 473/2013 z dnia 21 maja 2013 r. w sprawie wspólnych przepisów dotyczących monitorowania i oceny projektów planów budżetowych oraz zapewnienia korekty nadmiernego deficytu w państwach członkowskich należących do strefy euro</w:t>
      </w:r>
      <w:r w:rsidRPr="00CD3620">
        <w:rPr>
          <w:rStyle w:val="FootnoteReference"/>
          <w:szCs w:val="24"/>
        </w:rPr>
        <w:footnoteReference w:id="8"/>
      </w:r>
      <w:r w:rsidRPr="00CD3620">
        <w:t>,</w:t>
      </w:r>
    </w:p>
    <w:p w:rsidR="000065E7" w:rsidRPr="00CD3620" w:rsidRDefault="000065E7" w:rsidP="000065E7">
      <w:pPr>
        <w:pStyle w:val="NormalHanging12a"/>
      </w:pPr>
      <w:r w:rsidRPr="00CD3620">
        <w:t>–</w:t>
      </w:r>
      <w:r w:rsidRPr="00CD3620">
        <w:tab/>
        <w:t>uwzględniając rozporządzenie Parlamentu Europejskiego i Rady (UE) 2021/241 z dnia 12 lutego 2021 r. ustanawiające Instrument na rzecz Odbudowy i Zwiększania Odporności</w:t>
      </w:r>
      <w:r w:rsidRPr="00CD3620">
        <w:rPr>
          <w:rStyle w:val="FootnoteReference"/>
          <w:szCs w:val="24"/>
        </w:rPr>
        <w:footnoteReference w:id="9"/>
      </w:r>
      <w:r w:rsidRPr="00CD3620">
        <w:t xml:space="preserve"> (rozporządzenie w sprawie RRF),</w:t>
      </w:r>
    </w:p>
    <w:p w:rsidR="000065E7" w:rsidRPr="00CD3620" w:rsidRDefault="000065E7" w:rsidP="000065E7">
      <w:pPr>
        <w:pStyle w:val="NormalHanging12a"/>
      </w:pPr>
      <w:r w:rsidRPr="00CD3620">
        <w:t>–</w:t>
      </w:r>
      <w:r w:rsidRPr="00CD3620">
        <w:tab/>
        <w:t>uwzględniając komunikat Komisji z 4 marca 2021 r. pt. „Plan działania na rzecz Europejskiego filaru praw socjalnych” (COM(2021)0102),</w:t>
      </w:r>
    </w:p>
    <w:p w:rsidR="000065E7" w:rsidRPr="00CD3620" w:rsidRDefault="000065E7" w:rsidP="000065E7">
      <w:pPr>
        <w:pStyle w:val="NormalHanging12a"/>
      </w:pPr>
      <w:r w:rsidRPr="00CD3620">
        <w:t>–</w:t>
      </w:r>
      <w:r w:rsidRPr="00CD3620">
        <w:tab/>
        <w:t>uwzględniając zobowiązanie społeczne z Porto podpisane 7 maja 2021 r. przez Radę, Komisję, Parlament i partnerów społecznych,</w:t>
      </w:r>
    </w:p>
    <w:p w:rsidR="000065E7" w:rsidRPr="00CD3620" w:rsidRDefault="000065E7" w:rsidP="000065E7">
      <w:pPr>
        <w:pStyle w:val="NormalHanging12a"/>
      </w:pPr>
      <w:r w:rsidRPr="00CD3620">
        <w:t>–</w:t>
      </w:r>
      <w:r w:rsidRPr="00CD3620">
        <w:tab/>
        <w:t>uwzględniając ocenę Europejskiej Rady Budżetowej z dnia 28 czerwca 2023 r. w sprawie kursu polityki fiskalnej właściwego dla strefy euro w 2024 r.,</w:t>
      </w:r>
    </w:p>
    <w:p w:rsidR="000065E7" w:rsidRPr="00CD3620" w:rsidRDefault="000065E7" w:rsidP="000065E7">
      <w:pPr>
        <w:pStyle w:val="NormalHanging12a"/>
      </w:pPr>
      <w:r w:rsidRPr="00CD3620">
        <w:t>–</w:t>
      </w:r>
      <w:r w:rsidRPr="00CD3620">
        <w:tab/>
        <w:t>uwzględniając sprawozdanie roczne Europejskiej Rady Budżetowej z 4 października 2023 r.,</w:t>
      </w:r>
    </w:p>
    <w:p w:rsidR="000065E7" w:rsidRPr="00CD3620" w:rsidRDefault="000065E7" w:rsidP="000065E7">
      <w:pPr>
        <w:pStyle w:val="NormalHanging12a"/>
        <w:rPr>
          <w:bCs/>
          <w:szCs w:val="23"/>
        </w:rPr>
      </w:pPr>
      <w:r w:rsidRPr="00CD3620">
        <w:t>–</w:t>
      </w:r>
      <w:r w:rsidRPr="00CD3620">
        <w:tab/>
        <w:t>uwzględniając komunikat Komisji z dnia 9 listopada 2022 r. w sprawie kierunków reformy unijnych ram zarządzania gospodarczego (COM(2022)0583),</w:t>
      </w:r>
    </w:p>
    <w:p w:rsidR="000065E7" w:rsidRPr="00CD3620" w:rsidRDefault="000065E7" w:rsidP="000065E7">
      <w:pPr>
        <w:pStyle w:val="NormalHanging12a"/>
      </w:pPr>
      <w:r w:rsidRPr="00CD3620">
        <w:t>–</w:t>
      </w:r>
      <w:r w:rsidRPr="00CD3620">
        <w:tab/>
        <w:t>uwzględniając wniosek Komisji z 26 kwietnia 2023 r. dotyczący rozporządzenia Parlamentu Europejskiego i Rady w sprawie skutecznej koordynacji polityk gospodarczych i wielostronnego nadzoru budżetowego oraz uchylającego rozporządzenie Rady (WE) nr 1466/97 (COM(2023)0240),</w:t>
      </w:r>
    </w:p>
    <w:p w:rsidR="000065E7" w:rsidRPr="00CD3620" w:rsidRDefault="000065E7" w:rsidP="000065E7">
      <w:pPr>
        <w:pStyle w:val="NormalHanging12a"/>
      </w:pPr>
      <w:r w:rsidRPr="00CD3620">
        <w:lastRenderedPageBreak/>
        <w:t>–</w:t>
      </w:r>
      <w:r w:rsidRPr="00CD3620">
        <w:tab/>
        <w:t>uwzględniając wniosek Komisji z 26 kwietnia 2023 r. dotyczący rozporządzenia Rady zmieniającego rozporządzenie (WE) nr 1467/97 w sprawie przyspieszenia i wyjaśnienia procedury nadmiernego deficytu (COM(2023)0241),</w:t>
      </w:r>
    </w:p>
    <w:p w:rsidR="000065E7" w:rsidRPr="00CD3620" w:rsidRDefault="000065E7" w:rsidP="000065E7">
      <w:pPr>
        <w:pStyle w:val="NormalHanging12a"/>
      </w:pPr>
      <w:r w:rsidRPr="00CD3620">
        <w:t>–</w:t>
      </w:r>
      <w:r w:rsidRPr="00CD3620">
        <w:tab/>
        <w:t>uwzględniając wniosek Komisji z 26 kwietnia 2023 r. dotyczący dyrektywy Rady zmieniającej dyrektywę 2011/85/UE w sprawie wymogów dla ram budżetowych państw członkowskich (COM(2023)0242),</w:t>
      </w:r>
    </w:p>
    <w:p w:rsidR="000065E7" w:rsidRPr="00CD3620" w:rsidRDefault="000065E7" w:rsidP="000065E7">
      <w:pPr>
        <w:pStyle w:val="NormalHanging12a"/>
        <w:rPr>
          <w:bCs/>
          <w:szCs w:val="23"/>
        </w:rPr>
      </w:pPr>
      <w:r w:rsidRPr="00CD3620">
        <w:t>–</w:t>
      </w:r>
      <w:r w:rsidRPr="00CD3620">
        <w:tab/>
        <w:t>uwzględniając deklarację z Grenady przyjętą 6 października 2023 r.,</w:t>
      </w:r>
    </w:p>
    <w:p w:rsidR="000065E7" w:rsidRPr="00CD3620" w:rsidRDefault="000065E7" w:rsidP="000065E7">
      <w:pPr>
        <w:pStyle w:val="NormalHanging12a"/>
        <w:rPr>
          <w:shd w:val="clear" w:color="auto" w:fill="FFFFFF"/>
        </w:rPr>
      </w:pPr>
      <w:r w:rsidRPr="00CD3620">
        <w:t>–</w:t>
      </w:r>
      <w:r w:rsidRPr="00CD3620">
        <w:tab/>
        <w:t>uwzględniając komunikat Komisji z dnia 21 listopada 2023 r. pt. „Roczna analiza zrównoważonego wzrostu gospodarczego 2024” (COM(2023)0901),</w:t>
      </w:r>
    </w:p>
    <w:p w:rsidR="000065E7" w:rsidRPr="00CD3620" w:rsidRDefault="000065E7" w:rsidP="000065E7">
      <w:pPr>
        <w:pStyle w:val="NormalHanging12a"/>
      </w:pPr>
      <w:r w:rsidRPr="00CD3620">
        <w:t>–</w:t>
      </w:r>
      <w:r w:rsidRPr="00CD3620">
        <w:tab/>
        <w:t>uwzględniając komunikat Komisji z 21 listopada 202</w:t>
      </w:r>
      <w:r w:rsidR="00732155">
        <w:t>3</w:t>
      </w:r>
      <w:r w:rsidRPr="00CD3620">
        <w:t> r. pt. „Sprawozdanie przedkładane w ramach mechanizmu ostrzegania 2024” (COM</w:t>
      </w:r>
      <w:proofErr w:type="gramStart"/>
      <w:r w:rsidRPr="00CD3620">
        <w:t>(2023)0902) oraz</w:t>
      </w:r>
      <w:proofErr w:type="gramEnd"/>
      <w:r w:rsidRPr="00CD3620">
        <w:t xml:space="preserve"> zalecenie Komisji z 21 listopada 202</w:t>
      </w:r>
      <w:r w:rsidR="00732155">
        <w:t>3</w:t>
      </w:r>
      <w:r w:rsidRPr="00CD3620">
        <w:t> r. dotyczące zalecenia Rady w sprawie polityki gospodarczej w strefie euro (COM(2023)0903),</w:t>
      </w:r>
    </w:p>
    <w:p w:rsidR="000065E7" w:rsidRPr="00CD3620" w:rsidRDefault="000065E7" w:rsidP="000065E7">
      <w:pPr>
        <w:pStyle w:val="NormalHanging12a"/>
      </w:pPr>
      <w:r w:rsidRPr="00CD3620">
        <w:t>–</w:t>
      </w:r>
      <w:r w:rsidRPr="00CD3620">
        <w:tab/>
        <w:t>uwzględniając wniosek z dnia 21 listopada 202</w:t>
      </w:r>
      <w:r w:rsidR="00732155">
        <w:t>3</w:t>
      </w:r>
      <w:r w:rsidRPr="00CD3620">
        <w:t xml:space="preserve"> r. dotyczący wspólneg</w:t>
      </w:r>
      <w:bookmarkStart w:id="8" w:name="_GoBack"/>
      <w:bookmarkEnd w:id="8"/>
      <w:r w:rsidRPr="00CD3620">
        <w:t>o sprawozdania Komisji i Rady o zatrudnieniu (COM(2023)0904),</w:t>
      </w:r>
    </w:p>
    <w:p w:rsidR="000065E7" w:rsidRPr="00CD3620" w:rsidRDefault="000065E7" w:rsidP="000065E7">
      <w:pPr>
        <w:pStyle w:val="NormalHanging12a"/>
      </w:pPr>
      <w:r w:rsidRPr="00CD3620">
        <w:t>–</w:t>
      </w:r>
      <w:r w:rsidRPr="00CD3620">
        <w:tab/>
        <w:t>uwzględniając prognozę gospodarczą Komisji z jesieni 2023 r. opublikowaną 15 listopada 2023 r.,</w:t>
      </w:r>
    </w:p>
    <w:p w:rsidR="000065E7" w:rsidRPr="00CD3620" w:rsidRDefault="000065E7" w:rsidP="000065E7">
      <w:pPr>
        <w:pStyle w:val="NormalHanging12a"/>
      </w:pPr>
      <w:r w:rsidRPr="00CD3620">
        <w:t>–</w:t>
      </w:r>
      <w:r w:rsidRPr="00CD3620">
        <w:tab/>
        <w:t>uwzględniając art. 54 Regulaminu,</w:t>
      </w:r>
    </w:p>
    <w:p w:rsidR="000065E7" w:rsidRPr="00CD3620" w:rsidRDefault="000065E7" w:rsidP="000065E7">
      <w:pPr>
        <w:pStyle w:val="NormalHanging12a"/>
      </w:pPr>
      <w:r w:rsidRPr="00CD3620">
        <w:t>–</w:t>
      </w:r>
      <w:r w:rsidRPr="00CD3620">
        <w:tab/>
        <w:t>uwzględniając opinię przedstawioną przez Komisję Budżetową,</w:t>
      </w:r>
    </w:p>
    <w:p w:rsidR="000065E7" w:rsidRPr="00CD3620" w:rsidRDefault="000065E7" w:rsidP="000065E7">
      <w:pPr>
        <w:pStyle w:val="NormalHanging12a"/>
      </w:pPr>
      <w:r w:rsidRPr="00CD3620">
        <w:t>–</w:t>
      </w:r>
      <w:r w:rsidRPr="00CD3620">
        <w:tab/>
        <w:t>uwzględniając sprawozdanie Komisji Gospodarczej i Monetarnej (A9-0063/2024),</w:t>
      </w:r>
    </w:p>
    <w:p w:rsidR="000065E7" w:rsidRPr="00CD3620" w:rsidRDefault="000065E7" w:rsidP="000065E7">
      <w:pPr>
        <w:pStyle w:val="NormalHanging12a"/>
      </w:pPr>
      <w:r w:rsidRPr="00CD3620">
        <w:t>A.</w:t>
      </w:r>
      <w:r w:rsidRPr="00CD3620">
        <w:tab/>
      </w:r>
      <w:proofErr w:type="gramStart"/>
      <w:r w:rsidRPr="00CD3620">
        <w:t>mając</w:t>
      </w:r>
      <w:proofErr w:type="gramEnd"/>
      <w:r w:rsidRPr="00CD3620">
        <w:t xml:space="preserve"> na uwadze, że europejski semestr odgrywa zasadniczą rolę w koordynacji polityki gospodarczej, budżetowej, strukturalnej, społecznej i polityki zatrudnienia w państwach członkowskich, chroniąc tym samym makroekonomiczną stabilność unii gospodarczej i walutowej;</w:t>
      </w:r>
    </w:p>
    <w:p w:rsidR="000065E7" w:rsidRPr="00CD3620" w:rsidRDefault="000065E7" w:rsidP="000065E7">
      <w:pPr>
        <w:pStyle w:val="NormalHanging12a"/>
      </w:pPr>
      <w:r w:rsidRPr="00CD3620">
        <w:t>B.</w:t>
      </w:r>
      <w:r w:rsidRPr="00CD3620">
        <w:tab/>
        <w:t>mając na uwadze, że według prognozy Komisji z zimy 2024 r. szacuje się, że po silnym ożywieniu w 2022 r. aktywność gospodarcza w 2023 r. wzrosła tylko o 0,5 % zarówno w UE, jak i w strefie euro w obliczu wysokiej inflacji i zaostrzonych warunków finansowania; mając na uwadze, że oczekiwany wzrost PKB został skorygowany w dół do 0,9 % (z 1,3 %) w UE i 0,8 % (z 1,2 %) w strefie euro w 2024 roku; mając na uwadze, że w 2025 r. nadal oczekuje się wzrostu aktywności gospodarczej o 1,7 % w UE i 1,5 % w strefie euro;</w:t>
      </w:r>
    </w:p>
    <w:p w:rsidR="000065E7" w:rsidRPr="00CD3620" w:rsidRDefault="000065E7" w:rsidP="000065E7">
      <w:pPr>
        <w:pStyle w:val="NormalHanging12a"/>
      </w:pPr>
      <w:r w:rsidRPr="00CD3620">
        <w:t>C.</w:t>
      </w:r>
      <w:r w:rsidRPr="00CD3620">
        <w:tab/>
      </w:r>
      <w:proofErr w:type="gramStart"/>
      <w:r w:rsidRPr="00CD3620">
        <w:t>mając</w:t>
      </w:r>
      <w:proofErr w:type="gramEnd"/>
      <w:r w:rsidRPr="00CD3620">
        <w:t xml:space="preserve"> na uwadze, że rynek pracy UE nadal osiągał dobre wyniki w pierwszej połowie 2023 r. pomimo spowolnienia wzrostu gospodarczego; mając na uwadze, że według prognozy Komisji z jesieni 2023 r. niedobory siły roboczej nadal były dotkliwe w wielu sektorach i zawodach, w szczególności w dziedzinach związanych ze zwiększaniem skali i wdrażaniem technologii neutralnych emisyjnie i niskoemisyjnych; mając na uwadze, że bezrobocie osiągnęło historycznie najniższy poziom w całej UE, przy czym było ono zróżnicowane w poszczególnych państwach członkowskich; mając na uwadze, że według Eurostatu w grudniu 2023 r. bezrobocie wśród młodzieży wynosiło 14,7 % w UE i 14,4 % w strefie euro;</w:t>
      </w:r>
    </w:p>
    <w:p w:rsidR="000065E7" w:rsidRPr="00CD3620" w:rsidRDefault="000065E7" w:rsidP="000065E7">
      <w:pPr>
        <w:pStyle w:val="NormalHanging12a"/>
      </w:pPr>
      <w:r w:rsidRPr="00CD3620">
        <w:lastRenderedPageBreak/>
        <w:t>D.</w:t>
      </w:r>
      <w:r w:rsidRPr="00CD3620">
        <w:tab/>
      </w:r>
      <w:proofErr w:type="gramStart"/>
      <w:r w:rsidRPr="00CD3620">
        <w:t>mając</w:t>
      </w:r>
      <w:proofErr w:type="gramEnd"/>
      <w:r w:rsidRPr="00CD3620">
        <w:t xml:space="preserve"> na uwadze, że według prognozy Komisji z zimy 2024 r. inflacja ma spaść z 6,3 % w 2023 r. do 3,0 % w 2024 r. i 2,5 % w 2025 r. w UE oraz z 5,4 % w 2023 r. do 2,7 % w 2024 r. i 2,2 % w 2025 r. w strefie euro; mając na uwadze, że polityka fiskalna musi wspierać politykę pieniężną w ograniczeniu inflacji i zagwarantowaniu stabilności budżetowej, przy jednoczesnym zapewnieniu wystarczającej przestrzeni na dodatkowe inwestycje oraz wsparciu długoterminowego wzrostu;</w:t>
      </w:r>
    </w:p>
    <w:p w:rsidR="000065E7" w:rsidRPr="00CD3620" w:rsidRDefault="000065E7" w:rsidP="000065E7">
      <w:pPr>
        <w:pStyle w:val="NormalHanging12a"/>
      </w:pPr>
      <w:r w:rsidRPr="00CD3620">
        <w:t>E.</w:t>
      </w:r>
      <w:r w:rsidRPr="00CD3620">
        <w:tab/>
      </w:r>
      <w:proofErr w:type="gramStart"/>
      <w:r w:rsidRPr="00CD3620">
        <w:t>mając</w:t>
      </w:r>
      <w:proofErr w:type="gramEnd"/>
      <w:r w:rsidRPr="00CD3620">
        <w:t xml:space="preserve"> na uwadze, że inflacja ma zróżnicowany wpływ na grupy dochodowe, a grupy o niskich dochodach odczuwają jej skutki w sposób nieproporcjonalny; mając na uwadze, że inflacja może doprowadzić do prawdziwego kryzysu kosztów utrzymania w niektórych segmentach społeczeństwa, stanowiąc wyzwanie dla spójności społecznej;</w:t>
      </w:r>
    </w:p>
    <w:p w:rsidR="000065E7" w:rsidRPr="00CD3620" w:rsidRDefault="000065E7" w:rsidP="000065E7">
      <w:pPr>
        <w:pStyle w:val="NormalHanging12a"/>
      </w:pPr>
      <w:r w:rsidRPr="00CD3620">
        <w:t>F.</w:t>
      </w:r>
      <w:r w:rsidRPr="00CD3620">
        <w:tab/>
      </w:r>
      <w:proofErr w:type="gramStart"/>
      <w:r w:rsidRPr="00CD3620">
        <w:t>mając</w:t>
      </w:r>
      <w:proofErr w:type="gramEnd"/>
      <w:r w:rsidRPr="00CD3620">
        <w:t xml:space="preserve"> na uwadze, że relacja długu do PKB ma spaść do 83,1 % w UE w 2023 r. (90,4 % w strefie euro); mając na uwadze, że oczekuje się nieznacznego spadku relacji długu do PKB w UE do około 82,7 % w 2024 r. i 82,5 % w 2025 r.; mając na uwadze, że oczekuje się, że relacja długu do PKB w strefie euro spadnie do około 89,7 % w 2024 r. i 89,5 % w 2025 r.; mając na uwadze, że poziomy zadłużenia poszczególnych państw członkowskich są bardzo zróżnicowane; mając na uwadze, że wysokie relacje długu do PKB w połączeniu z wysokimi stopami procentowymi i niepewną sytuacją makroekonomiczną mogą zagrozić długoterminowej zdolności obsługi zadłużenia i stabilności </w:t>
      </w:r>
      <w:proofErr w:type="gramStart"/>
      <w:r w:rsidRPr="00CD3620">
        <w:t>gospodarczej</w:t>
      </w:r>
      <w:proofErr w:type="gramEnd"/>
      <w:r w:rsidRPr="00CD3620">
        <w:t>;</w:t>
      </w:r>
    </w:p>
    <w:p w:rsidR="000065E7" w:rsidRPr="00CD3620" w:rsidRDefault="000065E7" w:rsidP="000065E7">
      <w:pPr>
        <w:pStyle w:val="NormalHanging12a"/>
      </w:pPr>
      <w:r w:rsidRPr="00CD3620">
        <w:t>G.</w:t>
      </w:r>
      <w:r w:rsidRPr="00CD3620">
        <w:tab/>
        <w:t>mając na uwadze, że według prognozy Komisji z jesieni 2023 r. deficyt sektora instytucji rządowych i samorządowych w UE i strefie euro ma spaść do 3,2 % PKB w 2023 r., a następnie do 2,8 % PKB w 2024 r. i 2,7 % w 2025 r.; mając na uwadze, że ogólna klauzula wyjścia w ramach paktu stabilności i wzrostu została dezaktywowana pod koniec 2023 r.; mając na uwadze, że Komisja ogłosiła, iż wiosną 2024 r. przedłoży Radzie wniosek w sprawie wszczęcia procedury nadmiernego deficytu w oparciu o dane o wynikach za 2023 r., zgodnie z obowiązującymi przepisami;</w:t>
      </w:r>
    </w:p>
    <w:p w:rsidR="000065E7" w:rsidRPr="00CD3620" w:rsidRDefault="000065E7" w:rsidP="000065E7">
      <w:pPr>
        <w:pStyle w:val="NormalHanging12a"/>
      </w:pPr>
      <w:r w:rsidRPr="00CD3620">
        <w:t>H.</w:t>
      </w:r>
      <w:r w:rsidRPr="00CD3620">
        <w:tab/>
      </w:r>
      <w:proofErr w:type="gramStart"/>
      <w:r w:rsidRPr="00CD3620">
        <w:t>mając</w:t>
      </w:r>
      <w:proofErr w:type="gramEnd"/>
      <w:r w:rsidRPr="00CD3620">
        <w:t xml:space="preserve"> na uwadze, że oczekuje się, iż w latach 2023 i 2024 ogólny kurs polityki fiskalnej stanie się restrykcyjny i w obu latach zmniejszy się o 0,5 % PKB, głównie w związku z niemal całkowitym wycofaniem środków kryzysowych dotyczących energii;</w:t>
      </w:r>
    </w:p>
    <w:p w:rsidR="000065E7" w:rsidRPr="00CD3620" w:rsidRDefault="000065E7" w:rsidP="000065E7">
      <w:pPr>
        <w:pStyle w:val="NormalHanging12a"/>
      </w:pPr>
      <w:r w:rsidRPr="00CD3620">
        <w:t>I.</w:t>
      </w:r>
      <w:r w:rsidRPr="00CD3620">
        <w:tab/>
      </w:r>
      <w:proofErr w:type="gramStart"/>
      <w:r w:rsidRPr="00CD3620">
        <w:t>mając</w:t>
      </w:r>
      <w:proofErr w:type="gramEnd"/>
      <w:r w:rsidRPr="00CD3620">
        <w:t xml:space="preserve"> na uwadze, że szybka, zdecydowana i skoordynowana reakcja polityczna umożliwiła gospodarce UE ożywienie i stawienie czoła społeczno-gospodarczym skutkom pandemii COVID-19 i rosyjskiej wojny napastniczej przeciwko Ukrainie, a także poradzenie sobie z wynikającym z tego kryzysem energetycznym; mając na uwadze, że w 2023 r. gospodarka uległa spowolnieniu; mając na uwadze, że prognozy te nadal charakteryzują się wysoką niepewnością i ryzykiem związanym z rozwojem trwającej rosyjskiej wojny napastniczej przeciwko Ukrainie i konfliktem na Bliskim Wschodzie;</w:t>
      </w:r>
    </w:p>
    <w:p w:rsidR="000065E7" w:rsidRPr="00CD3620" w:rsidRDefault="000065E7" w:rsidP="000065E7">
      <w:pPr>
        <w:pStyle w:val="NormalHanging12a"/>
      </w:pPr>
      <w:r w:rsidRPr="00CD3620">
        <w:t>J.</w:t>
      </w:r>
      <w:r w:rsidRPr="00CD3620">
        <w:tab/>
        <w:t>mając na uwadze, że te zdarzenia geopolityczne zakłócające sytuację gospodarczą wskazują na potrzebę dalszego wzmocnienia otwartej strategicznej autonomii UE oraz utrzymania konkurencyjności UE na globalnym rynku, przy jednoczesnym zadbaniu o to, aby nikt nie pozostał w tyle;</w:t>
      </w:r>
    </w:p>
    <w:p w:rsidR="000065E7" w:rsidRPr="00CD3620" w:rsidRDefault="000065E7" w:rsidP="000065E7">
      <w:pPr>
        <w:pStyle w:val="NormalHanging12a"/>
      </w:pPr>
      <w:r w:rsidRPr="00CD3620">
        <w:t>K.</w:t>
      </w:r>
      <w:r w:rsidRPr="00CD3620">
        <w:tab/>
        <w:t xml:space="preserve">mając na uwadze, że finansowanie UE przyczyniło się do wzmocnienia makroekonomicznego na szczeblu UE i zwiększa wewnętrzną i zewnętrzną odporność UE w czasach kryzysu, jednocześnie wspierając państwa członkowskie w finansowaniu </w:t>
      </w:r>
      <w:r w:rsidRPr="00CD3620">
        <w:lastRenderedPageBreak/>
        <w:t>niezbędnych inwestycji w priorytety UE, aby sprostać obecnym i przyszłym wyzwaniom;</w:t>
      </w:r>
    </w:p>
    <w:p w:rsidR="000065E7" w:rsidRPr="00CD3620" w:rsidRDefault="000065E7" w:rsidP="000065E7">
      <w:pPr>
        <w:pStyle w:val="NormalHanging12a"/>
      </w:pPr>
      <w:r w:rsidRPr="00CD3620">
        <w:t>L.</w:t>
      </w:r>
      <w:r w:rsidRPr="00CD3620">
        <w:tab/>
      </w:r>
      <w:proofErr w:type="gramStart"/>
      <w:r w:rsidRPr="00CD3620">
        <w:t>mając</w:t>
      </w:r>
      <w:proofErr w:type="gramEnd"/>
      <w:r w:rsidRPr="00CD3620">
        <w:t xml:space="preserve"> na uwadze, że po znacznej ekspansji związanej z kryzysem w latach 2020–2022 oczekuje się, że kurs polityki fiskalnej w strefie euro będzie restrykcyjny w 2023 i 2024 roku; mając na uwadze, że kurs polityki budżetowej powinien pozostać elastyczny w obliczu dużej niepewności;</w:t>
      </w:r>
    </w:p>
    <w:p w:rsidR="000065E7" w:rsidRPr="00CD3620" w:rsidRDefault="000065E7" w:rsidP="000065E7">
      <w:pPr>
        <w:pStyle w:val="NormalHanging12a"/>
      </w:pPr>
      <w:r w:rsidRPr="00CD3620">
        <w:t>M.</w:t>
      </w:r>
      <w:r w:rsidRPr="00CD3620">
        <w:tab/>
        <w:t xml:space="preserve">mając na uwadze, że inwestycje publiczne netto jako odsetek PKB znacznie zmniejszyły się w UE w następstwie kryzysu finansowego wynikającego z pandemii COVID-19, osiągając w niektórych przypadkach wartości ujemne; mając na uwadze, że wskaźnik ten nie został jeszcze w pełni przywrócony; mając na uwadze, że powodzenie polityki neutralności klimatycznej i transformacji cyfrowej zależy od wspólnego europejskiego podejścia i wymaga środków zarówno na szczeblu UE, jak i państw członkowskich; mając na uwadze, że przyszła odporność UE jest ściśle związana ze zwiększonymi inwestycjami publicznymi i prywatnymi na rzecz zrównoważonego wzrostu oraz z ambitnym programem reform strukturalnych; mając na uwadze, że należy </w:t>
      </w:r>
      <w:proofErr w:type="gramStart"/>
      <w:r w:rsidRPr="00CD3620">
        <w:t>koniecznie</w:t>
      </w:r>
      <w:proofErr w:type="gramEnd"/>
      <w:r w:rsidRPr="00CD3620">
        <w:t xml:space="preserve"> zająć się potrzebą opracowania terminowej strategii w celu zapewnienia odpowiedniego poziomu inwestycji publicznych po wygaśnięciu Instrumentu na rzecz Odbudowy i Zwiększania Odporności (RRF) w 2026 r.; mając na uwadze, że osiągnięcie celów Europejskiego Zielonego Ładu i porozumienia paryskiego wymaga znacznych inwestycji publicznych i prywatnych;</w:t>
      </w:r>
    </w:p>
    <w:p w:rsidR="000065E7" w:rsidRPr="00CD3620" w:rsidRDefault="000065E7" w:rsidP="000065E7">
      <w:pPr>
        <w:pStyle w:val="NormalHanging12a"/>
      </w:pPr>
      <w:r w:rsidRPr="00CD3620">
        <w:t>N.</w:t>
      </w:r>
      <w:r w:rsidRPr="00CD3620">
        <w:tab/>
        <w:t>mając na uwadze, że państwa członkowskie muszą dysponować niezbędnymi mechanizmami monitorowania i audytu w celu zapewnienia poszanowania praworządności i ochrony interesów finansowych UE, w szczególności w celu zapobiegania nadużyciom finansowym, korupcji i konfliktom interesu oraz zagwarantowania przejrzystości; mając na uwadze, że ważne jest, aby państwa członkowskie wdrożyły odpowiednie zalecenia dla poszczególnych krajów w tym zakresie;</w:t>
      </w:r>
    </w:p>
    <w:p w:rsidR="000065E7" w:rsidRPr="00CD3620" w:rsidRDefault="000065E7" w:rsidP="000065E7">
      <w:pPr>
        <w:pStyle w:val="NormalHanging12a"/>
        <w:rPr>
          <w:b/>
        </w:rPr>
      </w:pPr>
      <w:r w:rsidRPr="00CD3620">
        <w:rPr>
          <w:b/>
          <w:i/>
        </w:rPr>
        <w:t>Perspektywy gospodarcze UE</w:t>
      </w:r>
    </w:p>
    <w:p w:rsidR="000065E7" w:rsidRPr="00CD3620" w:rsidRDefault="000065E7" w:rsidP="000065E7">
      <w:pPr>
        <w:pStyle w:val="NormalHanging12a"/>
      </w:pPr>
      <w:r w:rsidRPr="00CD3620">
        <w:t>1.</w:t>
      </w:r>
      <w:r w:rsidRPr="00CD3620">
        <w:tab/>
      </w:r>
      <w:proofErr w:type="gramStart"/>
      <w:r w:rsidRPr="00CD3620">
        <w:t>wyraża</w:t>
      </w:r>
      <w:proofErr w:type="gramEnd"/>
      <w:r w:rsidRPr="00CD3620">
        <w:t xml:space="preserve"> zaniepokojenie sytuacją gospodarczą, utrzymującą się niepewnością, słabym wzrostem, konkurencyjnością i wydajnością w UE; z niepokojem odnotowuje stały wpływ cen energii i inflacji na siłę nabywczą gospodarstw domowych, co skutkuje zwiększonym ryzykiem ubóstwa, w tym ubóstwa energetycznego, dla wielu Europejczyków, oraz na zdolność unijnych przedsiębiorstw, w tym małych i średnich przedsiębiorstw (MŚP), do działania; wzywa państwa członkowskie do podjęcia dalszych kroków w celu przezwyciężenia tych trudności oraz do wdrożenia ukierunkowanych środków w celu zapewnienia uczciwej konkurencji na jednolitym rynku i przeciwdziałania utrzymującej się presji inflacyjnej;</w:t>
      </w:r>
    </w:p>
    <w:p w:rsidR="000065E7" w:rsidRPr="00CD3620" w:rsidRDefault="000065E7" w:rsidP="000065E7">
      <w:pPr>
        <w:pStyle w:val="NormalHanging12a"/>
      </w:pPr>
      <w:r w:rsidRPr="00CD3620">
        <w:t>2.</w:t>
      </w:r>
      <w:r w:rsidRPr="00CD3620">
        <w:tab/>
      </w:r>
      <w:proofErr w:type="gramStart"/>
      <w:r w:rsidRPr="00CD3620">
        <w:t>zauważa</w:t>
      </w:r>
      <w:proofErr w:type="gramEnd"/>
      <w:r w:rsidRPr="00CD3620">
        <w:t xml:space="preserve">, że wiele państw członkowskich boryka się z wyzwaniami strukturalnymi, które hamują ich potencjał wzrostu; podkreśla, że rozwiązanie problemów strukturalnych jest niezbędne do zapewnienia trwałej odbudowy i ciągłego wzrostu oraz że wdrożenie reform eliminujących słabości strukturalne ma kluczowe znaczenie nie tylko dla zwiększenia wytrzymałości wobec istniejących wyzwań i zdolności do sprostania im, ale także dla osiągnięcia dwojakiej transformacji w sposób zrównoważony i sprawiedliwy; podkreśla, że ambitne reformy strukturalne pozostają niezbędne do wzmocnienia bazy gospodarczej UE, promowania tworzenia </w:t>
      </w:r>
      <w:r w:rsidRPr="00CD3620">
        <w:lastRenderedPageBreak/>
        <w:t>przedsiębiorstw i przedsiębiorczości oraz wzmocnienia konkurencyjności, wydajności i ogólnego potencjału wzrostu UE;</w:t>
      </w:r>
    </w:p>
    <w:p w:rsidR="000065E7" w:rsidRPr="00CD3620" w:rsidRDefault="000065E7" w:rsidP="000065E7">
      <w:pPr>
        <w:pStyle w:val="NormalHanging12a"/>
      </w:pPr>
      <w:r w:rsidRPr="00CD3620">
        <w:t>3.</w:t>
      </w:r>
      <w:r w:rsidRPr="00CD3620">
        <w:tab/>
      </w:r>
      <w:proofErr w:type="gramStart"/>
      <w:r w:rsidRPr="00CD3620">
        <w:t>podkreśla</w:t>
      </w:r>
      <w:proofErr w:type="gramEnd"/>
      <w:r w:rsidRPr="00CD3620">
        <w:t xml:space="preserve">, że brak inwestycji publicznych i prywatnych w niektórych państwach członkowskich ogranicza potencjał zrównoważonego społecznie i trwałego wzrostu gospodarczego; uważa, że przewidywalne zasady, równe warunki działania i zmniejszone koszty przestrzegania przepisów są kluczowymi czynnikami dla przyciągnięcia inwestycji; podkreśla, że inwestycje te mają kluczowe znaczenie dla zdolności UE do sprostania istniejącym wyzwaniom, w tym transformacji ekologicznej i cyfrowej, oraz że zwiększą one odporność i długoterminową konkurencyjność UE w obliczu nadchodzących wyzwań; uważa, że inwestycjom tym powinny towarzyszyć reformy zwiększające wzrost i odporność; zwraca uwagę na inwestycje w odnawialne źródła energii i efektywność energetyczną, które są niezbędne, aby między innymi uniezależnić UE </w:t>
      </w:r>
      <w:proofErr w:type="gramStart"/>
      <w:r w:rsidRPr="00CD3620">
        <w:t>od</w:t>
      </w:r>
      <w:proofErr w:type="gramEnd"/>
      <w:r w:rsidRPr="00CD3620">
        <w:t xml:space="preserve"> importu paliw kopalnych i ograniczyć inflację spowodowaną cenami energii; odnotowuje restrykcyjny kurs polityki fiskalnej spodziewany w latach 2023 i 2024; podkreśla, że restrykcyjny kurs polityki fiskalnej nie powinien odbywać się kosztem inwestycji, które powinny zostać zwiększone w całej Unii;</w:t>
      </w:r>
    </w:p>
    <w:p w:rsidR="000065E7" w:rsidRPr="00CD3620" w:rsidRDefault="000065E7" w:rsidP="000065E7">
      <w:pPr>
        <w:pStyle w:val="NormalHanging12a"/>
      </w:pPr>
      <w:r w:rsidRPr="00CD3620">
        <w:t>4.</w:t>
      </w:r>
      <w:r w:rsidRPr="00CD3620">
        <w:tab/>
      </w:r>
      <w:proofErr w:type="gramStart"/>
      <w:r w:rsidRPr="00CD3620">
        <w:t>podkreśla</w:t>
      </w:r>
      <w:proofErr w:type="gramEnd"/>
      <w:r w:rsidRPr="00CD3620">
        <w:t>, że dalsze pogłębianie jednolitego rynku i usuwanie barier dla inwestycji, w tym za pomocą reform, które usprawnią i zdigitalizują planowanie, wydawanie pozwoleń i inne procedury administracyjne, pomogłoby pobudzić inwestycje prywatne; przypomina, że polityka przemysłowa, a także głębokie i zintegrowane rynki kapitałowe UE i innowacje, również mogą wnieść wkład poprzez wspieranie inwestycji, zagwarantowanie globalnej konkurencyjności UE i łagodzenie ryzyka związanego z nadmierną zależnością od ograniczonej liczby krajów spoza UE w odniesieniu do kluczowych technologii, surowców i czynników produkcji przemysłowej;</w:t>
      </w:r>
    </w:p>
    <w:p w:rsidR="000065E7" w:rsidRPr="00CD3620" w:rsidRDefault="000065E7" w:rsidP="000065E7">
      <w:pPr>
        <w:pStyle w:val="NormalHanging12a"/>
      </w:pPr>
      <w:r w:rsidRPr="00CD3620">
        <w:t>5.</w:t>
      </w:r>
      <w:r w:rsidRPr="00CD3620">
        <w:tab/>
      </w:r>
      <w:proofErr w:type="gramStart"/>
      <w:r w:rsidRPr="00CD3620">
        <w:t>zachęca</w:t>
      </w:r>
      <w:proofErr w:type="gramEnd"/>
      <w:r w:rsidRPr="00CD3620">
        <w:t xml:space="preserve"> państwa członkowskie do przeprowadzania przeglądów wydatków jako normalnego elementu rocznej (lub wieloletniej) procedury budżetowej, co pomogłoby poprawić skuteczność i jakość wydatków publicznych; popiera zalecenie Komisji zawarte w rocznej analizie zrównoważonego wzrostu gospodarczego 2024, aby państwa członkowskie jak najszybciej wycofały związane z kryzysem środki wsparcia w dziedzinie energii i stopniowo wycofywały dotacje do paliw kopalnych; podkreśla, że zarówno dochody, jak i wydatki publiczne mają zasadnicze znaczenie dla zagwarantowania stabilności finansów publicznych; wzywa państwa członkowskie do podjęcia działań mających na celu zwalczanie oszustw podatkowych, unikania opodatkowania, uchylania się od opodatkowania i prania pieniędzy; w związku z tym przyjmuje z zadowoleniem porozumienie w </w:t>
      </w:r>
      <w:proofErr w:type="gramStart"/>
      <w:r w:rsidRPr="00CD3620">
        <w:t>sprawie</w:t>
      </w:r>
      <w:proofErr w:type="gramEnd"/>
      <w:r w:rsidRPr="00CD3620">
        <w:t xml:space="preserve"> pakietu dotyczącego przeciwdziałania praniu pieniędzy;</w:t>
      </w:r>
    </w:p>
    <w:p w:rsidR="000065E7" w:rsidRPr="00CD3620" w:rsidRDefault="000065E7" w:rsidP="000065E7">
      <w:pPr>
        <w:pStyle w:val="NormalHanging12a"/>
      </w:pPr>
      <w:r w:rsidRPr="00CD3620">
        <w:t>6.</w:t>
      </w:r>
      <w:r w:rsidRPr="00CD3620">
        <w:tab/>
      </w:r>
      <w:proofErr w:type="gramStart"/>
      <w:r w:rsidRPr="00CD3620">
        <w:t>podziela</w:t>
      </w:r>
      <w:proofErr w:type="gramEnd"/>
      <w:r w:rsidRPr="00CD3620">
        <w:t xml:space="preserve"> ocenę Komisji, że ryzyko związane z wysokim zadłużeniem i różnicami w cenach nadal jest istotne, w szczególności w państwach członkowskich, w których obsługa zadłużenia związana jest z refinansowaniem długu na dużą skalę lub w których sektor prywatny narażony jest na gwałtowny wzrost płatności z tytułu odsetek;</w:t>
      </w:r>
    </w:p>
    <w:p w:rsidR="000065E7" w:rsidRPr="00CD3620" w:rsidRDefault="000065E7" w:rsidP="000065E7">
      <w:pPr>
        <w:pStyle w:val="NormalHanging12a"/>
      </w:pPr>
      <w:r w:rsidRPr="00CD3620">
        <w:t>7.</w:t>
      </w:r>
      <w:r w:rsidRPr="00CD3620">
        <w:tab/>
      </w:r>
      <w:proofErr w:type="gramStart"/>
      <w:r w:rsidRPr="00CD3620">
        <w:t>wzywa</w:t>
      </w:r>
      <w:proofErr w:type="gramEnd"/>
      <w:r w:rsidRPr="00CD3620">
        <w:t xml:space="preserve"> państwa członkowskie strefy euro do zbadania wszelkich sposobów zakończenia przeglądu Porozumienia ustanawiającego Europejski Mechanizm Stabilności, aby umożliwić wprowadzenie wspólnego mechanizmu ochronnego dla jednolitego funduszu restrukturyzacji i uporządkowanej likwidacji, co w jeszcze większym stopniu wzmocniłoby odporność strefy euro;</w:t>
      </w:r>
    </w:p>
    <w:p w:rsidR="000065E7" w:rsidRPr="00CD3620" w:rsidRDefault="000065E7" w:rsidP="000065E7">
      <w:pPr>
        <w:pStyle w:val="NormalHanging12a"/>
      </w:pPr>
      <w:r w:rsidRPr="00CD3620">
        <w:rPr>
          <w:b/>
          <w:i/>
        </w:rPr>
        <w:lastRenderedPageBreak/>
        <w:t>Europejski semestr i RRF</w:t>
      </w:r>
    </w:p>
    <w:p w:rsidR="000065E7" w:rsidRPr="00CD3620" w:rsidRDefault="000065E7" w:rsidP="000065E7">
      <w:pPr>
        <w:pStyle w:val="NormalHanging12a"/>
      </w:pPr>
      <w:r w:rsidRPr="00CD3620">
        <w:t>8.</w:t>
      </w:r>
      <w:r w:rsidRPr="00CD3620">
        <w:tab/>
      </w:r>
      <w:proofErr w:type="gramStart"/>
      <w:r w:rsidRPr="00CD3620">
        <w:t>przypomina</w:t>
      </w:r>
      <w:proofErr w:type="gramEnd"/>
      <w:r w:rsidRPr="00CD3620">
        <w:t>, że europejski semestr stanowi ugruntowane ramy koordynacji polityki budżetowej, gospodarczej, społecznej i polityki zatrudnienia w całej Unii zgodnie z Traktatami, w tym Europejskim filarem praw socjalnych, chroniąc tym samym stabilność makroekonomiczną, trwałą konwergencję wyników gospodarczych państw członkowskich i spójność społeczną UE; wzywa do zwiększenia odpowiedzialności państw członkowskich za europejski semestr, na przykład za pośrednictwem władz lokalnych i regionalnych; zauważa, że plan przemysłowy Zielonego Ładu z 2023 r. jest częścią strategii UE na rzecz wzrostu gospodarczego;</w:t>
      </w:r>
    </w:p>
    <w:p w:rsidR="000065E7" w:rsidRPr="00CD3620" w:rsidRDefault="000065E7" w:rsidP="000065E7">
      <w:pPr>
        <w:pStyle w:val="NormalHanging12a"/>
      </w:pPr>
      <w:r w:rsidRPr="00CD3620">
        <w:t>9.</w:t>
      </w:r>
      <w:r w:rsidRPr="00CD3620">
        <w:tab/>
      </w:r>
      <w:proofErr w:type="gramStart"/>
      <w:r w:rsidRPr="00CD3620">
        <w:t>podziela</w:t>
      </w:r>
      <w:proofErr w:type="gramEnd"/>
      <w:r w:rsidRPr="00CD3620">
        <w:t xml:space="preserve"> pogląd, że zalecenia dla poszczególnych krajów na 2024 r. muszą koncentrować się na konkretnych kryteriach; podkreśla, że muszą one również służyć promowaniu solidnego wzrostu gospodarczego sprzyjającego włączeniu społecznemu, zwiększeniu konkurencyjności i stabilności makroekonomicznej, promowaniu transformacji ekologicznej i cyfrowej oraz zapewnieniu sprawiedliwości społecznej i międzypokoleniowej; bierze pod uwagę różnice w krajowych prognozach dotyczących wzrostu PKB, inflacji, bezrobocia, salda sektora instytucji rządowych i samorządowych, długu publicznego brutto i salda obrotów bieżących oraz zauważa, że wskazują one na potrzebę elastycznego podejścia opartego na konkretnych realiach każdego państwa członkowskiego; w związku z tym wzywa Komisję do ściślejszego powiązania zaleceń dla poszczególnych krajów z odpowiednimi </w:t>
      </w:r>
      <w:proofErr w:type="gramStart"/>
      <w:r w:rsidRPr="00CD3620">
        <w:t>sprawozdaniami</w:t>
      </w:r>
      <w:proofErr w:type="gramEnd"/>
      <w:r w:rsidRPr="00CD3620">
        <w:t xml:space="preserve"> krajowymi; apeluje o skuteczne monitorowanie wdrażania zaleceń dla poszczególnych krajów i odpowiednich reform, a także postępów w zmniejszaniu zidentyfikowanych luk inwestycyjnych; podkreśla, że zalecenia dla poszczególnych krajów muszą uwzględniać zagrożenia społeczne i bezrobocie; zwraca uwagę na malejącą liczbę zaleceń dla poszczególnych krajów w oparciu o tablicę wskaźników społecznych;</w:t>
      </w:r>
    </w:p>
    <w:p w:rsidR="000065E7" w:rsidRPr="00CD3620" w:rsidRDefault="000065E7" w:rsidP="000065E7">
      <w:pPr>
        <w:pStyle w:val="NormalHanging12a"/>
      </w:pPr>
      <w:r w:rsidRPr="00CD3620">
        <w:t>10.</w:t>
      </w:r>
      <w:r w:rsidRPr="00CD3620">
        <w:tab/>
      </w:r>
      <w:proofErr w:type="gramStart"/>
      <w:r w:rsidRPr="00CD3620">
        <w:t>z</w:t>
      </w:r>
      <w:proofErr w:type="gramEnd"/>
      <w:r w:rsidRPr="00CD3620">
        <w:t xml:space="preserve"> zadowoleniem przyjmuje elastyczność w dostosowywaniu RRF, np. w kontekście REPowerEU, w oparciu o wnioski wyciągnięte z jego wdrażania; podkreśla, że kamienie milowe i cele w krajowych planach odbudowy powinny być spójne z zaleceniami dla poszczególnych krajów oraz że państwa członkowskie powinny zająć się co najmniej znaczącą częścią zaleceń dla poszczególnych krajów w ramach swoich krajowych planów odbudowy i zwiększania odporności; kładzie nacisk na sukces RRF; przypomina, że sukces i skuteczność finansowanych projektów będą mierzone ich wpływem na gospodarkę i zatrudnienie, i wzywa do szybkiej, przejrzystej i skutecznej realizacji tych projektów; podkreśla w związku z tym, że przestrzeganie rozporządzenia w </w:t>
      </w:r>
      <w:proofErr w:type="gramStart"/>
      <w:r w:rsidRPr="00CD3620">
        <w:t>sprawie</w:t>
      </w:r>
      <w:proofErr w:type="gramEnd"/>
      <w:r w:rsidRPr="00CD3620">
        <w:t xml:space="preserve"> RRF i jego właściwe wdrożenie ma kluczowe znaczenie dla wiarygodności RRF;</w:t>
      </w:r>
    </w:p>
    <w:p w:rsidR="000065E7" w:rsidRPr="00CD3620" w:rsidRDefault="000065E7" w:rsidP="000065E7">
      <w:pPr>
        <w:pStyle w:val="NormalHanging12a"/>
      </w:pPr>
      <w:r w:rsidRPr="00CD3620">
        <w:t>11.</w:t>
      </w:r>
      <w:r w:rsidRPr="00CD3620">
        <w:tab/>
      </w:r>
      <w:proofErr w:type="gramStart"/>
      <w:r w:rsidRPr="00CD3620">
        <w:t>zauważa</w:t>
      </w:r>
      <w:proofErr w:type="gramEnd"/>
      <w:r w:rsidRPr="00CD3620">
        <w:t xml:space="preserve"> rolę RRF, która polega na stawianiu czoła globalnym wyzwaniom wynikającym z ekologicznej i cyfrowej transformacji gospodarki; podkreśla, że reformy i inwestycje objęte planami odbudowy i zwiększania odporności przyczyniają się do realizacji celów klimatycznych określonych w rozporządzeniu w sprawie RRF i są zgodne z zasadą „nie czyń poważnych szkód”; wzywa państwa członkowskie, aby jak najlepiej wykorzystały tę szansę i posłużyły się RRF do przekształcenia swoich gospodarek i zwiększenia ich konkurencyjności; przypomina, jak ważne jest sprawdzenie, czy fundusze docierają do gospodarki realnej i MŚP, oraz podkreśla znaczenie rozliczalności i przejrzystości w odniesieniu do organów otrzymujących finansowanie UE;</w:t>
      </w:r>
    </w:p>
    <w:p w:rsidR="000065E7" w:rsidRPr="00CD3620" w:rsidRDefault="000065E7" w:rsidP="000065E7">
      <w:pPr>
        <w:pStyle w:val="NormalHanging12a"/>
      </w:pPr>
      <w:r w:rsidRPr="00CD3620">
        <w:lastRenderedPageBreak/>
        <w:t>12.</w:t>
      </w:r>
      <w:r w:rsidRPr="00CD3620">
        <w:tab/>
      </w:r>
      <w:proofErr w:type="gramStart"/>
      <w:r w:rsidRPr="00CD3620">
        <w:t>podkreśla</w:t>
      </w:r>
      <w:proofErr w:type="gramEnd"/>
      <w:r w:rsidRPr="00CD3620">
        <w:t xml:space="preserve"> znaczenie inwestycji prywatnych i publicznych w kontekście ożywienia gospodarczego i zarządzania dwojaką transformacją; przypomina, że RRF nie zastępuje szczególnej roli krajowych inwestycji publicznych; ponownie podkreśla potrzebę zapewnienia jakości, przejrzystości i rozliczalności w inwestycjach publicznych i strategiach krajowych, aby dostosować je do celów dwojakiej transformacji; podkreśla, że te krajowe strategie na rzecz dwojakiej transformacji powinny uzupełniać RRF i inne europejskie instrumenty inwestycyjne;</w:t>
      </w:r>
    </w:p>
    <w:p w:rsidR="000065E7" w:rsidRPr="00CD3620" w:rsidRDefault="000065E7" w:rsidP="000065E7">
      <w:pPr>
        <w:pStyle w:val="NormalHanging12a"/>
      </w:pPr>
      <w:r w:rsidRPr="00CD3620">
        <w:t>13.</w:t>
      </w:r>
      <w:r w:rsidRPr="00CD3620">
        <w:tab/>
      </w:r>
      <w:proofErr w:type="gramStart"/>
      <w:r w:rsidRPr="00CD3620">
        <w:t>popiera</w:t>
      </w:r>
      <w:proofErr w:type="gramEnd"/>
      <w:r w:rsidRPr="00CD3620">
        <w:t xml:space="preserve"> usprawnienie programów polityki spójności UE z potrzebami inwestycyjnymi określonymi w ramach RRF i zaleceń dla poszczególnych krajów; przypomina, że polityka spójności służy szerszemu zestawowi celów niż RRF i może uzupełnić środki uzgodnione w ramach RRF; apeluje, aby udział zainteresowanych stron, w tym partnerów społecznych, organizacji społeczeństwa obywatelskiego i sektora biznesu, był w porównywalnym stopniu uwzględniany przy opracowywaniu i wdrażaniu krajowych planów odbudowy i zwiększania odporności, jak ma to miejsce w przypadku programów polityki spójności;</w:t>
      </w:r>
    </w:p>
    <w:p w:rsidR="000065E7" w:rsidRPr="00CD3620" w:rsidRDefault="000065E7" w:rsidP="000065E7">
      <w:pPr>
        <w:pStyle w:val="NormalHanging12a"/>
      </w:pPr>
      <w:r w:rsidRPr="00CD3620">
        <w:t>14.</w:t>
      </w:r>
      <w:r w:rsidRPr="00CD3620">
        <w:tab/>
      </w:r>
      <w:proofErr w:type="gramStart"/>
      <w:r w:rsidRPr="00CD3620">
        <w:t>podkreśla</w:t>
      </w:r>
      <w:proofErr w:type="gramEnd"/>
      <w:r w:rsidRPr="00CD3620">
        <w:t>, że koordynacja między odpowiednimi organami, w tym między rządami krajowymi a władzami regionalnymi i lokalnymi, ma zasadnicze znaczenie dla zarządzania RRF oraz przezwyciężenia barier administracyjnych i biurokracji;</w:t>
      </w:r>
    </w:p>
    <w:p w:rsidR="000065E7" w:rsidRPr="00CD3620" w:rsidRDefault="000065E7" w:rsidP="000065E7">
      <w:pPr>
        <w:pStyle w:val="NormalHanging12a"/>
      </w:pPr>
      <w:r w:rsidRPr="00CD3620">
        <w:t>15.</w:t>
      </w:r>
      <w:r w:rsidRPr="00CD3620">
        <w:tab/>
      </w:r>
      <w:proofErr w:type="gramStart"/>
      <w:r w:rsidRPr="00CD3620">
        <w:t>odnotowuje</w:t>
      </w:r>
      <w:proofErr w:type="gramEnd"/>
      <w:r w:rsidRPr="00CD3620">
        <w:t xml:space="preserve"> osiągnięte 10 lutego 2024 r. wstępne porozumienie polityczne między współprawodawcami w sprawie reformy ram zarządzania gospodarczego UE, które ma na celu zapewnienie skutecznej koordynacji polityki gospodarczej i trwałej konwergencji wyników gospodarczych i społecznych państw członkowskich;</w:t>
      </w:r>
    </w:p>
    <w:p w:rsidR="000065E7" w:rsidRPr="00CD3620" w:rsidRDefault="000065E7" w:rsidP="000065E7">
      <w:pPr>
        <w:pStyle w:val="NormalHanging12a"/>
      </w:pPr>
      <w:r w:rsidRPr="00CD3620">
        <w:t>16.</w:t>
      </w:r>
      <w:r w:rsidRPr="00CD3620">
        <w:tab/>
      </w:r>
      <w:proofErr w:type="gramStart"/>
      <w:r w:rsidRPr="00CD3620">
        <w:t>z</w:t>
      </w:r>
      <w:proofErr w:type="gramEnd"/>
      <w:r w:rsidRPr="00CD3620">
        <w:t xml:space="preserve"> zadowoleniem przyjmuje wnioski wyciągnięte z wyborów projektowych dotyczących zarządzania RRF; zauważa, że reforma ram zarządzania gospodarczego nie zapewnia unijnych mechanizmów zachęt finansowych do wspierania i promowania krajowych reform politycznych i inwestycji; podkreśla, że zapewnienie niezbędnego poziomu inwestycji publicznych ma kluczowe znaczenie dla osiągnięcia głównych celów reformy ram zarządzania gospodarczego oraz dla realizacji obecnych i przyszłych priorytetów Unii; obawia się, że niektóre państwa członkowskie nie będą miały zdolności finansowej do samodzielnego sfinansowania sprawiedliwej transformacji ekologicznej i cyfrowej;</w:t>
      </w:r>
    </w:p>
    <w:p w:rsidR="000065E7" w:rsidRPr="00CD3620" w:rsidRDefault="000065E7" w:rsidP="000065E7">
      <w:pPr>
        <w:pStyle w:val="NormalHanging12a"/>
      </w:pPr>
      <w:r w:rsidRPr="00CD3620">
        <w:t>17.</w:t>
      </w:r>
      <w:r w:rsidRPr="00CD3620">
        <w:tab/>
      </w:r>
      <w:proofErr w:type="gramStart"/>
      <w:r w:rsidRPr="00CD3620">
        <w:t>podkreśla</w:t>
      </w:r>
      <w:proofErr w:type="gramEnd"/>
      <w:r w:rsidRPr="00CD3620">
        <w:t xml:space="preserve"> rolę Parlamentu Europejskiego w ramach zarządzania gospodarczego UE i opowiada się za większym zaangażowaniem Parlamentu Europejskiego w europejski semestr, przy pełnym poszanowaniu kompetencji ustanowionych w Traktatach; odnotowuje dialog między Komisją a państwami członkowskimi na temat ich indywidualnych planów fiskalno-strukturalnych; podkreśla potrzebę równego traktowania wszystkich państw członkowskich; podkreśla, że zwiększeniu swobody decyzyjnej Komisji w procesie opracowywania średniookresowych planów fiskalno-strukturalnych musi towarzyszyć większa zgodność z zasadami pod kontrolą Europejskiej Rady Budżetowej, a także większa rozliczalność i lepszy przepływ informacji do Parlamentu Europejskiego; uznaje, że dialog gospodarczy jako część europejskiego semestru stanowi użyteczną podstawę rozliczalności; uważa, że właściwa rozliczalność wymagałaby, aby Parlament Europejski dysponował instrumentami umożliwiającymi mu stosowanie konsekwencji w oparciu o ocenę wyników europejskiego semestru, zgodnie z Traktatami;</w:t>
      </w:r>
    </w:p>
    <w:p w:rsidR="000065E7" w:rsidRPr="00CD3620" w:rsidRDefault="000065E7" w:rsidP="000065E7">
      <w:pPr>
        <w:pStyle w:val="NormalHanging12a"/>
        <w:jc w:val="center"/>
      </w:pPr>
      <w:r w:rsidRPr="00CD3620">
        <w:lastRenderedPageBreak/>
        <w:t>°</w:t>
      </w:r>
    </w:p>
    <w:p w:rsidR="000065E7" w:rsidRPr="00CD3620" w:rsidRDefault="000065E7" w:rsidP="000065E7">
      <w:pPr>
        <w:pStyle w:val="NormalHanging12a"/>
        <w:jc w:val="center"/>
      </w:pPr>
      <w:r w:rsidRPr="00CD3620">
        <w:t>°</w:t>
      </w:r>
      <w:r w:rsidRPr="00CD3620">
        <w:tab/>
        <w:t>°</w:t>
      </w:r>
    </w:p>
    <w:p w:rsidR="000065E7" w:rsidRPr="00CD3620" w:rsidRDefault="000065E7" w:rsidP="000065E7">
      <w:pPr>
        <w:ind w:left="567" w:hanging="567"/>
      </w:pPr>
      <w:r w:rsidRPr="00CD3620">
        <w:t>18.</w:t>
      </w:r>
      <w:r w:rsidRPr="00CD3620">
        <w:tab/>
      </w:r>
      <w:proofErr w:type="gramStart"/>
      <w:r w:rsidRPr="00CD3620">
        <w:t>zobowiązuje</w:t>
      </w:r>
      <w:proofErr w:type="gramEnd"/>
      <w:r w:rsidRPr="00CD3620">
        <w:t xml:space="preserve"> swoją przewodniczącą do przekazania niniejszej rezolucji Radzie i Komisji. </w:t>
      </w:r>
    </w:p>
    <w:sectPr w:rsidR="000065E7" w:rsidRPr="00CD3620" w:rsidSect="00CD36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1B46" w:rsidRPr="00CD3620" w:rsidRDefault="00501B46">
      <w:r w:rsidRPr="00CD3620">
        <w:separator/>
      </w:r>
    </w:p>
  </w:endnote>
  <w:endnote w:type="continuationSeparator" w:id="0">
    <w:p w:rsidR="00501B46" w:rsidRPr="00CD3620" w:rsidRDefault="00501B46">
      <w:r w:rsidRPr="00CD362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D362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D362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D362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1B46" w:rsidRPr="00CD3620" w:rsidRDefault="00501B46">
      <w:r w:rsidRPr="00CD3620">
        <w:separator/>
      </w:r>
    </w:p>
  </w:footnote>
  <w:footnote w:type="continuationSeparator" w:id="0">
    <w:p w:rsidR="00501B46" w:rsidRPr="00CD3620" w:rsidRDefault="00501B46">
      <w:r w:rsidRPr="00CD3620">
        <w:continuationSeparator/>
      </w:r>
    </w:p>
  </w:footnote>
  <w:footnote w:id="1">
    <w:p w:rsidR="000065E7" w:rsidRPr="00CD3620" w:rsidRDefault="000065E7" w:rsidP="00CD3620">
      <w:pPr>
        <w:pStyle w:val="FootnoteText"/>
        <w:ind w:left="567" w:hanging="567"/>
        <w:rPr>
          <w:sz w:val="24"/>
          <w:lang w:val="pl-PL"/>
        </w:rPr>
      </w:pPr>
      <w:r w:rsidRPr="00CD3620">
        <w:rPr>
          <w:rStyle w:val="FootnoteReference"/>
          <w:sz w:val="24"/>
          <w:lang w:val="pl-PL"/>
        </w:rPr>
        <w:footnoteRef/>
      </w:r>
      <w:r w:rsidR="00CD3620" w:rsidRPr="00CD3620">
        <w:rPr>
          <w:sz w:val="24"/>
          <w:lang w:val="pl-PL"/>
        </w:rPr>
        <w:t xml:space="preserve"> </w:t>
      </w:r>
      <w:r w:rsidR="00CD3620" w:rsidRPr="00CD3620">
        <w:rPr>
          <w:sz w:val="24"/>
          <w:lang w:val="pl-PL"/>
        </w:rPr>
        <w:tab/>
      </w:r>
      <w:r w:rsidRPr="00CD3620">
        <w:rPr>
          <w:sz w:val="24"/>
          <w:lang w:val="pl-PL"/>
        </w:rPr>
        <w:t xml:space="preserve">Dz.U. L 306 z 23.11.2011, </w:t>
      </w:r>
      <w:proofErr w:type="gramStart"/>
      <w:r w:rsidRPr="00CD3620">
        <w:rPr>
          <w:sz w:val="24"/>
          <w:lang w:val="pl-PL"/>
        </w:rPr>
        <w:t>s</w:t>
      </w:r>
      <w:proofErr w:type="gramEnd"/>
      <w:r w:rsidRPr="00CD3620">
        <w:rPr>
          <w:sz w:val="24"/>
          <w:lang w:val="pl-PL"/>
        </w:rPr>
        <w:t>. 41.</w:t>
      </w:r>
    </w:p>
  </w:footnote>
  <w:footnote w:id="2">
    <w:p w:rsidR="000065E7" w:rsidRPr="00CD3620" w:rsidRDefault="000065E7" w:rsidP="00CD3620">
      <w:pPr>
        <w:pStyle w:val="FootnoteText"/>
        <w:ind w:left="567" w:hanging="567"/>
        <w:rPr>
          <w:sz w:val="24"/>
          <w:lang w:val="pl-PL"/>
        </w:rPr>
      </w:pPr>
      <w:r w:rsidRPr="00CD3620">
        <w:rPr>
          <w:rStyle w:val="FootnoteReference"/>
          <w:sz w:val="24"/>
          <w:lang w:val="pl-PL"/>
        </w:rPr>
        <w:footnoteRef/>
      </w:r>
      <w:r w:rsidR="00CD3620" w:rsidRPr="00CD3620">
        <w:rPr>
          <w:sz w:val="24"/>
          <w:lang w:val="pl-PL"/>
        </w:rPr>
        <w:t xml:space="preserve"> </w:t>
      </w:r>
      <w:r w:rsidR="00CD3620" w:rsidRPr="00CD3620">
        <w:rPr>
          <w:sz w:val="24"/>
          <w:lang w:val="pl-PL"/>
        </w:rPr>
        <w:tab/>
      </w:r>
      <w:r w:rsidRPr="00CD3620">
        <w:rPr>
          <w:sz w:val="24"/>
          <w:lang w:val="pl-PL"/>
        </w:rPr>
        <w:t xml:space="preserve">Dz.U. L 306 z 23.11.2011, </w:t>
      </w:r>
      <w:proofErr w:type="gramStart"/>
      <w:r w:rsidRPr="00CD3620">
        <w:rPr>
          <w:sz w:val="24"/>
          <w:lang w:val="pl-PL"/>
        </w:rPr>
        <w:t>s</w:t>
      </w:r>
      <w:proofErr w:type="gramEnd"/>
      <w:r w:rsidRPr="00CD3620">
        <w:rPr>
          <w:sz w:val="24"/>
          <w:lang w:val="pl-PL"/>
        </w:rPr>
        <w:t>. 33.</w:t>
      </w:r>
    </w:p>
  </w:footnote>
  <w:footnote w:id="3">
    <w:p w:rsidR="000065E7" w:rsidRPr="00CD3620" w:rsidRDefault="000065E7" w:rsidP="00CD3620">
      <w:pPr>
        <w:pStyle w:val="FootnoteText"/>
        <w:ind w:left="567" w:hanging="567"/>
        <w:rPr>
          <w:sz w:val="24"/>
          <w:lang w:val="pl-PL"/>
        </w:rPr>
      </w:pPr>
      <w:r w:rsidRPr="00CD3620">
        <w:rPr>
          <w:rStyle w:val="FootnoteReference"/>
          <w:sz w:val="24"/>
          <w:lang w:val="pl-PL"/>
        </w:rPr>
        <w:footnoteRef/>
      </w:r>
      <w:r w:rsidR="00CD3620" w:rsidRPr="00CD3620">
        <w:rPr>
          <w:sz w:val="24"/>
          <w:lang w:val="pl-PL"/>
        </w:rPr>
        <w:t xml:space="preserve"> </w:t>
      </w:r>
      <w:r w:rsidR="00CD3620" w:rsidRPr="00CD3620">
        <w:rPr>
          <w:sz w:val="24"/>
          <w:lang w:val="pl-PL"/>
        </w:rPr>
        <w:tab/>
      </w:r>
      <w:r w:rsidRPr="00CD3620">
        <w:rPr>
          <w:sz w:val="24"/>
          <w:lang w:val="pl-PL"/>
        </w:rPr>
        <w:t xml:space="preserve">Dz.U. L 306 z 23.11.2011, </w:t>
      </w:r>
      <w:proofErr w:type="gramStart"/>
      <w:r w:rsidRPr="00CD3620">
        <w:rPr>
          <w:sz w:val="24"/>
          <w:lang w:val="pl-PL"/>
        </w:rPr>
        <w:t>s</w:t>
      </w:r>
      <w:proofErr w:type="gramEnd"/>
      <w:r w:rsidRPr="00CD3620">
        <w:rPr>
          <w:sz w:val="24"/>
          <w:lang w:val="pl-PL"/>
        </w:rPr>
        <w:t>. 1.</w:t>
      </w:r>
    </w:p>
  </w:footnote>
  <w:footnote w:id="4">
    <w:p w:rsidR="000065E7" w:rsidRPr="00CD3620" w:rsidRDefault="000065E7" w:rsidP="00CD3620">
      <w:pPr>
        <w:pStyle w:val="FootnoteText"/>
        <w:ind w:left="567" w:hanging="567"/>
        <w:rPr>
          <w:sz w:val="24"/>
          <w:lang w:val="pl-PL"/>
        </w:rPr>
      </w:pPr>
      <w:r w:rsidRPr="00CD3620">
        <w:rPr>
          <w:rStyle w:val="FootnoteReference"/>
          <w:sz w:val="24"/>
          <w:lang w:val="pl-PL"/>
        </w:rPr>
        <w:footnoteRef/>
      </w:r>
      <w:r w:rsidR="00CD3620" w:rsidRPr="00CD3620">
        <w:rPr>
          <w:sz w:val="24"/>
          <w:lang w:val="pl-PL"/>
        </w:rPr>
        <w:t xml:space="preserve"> </w:t>
      </w:r>
      <w:r w:rsidR="00CD3620" w:rsidRPr="00CD3620">
        <w:rPr>
          <w:sz w:val="24"/>
          <w:lang w:val="pl-PL"/>
        </w:rPr>
        <w:tab/>
      </w:r>
      <w:r w:rsidRPr="00CD3620">
        <w:rPr>
          <w:sz w:val="24"/>
          <w:lang w:val="pl-PL"/>
        </w:rPr>
        <w:t xml:space="preserve">Dz.U. L 306 z 23.11.2011, </w:t>
      </w:r>
      <w:proofErr w:type="gramStart"/>
      <w:r w:rsidRPr="00CD3620">
        <w:rPr>
          <w:sz w:val="24"/>
          <w:lang w:val="pl-PL"/>
        </w:rPr>
        <w:t>s</w:t>
      </w:r>
      <w:proofErr w:type="gramEnd"/>
      <w:r w:rsidRPr="00CD3620">
        <w:rPr>
          <w:sz w:val="24"/>
          <w:lang w:val="pl-PL"/>
        </w:rPr>
        <w:t>. 8.</w:t>
      </w:r>
    </w:p>
  </w:footnote>
  <w:footnote w:id="5">
    <w:p w:rsidR="000065E7" w:rsidRPr="00CD3620" w:rsidRDefault="000065E7" w:rsidP="00CD3620">
      <w:pPr>
        <w:pStyle w:val="FootnoteText"/>
        <w:ind w:left="567" w:hanging="567"/>
        <w:rPr>
          <w:sz w:val="24"/>
          <w:lang w:val="pl-PL"/>
        </w:rPr>
      </w:pPr>
      <w:r w:rsidRPr="00CD3620">
        <w:rPr>
          <w:rStyle w:val="FootnoteReference"/>
          <w:sz w:val="24"/>
          <w:lang w:val="pl-PL"/>
        </w:rPr>
        <w:footnoteRef/>
      </w:r>
      <w:r w:rsidR="00CD3620" w:rsidRPr="00CD3620">
        <w:rPr>
          <w:sz w:val="24"/>
          <w:lang w:val="pl-PL"/>
        </w:rPr>
        <w:t xml:space="preserve"> </w:t>
      </w:r>
      <w:r w:rsidR="00CD3620" w:rsidRPr="00CD3620">
        <w:rPr>
          <w:sz w:val="24"/>
          <w:lang w:val="pl-PL"/>
        </w:rPr>
        <w:tab/>
      </w:r>
      <w:r w:rsidRPr="00CD3620">
        <w:rPr>
          <w:sz w:val="24"/>
          <w:lang w:val="pl-PL"/>
        </w:rPr>
        <w:t xml:space="preserve">Dz.U. L 306 z 23.11.2011, </w:t>
      </w:r>
      <w:proofErr w:type="gramStart"/>
      <w:r w:rsidRPr="00CD3620">
        <w:rPr>
          <w:sz w:val="24"/>
          <w:lang w:val="pl-PL"/>
        </w:rPr>
        <w:t>s</w:t>
      </w:r>
      <w:proofErr w:type="gramEnd"/>
      <w:r w:rsidRPr="00CD3620">
        <w:rPr>
          <w:sz w:val="24"/>
          <w:lang w:val="pl-PL"/>
        </w:rPr>
        <w:t>. 12.</w:t>
      </w:r>
    </w:p>
  </w:footnote>
  <w:footnote w:id="6">
    <w:p w:rsidR="000065E7" w:rsidRPr="00CD3620" w:rsidRDefault="000065E7" w:rsidP="00CD3620">
      <w:pPr>
        <w:pStyle w:val="FootnoteText"/>
        <w:ind w:left="567" w:hanging="567"/>
        <w:rPr>
          <w:sz w:val="24"/>
          <w:lang w:val="pl-PL"/>
        </w:rPr>
      </w:pPr>
      <w:r w:rsidRPr="00CD3620">
        <w:rPr>
          <w:rStyle w:val="FootnoteReference"/>
          <w:sz w:val="24"/>
          <w:lang w:val="pl-PL"/>
        </w:rPr>
        <w:footnoteRef/>
      </w:r>
      <w:r w:rsidR="00CD3620" w:rsidRPr="00CD3620">
        <w:rPr>
          <w:sz w:val="24"/>
          <w:lang w:val="pl-PL"/>
        </w:rPr>
        <w:t xml:space="preserve"> </w:t>
      </w:r>
      <w:r w:rsidR="00CD3620" w:rsidRPr="00CD3620">
        <w:rPr>
          <w:sz w:val="24"/>
          <w:lang w:val="pl-PL"/>
        </w:rPr>
        <w:tab/>
      </w:r>
      <w:r w:rsidRPr="00CD3620">
        <w:rPr>
          <w:sz w:val="24"/>
          <w:lang w:val="pl-PL"/>
        </w:rPr>
        <w:t xml:space="preserve">Dz.U. L 306 z 23.11.2011, </w:t>
      </w:r>
      <w:proofErr w:type="gramStart"/>
      <w:r w:rsidRPr="00CD3620">
        <w:rPr>
          <w:sz w:val="24"/>
          <w:lang w:val="pl-PL"/>
        </w:rPr>
        <w:t>s</w:t>
      </w:r>
      <w:proofErr w:type="gramEnd"/>
      <w:r w:rsidRPr="00CD3620">
        <w:rPr>
          <w:sz w:val="24"/>
          <w:lang w:val="pl-PL"/>
        </w:rPr>
        <w:t>. 25.</w:t>
      </w:r>
    </w:p>
  </w:footnote>
  <w:footnote w:id="7">
    <w:p w:rsidR="000065E7" w:rsidRPr="00CD3620" w:rsidRDefault="000065E7" w:rsidP="00CD3620">
      <w:pPr>
        <w:pStyle w:val="FootnoteText"/>
        <w:ind w:left="567" w:hanging="567"/>
        <w:rPr>
          <w:sz w:val="24"/>
          <w:lang w:val="pl-PL"/>
        </w:rPr>
      </w:pPr>
      <w:r w:rsidRPr="00CD3620">
        <w:rPr>
          <w:rStyle w:val="FootnoteReference"/>
          <w:sz w:val="24"/>
          <w:lang w:val="pl-PL"/>
        </w:rPr>
        <w:footnoteRef/>
      </w:r>
      <w:r w:rsidR="00CD3620" w:rsidRPr="00CD3620">
        <w:rPr>
          <w:sz w:val="24"/>
          <w:lang w:val="pl-PL"/>
        </w:rPr>
        <w:t xml:space="preserve"> </w:t>
      </w:r>
      <w:r w:rsidR="00CD3620" w:rsidRPr="00CD3620">
        <w:rPr>
          <w:sz w:val="24"/>
          <w:lang w:val="pl-PL"/>
        </w:rPr>
        <w:tab/>
      </w:r>
      <w:r w:rsidRPr="00CD3620">
        <w:rPr>
          <w:sz w:val="24"/>
          <w:lang w:val="pl-PL"/>
        </w:rPr>
        <w:t xml:space="preserve">Dz.U. L 140 z 27.5.2013, </w:t>
      </w:r>
      <w:proofErr w:type="gramStart"/>
      <w:r w:rsidRPr="00CD3620">
        <w:rPr>
          <w:sz w:val="24"/>
          <w:lang w:val="pl-PL"/>
        </w:rPr>
        <w:t>s</w:t>
      </w:r>
      <w:proofErr w:type="gramEnd"/>
      <w:r w:rsidRPr="00CD3620">
        <w:rPr>
          <w:sz w:val="24"/>
          <w:lang w:val="pl-PL"/>
        </w:rPr>
        <w:t>. 1.</w:t>
      </w:r>
    </w:p>
  </w:footnote>
  <w:footnote w:id="8">
    <w:p w:rsidR="000065E7" w:rsidRPr="00CD3620" w:rsidRDefault="000065E7" w:rsidP="00CD3620">
      <w:pPr>
        <w:pStyle w:val="FootnoteText"/>
        <w:ind w:left="567" w:hanging="567"/>
        <w:rPr>
          <w:sz w:val="24"/>
          <w:lang w:val="pl-PL"/>
        </w:rPr>
      </w:pPr>
      <w:r w:rsidRPr="00CD3620">
        <w:rPr>
          <w:rStyle w:val="FootnoteReference"/>
          <w:sz w:val="24"/>
          <w:lang w:val="pl-PL"/>
        </w:rPr>
        <w:footnoteRef/>
      </w:r>
      <w:r w:rsidR="00CD3620" w:rsidRPr="00CD3620">
        <w:rPr>
          <w:sz w:val="24"/>
          <w:lang w:val="pl-PL"/>
        </w:rPr>
        <w:t xml:space="preserve"> </w:t>
      </w:r>
      <w:r w:rsidR="00CD3620" w:rsidRPr="00CD3620">
        <w:rPr>
          <w:sz w:val="24"/>
          <w:lang w:val="pl-PL"/>
        </w:rPr>
        <w:tab/>
      </w:r>
      <w:r w:rsidRPr="00CD3620">
        <w:rPr>
          <w:sz w:val="24"/>
          <w:lang w:val="pl-PL"/>
        </w:rPr>
        <w:t xml:space="preserve">Dz.U. L 140 z 27.5.2013, </w:t>
      </w:r>
      <w:proofErr w:type="gramStart"/>
      <w:r w:rsidRPr="00CD3620">
        <w:rPr>
          <w:sz w:val="24"/>
          <w:lang w:val="pl-PL"/>
        </w:rPr>
        <w:t>s</w:t>
      </w:r>
      <w:proofErr w:type="gramEnd"/>
      <w:r w:rsidRPr="00CD3620">
        <w:rPr>
          <w:sz w:val="24"/>
          <w:lang w:val="pl-PL"/>
        </w:rPr>
        <w:t>. 11.</w:t>
      </w:r>
    </w:p>
  </w:footnote>
  <w:footnote w:id="9">
    <w:p w:rsidR="000065E7" w:rsidRPr="00CD3620" w:rsidRDefault="000065E7" w:rsidP="00CD3620">
      <w:pPr>
        <w:pStyle w:val="FootnoteText"/>
        <w:ind w:left="567" w:hanging="567"/>
        <w:rPr>
          <w:sz w:val="24"/>
          <w:lang w:val="pl-PL"/>
        </w:rPr>
      </w:pPr>
      <w:r w:rsidRPr="00CD3620">
        <w:rPr>
          <w:rStyle w:val="FootnoteReference"/>
          <w:sz w:val="24"/>
          <w:lang w:val="pl-PL"/>
        </w:rPr>
        <w:footnoteRef/>
      </w:r>
      <w:r w:rsidR="00CD3620" w:rsidRPr="00CD3620">
        <w:rPr>
          <w:sz w:val="24"/>
          <w:lang w:val="pl-PL"/>
        </w:rPr>
        <w:t xml:space="preserve"> </w:t>
      </w:r>
      <w:r w:rsidR="00CD3620" w:rsidRPr="00CD3620">
        <w:rPr>
          <w:sz w:val="24"/>
          <w:lang w:val="pl-PL"/>
        </w:rPr>
        <w:tab/>
      </w:r>
      <w:r w:rsidRPr="00CD3620">
        <w:rPr>
          <w:sz w:val="24"/>
          <w:lang w:val="pl-PL"/>
        </w:rPr>
        <w:t xml:space="preserve">Dz.U. L 57 z 18.2.2021, </w:t>
      </w:r>
      <w:proofErr w:type="gramStart"/>
      <w:r w:rsidRPr="00CD3620">
        <w:rPr>
          <w:sz w:val="24"/>
          <w:lang w:val="pl-PL"/>
        </w:rPr>
        <w:t>s</w:t>
      </w:r>
      <w:proofErr w:type="gramEnd"/>
      <w:r w:rsidRPr="00CD3620">
        <w:rPr>
          <w:sz w:val="24"/>
          <w:lang w:val="pl-PL"/>
        </w:rPr>
        <w:t>. 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D362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D362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D362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63/2024"/>
    <w:docVar w:name="dvlangue" w:val="PL"/>
    <w:docVar w:name="dvnumam" w:val="0"/>
    <w:docVar w:name="dvpe" w:val="757.014"/>
    <w:docVar w:name="dvrapporteur" w:val="Sprawozdawca: "/>
    <w:docVar w:name="dvtitre" w:val="Rezolucja Parlamentu Europejskiego z dnia  2024 r. w sprawie europejskiego semestru na rzecz koordynacji polityki gospodarczej – 2024 r.(2023/2063(INI))"/>
  </w:docVars>
  <w:rsids>
    <w:rsidRoot w:val="00501B46"/>
    <w:rsid w:val="00002272"/>
    <w:rsid w:val="000065E7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D077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1B46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2155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482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7ED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3620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6241D6"/>
  <w15:chartTrackingRefBased/>
  <w15:docId w15:val="{E94A1675-E1E2-4E0D-80AB-5730D3F00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0065E7"/>
    <w:pPr>
      <w:spacing w:after="240"/>
      <w:ind w:left="567" w:hanging="567"/>
    </w:pPr>
  </w:style>
  <w:style w:type="paragraph" w:customStyle="1" w:styleId="EPComma">
    <w:name w:val="EPComma"/>
    <w:basedOn w:val="Normal"/>
    <w:rsid w:val="000065E7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0065E7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66A419-25D8-4AC5-808F-EAAE30771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3136</Words>
  <Characters>20507</Characters>
  <Application>Microsoft Office Word</Application>
  <DocSecurity>0</DocSecurity>
  <Lines>410</Lines>
  <Paragraphs>156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WOJCIECHOWSKA Joanna</cp:lastModifiedBy>
  <cp:revision>2</cp:revision>
  <cp:lastPrinted>2004-11-19T15:42:00Z</cp:lastPrinted>
  <dcterms:created xsi:type="dcterms:W3CDTF">2024-04-04T12:54:00Z</dcterms:created>
  <dcterms:modified xsi:type="dcterms:W3CDTF">2024-04-04T12:54:00Z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A9-0063/2024</vt:lpwstr>
  </property>
  <property fmtid="{D5CDD505-2E9C-101B-9397-08002B2CF9AE}" pid="4" name="&lt;Type&gt;">
    <vt:lpwstr>RR</vt:lpwstr>
  </property>
</Properties>
</file>