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A6858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3A6858" w:rsidRDefault="003371B5" w:rsidP="0010095E">
            <w:pPr>
              <w:pStyle w:val="EPName"/>
            </w:pPr>
            <w:r w:rsidRPr="003A6858">
              <w:t>Parlamento Europeu</w:t>
            </w:r>
          </w:p>
          <w:p w:rsidR="00751A4A" w:rsidRPr="003A6858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A6858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3A6858" w:rsidRDefault="00187494" w:rsidP="0010095E">
            <w:pPr>
              <w:pStyle w:val="EPLogo"/>
            </w:pPr>
            <w:r w:rsidRPr="003A6858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3A6858" w:rsidRDefault="00D058B8" w:rsidP="004C5D52">
      <w:pPr>
        <w:pStyle w:val="LineTop"/>
      </w:pPr>
    </w:p>
    <w:p w:rsidR="00680577" w:rsidRPr="003A6858" w:rsidRDefault="003371B5" w:rsidP="00680577">
      <w:pPr>
        <w:pStyle w:val="EPBodyTA1"/>
      </w:pPr>
      <w:r w:rsidRPr="003A6858">
        <w:t>TEXTOS APROVADOS</w:t>
      </w:r>
    </w:p>
    <w:p w:rsidR="00D058B8" w:rsidRPr="003A6858" w:rsidRDefault="00D058B8" w:rsidP="00D058B8">
      <w:pPr>
        <w:pStyle w:val="LineBottom"/>
      </w:pPr>
    </w:p>
    <w:p w:rsidR="003371B5" w:rsidRPr="003A6858" w:rsidRDefault="003371B5" w:rsidP="003371B5">
      <w:pPr>
        <w:pStyle w:val="ATHeading1"/>
      </w:pPr>
      <w:bookmarkStart w:id="0" w:name="TANumber"/>
      <w:r w:rsidRPr="003A6858">
        <w:t>P9_</w:t>
      </w:r>
      <w:proofErr w:type="gramStart"/>
      <w:r w:rsidRPr="003A6858">
        <w:t>TA(</w:t>
      </w:r>
      <w:proofErr w:type="gramEnd"/>
      <w:r w:rsidRPr="003A6858">
        <w:t>2024)</w:t>
      </w:r>
      <w:bookmarkEnd w:id="0"/>
      <w:r w:rsidR="00D6596A" w:rsidRPr="003A6858">
        <w:t>0156</w:t>
      </w:r>
    </w:p>
    <w:p w:rsidR="003371B5" w:rsidRPr="003A6858" w:rsidRDefault="003371B5" w:rsidP="003371B5">
      <w:pPr>
        <w:pStyle w:val="ATHeading2"/>
      </w:pPr>
      <w:bookmarkStart w:id="1" w:name="title"/>
      <w:r w:rsidRPr="003A6858">
        <w:t>Semestre Europeu para a coordenação das políticas económicas de 2024</w:t>
      </w:r>
      <w:bookmarkEnd w:id="1"/>
    </w:p>
    <w:p w:rsidR="003371B5" w:rsidRPr="003A6858" w:rsidRDefault="003371B5" w:rsidP="003371B5">
      <w:pPr>
        <w:rPr>
          <w:i/>
          <w:vanish/>
        </w:rPr>
      </w:pPr>
      <w:r w:rsidRPr="003A6858">
        <w:rPr>
          <w:i/>
        </w:rPr>
        <w:fldChar w:fldCharType="begin"/>
      </w:r>
      <w:r w:rsidRPr="003A6858">
        <w:rPr>
          <w:i/>
        </w:rPr>
        <w:instrText xml:space="preserve"> TC"(</w:instrText>
      </w:r>
      <w:bookmarkStart w:id="2" w:name="DocNumber"/>
      <w:r w:rsidRPr="003A6858">
        <w:rPr>
          <w:i/>
        </w:rPr>
        <w:instrText>A9-0063/2024</w:instrText>
      </w:r>
      <w:bookmarkEnd w:id="2"/>
      <w:r w:rsidRPr="003A6858">
        <w:rPr>
          <w:i/>
        </w:rPr>
        <w:instrText xml:space="preserve"> - Relator: René Repasi)"\l3 \n&gt; \* MERGEFORMAT </w:instrText>
      </w:r>
      <w:r w:rsidRPr="003A6858">
        <w:rPr>
          <w:i/>
        </w:rPr>
        <w:fldChar w:fldCharType="end"/>
      </w:r>
    </w:p>
    <w:p w:rsidR="003371B5" w:rsidRPr="003A6858" w:rsidRDefault="003371B5" w:rsidP="003371B5">
      <w:pPr>
        <w:rPr>
          <w:vanish/>
        </w:rPr>
      </w:pPr>
      <w:bookmarkStart w:id="3" w:name="Commission"/>
      <w:r w:rsidRPr="003A6858">
        <w:rPr>
          <w:vanish/>
        </w:rPr>
        <w:t>Comissão dos Assuntos Económicos e Monetários</w:t>
      </w:r>
      <w:bookmarkEnd w:id="3"/>
    </w:p>
    <w:p w:rsidR="003371B5" w:rsidRPr="003A6858" w:rsidRDefault="003371B5" w:rsidP="003371B5">
      <w:pPr>
        <w:rPr>
          <w:vanish/>
        </w:rPr>
      </w:pPr>
      <w:bookmarkStart w:id="4" w:name="PE"/>
      <w:r w:rsidRPr="003A6858">
        <w:rPr>
          <w:vanish/>
        </w:rPr>
        <w:t>PE757.014</w:t>
      </w:r>
      <w:bookmarkEnd w:id="4"/>
    </w:p>
    <w:p w:rsidR="003371B5" w:rsidRPr="003A6858" w:rsidRDefault="003371B5" w:rsidP="003371B5">
      <w:pPr>
        <w:pStyle w:val="ATHeading3"/>
      </w:pPr>
      <w:bookmarkStart w:id="5" w:name="Sujet"/>
      <w:r w:rsidRPr="003A6858">
        <w:t xml:space="preserve">Resolução do Parlamento Europeu, de </w:t>
      </w:r>
      <w:r w:rsidR="007634A1" w:rsidRPr="003A6858">
        <w:t xml:space="preserve">13 </w:t>
      </w:r>
      <w:r w:rsidRPr="003A6858">
        <w:t xml:space="preserve">de </w:t>
      </w:r>
      <w:r w:rsidR="007634A1" w:rsidRPr="003A6858">
        <w:t xml:space="preserve">março </w:t>
      </w:r>
      <w:r w:rsidRPr="003A6858">
        <w:t>de 2024, sobre o Semestre Europeu para a coordenação das políticas económicas de 2024</w:t>
      </w:r>
      <w:bookmarkEnd w:id="5"/>
      <w:r w:rsidRPr="003A6858">
        <w:t xml:space="preserve"> </w:t>
      </w:r>
      <w:bookmarkStart w:id="6" w:name="References"/>
      <w:r w:rsidRPr="003A6858">
        <w:t>(2023/2063(INI))</w:t>
      </w:r>
      <w:bookmarkEnd w:id="6"/>
    </w:p>
    <w:p w:rsidR="001C30F1" w:rsidRPr="003A6858" w:rsidRDefault="001C30F1" w:rsidP="001C30F1">
      <w:pPr>
        <w:pStyle w:val="EPComma"/>
      </w:pPr>
      <w:bookmarkStart w:id="7" w:name="TextBodyBegin"/>
      <w:bookmarkEnd w:id="7"/>
      <w:r w:rsidRPr="003A6858">
        <w:rPr>
          <w:i/>
          <w:iCs/>
        </w:rPr>
        <w:t>O Parlamento Europeu,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Tratado sobre o Funcionamento da União Europeia (TFUE), nomeadamente o artigo 121.º, n.º 2, e o artigo 136.º,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Protocolo n.º 1 do Tratado da União Europeia (TUE) e do TFUE relativo ao papel dos parlamentos nacionais na União Europeia,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Protocolo n.º 2 do TUE e do TFUE relativo à aplicação dos princípios da subsidiariedade e da proporcionalidade,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Tratado sobre Estabilidade, Coordenação e Governação na União Económica e Monetária,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Acordo de Paris no âmbito da Convenção-Quadro das Nações Unidas sobre Alterações Climáticas e os Objetivos de Desenvolvimento Sustentável,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Diretiva 2011/85/UE do Conselho, de 8 de novembro de 2011, que estabelece requisitos aplicáveis aos quadros orçamentais dos Estados-Membros</w:t>
      </w:r>
      <w:r w:rsidRPr="003A6858">
        <w:rPr>
          <w:rStyle w:val="FootnoteReference"/>
          <w:szCs w:val="24"/>
        </w:rPr>
        <w:footnoteReference w:id="1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 xml:space="preserve">Tendo em conta o Regulamento (UE) n.º 1177/2011 do Conselho, de 8 de novembro </w:t>
      </w:r>
      <w:r w:rsidR="007634A1" w:rsidRPr="003A6858">
        <w:t>de </w:t>
      </w:r>
      <w:r w:rsidRPr="003A6858">
        <w:t>2011, que altera o Regulamento (CE) n.º 1467/97 relativo à aceleração e clarificação da aplicação do procedimento relativo aos défices excessivos</w:t>
      </w:r>
      <w:r w:rsidRPr="003A6858">
        <w:rPr>
          <w:vertAlign w:val="superscript"/>
        </w:rPr>
        <w:footnoteReference w:id="2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 (UE) n.º 1173/2011 do Parlamento Europeu e do Conselho, de 16 de novembro de 2011, relativo ao exercício eficaz da supervisão orçamental na área do euro</w:t>
      </w:r>
      <w:r w:rsidRPr="003A6858">
        <w:rPr>
          <w:vertAlign w:val="superscript"/>
        </w:rPr>
        <w:footnoteReference w:id="3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 xml:space="preserve">Tendo em conta o Regulamento (UE) n.º 1174/2011 do Parlamento Europeu e do Conselho, de 16 de novembro de 2011, relativo às medidas de execução destinadas a </w:t>
      </w:r>
      <w:r w:rsidRPr="003A6858">
        <w:lastRenderedPageBreak/>
        <w:t>corrigir os desequilíbrios macroeconómicos excessivos na área do euro</w:t>
      </w:r>
      <w:r w:rsidRPr="003A6858">
        <w:rPr>
          <w:vertAlign w:val="superscript"/>
        </w:rPr>
        <w:footnoteReference w:id="4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 (UE) n.º 1175/2011 do Parlamento Europeu e do Conselho, de 16 de novembro de 2011, que altera o Regulamento (CE) n.º 1466/97 relativo ao reforço da supervisão das situações orçamentais e à supervisão e coordenação das políticas económicas</w:t>
      </w:r>
      <w:r w:rsidRPr="003A6858">
        <w:rPr>
          <w:vertAlign w:val="superscript"/>
        </w:rPr>
        <w:footnoteReference w:id="5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 (UE) n.º 1176/2011 do Parlamento Europeu e do Conselho, de 16 de novembro de 2011, sobre prevenção e correção dos desequilíbrios macroeconómicos</w:t>
      </w:r>
      <w:r w:rsidRPr="003A6858">
        <w:rPr>
          <w:vertAlign w:val="superscript"/>
        </w:rPr>
        <w:footnoteReference w:id="6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 (UE) n.º 472/2013 do Parlamento Europeu e do Conselho, de 21 de maio de 2013, relativo ao reforço da supervisão económica e orçamental dos Estados-Membros da área do euro afetados ou ameaçados por graves dificuldades no que diz respeito à sua estabilidade financeira</w:t>
      </w:r>
      <w:r w:rsidRPr="003A6858">
        <w:rPr>
          <w:rStyle w:val="FootnoteReference"/>
          <w:szCs w:val="24"/>
        </w:rPr>
        <w:footnoteReference w:id="7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 (UE) n.º 473/2013 do Parlamento Europeu e do Conselho, de 21 de maio de 2013, que estabelece disposições comuns para o acompanhamento e a avaliação dos projetos de planos orçamentais e para a correção do défice excessivo dos Estados-Membros da área do euro</w:t>
      </w:r>
      <w:r w:rsidRPr="003A6858">
        <w:rPr>
          <w:rStyle w:val="FootnoteReference"/>
          <w:szCs w:val="24"/>
        </w:rPr>
        <w:footnoteReference w:id="8"/>
      </w:r>
      <w:r w:rsidRPr="003A6858">
        <w:t>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Regulamento (UE) 2021/241 do Parlamento Europeu e do Conselho, de 12 de fevereiro de 2021, que cria o Mecanismo de Recuperação e Resiliência</w:t>
      </w:r>
      <w:r w:rsidRPr="003A6858">
        <w:rPr>
          <w:rStyle w:val="FootnoteReference"/>
          <w:szCs w:val="24"/>
        </w:rPr>
        <w:footnoteReference w:id="9"/>
      </w:r>
      <w:r w:rsidRPr="003A6858">
        <w:t xml:space="preserve"> (Regulamento MRR),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Comunicação da Comissão, de 4 de março de 2021, intitulada «Plano de Ação sobre o Pilar Europeu dos Direitos Sociais» (</w:t>
      </w:r>
      <w:proofErr w:type="gramStart"/>
      <w:r w:rsidRPr="003A6858">
        <w:t>COM(</w:t>
      </w:r>
      <w:proofErr w:type="gramEnd"/>
      <w:r w:rsidRPr="003A6858">
        <w:t>2021)0102),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Compromisso Social do Porto, assumido em 7 de maio de 2021 pelo Conselho, pela Comissão, pelo Parlamento e pelos parceiros sociais,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avaliação do Conselho Orçamental Europeu, de 28 de junho de 2023, sobre a orientação orçamental prospetiva adequada para a área do euro em 2024,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relatório anual do Conselho Orçamental Europeu de 4 de outubro de 2023,</w:t>
      </w:r>
    </w:p>
    <w:p w:rsidR="001C30F1" w:rsidRPr="003A6858" w:rsidRDefault="001C30F1" w:rsidP="001C30F1">
      <w:pPr>
        <w:pStyle w:val="NormalHanging12a"/>
        <w:rPr>
          <w:bCs/>
          <w:szCs w:val="23"/>
        </w:rPr>
      </w:pPr>
      <w:r w:rsidRPr="003A6858">
        <w:t>–</w:t>
      </w:r>
      <w:r w:rsidRPr="003A6858">
        <w:tab/>
        <w:t>Tendo em conta a Comunicação da Comissão, de 9 de novembro de 2022, sobre as orientações para uma reforma do quadro de governação económica da UE (</w:t>
      </w:r>
      <w:proofErr w:type="gramStart"/>
      <w:r w:rsidRPr="003A6858">
        <w:t>COM(</w:t>
      </w:r>
      <w:proofErr w:type="gramEnd"/>
      <w:r w:rsidRPr="003A6858">
        <w:t>2022)0583),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 xml:space="preserve">Tendo em conta a proposta da Comissão, de 26 de abril de 2023, de um regulamento do Parlamento Europeu e do Conselho relativo à coordenação eficaz das políticas económicas e à supervisão orçamental multilateral e que revoga o Regulamento (CE) </w:t>
      </w:r>
      <w:r w:rsidRPr="003A6858">
        <w:lastRenderedPageBreak/>
        <w:t>n.º 1466/97 do Conselho (</w:t>
      </w:r>
      <w:proofErr w:type="gramStart"/>
      <w:r w:rsidRPr="003A6858">
        <w:t>COM(</w:t>
      </w:r>
      <w:proofErr w:type="gramEnd"/>
      <w:r w:rsidRPr="003A6858">
        <w:t>2023)0240),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proposta da Comissão, de 26 de abril de 2023, de regulamento do Conselho que altera o Regulamento (CE) n.º 1467/97 relativo à aceleração e clarificação da aplicação do procedimento relativo aos défices excessivos (</w:t>
      </w:r>
      <w:proofErr w:type="gramStart"/>
      <w:r w:rsidRPr="003A6858">
        <w:t>COM(</w:t>
      </w:r>
      <w:proofErr w:type="gramEnd"/>
      <w:r w:rsidRPr="003A6858">
        <w:t>2023)0241),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proposta da Comissão, de 26 de abril de 2023, de diretiva do Conselho que altera a Diretiva 2011/85/UE que estabelece requisitos aplicáveis aos quadros orçamentais dos Estados-Membros (</w:t>
      </w:r>
      <w:proofErr w:type="gramStart"/>
      <w:r w:rsidRPr="003A6858">
        <w:t>COM(</w:t>
      </w:r>
      <w:proofErr w:type="gramEnd"/>
      <w:r w:rsidRPr="003A6858">
        <w:t>2023)0242),</w:t>
      </w:r>
    </w:p>
    <w:p w:rsidR="001C30F1" w:rsidRPr="003A6858" w:rsidRDefault="001C30F1" w:rsidP="001C30F1">
      <w:pPr>
        <w:pStyle w:val="NormalHanging12a"/>
        <w:rPr>
          <w:bCs/>
          <w:szCs w:val="23"/>
        </w:rPr>
      </w:pPr>
      <w:r w:rsidRPr="003A6858">
        <w:t>–</w:t>
      </w:r>
      <w:r w:rsidRPr="003A6858">
        <w:tab/>
        <w:t>Tendo em conta a Declaração de Granada, adotada em 6 de outubro de 2023,</w:t>
      </w:r>
    </w:p>
    <w:p w:rsidR="001C30F1" w:rsidRPr="003A6858" w:rsidRDefault="001C30F1" w:rsidP="001C30F1">
      <w:pPr>
        <w:pStyle w:val="NormalHanging12a"/>
        <w:rPr>
          <w:shd w:val="clear" w:color="auto" w:fill="FFFFFF"/>
        </w:rPr>
      </w:pPr>
      <w:r w:rsidRPr="003A6858">
        <w:t>–</w:t>
      </w:r>
      <w:r w:rsidRPr="003A6858">
        <w:tab/>
        <w:t>Tendo em conta a Comunicação da Comissão, de 21 de novembro de 2023, intitulada «Análise Anual do Crescimento Sustentável de 2024» (</w:t>
      </w:r>
      <w:proofErr w:type="gramStart"/>
      <w:r w:rsidRPr="003A6858">
        <w:t>COM(</w:t>
      </w:r>
      <w:proofErr w:type="gramEnd"/>
      <w:r w:rsidRPr="003A6858">
        <w:t>2023)0901),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Comunicação da Comissão, de 21 de novembro de 202</w:t>
      </w:r>
      <w:r w:rsidR="002D2CF3">
        <w:t>3</w:t>
      </w:r>
      <w:r w:rsidRPr="003A6858">
        <w:t>, intitulada «Relatório sobre o Mecanismo de Alerta 2024» (</w:t>
      </w:r>
      <w:proofErr w:type="gramStart"/>
      <w:r w:rsidRPr="003A6858">
        <w:t>COM(</w:t>
      </w:r>
      <w:proofErr w:type="gramEnd"/>
      <w:r w:rsidRPr="003A6858">
        <w:t>2023)0902) e a recomendação da Comissão, de 21 de novembro de 202</w:t>
      </w:r>
      <w:r w:rsidR="002D2CF3">
        <w:t>3</w:t>
      </w:r>
      <w:r w:rsidRPr="003A6858">
        <w:t xml:space="preserve">, de recomendação do Conselho sobre a política económica </w:t>
      </w:r>
      <w:bookmarkStart w:id="8" w:name="_GoBack"/>
      <w:bookmarkEnd w:id="8"/>
      <w:r w:rsidRPr="003A6858">
        <w:t>da área do euro (COM(2023)0903),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 proposta de relatório conjunto sobre o emprego da Comissão e do Conselho, de 21 de novembro de 202</w:t>
      </w:r>
      <w:r w:rsidR="002D2CF3">
        <w:t>3</w:t>
      </w:r>
      <w:r w:rsidRPr="003A6858">
        <w:t xml:space="preserve"> (</w:t>
      </w:r>
      <w:proofErr w:type="gramStart"/>
      <w:r w:rsidRPr="003A6858">
        <w:t>COM(</w:t>
      </w:r>
      <w:proofErr w:type="gramEnd"/>
      <w:r w:rsidRPr="003A6858">
        <w:t>2023)0904),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as previsões económicas do outono de 2023, apresentadas pela Comissão em 15 de novembro de 2023,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artigo 54.º do seu Regimento,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parecer da Comissão dos Orçamentos,</w:t>
      </w:r>
    </w:p>
    <w:p w:rsidR="001C30F1" w:rsidRPr="003A6858" w:rsidRDefault="001C30F1" w:rsidP="001C30F1">
      <w:pPr>
        <w:pStyle w:val="NormalHanging12a"/>
      </w:pPr>
      <w:r w:rsidRPr="003A6858">
        <w:t>–</w:t>
      </w:r>
      <w:r w:rsidRPr="003A6858">
        <w:tab/>
        <w:t>Tendo em conta o relatório da Comissão dos Assun</w:t>
      </w:r>
      <w:r w:rsidR="007634A1" w:rsidRPr="003A6858">
        <w:t>tos Económicos e Monetários (A9</w:t>
      </w:r>
      <w:r w:rsidR="007634A1" w:rsidRPr="003A6858">
        <w:noBreakHyphen/>
      </w:r>
      <w:r w:rsidRPr="003A6858">
        <w:t>0063/2024),</w:t>
      </w:r>
    </w:p>
    <w:p w:rsidR="001C30F1" w:rsidRPr="003A6858" w:rsidRDefault="001C30F1" w:rsidP="001C30F1">
      <w:pPr>
        <w:pStyle w:val="NormalHanging12a"/>
      </w:pPr>
      <w:r w:rsidRPr="003A6858">
        <w:t>A.</w:t>
      </w:r>
      <w:r w:rsidRPr="003A6858">
        <w:tab/>
        <w:t xml:space="preserve">Considerando que o Semestre Europeu desempenha um papel essencial na coordenação das políticas económica, estrutural, de emprego, </w:t>
      </w:r>
      <w:r w:rsidR="007634A1" w:rsidRPr="003A6858">
        <w:t>social e orçamental nos Estados</w:t>
      </w:r>
      <w:r w:rsidR="007634A1" w:rsidRPr="003A6858">
        <w:noBreakHyphen/>
      </w:r>
      <w:r w:rsidRPr="003A6858">
        <w:t>Membros, salvaguardando assim a estabilidade macroeconómica da União Económica e Monetária;</w:t>
      </w:r>
    </w:p>
    <w:p w:rsidR="001C30F1" w:rsidRPr="003A6858" w:rsidRDefault="001C30F1" w:rsidP="001C30F1">
      <w:pPr>
        <w:pStyle w:val="NormalHanging12a"/>
      </w:pPr>
      <w:r w:rsidRPr="003A6858">
        <w:t>B.</w:t>
      </w:r>
      <w:r w:rsidRPr="003A6858">
        <w:tab/>
        <w:t>Considerando que, segundo as previsões do inverno de 2024 da Comissão, estima-se que a atividade económica em 2023 tenha aumentado apenas 0,5</w:t>
      </w:r>
      <w:r w:rsidR="007634A1" w:rsidRPr="003A6858">
        <w:t>  %</w:t>
      </w:r>
      <w:r w:rsidRPr="003A6858">
        <w:t>, tanto na UE como na área do euro, face a uma inflação elevada e a condições de financiamento mais restritivas, após uma forte recuperação em 2022; considerando que o crescimento do PIB previsto foi revisto em baixa para 0,9</w:t>
      </w:r>
      <w:r w:rsidR="007634A1" w:rsidRPr="003A6858">
        <w:t xml:space="preserve"> %</w:t>
      </w:r>
      <w:r w:rsidRPr="003A6858">
        <w:t xml:space="preserve"> (em vez de 1,3</w:t>
      </w:r>
      <w:r w:rsidR="007634A1" w:rsidRPr="003A6858">
        <w:t xml:space="preserve"> %</w:t>
      </w:r>
      <w:r w:rsidRPr="003A6858">
        <w:t>) na UE e 0,8</w:t>
      </w:r>
      <w:r w:rsidR="007634A1" w:rsidRPr="003A6858">
        <w:t>  %</w:t>
      </w:r>
      <w:r w:rsidRPr="003A6858">
        <w:t xml:space="preserve"> (em vez de 1,2</w:t>
      </w:r>
      <w:r w:rsidR="007634A1" w:rsidRPr="003A6858">
        <w:t>  %</w:t>
      </w:r>
      <w:r w:rsidRPr="003A6858">
        <w:t>) na área do euro em 2024; considerando que ainda se espera que a atividade económica aumente 1,7</w:t>
      </w:r>
      <w:r w:rsidR="007634A1" w:rsidRPr="003A6858">
        <w:t>  %</w:t>
      </w:r>
      <w:r w:rsidRPr="003A6858">
        <w:t xml:space="preserve"> na UE e 1,5</w:t>
      </w:r>
      <w:r w:rsidR="007634A1" w:rsidRPr="003A6858">
        <w:t>  %</w:t>
      </w:r>
      <w:r w:rsidRPr="003A6858">
        <w:t xml:space="preserve"> na área do euro em 2025;</w:t>
      </w:r>
    </w:p>
    <w:p w:rsidR="001C30F1" w:rsidRPr="003A6858" w:rsidRDefault="001C30F1" w:rsidP="001C30F1">
      <w:pPr>
        <w:pStyle w:val="NormalHanging12a"/>
      </w:pPr>
      <w:r w:rsidRPr="003A6858">
        <w:t>C.</w:t>
      </w:r>
      <w:r w:rsidRPr="003A6858">
        <w:tab/>
        <w:t xml:space="preserve">Considerando que o mercado de trabalho da UE continuou a registar uma evolução positiva no primeiro semestre de 2023, apesar do abrandamento do crescimento económico; considerando que, no entanto, segundo as previsões do outono de 2023 da Comissão, a escassez de mão de obra continuou a ser grave em muitos setores e profissões, designadamente nos domínios relacionados com a expansão e a aplicação de tecnologias com emissões líquidas nulas e com baixas emissões; considerando que o </w:t>
      </w:r>
      <w:r w:rsidRPr="003A6858">
        <w:lastRenderedPageBreak/>
        <w:t>desemprego atingiu um nível mínimo histórico na UE no seu todo, com variações entre os Estados-Membros; considerando que o desemprego dos jovens atingiu 14,7</w:t>
      </w:r>
      <w:r w:rsidR="007634A1" w:rsidRPr="003A6858">
        <w:t>  %</w:t>
      </w:r>
      <w:r w:rsidRPr="003A6858">
        <w:t xml:space="preserve"> na UE e 14,4</w:t>
      </w:r>
      <w:r w:rsidR="007634A1" w:rsidRPr="003A6858">
        <w:t>  %</w:t>
      </w:r>
      <w:r w:rsidRPr="003A6858">
        <w:t xml:space="preserve"> na área do euro em dezembro de 2023, segundo o Eurostat;</w:t>
      </w:r>
    </w:p>
    <w:p w:rsidR="001C30F1" w:rsidRPr="003A6858" w:rsidRDefault="001C30F1" w:rsidP="001C30F1">
      <w:pPr>
        <w:pStyle w:val="NormalHanging12a"/>
      </w:pPr>
      <w:r w:rsidRPr="003A6858">
        <w:t>D.</w:t>
      </w:r>
      <w:r w:rsidRPr="003A6858">
        <w:tab/>
        <w:t>Considerando que se prevê que a inflação diminua na UE de 6,</w:t>
      </w:r>
      <w:proofErr w:type="gramStart"/>
      <w:r w:rsidRPr="003A6858">
        <w:t>3</w:t>
      </w:r>
      <w:r w:rsidR="007634A1" w:rsidRPr="003A6858">
        <w:t>  %</w:t>
      </w:r>
      <w:proofErr w:type="gramEnd"/>
      <w:r w:rsidRPr="003A6858">
        <w:t xml:space="preserve"> em 2023 para 3,0</w:t>
      </w:r>
      <w:r w:rsidR="007634A1" w:rsidRPr="003A6858">
        <w:t> %</w:t>
      </w:r>
      <w:r w:rsidRPr="003A6858">
        <w:t xml:space="preserve"> em 2024 e 2,5</w:t>
      </w:r>
      <w:r w:rsidR="007634A1" w:rsidRPr="003A6858">
        <w:t xml:space="preserve"> %</w:t>
      </w:r>
      <w:r w:rsidRPr="003A6858">
        <w:t xml:space="preserve"> em 2025 e na área do euro de 5,4</w:t>
      </w:r>
      <w:r w:rsidR="007634A1" w:rsidRPr="003A6858">
        <w:t xml:space="preserve"> %</w:t>
      </w:r>
      <w:r w:rsidRPr="003A6858">
        <w:t xml:space="preserve"> em 2023 para 2,7</w:t>
      </w:r>
      <w:r w:rsidR="007634A1" w:rsidRPr="003A6858">
        <w:t> %</w:t>
      </w:r>
      <w:r w:rsidRPr="003A6858">
        <w:t xml:space="preserve"> em 2024 e 2,2</w:t>
      </w:r>
      <w:r w:rsidR="007634A1" w:rsidRPr="003A6858">
        <w:t xml:space="preserve"> %</w:t>
      </w:r>
      <w:r w:rsidRPr="003A6858">
        <w:t xml:space="preserve"> em 2025, segundo as previsões do inverno de 2024 da Comissão; considerando que a política orçamental deve apoiar a política monetária na redução da inflação e na salvaguarda da sustentabilidade orçamental, proporcionando simultaneamente espaço suficiente para investimentos adicionais e apoiando o crescimento a longo prazo;</w:t>
      </w:r>
    </w:p>
    <w:p w:rsidR="001C30F1" w:rsidRPr="003A6858" w:rsidRDefault="001C30F1" w:rsidP="001C30F1">
      <w:pPr>
        <w:pStyle w:val="NormalHanging12a"/>
      </w:pPr>
      <w:r w:rsidRPr="003A6858">
        <w:t>E.</w:t>
      </w:r>
      <w:r w:rsidRPr="003A6858">
        <w:tab/>
        <w:t>Considerando que a inflação afeta os grupos de rendimentos de forma desigual, sendo os grupos de baixos rendimentos afetados desproporcionadamente; considerando que a inflação pode criar uma verdadeira crise do custo de vida para determinados segmentos da população, desafiando a coesão social;</w:t>
      </w:r>
    </w:p>
    <w:p w:rsidR="001C30F1" w:rsidRPr="003A6858" w:rsidRDefault="001C30F1" w:rsidP="001C30F1">
      <w:pPr>
        <w:pStyle w:val="NormalHanging12a"/>
      </w:pPr>
      <w:r w:rsidRPr="003A6858">
        <w:t>F.</w:t>
      </w:r>
      <w:r w:rsidRPr="003A6858">
        <w:tab/>
        <w:t>Considerando que o rácio da dívida pública face ao PIB deverá descer para 83,1</w:t>
      </w:r>
      <w:r w:rsidR="007634A1" w:rsidRPr="003A6858">
        <w:t> %</w:t>
      </w:r>
      <w:r w:rsidRPr="003A6858">
        <w:t xml:space="preserve"> na UE em 2023 (e para 90,4</w:t>
      </w:r>
      <w:r w:rsidR="007634A1" w:rsidRPr="003A6858">
        <w:t xml:space="preserve"> %</w:t>
      </w:r>
      <w:r w:rsidRPr="003A6858">
        <w:t xml:space="preserve"> na área do euro); considerando que se prevê que o rácio da dívida pública diminua ligeiramente na UE para cerca de 82,7</w:t>
      </w:r>
      <w:r w:rsidR="007634A1" w:rsidRPr="003A6858">
        <w:t xml:space="preserve"> %</w:t>
      </w:r>
      <w:r w:rsidRPr="003A6858">
        <w:t xml:space="preserve"> em 2024 e 82,5</w:t>
      </w:r>
      <w:r w:rsidR="007634A1" w:rsidRPr="003A6858">
        <w:t> %</w:t>
      </w:r>
      <w:r w:rsidRPr="003A6858">
        <w:t xml:space="preserve"> </w:t>
      </w:r>
      <w:r w:rsidR="007634A1" w:rsidRPr="003A6858">
        <w:t>em </w:t>
      </w:r>
      <w:r w:rsidRPr="003A6858">
        <w:t>2025; considerando que o rácio da dívida em relação ao PIB na área do euro deverá descer para cerca de 89,7</w:t>
      </w:r>
      <w:r w:rsidR="007634A1" w:rsidRPr="003A6858">
        <w:t xml:space="preserve"> %</w:t>
      </w:r>
      <w:r w:rsidRPr="003A6858">
        <w:t xml:space="preserve"> em 2024 e 89,5</w:t>
      </w:r>
      <w:r w:rsidR="007634A1" w:rsidRPr="003A6858">
        <w:t xml:space="preserve"> %</w:t>
      </w:r>
      <w:r w:rsidRPr="003A6858">
        <w:t xml:space="preserve"> em 2025; considerando que existe uma grande variação nos níveis de endividamento dos diferentes Estados-Membros; considerando que os elevados rácios da dívida em relação ao PIB – combinados com taxas de juro elevadas e uma situação macroeconómica incerta – podem comprometer a sustentabilidade da dívida a longo prazo e a estabilidade económica;</w:t>
      </w:r>
    </w:p>
    <w:p w:rsidR="001C30F1" w:rsidRPr="003A6858" w:rsidRDefault="001C30F1" w:rsidP="001C30F1">
      <w:pPr>
        <w:pStyle w:val="NormalHanging12a"/>
      </w:pPr>
      <w:r w:rsidRPr="003A6858">
        <w:t>G.</w:t>
      </w:r>
      <w:r w:rsidRPr="003A6858">
        <w:tab/>
        <w:t>Considerando que, segundo as previsões do outono de 2023 da Comissão, o défice orçamental geral na UE e na área do euro deverá diminuir para 3,2</w:t>
      </w:r>
      <w:r w:rsidR="007634A1" w:rsidRPr="003A6858">
        <w:t xml:space="preserve"> %</w:t>
      </w:r>
      <w:r w:rsidRPr="003A6858">
        <w:t xml:space="preserve"> do PIB em 2023 e continuar a diminuir para 2,8</w:t>
      </w:r>
      <w:r w:rsidR="007634A1" w:rsidRPr="003A6858">
        <w:t xml:space="preserve"> %</w:t>
      </w:r>
      <w:r w:rsidRPr="003A6858">
        <w:t xml:space="preserve"> do PIB em 2024 e 2,7</w:t>
      </w:r>
      <w:r w:rsidR="007634A1" w:rsidRPr="003A6858">
        <w:t xml:space="preserve"> %</w:t>
      </w:r>
      <w:r w:rsidRPr="003A6858">
        <w:t xml:space="preserve"> em 2025; considerando que a cláusula de derrogação de âmbito geral do Pacto de Estabilidade e Crescimento foi desativada no final de 2023; considerando que a Comissão anunciou que irá apresentar uma proposta ao Conselho sobre a abertura dum procedimento por défice excessivo baseado no défice na primavera de 2024 com base nos dados de execução relativos a 2023, em conformidade com as disposições jurídicas em vigor;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H.</w:t>
      </w:r>
      <w:r w:rsidRPr="003A6858">
        <w:tab/>
        <w:t>Considerando</w:t>
      </w:r>
      <w:proofErr w:type="gramEnd"/>
      <w:r w:rsidRPr="003A6858">
        <w:t xml:space="preserve"> que, em 2023 e 2024, a orientação orçamental agregada deverá tornar-se contracionista, em 0,5</w:t>
      </w:r>
      <w:r w:rsidR="007634A1" w:rsidRPr="003A6858">
        <w:t xml:space="preserve"> %</w:t>
      </w:r>
      <w:r w:rsidRPr="003A6858">
        <w:t xml:space="preserve"> do PIB em ambos os anos, principalmente devido à eliminação quase completa das medidas energéticas relacionadas com a crise;</w:t>
      </w:r>
    </w:p>
    <w:p w:rsidR="001C30F1" w:rsidRPr="003A6858" w:rsidRDefault="001C30F1" w:rsidP="001C30F1">
      <w:pPr>
        <w:pStyle w:val="NormalHanging12a"/>
      </w:pPr>
      <w:r w:rsidRPr="003A6858">
        <w:t>I.</w:t>
      </w:r>
      <w:r w:rsidRPr="003A6858">
        <w:tab/>
        <w:t>Considerando que uma resposta política rápida, decisiva e coordenada permitiu à economia da UE recuperar e enfrentar as consequências socioeconómicas da pandemia de COVID-19 e da guerra de agressão da Rússia contra a Ucrânia e resistir à crise energética daí resultante; considerando que a economia abrandou em 2023 e que as perspetivas continuam a ser caracterizadas por uma grande incerteza e riscos relacionados com a evolução da atual guerra de agressão da Rússia contra a Ucrânia e com o conflito no Médio Oriente;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J.</w:t>
      </w:r>
      <w:r w:rsidRPr="003A6858">
        <w:tab/>
        <w:t>Considerando</w:t>
      </w:r>
      <w:proofErr w:type="gramEnd"/>
      <w:r w:rsidRPr="003A6858">
        <w:t xml:space="preserve"> que esses acontecimentos geopolíticos perturbadores demonstraram a necessidade de a União Europeia reforçar ainda mais a sua autonomia estratégica aberta e permanecer competitiva no mercado mundial, assegurando simultaneamente que ninguém seja deixado para trás;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lastRenderedPageBreak/>
        <w:t>K.</w:t>
      </w:r>
      <w:r w:rsidRPr="003A6858">
        <w:tab/>
        <w:t>Considerando</w:t>
      </w:r>
      <w:proofErr w:type="gramEnd"/>
      <w:r w:rsidRPr="003A6858">
        <w:t xml:space="preserve"> que o financiamento da UE contribuiu para o reforço macroeconómico ao nível da UE e para aumentar a sua resiliência interna e externa em períodos de crise, ajudando os Estados-Membros a financiar os investimentos necessários nas prioridades da UE para dar resposta aos desafios atuais e futuros;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L.</w:t>
      </w:r>
      <w:r w:rsidRPr="003A6858">
        <w:tab/>
        <w:t>Considerando</w:t>
      </w:r>
      <w:proofErr w:type="gramEnd"/>
      <w:r w:rsidRPr="003A6858">
        <w:t xml:space="preserve"> que após uma expansão considerável relacionada com a crise entre 2020 e 2022, a orientação orçamental na área do euro deverá ser restritiva em 2023 e 2024; considerando que a orientação orçamental deve permanecer ágil face a uma incerteza elevada;</w:t>
      </w:r>
    </w:p>
    <w:p w:rsidR="001C30F1" w:rsidRPr="003A6858" w:rsidRDefault="001C30F1" w:rsidP="001C30F1">
      <w:pPr>
        <w:pStyle w:val="NormalHanging12a"/>
      </w:pPr>
      <w:r w:rsidRPr="003A6858">
        <w:t>M.</w:t>
      </w:r>
      <w:r w:rsidRPr="003A6858">
        <w:tab/>
        <w:t>Considerando que o investimento público líquido em percentagem do PIB diminuiu acentuadamente na UE após a crise financeira resultante da pandemia de COVID-19, atingindo níveis negativos em alguns casos; considerando que este rácio ainda não recuperou totalmente; considerando que o êxito das políticas com impacto neutro no clima e a transformação digital dependem duma abordagem europeia comum e exigem medidas tanto a nível da UE como dos Estados-Membros; considerando que a futura resiliência da UE está estreitamente ligada ao aumento dos investimentos públicos e privados para o crescimento sustentável e a um ambicioso programa de reformas estruturais; considerando que é imperativo abordar a necessidade duma estratégia atempada para assegurar a manutenção de níveis elevados de investimento público após o termo do Mecanismo de Recuperação e Resiliência (MRR) em 2026; considerando que a consecução dos objetivos do Pacto Ecológico Europeu e do Acordo de Paris exige investimentos públicos e privados significativos;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N.</w:t>
      </w:r>
      <w:r w:rsidRPr="003A6858">
        <w:tab/>
        <w:t>Considerando</w:t>
      </w:r>
      <w:proofErr w:type="gramEnd"/>
      <w:r w:rsidRPr="003A6858">
        <w:t xml:space="preserve"> que os Estados-Membros devem dispor dos mecanismos de acompanhamento e de auditoria necessários para garantir o respeito pelo Estado de direito e proteger os interesses financeiros da UE, nomeadamente para prevenir a fraude, a corrupção e os conflitos de interesses e garantir a transparência; considerando que é importante que os Estados-Membros apliquem as recomendações específicas por país (REP) pertinentes a esse respeito;</w:t>
      </w:r>
    </w:p>
    <w:p w:rsidR="001C30F1" w:rsidRPr="003A6858" w:rsidRDefault="001C30F1" w:rsidP="001C30F1">
      <w:pPr>
        <w:pStyle w:val="NormalHanging12a"/>
        <w:rPr>
          <w:b/>
        </w:rPr>
      </w:pPr>
      <w:r w:rsidRPr="003A6858">
        <w:rPr>
          <w:b/>
          <w:i/>
        </w:rPr>
        <w:t>Perspetivas económicas da UE</w:t>
      </w:r>
    </w:p>
    <w:p w:rsidR="001C30F1" w:rsidRPr="003A6858" w:rsidRDefault="001C30F1" w:rsidP="001C30F1">
      <w:pPr>
        <w:pStyle w:val="NormalHanging12a"/>
      </w:pPr>
      <w:r w:rsidRPr="003A6858">
        <w:t>1.</w:t>
      </w:r>
      <w:r w:rsidRPr="003A6858">
        <w:tab/>
        <w:t>Manifesta preocupação com a situação económica, a incerteza persistente, o fraco crescimento, a competitividade e a produtividade registados na UE; constata com preocupação o impacto contínuo dos preços da energia e da inflação no poder de compra das famílias – o que resulta no aumento do risco de pobreza, inclusivamente pobreza energética, para muitos europeus – e na capacidade de desempenho das empresas da UE, incluindo as pequenas e médias empresas (PME); insta os Estados-Membros a adotarem novas medidas para ultrapassar essas dificuldades, a aplicarem medidas específicas para assegurar a concorrência leal no mercado único e a abordarem as pressões inflacionistas persistentes;</w:t>
      </w:r>
    </w:p>
    <w:p w:rsidR="001C30F1" w:rsidRPr="003A6858" w:rsidRDefault="001C30F1" w:rsidP="001C30F1">
      <w:pPr>
        <w:pStyle w:val="NormalHanging12a"/>
      </w:pPr>
      <w:r w:rsidRPr="003A6858">
        <w:t>2.</w:t>
      </w:r>
      <w:r w:rsidRPr="003A6858">
        <w:tab/>
        <w:t xml:space="preserve">Assinala que vários Estados-Membros são afetados por desafios estruturais que entravam o seu potencial de crescimento; destaca que dar resposta aos desafios estruturais é crucial para assegurar uma recuperação sustentável e um crescimento contínuo e que a aplicação de reformas destinadas a corrigir as vulnerabilidades estruturais é fundamental não só para melhorar a capacidade de resistir e dar resposta aos desafios existentes, mas também para realizar a dupla transição de forma sustentável e justa; salienta que continuam a ser essenciais reformas estruturais ambiciosas para reforçar a base económica da UE, promover a criação de empresas e o </w:t>
      </w:r>
      <w:r w:rsidRPr="003A6858">
        <w:lastRenderedPageBreak/>
        <w:t>empreendedorismo e reforçar a competitividade, a produtividade e o potencial global de crescimento da UE;</w:t>
      </w:r>
    </w:p>
    <w:p w:rsidR="001C30F1" w:rsidRPr="003A6858" w:rsidRDefault="001C30F1" w:rsidP="001C30F1">
      <w:pPr>
        <w:pStyle w:val="NormalHanging12a"/>
      </w:pPr>
      <w:r w:rsidRPr="003A6858">
        <w:t>3.</w:t>
      </w:r>
      <w:r w:rsidRPr="003A6858">
        <w:tab/>
        <w:t>Frisa que a ausência de investimentos públicos e privados em determinados Estados-Membros está a travar o potencial de crescimento socialmente equilibrado e o crescimento sustentável; considera que a existência de regras previsíveis, condições de concorrência equitativas e custos de conformidade reduzidos são fatores essenciais para atrair investimento; realça que estes investimentos são essenciais para reforçar a capacidade da UE de enfrentar os desafios atuais – incluindo as transições ecológica e digital justas – e que irão aumentar a resiliência e a competitividade a longo prazo da UE perante futuros desafios; considera que estes investimentos devem ser acompanhados de reformas que reforcem o crescimento e a resiliência; chama a atenção para os investimentos em energias renováveis e na eficiência energética necessários para, entre outros aspetos, tornar a UE independente dos combustíveis fósseis importados e limitar a inflação impulsionada pelos preços da energia; regista a orientação orçamental contracionista prevista para 2023 e 2024; salienta que a eventual contração não deve fazer-se em detrimento do investimento, que deve aumentar em toda a União;</w:t>
      </w:r>
    </w:p>
    <w:p w:rsidR="001C30F1" w:rsidRPr="003A6858" w:rsidRDefault="001C30F1" w:rsidP="001C30F1">
      <w:pPr>
        <w:pStyle w:val="NormalHanging12a"/>
      </w:pPr>
      <w:r w:rsidRPr="003A6858">
        <w:t>4.</w:t>
      </w:r>
      <w:r w:rsidRPr="003A6858">
        <w:tab/>
        <w:t>Realça que um maior aprofundamento do mercado único e a eliminação dos obstáculos ao investimento – nomeadamente através de reformas que simplifiquem e digitalizem o planeamento, o licenciamento e outros procedimentos administrativos – ajudariam a promover o investimento privado; reitera que a política industrial, a existência de mercados de capitais da UE profundos e integrados e a inovação também podem contribuir, apoiando o investimento, salvaguardando a competitividade global da UE e atenuando os riscos associados à dependência excessiva de um número limitado de países de fora da UE no que respeita a tecnologias essenciais, matérias-primas e fatores de produção industriais;</w:t>
      </w:r>
    </w:p>
    <w:p w:rsidR="001C30F1" w:rsidRPr="003A6858" w:rsidRDefault="001C30F1" w:rsidP="001C30F1">
      <w:pPr>
        <w:pStyle w:val="NormalHanging12a"/>
      </w:pPr>
      <w:r w:rsidRPr="003A6858">
        <w:t>5.</w:t>
      </w:r>
      <w:r w:rsidRPr="003A6858">
        <w:tab/>
        <w:t>Convida os Estados-Membros a efetuarem análises das despesas como parte regular do processo orçamental (pluri)anual, o que contribuiria para melhorar a eficiência e a qualidade das despesas públicas; concorda com a recomendação da Comissão, constante da Análise Anual do Crescimento Sustentável de 2024, de que os Estados-Membros devem, o mais rapidamente possível, pôr termo às medidas de apoio à energia relacionadas com a crise e eliminar gradualmente as subvenções aos combustíveis fósseis; salienta que tanto as receitas públicas como a despesa pública são essenciais para garantir a sustentabilidade das finanças públicas; insta os Estados-Membros a tomarem medidas para combater a fraude fiscal, a elisão e a evasão fiscais e o branqueamento de capitais; acolhe favoravelmente o acordo sobre o pacote de luta contra o branqueamento de capitais a este respeito;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6.</w:t>
      </w:r>
      <w:r w:rsidRPr="003A6858">
        <w:tab/>
        <w:t>Concorda</w:t>
      </w:r>
      <w:proofErr w:type="gramEnd"/>
      <w:r w:rsidRPr="003A6858">
        <w:t xml:space="preserve"> com a avaliação da Comissão de que os riscos relacionados com o elevado endividamento e as divergências de preços continuam a ser pertinentes, em especial nos Estados-Membros em que o serviço da dívida exige a renegociação do prazo de vencimento da dívida ou em que o setor privado enfrenta aumentos acentuados nos pagamentos de juros;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7.</w:t>
      </w:r>
      <w:r w:rsidRPr="003A6858">
        <w:tab/>
        <w:t>Insta</w:t>
      </w:r>
      <w:proofErr w:type="gramEnd"/>
      <w:r w:rsidRPr="003A6858">
        <w:t xml:space="preserve"> os Estados-Membros da área do euro a explorar todos os meios de concluir a revisão do Tratado revisto sobre o Mecanismo Europeu de Estabilidade, de modo a permitir a introdução do mecanismo de apoio comum ao Fundo Único de Resolução, o que reforçaria ainda mais a resiliência da área do euro;</w:t>
      </w:r>
    </w:p>
    <w:p w:rsidR="001C30F1" w:rsidRPr="003A6858" w:rsidRDefault="001C30F1" w:rsidP="001C30F1">
      <w:pPr>
        <w:pStyle w:val="NormalHanging12a"/>
      </w:pPr>
      <w:r w:rsidRPr="003A6858">
        <w:rPr>
          <w:b/>
          <w:i/>
        </w:rPr>
        <w:lastRenderedPageBreak/>
        <w:t>Semestre Europeu e MRR</w:t>
      </w:r>
    </w:p>
    <w:p w:rsidR="001C30F1" w:rsidRPr="003A6858" w:rsidRDefault="001C30F1" w:rsidP="001C30F1">
      <w:pPr>
        <w:pStyle w:val="NormalHanging12a"/>
      </w:pPr>
      <w:r w:rsidRPr="003A6858">
        <w:t>8.</w:t>
      </w:r>
      <w:r w:rsidRPr="003A6858">
        <w:tab/>
        <w:t>Recorda que o Semestre Europeu é o quadro consolidado para a coordenação das políticas orçamentais, económicas, sociais e de emprego em toda a União, em consonância com os Tratados, incluindo o Pilar Europeu dos Direitos Sociais, salvaguardando assim a sua estabilidade macroeconómica, a convergência sustentada dos desempenhos económicos dos Estados-Membros e a coesão social da UE; insta a uma maior apropriação nacional no Semestre Europeu pelos Estados-Membros, por exemplo, através dos seus órgãos de poder local e regional; observa que o plano industrial do Pacto Ecológico de 2023 faz parte da estratégia de crescimento da UE;</w:t>
      </w:r>
    </w:p>
    <w:p w:rsidR="001C30F1" w:rsidRPr="003A6858" w:rsidRDefault="001C30F1" w:rsidP="001C30F1">
      <w:pPr>
        <w:pStyle w:val="NormalHanging12a"/>
      </w:pPr>
      <w:r w:rsidRPr="003A6858">
        <w:t>9.</w:t>
      </w:r>
      <w:r w:rsidRPr="003A6858">
        <w:tab/>
        <w:t>É da opinião de que as REP de 2024 devem concentrar-se em critérios específicos; sublinha que elas também têm de servir para promover um crescimento económico sólido e inclusivo, reforçar a competitividade e a estabilidade macroeconómica, promover as transições ecológica e digital e assegurar a equidade social e intergeracional; constata as diferenças nas previsões nacionais relativas ao crescimento do PIB, à inflação, ao desemprego, ao saldo da administração pública, à dívida pública bruta e à balança corrente e assinala que elas demonstram a necessidade de abordagens flexíveis, baseadas na realidade específica de cada Estado-Membro; insta a Comissão, neste contexto, a estabelecer uma ligação mais estreita entre as REP e os relatórios por país conexos; insta ao acompanhamento eficaz da aplicação das REP e das reformas pertinentes, bem como dos progressos realizados na redução dos défices de investimento identificados; realça que as REP devem ter em conta as vulnerabilidades sociais e o desemprego; constata a diminuição do número de REP no domínio social com base no painel de indicadores sociais;</w:t>
      </w:r>
    </w:p>
    <w:p w:rsidR="001C30F1" w:rsidRPr="003A6858" w:rsidRDefault="001C30F1" w:rsidP="001C30F1">
      <w:pPr>
        <w:pStyle w:val="NormalHanging12a"/>
      </w:pPr>
      <w:r w:rsidRPr="003A6858">
        <w:t>10.</w:t>
      </w:r>
      <w:r w:rsidRPr="003A6858">
        <w:tab/>
        <w:t>Congratula-se com a flexibilidade na adaptação do MRR, por exemplo, no contexto do plano REPowerEU, com base nos ensinamentos retirados da sua execução; salienta que os marcos e as metas dos planos nacionais de recuperação devem ser coerentes com as REP e que os Estados-Membros devem abordar, pelo menos, um subconjunto significativo das REP, no âmbito dos seus planos nacionais de recuperação e resiliência; salienta o êxito do MRR; recorda que o êxito e a eficácia dos projetos financiados serão medidos pelo seu impacto na economia e no emprego e exorta a uma execução rápida, transparente e eficaz destes projetos; sublinha, a este respeito, que o cumprimento do Regulamento MRR e a sua execução correta são cruciais para a credibilidade do MRR;</w:t>
      </w:r>
    </w:p>
    <w:p w:rsidR="001C30F1" w:rsidRPr="003A6858" w:rsidRDefault="001C30F1" w:rsidP="001C30F1">
      <w:pPr>
        <w:pStyle w:val="NormalHanging12a"/>
      </w:pPr>
      <w:r w:rsidRPr="003A6858">
        <w:t>11.</w:t>
      </w:r>
      <w:r w:rsidRPr="003A6858">
        <w:tab/>
        <w:t>Regista o papel desempenhado pelo MRR na resposta aos desafios globais decorrentes da transição ecológica e da transformação digital da economia; salienta que as reformas e os investimentos ao abrigo dos planos de recuperação e resiliência contribuem para as metas climáticas do Regulamento MRR e respeitam o princípio de «não prejudicar significativamente»; insta os Estados-Membros a aproveitarem ao máximo esta oportunidade e a utilizarem o MRR para transformar as suas economias e torná-las mais competitivas; recorda a importância de verificar se os fundos chegam à economia real e às PME e sublinha a importância da responsabilização e da transparência para os organismos que recebem financiamento da UE;</w:t>
      </w:r>
    </w:p>
    <w:p w:rsidR="001C30F1" w:rsidRPr="003A6858" w:rsidRDefault="001C30F1" w:rsidP="001C30F1">
      <w:pPr>
        <w:pStyle w:val="NormalHanging12a"/>
      </w:pPr>
      <w:r w:rsidRPr="003A6858">
        <w:t>12.</w:t>
      </w:r>
      <w:r w:rsidRPr="003A6858">
        <w:tab/>
        <w:t xml:space="preserve">Sublinha a importância do investimento privado e público no âmbito da recuperação económica e na gestão da dupla transição; recorda que o MRR não substitui o papel específico do investimento público nacional; reitera a necessidade de garantir a qualidade, a transparência e a responsabilização do investimento público, bem como de estratégias nacionais para alinhar com os objetivos da dupla transição; salienta que estas </w:t>
      </w:r>
      <w:r w:rsidRPr="003A6858">
        <w:lastRenderedPageBreak/>
        <w:t>estratégias nacionais para a dupla transição devem complementar o MRR e outros instrumentos de investimento europeus;</w:t>
      </w:r>
    </w:p>
    <w:p w:rsidR="001C30F1" w:rsidRPr="003A6858" w:rsidRDefault="001C30F1" w:rsidP="001C30F1">
      <w:pPr>
        <w:pStyle w:val="NormalHanging12a"/>
      </w:pPr>
      <w:r w:rsidRPr="003A6858">
        <w:t>13.</w:t>
      </w:r>
      <w:r w:rsidRPr="003A6858">
        <w:tab/>
        <w:t>Defende a racionalização dos programas da política de coesão da UE com base nas necessidades de investimento identificadas no âmbito do MRR e das recomendações específicas por país; relembra que a política de coesão serve um conjunto mais vasto de objetivos do que o MRR e pode complementar as medidas acordadas no âmbito do MRR; solicita que a participação das partes interessadas – nomeadamente dos parceiros sociais, das organizações da sociedade civil e do setor empresarial – seja incorporada de forma comparável na elaboração e execução dos planos nacionais de recuperação e resiliência, tal como acontece com os programas da política de coesão;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14.</w:t>
      </w:r>
      <w:r w:rsidRPr="003A6858">
        <w:tab/>
        <w:t>Sublinha</w:t>
      </w:r>
      <w:proofErr w:type="gramEnd"/>
      <w:r w:rsidRPr="003A6858">
        <w:t xml:space="preserve"> que a coordenação entre as autoridades competentes – nomeadamente entre os governos nacionais e os órgãos de poder local e regional – é essencial para gerir o MRR e superar os obstáculos administrativos e a burocracia;</w:t>
      </w:r>
    </w:p>
    <w:p w:rsidR="001C30F1" w:rsidRPr="003A6858" w:rsidRDefault="001C30F1" w:rsidP="001C30F1">
      <w:pPr>
        <w:pStyle w:val="NormalHanging12a"/>
      </w:pPr>
      <w:proofErr w:type="gramStart"/>
      <w:r w:rsidRPr="003A6858">
        <w:t>15.</w:t>
      </w:r>
      <w:r w:rsidRPr="003A6858">
        <w:tab/>
        <w:t>Constata</w:t>
      </w:r>
      <w:proofErr w:type="gramEnd"/>
      <w:r w:rsidRPr="003A6858">
        <w:t xml:space="preserve"> que os colegisladores alcançaram, em 10 de fevereiro de 2024, um acordo político provisório sobre a reforma do quadro de governação económica da UE, que visa assegurar a coordenação eficaz das políticas económicas e a convergência sustentada do desempenho económico e social dos Estados-Membros;</w:t>
      </w:r>
    </w:p>
    <w:p w:rsidR="001C30F1" w:rsidRPr="003A6858" w:rsidRDefault="001C30F1" w:rsidP="001C30F1">
      <w:pPr>
        <w:pStyle w:val="NormalHanging12a"/>
      </w:pPr>
      <w:r w:rsidRPr="003A6858">
        <w:t>16.</w:t>
      </w:r>
      <w:r w:rsidRPr="003A6858">
        <w:tab/>
        <w:t>Acolhe favoravelmente os ensinamentos retirados das opções de conceção para a governação do MRR; assinala que a reforma do quadro de governação económica não proporciona mecanismos de incentivo financeiro da UE para apoiar e promover reformas e investimentos políticos nacionais; salienta que prestar o nível de investimento público necessário é fundamental para alcançar os principais objetivos da reforma do quadro de governação económica e abordar as prioridades atuais e futuras da União; receia que alguns Estados-Membros não tenham capacidade financeira para financiar sozinhos as transições ecológica e digital justas;</w:t>
      </w:r>
    </w:p>
    <w:p w:rsidR="001C30F1" w:rsidRPr="003A6858" w:rsidRDefault="001C30F1" w:rsidP="001C30F1">
      <w:pPr>
        <w:pStyle w:val="NormalHanging12a"/>
      </w:pPr>
      <w:r w:rsidRPr="003A6858">
        <w:t>17.</w:t>
      </w:r>
      <w:r w:rsidRPr="003A6858">
        <w:tab/>
        <w:t>Salienta o papel do Parlamento Europeu no quadro de governação económica da UE e defende um maior envolvimento do Parlamento Europeu no Semestre Europeu, respeitando plenamente as competências estabelecidas pelos Tratados; constata o diálogo entre a Comissão e os Estados-Membros sobre os respetivos planos orçamentais e estruturais individuais; salienta a necessidade de todos os Estados-Membros serem tratados de forma equitativa; sublinha que um aumento do poder discricionário da Comissão no processo de desenvolvimento dos planos orçamentais e estruturais de médio prazo deve imperativamente ser acompanhado de um maior cumprimento das regras sob controlo do Conselho Orçamental Europeu, bem como duma maior responsabilização e dum aumento do fluxo de informação no sentido do Parlamento Europeu; reconhece que o diálogo económico no âmbito do Semestre Europeu é um bom ponto de partida para a responsabilização; considera que uma responsabilização adequada exigiria que o Parlamento Europeu dispusesse de instrumentos que lhe permitam aplicar as consequências com base na sua avaliação do desempenho do Semestre Europeu, em conformidade com os Tratados;</w:t>
      </w:r>
    </w:p>
    <w:p w:rsidR="007634A1" w:rsidRPr="003A6858" w:rsidRDefault="007634A1" w:rsidP="007634A1">
      <w:pPr>
        <w:pStyle w:val="NormalHanging12a"/>
        <w:widowControl/>
        <w:ind w:left="0" w:firstLine="0"/>
        <w:jc w:val="center"/>
      </w:pPr>
      <w:r w:rsidRPr="003A6858">
        <w:t>°</w:t>
      </w:r>
    </w:p>
    <w:p w:rsidR="007634A1" w:rsidRPr="003A6858" w:rsidRDefault="007634A1" w:rsidP="007634A1">
      <w:pPr>
        <w:pStyle w:val="NormalHanging12a"/>
        <w:widowControl/>
        <w:ind w:left="0" w:firstLine="0"/>
        <w:jc w:val="center"/>
      </w:pPr>
      <w:r w:rsidRPr="003A6858">
        <w:t>°     °</w:t>
      </w:r>
    </w:p>
    <w:p w:rsidR="001C30F1" w:rsidRPr="003A6858" w:rsidRDefault="001C30F1" w:rsidP="001C30F1">
      <w:pPr>
        <w:ind w:left="567" w:hanging="567"/>
      </w:pPr>
      <w:proofErr w:type="gramStart"/>
      <w:r w:rsidRPr="003A6858">
        <w:t>18.</w:t>
      </w:r>
      <w:r w:rsidRPr="003A6858">
        <w:tab/>
        <w:t>Encarrega</w:t>
      </w:r>
      <w:proofErr w:type="gramEnd"/>
      <w:r w:rsidRPr="003A6858">
        <w:t xml:space="preserve"> a sua Presidente de transmitir a presente resolução ao Conselho e à </w:t>
      </w:r>
      <w:r w:rsidRPr="003A6858">
        <w:lastRenderedPageBreak/>
        <w:t xml:space="preserve">Comissão. </w:t>
      </w:r>
    </w:p>
    <w:p w:rsidR="001C30F1" w:rsidRPr="003A6858" w:rsidRDefault="001C30F1" w:rsidP="001C30F1"/>
    <w:sectPr w:rsidR="001C30F1" w:rsidRPr="003A6858" w:rsidSect="0098282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371B5" w:rsidRPr="00982825" w:rsidRDefault="003371B5">
      <w:r w:rsidRPr="00982825">
        <w:separator/>
      </w:r>
    </w:p>
  </w:endnote>
  <w:endnote w:type="continuationSeparator" w:id="0">
    <w:p w:rsidR="003371B5" w:rsidRPr="00982825" w:rsidRDefault="003371B5">
      <w:r w:rsidRPr="0098282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371B5" w:rsidRPr="00982825" w:rsidRDefault="003371B5">
      <w:r w:rsidRPr="00982825">
        <w:separator/>
      </w:r>
    </w:p>
  </w:footnote>
  <w:footnote w:type="continuationSeparator" w:id="0">
    <w:p w:rsidR="003371B5" w:rsidRPr="00982825" w:rsidRDefault="003371B5">
      <w:r w:rsidRPr="00982825">
        <w:continuationSeparator/>
      </w:r>
    </w:p>
  </w:footnote>
  <w:footnote w:id="1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41.</w:t>
      </w:r>
    </w:p>
  </w:footnote>
  <w:footnote w:id="2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33.</w:t>
      </w:r>
    </w:p>
  </w:footnote>
  <w:footnote w:id="3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1.</w:t>
      </w:r>
    </w:p>
  </w:footnote>
  <w:footnote w:id="4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8.</w:t>
      </w:r>
    </w:p>
  </w:footnote>
  <w:footnote w:id="5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12.</w:t>
      </w:r>
    </w:p>
  </w:footnote>
  <w:footnote w:id="6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306 de 23.11.2011, p. 25.</w:t>
      </w:r>
    </w:p>
  </w:footnote>
  <w:footnote w:id="7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 140 de 27.5.2013, p. 1.</w:t>
      </w:r>
    </w:p>
  </w:footnote>
  <w:footnote w:id="8">
    <w:p w:rsidR="001C30F1" w:rsidRPr="003A6858" w:rsidRDefault="001C30F1" w:rsidP="00982825">
      <w:pPr>
        <w:pStyle w:val="FootnoteText"/>
        <w:ind w:left="567" w:hanging="567"/>
        <w:rPr>
          <w:sz w:val="24"/>
          <w:lang w:val="da-DK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3A6858">
        <w:rPr>
          <w:sz w:val="24"/>
          <w:lang w:val="da-DK"/>
        </w:rPr>
        <w:t xml:space="preserve"> </w:t>
      </w:r>
      <w:r w:rsidR="00982825" w:rsidRPr="003A6858">
        <w:rPr>
          <w:sz w:val="24"/>
          <w:lang w:val="da-DK"/>
        </w:rPr>
        <w:tab/>
      </w:r>
      <w:r w:rsidRPr="003A6858">
        <w:rPr>
          <w:sz w:val="24"/>
          <w:lang w:val="da-DK"/>
        </w:rPr>
        <w:t>JO L 140 de 27.5.2013, p. 11.</w:t>
      </w:r>
    </w:p>
  </w:footnote>
  <w:footnote w:id="9">
    <w:p w:rsidR="001C30F1" w:rsidRPr="00982825" w:rsidRDefault="001C30F1" w:rsidP="00982825">
      <w:pPr>
        <w:pStyle w:val="FootnoteText"/>
        <w:ind w:left="567" w:hanging="567"/>
        <w:rPr>
          <w:sz w:val="24"/>
          <w:lang w:val="pt-PT"/>
        </w:rPr>
      </w:pPr>
      <w:r w:rsidRPr="00982825">
        <w:rPr>
          <w:rStyle w:val="FootnoteReference"/>
          <w:sz w:val="24"/>
          <w:lang w:val="pt-PT"/>
        </w:rPr>
        <w:footnoteRef/>
      </w:r>
      <w:r w:rsidR="00982825" w:rsidRPr="00982825">
        <w:rPr>
          <w:sz w:val="24"/>
          <w:lang w:val="pt-PT"/>
        </w:rPr>
        <w:t xml:space="preserve"> </w:t>
      </w:r>
      <w:r w:rsidR="00982825" w:rsidRPr="00982825">
        <w:rPr>
          <w:sz w:val="24"/>
          <w:lang w:val="pt-PT"/>
        </w:rPr>
        <w:tab/>
      </w:r>
      <w:r w:rsidRPr="00982825">
        <w:rPr>
          <w:sz w:val="24"/>
          <w:lang w:val="pt-PT"/>
        </w:rPr>
        <w:t>JO L 57 de 18.2.2021, p. 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98282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63/2024"/>
    <w:docVar w:name="dvlangue" w:val="PT"/>
    <w:docVar w:name="dvnumam" w:val="0"/>
    <w:docVar w:name="dvpe" w:val="757.014"/>
    <w:docVar w:name="dvrapporteur" w:val="Relator: "/>
    <w:docVar w:name="dvtitre" w:val="Resolução do Parlamento Europeu, de ... de ... de 2024,_x000d__x000a_ sobre o Semestre Europeu para a coordenação das políticas económicas de 2024(2023/2063(INI))"/>
  </w:docVars>
  <w:rsids>
    <w:rsidRoot w:val="003371B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C30F1"/>
    <w:rsid w:val="001F32AE"/>
    <w:rsid w:val="002767FF"/>
    <w:rsid w:val="002B18FE"/>
    <w:rsid w:val="002B5493"/>
    <w:rsid w:val="002D2CF3"/>
    <w:rsid w:val="003371B5"/>
    <w:rsid w:val="00343214"/>
    <w:rsid w:val="00361C00"/>
    <w:rsid w:val="00395FA1"/>
    <w:rsid w:val="003A685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634A1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82825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6596A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285322"/>
  <w15:chartTrackingRefBased/>
  <w15:docId w15:val="{379F6F0E-CD04-4367-84B4-DB9A07098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1C30F1"/>
    <w:pPr>
      <w:spacing w:after="240"/>
      <w:ind w:left="567" w:hanging="567"/>
    </w:pPr>
  </w:style>
  <w:style w:type="paragraph" w:customStyle="1" w:styleId="EPComma">
    <w:name w:val="EPComma"/>
    <w:basedOn w:val="Normal"/>
    <w:rsid w:val="001C30F1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1C30F1"/>
    <w:rPr>
      <w:sz w:val="24"/>
      <w:lang w:val="pt-PT"/>
    </w:rPr>
  </w:style>
  <w:style w:type="paragraph" w:styleId="BalloonText">
    <w:name w:val="Balloon Text"/>
    <w:basedOn w:val="Normal"/>
    <w:link w:val="BalloonTextChar"/>
    <w:rsid w:val="00D6596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596A"/>
    <w:rPr>
      <w:rFonts w:ascii="Segoe U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0873DE-200F-444A-992A-11112F2DE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3734</Words>
  <Characters>20386</Characters>
  <Application>Microsoft Office Word</Application>
  <DocSecurity>0</DocSecurity>
  <Lines>169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MARTINSIsabelAlex</dc:creator>
  <cp:keywords/>
  <cp:lastModifiedBy>PEREIRA Dulce</cp:lastModifiedBy>
  <cp:revision>2</cp:revision>
  <cp:lastPrinted>2004-11-19T15:42:00Z</cp:lastPrinted>
  <dcterms:created xsi:type="dcterms:W3CDTF">2024-04-17T07:43:00Z</dcterms:created>
  <dcterms:modified xsi:type="dcterms:W3CDTF">2024-04-17T07:43:00Z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A9-0063/2024</vt:lpwstr>
  </property>
  <property fmtid="{D5CDD505-2E9C-101B-9397-08002B2CF9AE}" pid="4" name="&lt;Type&gt;">
    <vt:lpwstr>RR</vt:lpwstr>
  </property>
</Properties>
</file>