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776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77769" w:rsidRDefault="00853B57" w:rsidP="0010095E">
            <w:pPr>
              <w:pStyle w:val="EPName"/>
            </w:pPr>
            <w:r w:rsidRPr="00277769">
              <w:t>Európsky parlament</w:t>
            </w:r>
          </w:p>
          <w:p w:rsidR="00751A4A" w:rsidRPr="0027776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776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77769" w:rsidRDefault="00187494" w:rsidP="0010095E">
            <w:pPr>
              <w:pStyle w:val="EPLogo"/>
            </w:pPr>
            <w:r w:rsidRPr="0027776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77769" w:rsidRDefault="00D058B8" w:rsidP="004C5D52">
      <w:pPr>
        <w:pStyle w:val="LineTop"/>
      </w:pPr>
    </w:p>
    <w:p w:rsidR="00680577" w:rsidRPr="00277769" w:rsidRDefault="00853B57" w:rsidP="00680577">
      <w:pPr>
        <w:pStyle w:val="EPBodyTA1"/>
      </w:pPr>
      <w:r w:rsidRPr="00277769">
        <w:t>PRIJATÉ TEXTY</w:t>
      </w:r>
    </w:p>
    <w:p w:rsidR="00D058B8" w:rsidRPr="00277769" w:rsidRDefault="00D058B8" w:rsidP="00D058B8">
      <w:pPr>
        <w:pStyle w:val="LineBottom"/>
      </w:pPr>
    </w:p>
    <w:p w:rsidR="00853B57" w:rsidRPr="00277769" w:rsidRDefault="00853B57" w:rsidP="00853B57">
      <w:pPr>
        <w:pStyle w:val="ATHeading1"/>
      </w:pPr>
      <w:bookmarkStart w:id="0" w:name="TANumber"/>
      <w:r w:rsidRPr="00277769">
        <w:t>P9_TA(2024)0</w:t>
      </w:r>
      <w:r w:rsidR="00277769" w:rsidRPr="00277769">
        <w:t>156</w:t>
      </w:r>
      <w:bookmarkEnd w:id="0"/>
    </w:p>
    <w:p w:rsidR="00853B57" w:rsidRPr="00277769" w:rsidRDefault="00853B57" w:rsidP="00853B57">
      <w:pPr>
        <w:pStyle w:val="ATHeading2"/>
      </w:pPr>
      <w:bookmarkStart w:id="1" w:name="title"/>
      <w:r w:rsidRPr="00277769">
        <w:t>Európsky semester pre koordináciu hospodárskych politík 2024</w:t>
      </w:r>
      <w:bookmarkEnd w:id="1"/>
    </w:p>
    <w:p w:rsidR="00853B57" w:rsidRPr="00277769" w:rsidRDefault="00853B57" w:rsidP="00853B57">
      <w:pPr>
        <w:rPr>
          <w:i/>
          <w:vanish/>
        </w:rPr>
      </w:pPr>
      <w:r w:rsidRPr="00277769">
        <w:rPr>
          <w:i/>
        </w:rPr>
        <w:fldChar w:fldCharType="begin"/>
      </w:r>
      <w:r w:rsidRPr="00277769">
        <w:rPr>
          <w:i/>
        </w:rPr>
        <w:instrText xml:space="preserve"> TC"(</w:instrText>
      </w:r>
      <w:bookmarkStart w:id="2" w:name="DocNumber"/>
      <w:r w:rsidRPr="00277769">
        <w:rPr>
          <w:i/>
        </w:rPr>
        <w:instrText>A9-0063/2024</w:instrText>
      </w:r>
      <w:bookmarkEnd w:id="2"/>
      <w:r w:rsidRPr="00277769">
        <w:rPr>
          <w:i/>
        </w:rPr>
        <w:instrText xml:space="preserve"> - Spravodajca: René Repasi)"\l3 \n&gt; \* MERGEFORMAT </w:instrText>
      </w:r>
      <w:r w:rsidRPr="00277769">
        <w:rPr>
          <w:i/>
        </w:rPr>
        <w:fldChar w:fldCharType="end"/>
      </w:r>
    </w:p>
    <w:p w:rsidR="00853B57" w:rsidRPr="00277769" w:rsidRDefault="00853B57" w:rsidP="00853B57">
      <w:pPr>
        <w:rPr>
          <w:vanish/>
        </w:rPr>
      </w:pPr>
      <w:bookmarkStart w:id="3" w:name="Commission"/>
      <w:r w:rsidRPr="00277769">
        <w:rPr>
          <w:vanish/>
        </w:rPr>
        <w:t>Výbor pre hospodárske a menové veci</w:t>
      </w:r>
      <w:bookmarkEnd w:id="3"/>
    </w:p>
    <w:p w:rsidR="00853B57" w:rsidRPr="00277769" w:rsidRDefault="00853B57" w:rsidP="00853B57">
      <w:pPr>
        <w:rPr>
          <w:vanish/>
        </w:rPr>
      </w:pPr>
      <w:bookmarkStart w:id="4" w:name="PE"/>
      <w:r w:rsidRPr="00277769">
        <w:rPr>
          <w:vanish/>
        </w:rPr>
        <w:t>PE757.014</w:t>
      </w:r>
      <w:bookmarkEnd w:id="4"/>
    </w:p>
    <w:p w:rsidR="00853B57" w:rsidRPr="00277769" w:rsidRDefault="00853B57" w:rsidP="00853B57">
      <w:pPr>
        <w:pStyle w:val="ATHeading3"/>
      </w:pPr>
      <w:bookmarkStart w:id="5" w:name="Sujet"/>
      <w:r w:rsidRPr="00277769">
        <w:t>Uznesenie Európskeho parlamentu z</w:t>
      </w:r>
      <w:r w:rsidR="0093725D" w:rsidRPr="00277769">
        <w:t> 13</w:t>
      </w:r>
      <w:r w:rsidRPr="00277769">
        <w:t>. marca 2024 o európskom semestri pre koordináciu hospodárskych politík 2024</w:t>
      </w:r>
      <w:bookmarkEnd w:id="5"/>
      <w:r w:rsidRPr="00277769">
        <w:t xml:space="preserve"> </w:t>
      </w:r>
      <w:bookmarkStart w:id="6" w:name="References"/>
      <w:r w:rsidRPr="00277769">
        <w:t>(2023/2063(INI))</w:t>
      </w:r>
      <w:bookmarkEnd w:id="6"/>
    </w:p>
    <w:p w:rsidR="00BB75F8" w:rsidRPr="00277769" w:rsidRDefault="00BB75F8" w:rsidP="00BB75F8">
      <w:pPr>
        <w:pStyle w:val="EPComma"/>
      </w:pPr>
      <w:bookmarkStart w:id="7" w:name="TextBodyBegin"/>
      <w:bookmarkEnd w:id="7"/>
      <w:r w:rsidRPr="00277769">
        <w:rPr>
          <w:i/>
        </w:rPr>
        <w:t>Európsky parlament</w:t>
      </w:r>
      <w:r w:rsidRPr="00277769">
        <w:t>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>so zreteľom na Zmluvu o fungovaní Európskej únie (ďalej len „ZFEÚ“), najmä na jej článok 121 ods. 2 a článok 136,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>so zreteľom na Protokol č. 1 k Zmluve o Európskej únii (ďalej len „Z</w:t>
      </w:r>
      <w:r w:rsidR="006F3E5E" w:rsidRPr="00277769">
        <w:t xml:space="preserve">mluva o </w:t>
      </w:r>
      <w:r w:rsidRPr="00277769">
        <w:t>EÚ“) a ZFEÚ o úlohe národných parlamentov v Európskej únii,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>so zreteľom na Protokol č. 2 k</w:t>
      </w:r>
      <w:r w:rsidR="006F3E5E" w:rsidRPr="00277769">
        <w:t> </w:t>
      </w:r>
      <w:r w:rsidRPr="00277769">
        <w:t>Z</w:t>
      </w:r>
      <w:r w:rsidR="006F3E5E" w:rsidRPr="00277769">
        <w:t xml:space="preserve">mluve o </w:t>
      </w:r>
      <w:r w:rsidRPr="00277769">
        <w:t>EÚ a ZFEÚ o uplatňovaní zásad subsidiarity a proporcionality,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>so zreteľom na Zmluvu o stabilite, koordinácii a správe v hospodárskej a menovej únii,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>so zreteľom na Parížsku dohodu zmluvných strán Rámcového dohovoru Organizácie Spojených národov o zmene klímy a ciele udržateľného rozvoja,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>so zreteľom na smernicu Rady 2011/85/EÚ z 8. novembra 2011 o požiadavkách na rozpočtové rámce členských štátov</w:t>
      </w:r>
      <w:r w:rsidRPr="00277769">
        <w:rPr>
          <w:rStyle w:val="FootnoteReference"/>
          <w:szCs w:val="24"/>
        </w:rPr>
        <w:footnoteReference w:id="1"/>
      </w:r>
      <w:r w:rsidRPr="00277769">
        <w:t>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>so zreteľom na nariadenie Rady (EÚ) č. 1177/2011 z 8. novembra 2011, ktorým sa mení a dopĺňa nariadenie (ES) č. 1467/97 o urýchľovaní a objasňovaní vykonania postupu pri nadmernom schodku</w:t>
      </w:r>
      <w:r w:rsidRPr="00277769">
        <w:rPr>
          <w:vertAlign w:val="superscript"/>
        </w:rPr>
        <w:footnoteReference w:id="2"/>
      </w:r>
      <w:r w:rsidRPr="00277769">
        <w:t>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>so zreteľom na nariadenie Európskeho parlamentu a Rady (EÚ) č. 1173/2011 zo 16. novembra 2011 o účinnom presadzovaní rozpočtového dohľadu v eurozóne</w:t>
      </w:r>
      <w:r w:rsidRPr="00277769">
        <w:rPr>
          <w:vertAlign w:val="superscript"/>
        </w:rPr>
        <w:footnoteReference w:id="3"/>
      </w:r>
      <w:r w:rsidRPr="00277769">
        <w:t>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>so zreteľom na nariadenie Európskeho parlamentu a Rady (EÚ) č. 1174/2011 zo 16. novembra 2011 o opatreniach na presadzovanie vykonávania nápravy nadmernej makroekonomickej nerovnováhy v rámci eurozóny</w:t>
      </w:r>
      <w:r w:rsidRPr="00277769">
        <w:rPr>
          <w:vertAlign w:val="superscript"/>
        </w:rPr>
        <w:footnoteReference w:id="4"/>
      </w:r>
      <w:r w:rsidRPr="00277769">
        <w:t>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 xml:space="preserve">so zreteľom na nariadenie Európskeho parlamentu a Rady (EÚ) č. 1175/2011 zo 16. </w:t>
      </w:r>
      <w:r w:rsidRPr="00277769">
        <w:lastRenderedPageBreak/>
        <w:t>novembra 2011, ktorým sa mení a dopĺňa nariadenie Rady (ES) č. 1466/97 o posilnení dohľadu nad stavmi rozpočtov a o dohľade nad hospodárskymi politikami a ich koordinácii</w:t>
      </w:r>
      <w:r w:rsidRPr="00277769">
        <w:rPr>
          <w:vertAlign w:val="superscript"/>
        </w:rPr>
        <w:footnoteReference w:id="5"/>
      </w:r>
      <w:r w:rsidRPr="00277769">
        <w:t>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>so zreteľom na nariadenie Európskeho parlamentu a Rady (EÚ) č. 1176/2011 zo 16. novembra 2011 o prevencii a náprave makroekonomických nerovnováh</w:t>
      </w:r>
      <w:r w:rsidRPr="00277769">
        <w:rPr>
          <w:vertAlign w:val="superscript"/>
        </w:rPr>
        <w:footnoteReference w:id="6"/>
      </w:r>
      <w:r w:rsidRPr="00277769">
        <w:t>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>so zreteľom na nariadenie Európskeho parlamentu a Rady (EÚ) č. 472/2013 z 21. mája 2013 o sprísnení hospodárskeho a rozpočtového dohľadu nad členskými štátmi v eurozóne, ktoré majú závažné ťažkosti v súvislosti so svojou finančnou stabilitou, alebo im takéto ťažkosti hrozia</w:t>
      </w:r>
      <w:r w:rsidRPr="00277769">
        <w:rPr>
          <w:rStyle w:val="FootnoteReference"/>
          <w:szCs w:val="24"/>
        </w:rPr>
        <w:footnoteReference w:id="7"/>
      </w:r>
      <w:r w:rsidRPr="00277769">
        <w:t>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>so zreteľom na nariadenie Európskeho parlamentu a Rady (EÚ) č. 473/2013 z 21. mája 2013 o spoločných ustanoveniach o monitorovaní a posudzovaní návrhov rozpočtových plánov a zabezpečení nápravy nadmerného deficitu členských štátov v eurozóne</w:t>
      </w:r>
      <w:r w:rsidRPr="00277769">
        <w:rPr>
          <w:rStyle w:val="FootnoteReference"/>
          <w:szCs w:val="24"/>
        </w:rPr>
        <w:footnoteReference w:id="8"/>
      </w:r>
      <w:r w:rsidRPr="00277769">
        <w:t>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>so zreteľom na nariadenie Európskeho parlamentu a Rady (EÚ) 2021/241 z 12. februára 2021, ktorým sa zriaďuje Mechanizmus na podporu obnovy a odolnosti</w:t>
      </w:r>
      <w:r w:rsidRPr="00277769">
        <w:rPr>
          <w:rStyle w:val="FootnoteReference"/>
          <w:szCs w:val="24"/>
        </w:rPr>
        <w:footnoteReference w:id="9"/>
      </w:r>
      <w:r w:rsidRPr="00277769">
        <w:t>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 xml:space="preserve">so zreteľom na oznámenie Komisie zo 4. marca 2021 s názvom Akčný plán na realizáciu Európskeho piliera sociálnych práv </w:t>
      </w:r>
      <w:r w:rsidR="006F3E5E" w:rsidRPr="00277769">
        <w:t>(</w:t>
      </w:r>
      <w:r w:rsidRPr="00277769">
        <w:t>COM(2021)</w:t>
      </w:r>
      <w:r w:rsidR="006F3E5E" w:rsidRPr="00277769">
        <w:t>0</w:t>
      </w:r>
      <w:r w:rsidRPr="00277769">
        <w:t>102</w:t>
      </w:r>
      <w:r w:rsidR="006F3E5E" w:rsidRPr="00277769">
        <w:t>)</w:t>
      </w:r>
      <w:r w:rsidRPr="00277769">
        <w:t>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>so zreteľom na sociálny záväzok Rady, Komisie, Európskeho parlamentu a sociálnych partnerov z Porta zo 7. mája 2021,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>so zreteľom na posúdenie zámerov fiškálnej politiky vhodných pre eurozónu na rok 2024 Európskou fiškálnou radou z 28. júna 2023,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>so zreteľom na výročnú správu Európskej fiškálnej rady zo 4. októbra 2023,</w:t>
      </w:r>
    </w:p>
    <w:p w:rsidR="00BB75F8" w:rsidRPr="00277769" w:rsidRDefault="00BB75F8" w:rsidP="00BB75F8">
      <w:pPr>
        <w:pStyle w:val="NormalHanging12a"/>
        <w:rPr>
          <w:bCs/>
          <w:szCs w:val="23"/>
        </w:rPr>
      </w:pPr>
      <w:r w:rsidRPr="00277769">
        <w:t>–</w:t>
      </w:r>
      <w:r w:rsidRPr="00277769">
        <w:tab/>
        <w:t xml:space="preserve">so zreteľom na oznámenie Komisie z 9. novembra 2022 o usmerneniach týkajúcich sa reformy rámca správy hospodárskych záležitostí EÚ </w:t>
      </w:r>
      <w:r w:rsidR="006F3E5E" w:rsidRPr="00277769">
        <w:t>(</w:t>
      </w:r>
      <w:r w:rsidRPr="00277769">
        <w:t>COM(2022)</w:t>
      </w:r>
      <w:r w:rsidR="006F3E5E" w:rsidRPr="00277769">
        <w:t>0</w:t>
      </w:r>
      <w:r w:rsidRPr="00277769">
        <w:t>583</w:t>
      </w:r>
      <w:r w:rsidR="006F3E5E" w:rsidRPr="00277769">
        <w:t>)</w:t>
      </w:r>
      <w:r w:rsidRPr="00277769">
        <w:t>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 xml:space="preserve">so zreteľom na návrh Komisie z 26. apríla 2023 na nariadenie Európskeho parlamentu a Rady o účinnej koordinácii hospodárskych politík a mnohostrannom rozpočtovom dohľade a o zrušení nariadenia Rady (ES) č. 1466/97 </w:t>
      </w:r>
      <w:r w:rsidR="006F3E5E" w:rsidRPr="00277769">
        <w:t>(</w:t>
      </w:r>
      <w:r w:rsidRPr="00277769">
        <w:t>COM(2023)</w:t>
      </w:r>
      <w:r w:rsidR="006F3E5E" w:rsidRPr="00277769">
        <w:t>0</w:t>
      </w:r>
      <w:r w:rsidRPr="00277769">
        <w:t>240</w:t>
      </w:r>
      <w:r w:rsidR="006F3E5E" w:rsidRPr="00277769">
        <w:t>)</w:t>
      </w:r>
      <w:r w:rsidRPr="00277769">
        <w:t>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 xml:space="preserve">so zreteľom na návrh Komisie z 26. apríla 2023 na nariadenie Rady, ktorým sa mení nariadenie (ES) č. 1467/97 o urýchľovaní a objasňovaní vykonania postupu pri nadmernom schodku </w:t>
      </w:r>
      <w:r w:rsidR="006F3E5E" w:rsidRPr="00277769">
        <w:t>(</w:t>
      </w:r>
      <w:r w:rsidRPr="00277769">
        <w:t>COM(2023)</w:t>
      </w:r>
      <w:r w:rsidR="006F3E5E" w:rsidRPr="00277769">
        <w:t>0</w:t>
      </w:r>
      <w:r w:rsidRPr="00277769">
        <w:t>241</w:t>
      </w:r>
      <w:r w:rsidR="006F3E5E" w:rsidRPr="00277769">
        <w:t>)</w:t>
      </w:r>
      <w:r w:rsidRPr="00277769">
        <w:t>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 xml:space="preserve">so zreteľom na návrh Komisie z 26. apríla 2023 na smernicu Rady, ktorou sa mení a dopĺňa smernica 2011/85/EÚ o požiadavkách na rozpočtové rámce členských štátov </w:t>
      </w:r>
      <w:r w:rsidR="006F3E5E" w:rsidRPr="00277769">
        <w:t>(</w:t>
      </w:r>
      <w:r w:rsidRPr="00277769">
        <w:t>COM(2023)</w:t>
      </w:r>
      <w:r w:rsidR="006F3E5E" w:rsidRPr="00277769">
        <w:t>0</w:t>
      </w:r>
      <w:r w:rsidRPr="00277769">
        <w:t>242</w:t>
      </w:r>
      <w:r w:rsidR="006F3E5E" w:rsidRPr="00277769">
        <w:t>)</w:t>
      </w:r>
      <w:r w:rsidRPr="00277769">
        <w:t>,</w:t>
      </w:r>
    </w:p>
    <w:p w:rsidR="00BB75F8" w:rsidRPr="00277769" w:rsidRDefault="00BB75F8" w:rsidP="00BB75F8">
      <w:pPr>
        <w:pStyle w:val="NormalHanging12a"/>
        <w:rPr>
          <w:bCs/>
          <w:szCs w:val="23"/>
        </w:rPr>
      </w:pPr>
      <w:r w:rsidRPr="00277769">
        <w:lastRenderedPageBreak/>
        <w:t>–</w:t>
      </w:r>
      <w:r w:rsidRPr="00277769">
        <w:tab/>
        <w:t>so zreteľom na vyhlásenie z Granady zo 6. októbra 2023,</w:t>
      </w:r>
    </w:p>
    <w:p w:rsidR="00BB75F8" w:rsidRPr="00277769" w:rsidRDefault="00BB75F8" w:rsidP="00BB75F8">
      <w:pPr>
        <w:pStyle w:val="NormalHanging12a"/>
        <w:rPr>
          <w:shd w:val="clear" w:color="auto" w:fill="FFFFFF"/>
        </w:rPr>
      </w:pPr>
      <w:r w:rsidRPr="00277769">
        <w:t>–</w:t>
      </w:r>
      <w:r w:rsidRPr="00277769">
        <w:tab/>
      </w:r>
      <w:r w:rsidRPr="00277769">
        <w:rPr>
          <w:shd w:val="clear" w:color="auto" w:fill="FFFFFF"/>
        </w:rPr>
        <w:t xml:space="preserve">so zreteľom na oznámenie Komisie z 21. novembra 2023 s názvom Ročný prieskum udržateľného rastu na rok 2024 </w:t>
      </w:r>
      <w:r w:rsidR="006F3E5E" w:rsidRPr="00277769">
        <w:rPr>
          <w:shd w:val="clear" w:color="auto" w:fill="FFFFFF"/>
        </w:rPr>
        <w:t>(</w:t>
      </w:r>
      <w:r w:rsidRPr="00277769">
        <w:t>COM(2023)</w:t>
      </w:r>
      <w:r w:rsidR="006F3E5E" w:rsidRPr="00277769">
        <w:t>0</w:t>
      </w:r>
      <w:r w:rsidRPr="00277769">
        <w:t>901</w:t>
      </w:r>
      <w:r w:rsidR="006F3E5E" w:rsidRPr="00277769">
        <w:t>)</w:t>
      </w:r>
      <w:r w:rsidRPr="00277769">
        <w:rPr>
          <w:shd w:val="clear" w:color="auto" w:fill="FFFFFF"/>
        </w:rPr>
        <w:t>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>so zreteľom na oznámenie Komisie z 21. novembra 202</w:t>
      </w:r>
      <w:r w:rsidR="006C53CF">
        <w:t>3</w:t>
      </w:r>
      <w:r w:rsidRPr="00277769">
        <w:rPr>
          <w:i/>
        </w:rPr>
        <w:t xml:space="preserve"> </w:t>
      </w:r>
      <w:r w:rsidRPr="00277769">
        <w:t xml:space="preserve">s názvom Správa o mechanizme varovania na rok 2024 </w:t>
      </w:r>
      <w:r w:rsidR="0093725D" w:rsidRPr="00277769">
        <w:t>(</w:t>
      </w:r>
      <w:r w:rsidRPr="00277769">
        <w:t>COM(2023)</w:t>
      </w:r>
      <w:r w:rsidR="0093725D" w:rsidRPr="00277769">
        <w:t>0</w:t>
      </w:r>
      <w:r w:rsidRPr="00277769">
        <w:t>902</w:t>
      </w:r>
      <w:r w:rsidR="0093725D" w:rsidRPr="00277769">
        <w:t>)</w:t>
      </w:r>
      <w:r w:rsidRPr="00277769">
        <w:t xml:space="preserve"> a na odporúčanie Komisie z 21. novembra 202</w:t>
      </w:r>
      <w:r w:rsidR="006C53CF">
        <w:t>3</w:t>
      </w:r>
      <w:r w:rsidRPr="00277769">
        <w:t xml:space="preserve"> k odporúčaniu Rady o hospodárskej politike eurozóny </w:t>
      </w:r>
      <w:r w:rsidR="006F3E5E" w:rsidRPr="00277769">
        <w:t>(</w:t>
      </w:r>
      <w:r w:rsidRPr="00277769">
        <w:t>COM(2023)</w:t>
      </w:r>
      <w:r w:rsidR="006F3E5E" w:rsidRPr="00277769">
        <w:t>0</w:t>
      </w:r>
      <w:r w:rsidRPr="00277769">
        <w:t>903</w:t>
      </w:r>
      <w:r w:rsidR="006F3E5E" w:rsidRPr="00277769">
        <w:t>)</w:t>
      </w:r>
      <w:r w:rsidRPr="00277769">
        <w:t>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>so zreteľom na návrh spoločnej správy Komisie a Rady o zamestnanosti z 21. novembra 202</w:t>
      </w:r>
      <w:r w:rsidR="006C53CF">
        <w:t>3</w:t>
      </w:r>
      <w:bookmarkStart w:id="8" w:name="_GoBack"/>
      <w:bookmarkEnd w:id="8"/>
      <w:r w:rsidRPr="00277769">
        <w:t xml:space="preserve"> </w:t>
      </w:r>
      <w:r w:rsidR="006F3E5E" w:rsidRPr="00277769">
        <w:t>(</w:t>
      </w:r>
      <w:r w:rsidRPr="00277769">
        <w:t>COM(2023)</w:t>
      </w:r>
      <w:r w:rsidR="006F3E5E" w:rsidRPr="00277769">
        <w:t>0</w:t>
      </w:r>
      <w:r w:rsidRPr="00277769">
        <w:t>904</w:t>
      </w:r>
      <w:r w:rsidR="006F3E5E" w:rsidRPr="00277769">
        <w:t>)</w:t>
      </w:r>
      <w:r w:rsidRPr="00277769">
        <w:t>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>so zreteľom na hospodársku prognózu Komisie z jesene 2023 z 15. novembra 2023,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>so zreteľom na článok 54 rokovacieho poriadku,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>so zreteľom na stanovisko Výboru pre rozpočet,</w:t>
      </w:r>
    </w:p>
    <w:p w:rsidR="00BB75F8" w:rsidRPr="00277769" w:rsidRDefault="00BB75F8" w:rsidP="00BB75F8">
      <w:pPr>
        <w:pStyle w:val="NormalHanging12a"/>
      </w:pPr>
      <w:r w:rsidRPr="00277769">
        <w:t>–</w:t>
      </w:r>
      <w:r w:rsidRPr="00277769">
        <w:tab/>
        <w:t>so zreteľom na správu Výboru pre hospodárske a menové veci (A9-0063/2024),</w:t>
      </w:r>
    </w:p>
    <w:p w:rsidR="00BB75F8" w:rsidRPr="00277769" w:rsidRDefault="00BB75F8" w:rsidP="00BB75F8">
      <w:pPr>
        <w:pStyle w:val="NormalHanging12a"/>
      </w:pPr>
      <w:r w:rsidRPr="00277769">
        <w:t>A.</w:t>
      </w:r>
      <w:r w:rsidRPr="00277769">
        <w:tab/>
        <w:t>keďže európsky semester zohráva dôležitú úlohu pri koordinácii hospodárskych, rozpočtových, štrukturálnych, sociálnych politík a politík zamestnanosti v členských štátoch, čím sa zabezpečuje makroekonomická stabilita hospodárskej a menovej únie;</w:t>
      </w:r>
    </w:p>
    <w:p w:rsidR="00BB75F8" w:rsidRPr="00277769" w:rsidRDefault="00BB75F8" w:rsidP="00BB75F8">
      <w:pPr>
        <w:pStyle w:val="NormalHanging12a"/>
      </w:pPr>
      <w:r w:rsidRPr="00277769">
        <w:t>B.</w:t>
      </w:r>
      <w:r w:rsidRPr="00277769">
        <w:tab/>
        <w:t>keďže podľa prognózy Komisie zo zimy 2024 sa hospodárska činnosť v roku 2023 po výraznom oživení v roku 2022 zvýšila len o 0,5 % v EÚ aj v eurozóne vzhľadom na vysokú infláciu a prísnejšie podmienky financovania; keďže očakávaný rast HDP na rok 2024 bol revidovaný na 0,9 % (z 1,3 %) v EÚ a na 0,8 % (z 1,2 %) v eurozóne; keďže sa predpokladá, že v roku 2025 sa ekonomická činnosť zvýši o 1,7 % v EÚ a o 1,5 % v eurozóne;</w:t>
      </w:r>
    </w:p>
    <w:p w:rsidR="00BB75F8" w:rsidRPr="00277769" w:rsidRDefault="00BB75F8" w:rsidP="00BB75F8">
      <w:pPr>
        <w:pStyle w:val="NormalHanging12a"/>
      </w:pPr>
      <w:r w:rsidRPr="00277769">
        <w:t>C.</w:t>
      </w:r>
      <w:r w:rsidRPr="00277769">
        <w:tab/>
        <w:t>keďže trh práce EÚ vykazoval v prvom polroku 2023 naďalej dobré výsledky, a to aj napriek spomaleniu hospodárskeho rastu; keďže podľa prognózy Komisie z jesene 2023 je však nedostatok pracovnej sily naďalej akútny v mnohých odvetviach a povolaniach, najmä v oblastiach súvisiacich s rozširovaním a zavádzaním technológií s nulovou bilanciou emisií a technológií s nízkymi emisiami; keďže nezamestnanosť v EÚ ako celku dosiahla historicky nízku úroveň, pričom medzi jednotlivými členskými štátmi sú rozdiely; keďže nezamestnanosť mladých ľudí bola podľa Eurostatu v decembri 2023 na úrovni 14,7 % v EÚ a 14,4 % v eurozóne;</w:t>
      </w:r>
    </w:p>
    <w:p w:rsidR="00BB75F8" w:rsidRPr="00277769" w:rsidRDefault="00BB75F8" w:rsidP="00BB75F8">
      <w:pPr>
        <w:pStyle w:val="NormalHanging12a"/>
      </w:pPr>
      <w:r w:rsidRPr="00277769">
        <w:t>D.</w:t>
      </w:r>
      <w:r w:rsidRPr="00277769">
        <w:tab/>
        <w:t>keďže podľa prognózy Komisie zo zimy 2024 sa predpokladá, že inflácia klesne zo 6,3 % v roku 2023 na 3,0 % v roku 2024 a 2,5 % v roku 2025 v EÚ a z 5,4 % v roku 2023 na 2,7 % v roku 2024 a 2,2 % v roku 2025 v eurozóne; keďže fiškálna politika musí podporovať menovú politiku pri znižovaní inflácie a zabezpečovaní fiškálnej udržateľnosti a zároveň poskytovať dostatočný priestor na ďalšie investície a podporovať dlhodobý rast;</w:t>
      </w:r>
    </w:p>
    <w:p w:rsidR="00BB75F8" w:rsidRPr="00277769" w:rsidRDefault="00BB75F8" w:rsidP="00BB75F8">
      <w:pPr>
        <w:pStyle w:val="NormalHanging12a"/>
      </w:pPr>
      <w:r w:rsidRPr="00277769">
        <w:t>E.</w:t>
      </w:r>
      <w:r w:rsidRPr="00277769">
        <w:tab/>
        <w:t>keďže inflácia postihuje príjmové skupiny odlišne a skupiny s nízkymi príjmami sú ňou zasiahnuté neúmerne; keďže inflácia by v určitých skupinách obyvateľstva mohla spôsobiť skutočnú krízu životných nákladov, čo predstavuje výzvy pre sociálnu súdržnosť;</w:t>
      </w:r>
    </w:p>
    <w:p w:rsidR="00BB75F8" w:rsidRPr="00277769" w:rsidRDefault="00BB75F8" w:rsidP="00BB75F8">
      <w:pPr>
        <w:pStyle w:val="NormalHanging12a"/>
      </w:pPr>
      <w:r w:rsidRPr="00277769">
        <w:lastRenderedPageBreak/>
        <w:t>F.</w:t>
      </w:r>
      <w:r w:rsidRPr="00277769">
        <w:tab/>
        <w:t>keďže sa predpokladá, že pomer dlhu k HDP sa v roku 2023 znížil na 83,1 % v EÚ (a na 90,4 % v eurozóne); keďže sa predpokladá, že pomer dlhu k HDP v EÚ mierne klesne na približne 82,7 % v roku 2024 a na 82,5 % v roku 2025; keďže sa očakáva, že pomer dlhu eurozóny k HDP sa zníži na približne 89,7 % v roku 2024 a na 89,5 % v roku 2025; keďže úrovne dlhu jednotlivých členských štátov sa veľmi líšia; keďže vysoký pomer dlhu k HDP v kombinácii s vysokými úrokovými sadzbami a neistou makroekonomickou situáciou môže ohroziť dlhodobú udržateľnosť dlhu a hospodársku stabilitu;</w:t>
      </w:r>
    </w:p>
    <w:p w:rsidR="00BB75F8" w:rsidRPr="00277769" w:rsidRDefault="00BB75F8" w:rsidP="00BB75F8">
      <w:pPr>
        <w:pStyle w:val="NormalHanging12a"/>
      </w:pPr>
      <w:r w:rsidRPr="00277769">
        <w:t>G.</w:t>
      </w:r>
      <w:r w:rsidRPr="00277769">
        <w:tab/>
        <w:t>keďže podľa prognózy Komisie z jesene 2023 sa očakáva, že všeobecný deficit verejných financií v EÚ a v eurozóne klesol na 3,2 % HDP v roku 2023 a ďalej sa zníži na 2,8 % HDP v roku 2024 a 2,7 % v roku 2025; keďže všeobecná úniková doložka Paktu stability a rastu sa na konci roku 2023 deaktivovala; keďže Komisia oznámila, že Rade predloží návrh na začatie postupov pri nadmernom deficite na jar 2024, a to na základe výsledných údajov za rok 2023 v súlade so súčasnými právnymi ustanoveniami;</w:t>
      </w:r>
    </w:p>
    <w:p w:rsidR="00BB75F8" w:rsidRPr="00277769" w:rsidRDefault="00BB75F8" w:rsidP="00BB75F8">
      <w:pPr>
        <w:pStyle w:val="NormalHanging12a"/>
      </w:pPr>
      <w:r w:rsidRPr="00277769">
        <w:t>H.</w:t>
      </w:r>
      <w:r w:rsidRPr="00277769">
        <w:tab/>
        <w:t>keďže v rokoch 2023 a 2024 sa celkové zámery fiškálnej politiky podľa očakávaní zmenia na reštriktívne, a to o 0,5 % HDP v obidvoch rokoch, predovšetkým v dôsledku takmer úplného ukončenia krízových opatrení v energetike;</w:t>
      </w:r>
    </w:p>
    <w:p w:rsidR="00BB75F8" w:rsidRPr="00277769" w:rsidRDefault="00BB75F8" w:rsidP="00BB75F8">
      <w:pPr>
        <w:pStyle w:val="NormalHanging12a"/>
      </w:pPr>
      <w:r w:rsidRPr="00277769">
        <w:t>I.</w:t>
      </w:r>
      <w:r w:rsidRPr="00277769">
        <w:tab/>
        <w:t xml:space="preserve">keďže rýchla, rozhodná a koordinovaná politická reakcia umožnila oživenie hospodárstva EÚ a riešenie sociálno-ekonomických dôsledkov pandémie </w:t>
      </w:r>
      <w:r w:rsidR="0093725D" w:rsidRPr="00277769">
        <w:t xml:space="preserve">ochorenia </w:t>
      </w:r>
      <w:r w:rsidRPr="00277769">
        <w:t>COVID-19 a útočnej vojny Ruska proti Ukrajine a zvládnuť následnú energetickú krízu; keďže hospodárstvo sa v roku 2023 spomalilo; keďže výhľad naďalej charakterizuje veľká neistota a riziká, ktoré súvisia predovšetkým s vývojom pokračujúcej ruskej útočnej vojny proti Ukrajine a konfliktu na Blízkom východe;</w:t>
      </w:r>
    </w:p>
    <w:p w:rsidR="00BB75F8" w:rsidRPr="00277769" w:rsidRDefault="00BB75F8" w:rsidP="00BB75F8">
      <w:pPr>
        <w:pStyle w:val="NormalHanging12a"/>
      </w:pPr>
      <w:r w:rsidRPr="00277769">
        <w:t>J.</w:t>
      </w:r>
      <w:r w:rsidRPr="00277769">
        <w:tab/>
        <w:t>keďže tieto rušivé geopolitické udalosti ukázali, že je potrebné, aby Európska únia ďalej posilňovala svoju otvorenú strategickú autonómiu a zostala konkurencieschopná na svetovom trhu, pričom zároveň musí zabezpečiť, aby sa na nikoho nezabudlo;</w:t>
      </w:r>
    </w:p>
    <w:p w:rsidR="00BB75F8" w:rsidRPr="00277769" w:rsidRDefault="00BB75F8" w:rsidP="00BB75F8">
      <w:pPr>
        <w:pStyle w:val="NormalHanging12a"/>
      </w:pPr>
      <w:r w:rsidRPr="00277769">
        <w:t>K.</w:t>
      </w:r>
      <w:r w:rsidRPr="00277769">
        <w:tab/>
        <w:t>keďže financovanie EÚ prispieva k makroekonomickej sile na úrovni EÚ a zvyšuje jej vnútornú a vonkajšiu odolnosť v čase krízy, pričom podporuje členské štáty pri financovaní potrebných investícií do priorít EÚ na riešenie súčasných a budúcich výziev;</w:t>
      </w:r>
    </w:p>
    <w:p w:rsidR="00BB75F8" w:rsidRPr="00277769" w:rsidRDefault="00BB75F8" w:rsidP="00BB75F8">
      <w:pPr>
        <w:pStyle w:val="NormalHanging12a"/>
      </w:pPr>
      <w:r w:rsidRPr="00277769">
        <w:t>L.</w:t>
      </w:r>
      <w:r w:rsidRPr="00277769">
        <w:tab/>
        <w:t>keďže po značnej expanzii súvisiacej s krízou v rokoch 2020 až 2022 sa očakáva, že zámery fiškálnej politiky v eurozóne budú v rokoch 2023 a 2024 reštriktívne; keďže zámery fiškálnej politiky by mali zostať pružné vzhľadom na vysokú neistotu;</w:t>
      </w:r>
    </w:p>
    <w:p w:rsidR="00BB75F8" w:rsidRPr="00277769" w:rsidRDefault="00BB75F8" w:rsidP="00BB75F8">
      <w:pPr>
        <w:pStyle w:val="NormalHanging12a"/>
      </w:pPr>
      <w:r w:rsidRPr="00277769">
        <w:t>M.</w:t>
      </w:r>
      <w:r w:rsidRPr="00277769">
        <w:tab/>
        <w:t xml:space="preserve">keďže čisté verejné investície ako percento HDP v EÚ po finančnej kríze v dôsledku pandémie </w:t>
      </w:r>
      <w:r w:rsidR="0093725D" w:rsidRPr="00277769">
        <w:t xml:space="preserve">ochorenia </w:t>
      </w:r>
      <w:r w:rsidRPr="00277769">
        <w:t>COVID-19 prudko klesli a v niektorých prípadoch dosiahli záporné hodnoty; keďže tento pomer sa ešte úplne neobnovil; keďže úspech klimaticky neutrálnych politík a digitálnej transformácie závisí od spoločného európskeho prístupu a vyžaduje si opatrenia na úrovni EÚ aj členských štátov; keďže budúca odolnosť EÚ je úzko spojená so zvýšenými verejnými a súkromnými investíciami do udržateľného rastu a ambicióznym programom štrukturálnych reforiem; keďže je nevyhnutné včas sa zaoberať potrebou stratégie na zabezpečenie primeraných verejných investícií po skončení Mechanizmu na podporu obnovy a odolnosti v roku 2026; keďže dosiahnutie cieľov Európskej zelenej dohody a Parížskej dohody si vyžaduje značné verejné a súkromné investície;</w:t>
      </w:r>
    </w:p>
    <w:p w:rsidR="00BB75F8" w:rsidRPr="00277769" w:rsidRDefault="00BB75F8" w:rsidP="00BB75F8">
      <w:pPr>
        <w:pStyle w:val="NormalHanging12a"/>
      </w:pPr>
      <w:r w:rsidRPr="00277769">
        <w:lastRenderedPageBreak/>
        <w:t>N.</w:t>
      </w:r>
      <w:r w:rsidRPr="00277769">
        <w:tab/>
        <w:t>keďže členské štáty by mali zaviesť potrebné kontrolné a audítorské mechanizmy na zaistenie dodržiavania zásad právneho štátu a ochranu finančných záujmov EÚ, najmä s cieľom predchádzať podvodom, korupcii a konfliktom záujmov a zabezpečiť transparentnosť; keďže je dôležité, aby členské štáty v tejto súvislosti vykonávali príslušné podporné odporúčania pre jednotlivé krajiny;</w:t>
      </w:r>
    </w:p>
    <w:p w:rsidR="00BB75F8" w:rsidRPr="00277769" w:rsidRDefault="00BB75F8" w:rsidP="00BB75F8">
      <w:pPr>
        <w:pStyle w:val="NormalHanging12a"/>
        <w:rPr>
          <w:b/>
        </w:rPr>
      </w:pPr>
      <w:r w:rsidRPr="00277769">
        <w:rPr>
          <w:b/>
          <w:i/>
        </w:rPr>
        <w:t>Hospodárske vyhliadky EÚ</w:t>
      </w:r>
    </w:p>
    <w:p w:rsidR="00BB75F8" w:rsidRPr="00277769" w:rsidRDefault="00BB75F8" w:rsidP="00BB75F8">
      <w:pPr>
        <w:pStyle w:val="NormalHanging12a"/>
      </w:pPr>
      <w:r w:rsidRPr="00277769">
        <w:t>1.</w:t>
      </w:r>
      <w:r w:rsidRPr="00277769">
        <w:tab/>
        <w:t>vyjadruje znepokojenie nad situáciou v hospodárstve, pretrvávajúcou neistotou, slabým rastom, konkurencieschopnosťou a produktivitou v EÚ; so znepokojením berie na vedomie pokračujúci vplyv cien energií a inflácie na kúpnu silu domácností, čo vedie k zvýšenému riziku chudoby vrátane energetickej chudoby mnohých Európanov, a na výkonnosť podnikov EÚ vrátane malých a stredných podnikov (MSP); vyzýva členské štáty, aby prijali ďalšie kroky na prekonanie týchto problémov, vykonávali cielené opatrenia s cieľom zabezpečiť spravodlivú hospodársku súťaž na jednotnom trhu a riešili pretrvávajúce inflačné tlaky;</w:t>
      </w:r>
    </w:p>
    <w:p w:rsidR="00BB75F8" w:rsidRPr="00277769" w:rsidRDefault="00BB75F8" w:rsidP="00BB75F8">
      <w:pPr>
        <w:pStyle w:val="NormalHanging12a"/>
      </w:pPr>
      <w:r w:rsidRPr="00277769">
        <w:t>2.</w:t>
      </w:r>
      <w:r w:rsidRPr="00277769">
        <w:tab/>
        <w:t>konštatuje, že mnohé členské štáty zápasia so štrukturálnymi výzvami, ktoré bránia ich potenciálu rastu; zdôrazňuje, že riešenie štrukturálnych výziev má zásadný význam pre udržateľnú obnovu a trvalý rast a že vykonávanie reforiem na riešenie štrukturálne slabých miest je kľúčové nielen na zlepšenie schopnosti odolávať existujúcim výzvam a zvládať ich, ale aj na udržateľné a spravodlivé uskutočnenie dvojakej transformácie; zdôrazňuje, že ambiciózne štrukturálne reformy sú stále nevyhnutné na posilnenie hospodárskej základne EÚ, podporu zakladania podnikov a podnikania a posilnenie konkurencieschopnosti, produktivity a celkového potenciálu rastu EÚ;</w:t>
      </w:r>
    </w:p>
    <w:p w:rsidR="00BB75F8" w:rsidRPr="00277769" w:rsidRDefault="00BB75F8" w:rsidP="00BB75F8">
      <w:pPr>
        <w:pStyle w:val="NormalHanging12a"/>
      </w:pPr>
      <w:r w:rsidRPr="00277769">
        <w:t>3.</w:t>
      </w:r>
      <w:r w:rsidRPr="00277769">
        <w:tab/>
        <w:t>zdôrazňuje, že nedostatočné verejné a súkromné investície v niektorých členských štátoch brzdia potenciál sociálne spravodlivého a environmentálne udržateľného rastu; domnieva sa, že kľúčovými faktormi na prilákanie investícií sú predvídateľné pravidlá, rovnaké podmienky a nižšie náklady na dodržiavanie predpisov; zdôrazňuje, že tieto investície sú kľúčové pre schopnosť EÚ riešiť súčasné výzvy vrátane spravodlivej zelenej a digitálnej transformácie a že zvýšia odolnosť EÚ a jej dlhodobú konkurencieschopnosť počas nadchádzajúcich výziev; domnieva sa, že tieto investície by mali byť spojené s reformami na posilnenie rastu a odolnosti; upozorňuje na investície do obnoviteľných zdrojov energie a energetickej efektívnosti, ktoré sú potrebné okrem iného na to, aby EÚ bola nezávislá od dovážaných fosílnych palív a aby sa obmedzila inflácia spôsobená cenami energie; berie na vedomie reštriktívne zámery fiškálnej politiky, ktoré sa očakávajú v rokoch 2023 a 2024; zdôrazňuje, že prípadný pokles by nemal byť na úkor investícií, ktoré by sa mali v celej Únii zvýšiť;</w:t>
      </w:r>
    </w:p>
    <w:p w:rsidR="00BB75F8" w:rsidRPr="00277769" w:rsidRDefault="00BB75F8" w:rsidP="00BB75F8">
      <w:pPr>
        <w:pStyle w:val="NormalHanging12a"/>
      </w:pPr>
      <w:r w:rsidRPr="00277769">
        <w:t>4.</w:t>
      </w:r>
      <w:r w:rsidRPr="00277769">
        <w:tab/>
        <w:t>zdôrazňuje, že ďalšie prehĺbenie jednotného trhu a odstránenie prekážok pre investície, a to aj prostredníctvom reforiem, ktoré zefektívnia a zdigitalizujú plánovacie, povoľovacie a iné administratívne postupy, by pomohlo zvýšiť súkromné investície; znovu zdôrazňuje, že prispieť môže aj priemyselná politika, ako aj prehĺbené a integrované kapitálové trhy a inovácia, a to podporou investícií, zachovaním globálnej konkurencieschopnosti EÚ a zmierňovaním rizík spojených s nadmernou závislosťou od obmedzeného počtu tretích krajín v oblasti kľúčových technológií, surovín a priemyselných vstupov;</w:t>
      </w:r>
    </w:p>
    <w:p w:rsidR="00BB75F8" w:rsidRPr="00277769" w:rsidRDefault="00BB75F8" w:rsidP="00BB75F8">
      <w:pPr>
        <w:pStyle w:val="NormalHanging12a"/>
      </w:pPr>
      <w:r w:rsidRPr="00277769">
        <w:t>5.</w:t>
      </w:r>
      <w:r w:rsidRPr="00277769">
        <w:tab/>
        <w:t xml:space="preserve">vyzýva členské štáty, aby uskutočňovali preskúmanie výdavkov ako pravidelný krok (viac)ročného rozpočtového postupu, čo by pomohlo zlepšiť efektívnosť a kvalitu </w:t>
      </w:r>
      <w:r w:rsidRPr="00277769">
        <w:lastRenderedPageBreak/>
        <w:t>verejných výdavkov; súhlasí s odporúčaním Komisie v ročnom prieskume udržateľného rastu na rok 2024, že členské štáty by mali čo najskôr ukončiť opatrenia na podporu energetiky súvisiace s krízou a postupne zrušiť dotácie na fosílne palivá; zdôrazňuje, že verejné príjmy, ako aj verejné výdavky majú zásadný význam na zaručenie udržateľnosti verejných financií; vyzýva členské štáty, aby prijali opatrenia na boj proti daňovým podvodom, vyhýbaniu sa daňovým povinnostiam, daňovým únikom a praniu špinavých peňazí; v tejto súvislosti víta dohodu o balíku opatrení na boj proti praniu špinavých peňazí;</w:t>
      </w:r>
    </w:p>
    <w:p w:rsidR="00BB75F8" w:rsidRPr="00277769" w:rsidRDefault="00BB75F8" w:rsidP="00BB75F8">
      <w:pPr>
        <w:pStyle w:val="NormalHanging12a"/>
      </w:pPr>
      <w:r w:rsidRPr="00277769">
        <w:t>6.</w:t>
      </w:r>
      <w:r w:rsidRPr="00277769">
        <w:tab/>
        <w:t>súhlasí s hodnotením Komisie, že riziká spojené s vysokým zadlžením a cenovými rozdielmi sú naďalej relevantné, najmä v členských štátoch, kde si obsluha dlhu vyžaduje rozsiahle refinancovanie dlhu alebo kde súkromný sektor čelí prudkému zvýšeniu platieb úrokov;</w:t>
      </w:r>
    </w:p>
    <w:p w:rsidR="00BB75F8" w:rsidRPr="00277769" w:rsidRDefault="00BB75F8" w:rsidP="00BB75F8">
      <w:pPr>
        <w:pStyle w:val="NormalHanging12a"/>
      </w:pPr>
      <w:r w:rsidRPr="00277769">
        <w:t>7.</w:t>
      </w:r>
      <w:r w:rsidRPr="00277769">
        <w:tab/>
        <w:t>vyzýva členské štáty v eurozóne, aby preskúmali všetky prostriedky na dokončenie revízie Zmluvy o Európskom mechanizme pre stabilitu s cieľom umožniť zavedenie spoločného zabezpečovacieho mechanizmu pre jednotný fond na riešenie krízových situácií, ktorý by ďalej posilnil odolnosť eurozóny;</w:t>
      </w:r>
    </w:p>
    <w:p w:rsidR="00BB75F8" w:rsidRPr="00277769" w:rsidRDefault="00BB75F8" w:rsidP="00BB75F8">
      <w:pPr>
        <w:pStyle w:val="NormalHanging12a"/>
      </w:pPr>
      <w:r w:rsidRPr="00277769">
        <w:rPr>
          <w:b/>
          <w:i/>
        </w:rPr>
        <w:t>Európsky semester a Mechanizmus na podporu obnovy a odolnosti</w:t>
      </w:r>
    </w:p>
    <w:p w:rsidR="00BB75F8" w:rsidRPr="00277769" w:rsidRDefault="00BB75F8" w:rsidP="00BB75F8">
      <w:pPr>
        <w:pStyle w:val="NormalHanging12a"/>
      </w:pPr>
      <w:r w:rsidRPr="00277769">
        <w:t>8.</w:t>
      </w:r>
      <w:r w:rsidRPr="00277769">
        <w:tab/>
        <w:t>pripomína, že európsky semester je dobre zavedený rámec na koordináciu rozpočtových, hospodárskych a sociálnych politík a politík zamestnanosti v celej Únii v súlade so zmluvami vrátane Európskeho piliera sociálnych práv, čím sa zabezpečuje jeho makroekonomická stabilita, udržateľná konvergencia ekonomickej výkonnosti členských štátov a sociálna súdržnosť EÚ; požaduje väčšiu zodpovednosť členských štátov v európskom semestri, napríklad prostredníctvom ich miestnych a regionálnych orgánov; konštatuje, že Priemyselný plán Zelenej dohody z roku 2023 je súčasťou stratégie rastu EÚ;</w:t>
      </w:r>
    </w:p>
    <w:p w:rsidR="00BB75F8" w:rsidRPr="00277769" w:rsidRDefault="00BB75F8" w:rsidP="00BB75F8">
      <w:pPr>
        <w:pStyle w:val="NormalHanging12a"/>
      </w:pPr>
      <w:r w:rsidRPr="00277769">
        <w:t>9.</w:t>
      </w:r>
      <w:r w:rsidRPr="00277769">
        <w:tab/>
        <w:t>súhlasí s názorom, že odporúčania pre jednotlivé krajiny na rok 2024 sa musia zamerať na konkrétne kritériá; zdôrazňuje, že musia slúžiť aj na podporu zdravého a inkluzívneho hospodárskeho rastu, posilnenie konkurencieschopnosti a makroekonomickej stability, podporu zelenej a digitálnej transformácie a zabezpečenie sociálnej a medzigeneračnej spravodlivosti; berie na vedomie rozdiely týkajúce sa národných prognóz rastu HDP, inflácie, nezamestnanosti, salda verejných financií, hrubého verejného dlhu a salda bežného účtu a konštatuje, že poukazujú na potrebu flexibilných prístupov založených na konkrétnej realite každého členského štátu; vyzýva v tejto súvislosti Komisiu, aby lepšie prepojila odporúčania pre jednotlivé krajiny s príslušnými správami o jednotlivých krajinách; vyzýva na účinné monitorovanie vykonávania odporúčaní pre jednotlivé krajiny a príslušných reforiem, ako aj pokroku pri znižovaní zistených nedostatkov investícií; zdôrazňuje, že odporúčania pre jednotlivé krajiny musia zohľadňovať sociálnu zraniteľnosť a nezamestnanosť; berie na vedomie klesajúci počet sociálnych odporúčaní pre jednotlivé krajiny na základe sociálneho prehľadu;</w:t>
      </w:r>
    </w:p>
    <w:p w:rsidR="00BB75F8" w:rsidRPr="00277769" w:rsidRDefault="00BB75F8" w:rsidP="00BB75F8">
      <w:pPr>
        <w:pStyle w:val="NormalHanging12a"/>
      </w:pPr>
      <w:r w:rsidRPr="00277769">
        <w:t>10.</w:t>
      </w:r>
      <w:r w:rsidRPr="00277769">
        <w:tab/>
        <w:t xml:space="preserve">víta flexibilitu pri úprave Mechanizmu na podporu obnovy a odolnosti, napr. v kontexte plánu REPowerEU, na základe skúseností získaných z jeho vykonávania; zdôrazňuje, že míľniky a ciele v národných plánoch obnovy by mali byť v súlade s odporúčaniami pre jednotlivé krajiny a že členské štáty by mali riešiť aspoň významnú podskupinu odporúčaní pre jednotlivé krajiny, ako súčasť svojich národných plánov obnovy a </w:t>
      </w:r>
      <w:r w:rsidRPr="00277769">
        <w:lastRenderedPageBreak/>
        <w:t>odolnosti; vyzdvihuje úspech Mechanizmu na podporu obnovy a odolnosti; pripomína, že úspech a účinnosť financovaných projektov sa bude merať na základe ich vplyvu na hospodárstvo a zamestnanosť, a vyzýva na rýchle, transparentné a účinné vykonávanie týchto projektov; v tejto súvislosti zdôrazňuje, že súlad s nariadením o Mechanizme na podporu obnovy a odolnosti a riadne vykonávanie sú kľúčové pre dôveryhodnosť tohto mechanizmu;</w:t>
      </w:r>
    </w:p>
    <w:p w:rsidR="00BB75F8" w:rsidRPr="00277769" w:rsidRDefault="00BB75F8" w:rsidP="00BB75F8">
      <w:pPr>
        <w:pStyle w:val="NormalHanging12a"/>
      </w:pPr>
      <w:r w:rsidRPr="00277769">
        <w:t>11.</w:t>
      </w:r>
      <w:r w:rsidRPr="00277769">
        <w:tab/>
        <w:t>berie na vedomie úlohu Mechanizmu na podporu obnovy a odolnosti pri riešení globálnych výziev vyplývajúcich zo zelenej a digitálnej transformácie hospodárstva; zdôrazňuje, že reformy a investície v rámci plánov obnovy a odolnosti prispievajú k cieľom nariadenia o Mechanizme na podporu obnovy a odolnosti v oblasti klímy a rešpektujú zásadu „nespôsobovať významnú škodu“; vyzýva členské štáty, aby čo najlepšie využili túto príležitosť a využili Mechanizmus na podporu obnovy a odolnosti na transformáciu svojich hospodárstiev a zvýšenie ich konkurencieschopnosti; pripomína, že je dôležité overiť, či sa finančné prostriedky dostávajú do reálnej ekonomiky a k MSP, a zdôrazňuje význam zodpovednosti a transparentnosti, pokiaľ ide o subjekty, ktoré dostávajú finančné prostriedky EÚ;</w:t>
      </w:r>
    </w:p>
    <w:p w:rsidR="00BB75F8" w:rsidRPr="00277769" w:rsidRDefault="00BB75F8" w:rsidP="00BB75F8">
      <w:pPr>
        <w:pStyle w:val="NormalHanging12a"/>
      </w:pPr>
      <w:r w:rsidRPr="00277769">
        <w:t>12.</w:t>
      </w:r>
      <w:r w:rsidRPr="00277769">
        <w:tab/>
        <w:t>zdôrazňuje význam súkromných a verejných investícií v kontexte hospodárskej obnovy a pri riadení dvojakej transformácie; pripomína, že Mechanizmus na podporu obnovy a odolnosti nenahrádza osobitnú úlohu vnútroštátnych verejných investícií; opakuje, že treba zabezpečiť kvalitu, transparentnosť a zodpovednosť verejných investícií a vnútroštátnych stratégií, aby boli v súlade s cieľmi dvojakej transformácie; zdôrazňuje, že tieto národné stratégie pre dvojakú transformáciu by mali dopĺňať Mechanizmus na podporu obnovy a odolnosti a iné európske investičné nástroje;</w:t>
      </w:r>
    </w:p>
    <w:p w:rsidR="00BB75F8" w:rsidRPr="00277769" w:rsidRDefault="00BB75F8" w:rsidP="00BB75F8">
      <w:pPr>
        <w:pStyle w:val="NormalHanging12a"/>
      </w:pPr>
      <w:r w:rsidRPr="00277769">
        <w:t>13.</w:t>
      </w:r>
      <w:r w:rsidRPr="00277769">
        <w:tab/>
        <w:t>podporuje zefektívnenie programov politiky súdržnosti EÚ s investičnými potrebami identifikovanými v rámci Mechanizmu na podporu obnovy a odolnosti a odporúčaní pre jednotlivé krajiny; pripomína, že politika súdržnosti slúži širšiemu súboru cieľov než je Mechanizmus na podporu obnovy a odolnosti a môže dopĺňať opatrenia dohodnuté v rámci tohto mechanizmu; žiada, aby sa účasť zainteresovaných strán, a to aj sociálnych partnerov, organizácií občianskej spoločnosti a podnikateľského sektora, porovnateľne začlenila do prípravy a vykonávania národných plánov obnovy a odolnosti, ako je to v prípade programov politiky súdržnosti;</w:t>
      </w:r>
    </w:p>
    <w:p w:rsidR="00BB75F8" w:rsidRPr="00277769" w:rsidRDefault="00BB75F8" w:rsidP="00BB75F8">
      <w:pPr>
        <w:pStyle w:val="NormalHanging12a"/>
      </w:pPr>
      <w:r w:rsidRPr="00277769">
        <w:t>14.</w:t>
      </w:r>
      <w:r w:rsidRPr="00277769">
        <w:tab/>
        <w:t>zdôrazňuje, že koordinácia medzi príslušnými orgánmi, a to aj medzi národnými vládami a regionálnymi a miestnymi orgánmi, je dôležitá na riadenie Mechanizmu na podporu obnovy a odolnosti a na prekonanie administratívnych prekážok a byrokracie;</w:t>
      </w:r>
    </w:p>
    <w:p w:rsidR="00BB75F8" w:rsidRPr="00277769" w:rsidRDefault="00BB75F8" w:rsidP="00BB75F8">
      <w:pPr>
        <w:pStyle w:val="NormalHanging12a"/>
      </w:pPr>
      <w:r w:rsidRPr="00277769">
        <w:t>15.</w:t>
      </w:r>
      <w:r w:rsidRPr="00277769">
        <w:tab/>
        <w:t>berie na vedomie predbežnú politickú dohodu dosiahnutú medzi spoluzákonodarcami 10. februára 2024 o reforme rámca správy hospodárskych záležitostí EÚ, ktorej cieľom je zabezpečiť účinnú koordináciu hospodárskych politík a trvalú konvergenciu hospodárskej a sociálnej výkonnosti členských štátov;</w:t>
      </w:r>
    </w:p>
    <w:p w:rsidR="00BB75F8" w:rsidRPr="00277769" w:rsidRDefault="00BB75F8" w:rsidP="00BB75F8">
      <w:pPr>
        <w:pStyle w:val="NormalHanging12a"/>
      </w:pPr>
      <w:r w:rsidRPr="00277769">
        <w:t>16.</w:t>
      </w:r>
      <w:r w:rsidRPr="00277769">
        <w:tab/>
        <w:t xml:space="preserve">víta poznatky získané z návrhov na správu Mechanizmu na podporu obnovy a odolnosti; konštatuje, že reforma rámca správy hospodárskych záležitostí neposkytuje mechanizmy finančných stimulov EÚ na podporu a presadzovanie vnútroštátnych politických reforiem a investícií; zdôrazňuje, že poskytnutie potrebnej úrovne verejných investícií je nevyhnutné na dosiahnutie hlavných cieľov reformy rámca správy hospodárskych záležitostí a na riešenie súčasných a budúcich priorít Únie; je znepokojený tým, že niektoré členské štáty nebudú mať vlastnú finančnú kapacitu na </w:t>
      </w:r>
      <w:r w:rsidRPr="00277769">
        <w:lastRenderedPageBreak/>
        <w:t>financovanie spravodlivej zelenej a digitálnej transformácie;</w:t>
      </w:r>
    </w:p>
    <w:p w:rsidR="00BB75F8" w:rsidRPr="00277769" w:rsidRDefault="00BB75F8" w:rsidP="00BB75F8">
      <w:pPr>
        <w:pStyle w:val="NormalHanging12a"/>
      </w:pPr>
      <w:r w:rsidRPr="00277769">
        <w:t>17.</w:t>
      </w:r>
      <w:r w:rsidRPr="00277769">
        <w:tab/>
        <w:t>zdôrazňuje úlohu Európskeho parlamentu v rámci správy hospodárskych záležitostí EÚ a zasadzuje sa za jeho širšie zapojenie do európskeho semestra, pričom treba v plnej miere rešpektovať právomoci stanovené v zmluvách; berie na vedomie dialóg medzi Komisiou a členskými štátmi o ich individuálnych fiškálno-štrukturálnych plánoch; zdôrazňuje potrebu, aby sa so všetkými členskými štátmi zaobchádzalo rovnako; zdôrazňuje, že rozšírenie diskrečnej právomoci Komisie v procese vypracovania strednodobých fiškálno-štrukturálnych plánov musí byť spojené so zvýšeným dodržiavaním pravidiel pod kontrolou Európskej fiškálnej rady, ako aj väčšou zodpovednosťou a zvýšením toku informácií smerujúcich Európskemu parlamentu; uznáva, že hospodársky dialóg ako súčasť európskeho semestra je užitočným základom zodpovednosti; domnieva sa, že náležitá zodpovednosť si vyžaduje, aby Európsky parlament mal nástroje, ktoré mu umožnia uplatňovať dôsledky na základe jeho posúdenia výkonnosti európskeho semestra v súlade so zmluvami;</w:t>
      </w:r>
    </w:p>
    <w:p w:rsidR="006F3E5E" w:rsidRPr="00277769" w:rsidRDefault="006F3E5E" w:rsidP="006F3E5E">
      <w:pPr>
        <w:pStyle w:val="NormalHanging12a"/>
        <w:widowControl/>
        <w:ind w:left="0" w:firstLine="0"/>
        <w:jc w:val="center"/>
      </w:pPr>
      <w:r w:rsidRPr="00277769">
        <w:t>°</w:t>
      </w:r>
    </w:p>
    <w:p w:rsidR="006F3E5E" w:rsidRPr="00277769" w:rsidRDefault="006F3E5E" w:rsidP="006F3E5E">
      <w:pPr>
        <w:pStyle w:val="NormalHanging12a"/>
        <w:widowControl/>
        <w:ind w:left="0" w:firstLine="0"/>
        <w:jc w:val="center"/>
      </w:pPr>
      <w:r w:rsidRPr="00277769">
        <w:t>°     °</w:t>
      </w:r>
    </w:p>
    <w:p w:rsidR="00BB75F8" w:rsidRPr="00277769" w:rsidRDefault="00BB75F8" w:rsidP="00BB75F8">
      <w:r w:rsidRPr="00277769">
        <w:t>18.</w:t>
      </w:r>
      <w:r w:rsidRPr="00277769">
        <w:tab/>
        <w:t xml:space="preserve">poveruje svoju predsedníčku, aby postúpila toto uznesenie Rade a Komisii. </w:t>
      </w:r>
    </w:p>
    <w:sectPr w:rsidR="00BB75F8" w:rsidRPr="00277769" w:rsidSect="00D567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B57" w:rsidRPr="00D567C7" w:rsidRDefault="00853B57">
      <w:r w:rsidRPr="00D567C7">
        <w:separator/>
      </w:r>
    </w:p>
  </w:endnote>
  <w:endnote w:type="continuationSeparator" w:id="0">
    <w:p w:rsidR="00853B57" w:rsidRPr="00D567C7" w:rsidRDefault="00853B57">
      <w:r w:rsidRPr="00D567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567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567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567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B57" w:rsidRPr="00D567C7" w:rsidRDefault="00853B57">
      <w:r w:rsidRPr="00D567C7">
        <w:separator/>
      </w:r>
    </w:p>
  </w:footnote>
  <w:footnote w:type="continuationSeparator" w:id="0">
    <w:p w:rsidR="00853B57" w:rsidRPr="00D567C7" w:rsidRDefault="00853B57">
      <w:r w:rsidRPr="00D567C7">
        <w:continuationSeparator/>
      </w:r>
    </w:p>
  </w:footnote>
  <w:footnote w:id="1">
    <w:p w:rsidR="00BB75F8" w:rsidRPr="00D567C7" w:rsidRDefault="00BB75F8" w:rsidP="00D567C7">
      <w:pPr>
        <w:pStyle w:val="FootnoteText"/>
        <w:ind w:left="567" w:hanging="567"/>
        <w:rPr>
          <w:sz w:val="24"/>
          <w:lang w:val="sk-SK"/>
        </w:rPr>
      </w:pPr>
      <w:r w:rsidRPr="00D567C7">
        <w:rPr>
          <w:rStyle w:val="FootnoteReference"/>
          <w:sz w:val="24"/>
          <w:lang w:val="sk-SK"/>
        </w:rPr>
        <w:footnoteRef/>
      </w:r>
      <w:r w:rsidR="00D567C7" w:rsidRPr="00D567C7">
        <w:rPr>
          <w:sz w:val="24"/>
          <w:lang w:val="sk-SK"/>
        </w:rPr>
        <w:t xml:space="preserve"> </w:t>
      </w:r>
      <w:r w:rsidR="00D567C7" w:rsidRPr="00D567C7">
        <w:rPr>
          <w:sz w:val="24"/>
          <w:lang w:val="sk-SK"/>
        </w:rPr>
        <w:tab/>
      </w:r>
      <w:r w:rsidRPr="00D567C7">
        <w:rPr>
          <w:sz w:val="24"/>
          <w:lang w:val="sk-SK"/>
        </w:rPr>
        <w:t>Ú. v. EÚ L 306, 23.11.2011, s. 41.</w:t>
      </w:r>
    </w:p>
  </w:footnote>
  <w:footnote w:id="2">
    <w:p w:rsidR="00BB75F8" w:rsidRPr="00D567C7" w:rsidRDefault="00BB75F8" w:rsidP="00D567C7">
      <w:pPr>
        <w:pStyle w:val="FootnoteText"/>
        <w:ind w:left="567" w:hanging="567"/>
        <w:rPr>
          <w:sz w:val="24"/>
          <w:lang w:val="sk-SK"/>
        </w:rPr>
      </w:pPr>
      <w:r w:rsidRPr="00D567C7">
        <w:rPr>
          <w:rStyle w:val="FootnoteReference"/>
          <w:sz w:val="24"/>
          <w:lang w:val="sk-SK"/>
        </w:rPr>
        <w:footnoteRef/>
      </w:r>
      <w:r w:rsidR="00D567C7" w:rsidRPr="00D567C7">
        <w:rPr>
          <w:sz w:val="24"/>
          <w:lang w:val="sk-SK"/>
        </w:rPr>
        <w:t xml:space="preserve"> </w:t>
      </w:r>
      <w:r w:rsidR="00D567C7" w:rsidRPr="00D567C7">
        <w:rPr>
          <w:sz w:val="24"/>
          <w:lang w:val="sk-SK"/>
        </w:rPr>
        <w:tab/>
      </w:r>
      <w:r w:rsidRPr="00D567C7">
        <w:rPr>
          <w:sz w:val="24"/>
          <w:lang w:val="sk-SK"/>
        </w:rPr>
        <w:t>Ú. v. EÚ L 306, 23.11.2011, s. 33.</w:t>
      </w:r>
    </w:p>
  </w:footnote>
  <w:footnote w:id="3">
    <w:p w:rsidR="00BB75F8" w:rsidRPr="00D567C7" w:rsidRDefault="00BB75F8" w:rsidP="00D567C7">
      <w:pPr>
        <w:pStyle w:val="FootnoteText"/>
        <w:ind w:left="567" w:hanging="567"/>
        <w:rPr>
          <w:sz w:val="24"/>
          <w:lang w:val="sk-SK"/>
        </w:rPr>
      </w:pPr>
      <w:r w:rsidRPr="00D567C7">
        <w:rPr>
          <w:rStyle w:val="FootnoteReference"/>
          <w:sz w:val="24"/>
          <w:lang w:val="sk-SK"/>
        </w:rPr>
        <w:footnoteRef/>
      </w:r>
      <w:r w:rsidR="00D567C7" w:rsidRPr="00D567C7">
        <w:rPr>
          <w:sz w:val="24"/>
          <w:lang w:val="sk-SK"/>
        </w:rPr>
        <w:t xml:space="preserve"> </w:t>
      </w:r>
      <w:r w:rsidR="00D567C7" w:rsidRPr="00D567C7">
        <w:rPr>
          <w:sz w:val="24"/>
          <w:lang w:val="sk-SK"/>
        </w:rPr>
        <w:tab/>
      </w:r>
      <w:r w:rsidRPr="00D567C7">
        <w:rPr>
          <w:sz w:val="24"/>
          <w:lang w:val="sk-SK"/>
        </w:rPr>
        <w:t>Ú. v. EÚ L 306, 23.11.2011, s. 1.</w:t>
      </w:r>
    </w:p>
  </w:footnote>
  <w:footnote w:id="4">
    <w:p w:rsidR="00BB75F8" w:rsidRPr="00D567C7" w:rsidRDefault="00BB75F8" w:rsidP="00D567C7">
      <w:pPr>
        <w:pStyle w:val="FootnoteText"/>
        <w:ind w:left="567" w:hanging="567"/>
        <w:rPr>
          <w:sz w:val="24"/>
          <w:lang w:val="sk-SK"/>
        </w:rPr>
      </w:pPr>
      <w:r w:rsidRPr="00D567C7">
        <w:rPr>
          <w:rStyle w:val="FootnoteReference"/>
          <w:sz w:val="24"/>
          <w:lang w:val="sk-SK"/>
        </w:rPr>
        <w:footnoteRef/>
      </w:r>
      <w:r w:rsidR="00D567C7" w:rsidRPr="00D567C7">
        <w:rPr>
          <w:sz w:val="24"/>
          <w:lang w:val="sk-SK"/>
        </w:rPr>
        <w:t xml:space="preserve"> </w:t>
      </w:r>
      <w:r w:rsidR="00D567C7" w:rsidRPr="00D567C7">
        <w:rPr>
          <w:sz w:val="24"/>
          <w:lang w:val="sk-SK"/>
        </w:rPr>
        <w:tab/>
      </w:r>
      <w:r w:rsidRPr="00D567C7">
        <w:rPr>
          <w:sz w:val="24"/>
          <w:lang w:val="sk-SK"/>
        </w:rPr>
        <w:t>Ú. v. EÚ L 306, 23.11.2011, s. 8.</w:t>
      </w:r>
    </w:p>
  </w:footnote>
  <w:footnote w:id="5">
    <w:p w:rsidR="00BB75F8" w:rsidRPr="00D567C7" w:rsidRDefault="00BB75F8" w:rsidP="00D567C7">
      <w:pPr>
        <w:pStyle w:val="FootnoteText"/>
        <w:ind w:left="567" w:hanging="567"/>
        <w:rPr>
          <w:sz w:val="24"/>
          <w:lang w:val="sk-SK"/>
        </w:rPr>
      </w:pPr>
      <w:r w:rsidRPr="00D567C7">
        <w:rPr>
          <w:rStyle w:val="FootnoteReference"/>
          <w:sz w:val="24"/>
          <w:lang w:val="sk-SK"/>
        </w:rPr>
        <w:footnoteRef/>
      </w:r>
      <w:r w:rsidR="00D567C7" w:rsidRPr="00D567C7">
        <w:rPr>
          <w:sz w:val="24"/>
          <w:lang w:val="sk-SK"/>
        </w:rPr>
        <w:t xml:space="preserve"> </w:t>
      </w:r>
      <w:r w:rsidR="00D567C7" w:rsidRPr="00D567C7">
        <w:rPr>
          <w:sz w:val="24"/>
          <w:lang w:val="sk-SK"/>
        </w:rPr>
        <w:tab/>
      </w:r>
      <w:r w:rsidRPr="00D567C7">
        <w:rPr>
          <w:sz w:val="24"/>
          <w:lang w:val="sk-SK"/>
        </w:rPr>
        <w:t>Ú. v. EÚ L 306, 23.11.2011, s. 12.</w:t>
      </w:r>
    </w:p>
  </w:footnote>
  <w:footnote w:id="6">
    <w:p w:rsidR="00BB75F8" w:rsidRPr="00D567C7" w:rsidRDefault="00BB75F8" w:rsidP="00D567C7">
      <w:pPr>
        <w:pStyle w:val="FootnoteText"/>
        <w:ind w:left="567" w:hanging="567"/>
        <w:rPr>
          <w:sz w:val="24"/>
          <w:lang w:val="sk-SK"/>
        </w:rPr>
      </w:pPr>
      <w:r w:rsidRPr="00D567C7">
        <w:rPr>
          <w:rStyle w:val="FootnoteReference"/>
          <w:sz w:val="24"/>
          <w:lang w:val="sk-SK"/>
        </w:rPr>
        <w:footnoteRef/>
      </w:r>
      <w:r w:rsidR="00D567C7" w:rsidRPr="00D567C7">
        <w:rPr>
          <w:sz w:val="24"/>
          <w:lang w:val="sk-SK"/>
        </w:rPr>
        <w:t xml:space="preserve"> </w:t>
      </w:r>
      <w:r w:rsidR="00D567C7" w:rsidRPr="00D567C7">
        <w:rPr>
          <w:sz w:val="24"/>
          <w:lang w:val="sk-SK"/>
        </w:rPr>
        <w:tab/>
      </w:r>
      <w:r w:rsidRPr="00D567C7">
        <w:rPr>
          <w:sz w:val="24"/>
          <w:lang w:val="sk-SK"/>
        </w:rPr>
        <w:t>Ú. v. EÚ L 306, 23.11.2011, s. 25.</w:t>
      </w:r>
    </w:p>
  </w:footnote>
  <w:footnote w:id="7">
    <w:p w:rsidR="00BB75F8" w:rsidRPr="00D567C7" w:rsidRDefault="00BB75F8" w:rsidP="00D567C7">
      <w:pPr>
        <w:pStyle w:val="FootnoteText"/>
        <w:ind w:left="567" w:hanging="567"/>
        <w:rPr>
          <w:sz w:val="24"/>
          <w:lang w:val="sk-SK"/>
        </w:rPr>
      </w:pPr>
      <w:r w:rsidRPr="00D567C7">
        <w:rPr>
          <w:rStyle w:val="FootnoteReference"/>
          <w:sz w:val="24"/>
          <w:lang w:val="sk-SK"/>
        </w:rPr>
        <w:footnoteRef/>
      </w:r>
      <w:r w:rsidR="00D567C7" w:rsidRPr="00D567C7">
        <w:rPr>
          <w:sz w:val="24"/>
          <w:lang w:val="sk-SK"/>
        </w:rPr>
        <w:t xml:space="preserve"> </w:t>
      </w:r>
      <w:r w:rsidR="00D567C7" w:rsidRPr="00D567C7">
        <w:rPr>
          <w:sz w:val="24"/>
          <w:lang w:val="sk-SK"/>
        </w:rPr>
        <w:tab/>
      </w:r>
      <w:r w:rsidRPr="00D567C7">
        <w:rPr>
          <w:sz w:val="24"/>
          <w:lang w:val="sk-SK"/>
        </w:rPr>
        <w:t>Ú. v. EÚ L 140, 27.5.2013, s. 1.</w:t>
      </w:r>
    </w:p>
  </w:footnote>
  <w:footnote w:id="8">
    <w:p w:rsidR="00BB75F8" w:rsidRPr="00D567C7" w:rsidRDefault="00BB75F8" w:rsidP="00D567C7">
      <w:pPr>
        <w:pStyle w:val="FootnoteText"/>
        <w:ind w:left="567" w:hanging="567"/>
        <w:rPr>
          <w:sz w:val="24"/>
          <w:lang w:val="sk-SK"/>
        </w:rPr>
      </w:pPr>
      <w:r w:rsidRPr="00D567C7">
        <w:rPr>
          <w:rStyle w:val="FootnoteReference"/>
          <w:sz w:val="24"/>
          <w:lang w:val="sk-SK"/>
        </w:rPr>
        <w:footnoteRef/>
      </w:r>
      <w:r w:rsidR="00D567C7" w:rsidRPr="00D567C7">
        <w:rPr>
          <w:sz w:val="24"/>
          <w:lang w:val="sk-SK"/>
        </w:rPr>
        <w:t xml:space="preserve"> </w:t>
      </w:r>
      <w:r w:rsidR="00D567C7" w:rsidRPr="00D567C7">
        <w:rPr>
          <w:sz w:val="24"/>
          <w:lang w:val="sk-SK"/>
        </w:rPr>
        <w:tab/>
      </w:r>
      <w:r w:rsidRPr="00D567C7">
        <w:rPr>
          <w:sz w:val="24"/>
          <w:lang w:val="sk-SK"/>
        </w:rPr>
        <w:t>Ú. v. EÚ L 140, 27.5.2013, s. 11.</w:t>
      </w:r>
    </w:p>
  </w:footnote>
  <w:footnote w:id="9">
    <w:p w:rsidR="00BB75F8" w:rsidRPr="00D567C7" w:rsidRDefault="00BB75F8" w:rsidP="00D567C7">
      <w:pPr>
        <w:pStyle w:val="FootnoteText"/>
        <w:ind w:left="567" w:hanging="567"/>
        <w:rPr>
          <w:sz w:val="24"/>
          <w:lang w:val="sk-SK"/>
        </w:rPr>
      </w:pPr>
      <w:r w:rsidRPr="00D567C7">
        <w:rPr>
          <w:rStyle w:val="FootnoteReference"/>
          <w:sz w:val="24"/>
          <w:lang w:val="sk-SK"/>
        </w:rPr>
        <w:footnoteRef/>
      </w:r>
      <w:r w:rsidR="00D567C7" w:rsidRPr="00D567C7">
        <w:rPr>
          <w:sz w:val="24"/>
          <w:lang w:val="sk-SK"/>
        </w:rPr>
        <w:t xml:space="preserve"> </w:t>
      </w:r>
      <w:r w:rsidR="00D567C7" w:rsidRPr="00D567C7">
        <w:rPr>
          <w:sz w:val="24"/>
          <w:lang w:val="sk-SK"/>
        </w:rPr>
        <w:tab/>
      </w:r>
      <w:r w:rsidRPr="00D567C7">
        <w:rPr>
          <w:sz w:val="24"/>
          <w:lang w:val="sk-SK"/>
        </w:rPr>
        <w:t>Ú. v. EÚ L 57, 18.2.2021, s. 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567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567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567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3/2024"/>
    <w:docVar w:name="dvlangue" w:val="SK"/>
    <w:docVar w:name="dvnumam" w:val="0"/>
    <w:docVar w:name="dvpe" w:val="757.014"/>
    <w:docVar w:name="dvrapporteur" w:val="Spravodajca: "/>
    <w:docVar w:name="dvtitre" w:val="Uznesenie Európskeho parlamentu z xx. marca 2024 o európskom semestri pre koordináciu hospodárskych politík 2024(2023/2063(INI))"/>
  </w:docVars>
  <w:rsids>
    <w:rsidRoot w:val="00853B5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77769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069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C53CF"/>
    <w:rsid w:val="006F3E5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3B57"/>
    <w:rsid w:val="00863D28"/>
    <w:rsid w:val="00865F67"/>
    <w:rsid w:val="00881A7B"/>
    <w:rsid w:val="008840E5"/>
    <w:rsid w:val="00887B3E"/>
    <w:rsid w:val="008C2AC6"/>
    <w:rsid w:val="00930C23"/>
    <w:rsid w:val="0093193B"/>
    <w:rsid w:val="0093725D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75F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7C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999B3"/>
  <w15:chartTrackingRefBased/>
  <w15:docId w15:val="{08902FE8-88D9-4920-9B12-4A797041E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B75F8"/>
    <w:pPr>
      <w:spacing w:after="240"/>
      <w:ind w:left="567" w:hanging="567"/>
    </w:pPr>
  </w:style>
  <w:style w:type="paragraph" w:customStyle="1" w:styleId="EPComma">
    <w:name w:val="EPComma"/>
    <w:basedOn w:val="Normal"/>
    <w:rsid w:val="00BB75F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B75F8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2747A-537C-44B0-AE02-A16717D56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3093</Words>
  <Characters>18619</Characters>
  <Application>Microsoft Office Word</Application>
  <DocSecurity>0</DocSecurity>
  <Lines>517</Lines>
  <Paragraphs>355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2024-04-24T09:20:00Z</dcterms:created>
  <dcterms:modified xsi:type="dcterms:W3CDTF">2024-04-24T09:20:00Z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A9-0063/2024</vt:lpwstr>
  </property>
  <property fmtid="{D5CDD505-2E9C-101B-9397-08002B2CF9AE}" pid="4" name="&lt;Type&gt;">
    <vt:lpwstr>RR</vt:lpwstr>
  </property>
</Properties>
</file>