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9FD" w:rsidTr="0010095E">
        <w:trPr>
          <w:trHeight w:hRule="exact" w:val="1418"/>
        </w:trPr>
        <w:tc>
          <w:tcPr>
            <w:tcW w:w="6804" w:type="dxa"/>
            <w:shd w:val="clear" w:color="auto" w:fill="auto"/>
            <w:vAlign w:val="center"/>
          </w:tcPr>
          <w:p w:rsidR="00751A4A" w:rsidRPr="00F379FD" w:rsidRDefault="0099276C" w:rsidP="0010095E">
            <w:pPr>
              <w:pStyle w:val="EPName"/>
            </w:pPr>
            <w:r>
              <w:t>Европейски</w:t>
            </w:r>
            <w:r w:rsidR="00F379FD">
              <w:t xml:space="preserve"> парламент</w:t>
            </w:r>
          </w:p>
          <w:p w:rsidR="00751A4A" w:rsidRPr="00F379FD" w:rsidRDefault="00817416" w:rsidP="00756632">
            <w:pPr>
              <w:pStyle w:val="EPTerm"/>
              <w:rPr>
                <w:rStyle w:val="HideTWBExt"/>
                <w:noProof w:val="0"/>
                <w:vanish w:val="0"/>
                <w:color w:val="auto"/>
              </w:rPr>
            </w:pPr>
            <w:r w:rsidRPr="00F379FD">
              <w:t>2019</w:t>
            </w:r>
            <w:r w:rsidR="0099276C">
              <w:rPr>
                <w:lang w:val="en-GB"/>
              </w:rPr>
              <w:t> – </w:t>
            </w:r>
            <w:r w:rsidRPr="00F379FD">
              <w:t>2024</w:t>
            </w:r>
          </w:p>
        </w:tc>
        <w:tc>
          <w:tcPr>
            <w:tcW w:w="2268" w:type="dxa"/>
            <w:shd w:val="clear" w:color="auto" w:fill="auto"/>
          </w:tcPr>
          <w:p w:rsidR="00751A4A" w:rsidRPr="00F379FD" w:rsidRDefault="00187494" w:rsidP="0010095E">
            <w:pPr>
              <w:pStyle w:val="EPLogo"/>
            </w:pPr>
            <w:r w:rsidRPr="00F379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79FD" w:rsidRDefault="00D058B8" w:rsidP="004C5D52">
      <w:pPr>
        <w:pStyle w:val="LineTop"/>
      </w:pPr>
    </w:p>
    <w:p w:rsidR="00680577" w:rsidRPr="00F379FD" w:rsidRDefault="00F379FD" w:rsidP="00680577">
      <w:pPr>
        <w:pStyle w:val="EPBodyTA1"/>
      </w:pPr>
      <w:r>
        <w:t>ПРИЕТИ ТЕКСТОВЕ</w:t>
      </w:r>
    </w:p>
    <w:p w:rsidR="00D058B8" w:rsidRPr="00F379FD" w:rsidRDefault="00D058B8" w:rsidP="00D058B8">
      <w:pPr>
        <w:pStyle w:val="LineBottom"/>
      </w:pPr>
    </w:p>
    <w:p w:rsidR="00F379FD" w:rsidRDefault="00F379FD" w:rsidP="00F379FD">
      <w:pPr>
        <w:pStyle w:val="ATHeading1"/>
      </w:pPr>
      <w:bookmarkStart w:id="0" w:name="TANumber"/>
      <w:r>
        <w:t>P9_TA(2024)0</w:t>
      </w:r>
      <w:r w:rsidR="00490E19">
        <w:t>157</w:t>
      </w:r>
      <w:bookmarkEnd w:id="0"/>
    </w:p>
    <w:p w:rsidR="00F379FD" w:rsidRDefault="00FD21BE" w:rsidP="00FD21BE">
      <w:pPr>
        <w:pStyle w:val="ATHeading2"/>
      </w:pPr>
      <w:r w:rsidRPr="00FD21BE">
        <w:t>Насоки за бюджета за 2024 г. – Раздел III</w:t>
      </w:r>
    </w:p>
    <w:p w:rsidR="00F379FD" w:rsidRDefault="00F379FD" w:rsidP="00F379FD">
      <w:pPr>
        <w:rPr>
          <w:i/>
          <w:vanish/>
        </w:rPr>
      </w:pPr>
      <w:r>
        <w:rPr>
          <w:i/>
        </w:rPr>
        <w:fldChar w:fldCharType="begin"/>
      </w:r>
      <w:r>
        <w:rPr>
          <w:i/>
        </w:rPr>
        <w:instrText xml:space="preserve"> TC"(</w:instrText>
      </w:r>
      <w:bookmarkStart w:id="1" w:name="DocNumber"/>
      <w:r>
        <w:rPr>
          <w:i/>
        </w:rPr>
        <w:instrText>A9-0068/2024</w:instrText>
      </w:r>
      <w:bookmarkEnd w:id="1"/>
      <w:r>
        <w:rPr>
          <w:i/>
        </w:rPr>
        <w:instrText xml:space="preserve"> - Докладчик: Виктор Негреску)"\l3 \n&gt; \* MERGEFORMAT </w:instrText>
      </w:r>
      <w:r>
        <w:rPr>
          <w:i/>
        </w:rPr>
        <w:fldChar w:fldCharType="end"/>
      </w:r>
    </w:p>
    <w:p w:rsidR="00F379FD" w:rsidRDefault="00F379FD" w:rsidP="00F379FD">
      <w:pPr>
        <w:rPr>
          <w:vanish/>
        </w:rPr>
      </w:pPr>
      <w:bookmarkStart w:id="2" w:name="Commission"/>
      <w:r w:rsidRPr="00F379FD">
        <w:rPr>
          <w:vanish/>
        </w:rPr>
        <w:t>Комисия по бюджети</w:t>
      </w:r>
      <w:bookmarkEnd w:id="2"/>
    </w:p>
    <w:p w:rsidR="00F379FD" w:rsidRDefault="00F379FD" w:rsidP="00F379FD">
      <w:pPr>
        <w:rPr>
          <w:vanish/>
        </w:rPr>
      </w:pPr>
      <w:bookmarkStart w:id="3" w:name="PE"/>
      <w:r w:rsidRPr="00F379FD">
        <w:rPr>
          <w:vanish/>
        </w:rPr>
        <w:t>PE758.108</w:t>
      </w:r>
      <w:bookmarkEnd w:id="3"/>
    </w:p>
    <w:p w:rsidR="00F379FD" w:rsidRDefault="00F379FD" w:rsidP="0099276C">
      <w:pPr>
        <w:pStyle w:val="ATHeading3"/>
      </w:pPr>
      <w:bookmarkStart w:id="4" w:name="Sujet"/>
      <w:r>
        <w:t xml:space="preserve">Резолюция на Европейския парламент от </w:t>
      </w:r>
      <w:r w:rsidR="00490E19">
        <w:t xml:space="preserve">13 </w:t>
      </w:r>
      <w:r w:rsidR="00FD21BE">
        <w:t xml:space="preserve">март </w:t>
      </w:r>
      <w:r>
        <w:t>2024 г. относно общите насоки за изготвянето на бюджета за 2025 година, раздел III – Комисия</w:t>
      </w:r>
      <w:bookmarkEnd w:id="4"/>
      <w:r>
        <w:t xml:space="preserve"> </w:t>
      </w:r>
      <w:bookmarkStart w:id="5" w:name="References"/>
      <w:r>
        <w:t>(2023/2220(BUI))</w:t>
      </w:r>
      <w:bookmarkEnd w:id="5"/>
    </w:p>
    <w:p w:rsidR="004A5711" w:rsidRPr="004E381A" w:rsidRDefault="004A5711" w:rsidP="004A5711">
      <w:pPr>
        <w:pStyle w:val="EPComma"/>
      </w:pPr>
      <w:bookmarkStart w:id="6" w:name="TextBodyBegin"/>
      <w:bookmarkEnd w:id="6"/>
      <w:r w:rsidRPr="004E381A">
        <w:rPr>
          <w:i/>
        </w:rPr>
        <w:t>Европейският парламент</w:t>
      </w:r>
      <w:r w:rsidRPr="004E381A">
        <w:t>,</w:t>
      </w:r>
    </w:p>
    <w:p w:rsidR="004A5711" w:rsidRPr="00616B1B" w:rsidRDefault="004A5711" w:rsidP="004A5711">
      <w:pPr>
        <w:pStyle w:val="NormalHanging12a"/>
      </w:pPr>
      <w:r w:rsidRPr="00616B1B">
        <w:t>–</w:t>
      </w:r>
      <w:r w:rsidRPr="00616B1B">
        <w:tab/>
        <w:t>като взе предвид член 314 от Договора за функционирането на Европейския съюз,</w:t>
      </w:r>
    </w:p>
    <w:p w:rsidR="004A5711" w:rsidRPr="00616B1B" w:rsidRDefault="004A5711" w:rsidP="004A5711">
      <w:pPr>
        <w:pStyle w:val="NormalHanging12a"/>
      </w:pPr>
      <w:r w:rsidRPr="00616B1B">
        <w:t>–</w:t>
      </w:r>
      <w:r w:rsidRPr="00616B1B">
        <w:tab/>
        <w:t>като взе предвид член 106а от Договора за създаване на Европейската общност за атомна енергия,</w:t>
      </w:r>
    </w:p>
    <w:p w:rsidR="004A5711" w:rsidRPr="00616B1B" w:rsidRDefault="004A5711" w:rsidP="004A5711">
      <w:pPr>
        <w:pBdr>
          <w:top w:val="nil"/>
          <w:left w:val="nil"/>
          <w:bottom w:val="nil"/>
          <w:right w:val="nil"/>
          <w:between w:val="nil"/>
        </w:pBdr>
        <w:spacing w:after="240"/>
        <w:ind w:left="567" w:hanging="567"/>
        <w:rPr>
          <w:color w:val="000000"/>
        </w:rPr>
      </w:pPr>
      <w:r w:rsidRPr="00616B1B">
        <w:rPr>
          <w:color w:val="000000"/>
        </w:rPr>
        <w:t>–</w:t>
      </w:r>
      <w:r w:rsidRPr="00616B1B">
        <w:rPr>
          <w:color w:val="000000"/>
        </w:rPr>
        <w:tab/>
        <w:t>като взе предвид преразгледания Регламент (EC, Евра</w:t>
      </w:r>
      <w:r w:rsidR="000A4F3D">
        <w:rPr>
          <w:color w:val="000000"/>
        </w:rPr>
        <w:t>том)</w:t>
      </w:r>
      <w:r w:rsidR="000A4F3D">
        <w:rPr>
          <w:color w:val="000000"/>
          <w:lang w:val="en-GB"/>
        </w:rPr>
        <w:t> 2024/765</w:t>
      </w:r>
      <w:r w:rsidRPr="00616B1B">
        <w:rPr>
          <w:color w:val="000000"/>
        </w:rPr>
        <w:t xml:space="preserve"> на Съвета </w:t>
      </w:r>
      <w:r w:rsidR="00B15011">
        <w:rPr>
          <w:color w:val="000000"/>
        </w:rPr>
        <w:t xml:space="preserve">от 29 февруари 2024 г. за изменение на Регламент (ЕС, Евратом) 2020/2093 </w:t>
      </w:r>
      <w:r w:rsidRPr="00616B1B">
        <w:rPr>
          <w:color w:val="000000"/>
        </w:rPr>
        <w:t>за определяне на многогодишната финансова рамка за годините 2021 – 2027</w:t>
      </w:r>
      <w:r w:rsidR="00B15011">
        <w:rPr>
          <w:rStyle w:val="FootnoteReference"/>
          <w:color w:val="000000"/>
        </w:rPr>
        <w:footnoteReference w:id="1"/>
      </w:r>
      <w:r w:rsidRPr="00616B1B">
        <w:rPr>
          <w:color w:val="000000"/>
        </w:rPr>
        <w:t xml:space="preserve"> (преразглеждане на МФР),</w:t>
      </w:r>
    </w:p>
    <w:p w:rsidR="004A5711" w:rsidRPr="00616B1B" w:rsidRDefault="004A5711" w:rsidP="004A5711">
      <w:pPr>
        <w:pBdr>
          <w:top w:val="nil"/>
          <w:left w:val="nil"/>
          <w:bottom w:val="nil"/>
          <w:right w:val="nil"/>
          <w:between w:val="nil"/>
        </w:pBdr>
        <w:spacing w:after="240"/>
        <w:ind w:left="567" w:hanging="567"/>
        <w:rPr>
          <w:color w:val="000000"/>
        </w:rPr>
      </w:pPr>
      <w:r w:rsidRPr="00616B1B">
        <w:rPr>
          <w:color w:val="000000"/>
        </w:rPr>
        <w:t>–</w:t>
      </w:r>
      <w:r w:rsidRPr="00616B1B">
        <w:rPr>
          <w:color w:val="000000"/>
        </w:rPr>
        <w:tab/>
        <w:t>като взе предвид Регламент (ЕС, Евратом) 2022/2496 на Съвета от 15 декември 2022 г. за изменение на Регламент (ЕС, Евратом) 2020/2093 за определяне на многогодишната финансова рамка за годините 2021 – 2027</w:t>
      </w:r>
      <w:r w:rsidRPr="00616B1B">
        <w:rPr>
          <w:color w:val="000000"/>
          <w:vertAlign w:val="superscript"/>
        </w:rPr>
        <w:footnoteReference w:id="2"/>
      </w:r>
      <w:r w:rsidRPr="00616B1B">
        <w:rPr>
          <w:color w:val="000000"/>
        </w:rPr>
        <w:t>,</w:t>
      </w:r>
    </w:p>
    <w:p w:rsidR="004A5711" w:rsidRPr="00616B1B" w:rsidRDefault="004A5711" w:rsidP="004A5711">
      <w:pPr>
        <w:pStyle w:val="NormalHanging12a"/>
      </w:pPr>
      <w:r w:rsidRPr="00616B1B">
        <w:t>–</w:t>
      </w:r>
      <w:r w:rsidRPr="00616B1B">
        <w:tab/>
        <w:t>като взе предвид своята позиция от 16 декември 2020 г. относно проекта за регламент на Съвета за определяне на многогодишната финансова рамка за годините 2021 – 2027</w:t>
      </w:r>
      <w:r w:rsidRPr="00616B1B">
        <w:rPr>
          <w:rStyle w:val="FootnoteReference"/>
          <w:b w:val="0"/>
        </w:rPr>
        <w:footnoteReference w:id="3"/>
      </w:r>
      <w:r w:rsidRPr="00616B1B">
        <w:t>,</w:t>
      </w:r>
    </w:p>
    <w:p w:rsidR="004A5711" w:rsidRPr="00616B1B" w:rsidRDefault="004A5711" w:rsidP="004A5711">
      <w:pPr>
        <w:pStyle w:val="NormalHanging12a"/>
      </w:pPr>
      <w:r w:rsidRPr="00616B1B">
        <w:t>–</w:t>
      </w:r>
      <w:r w:rsidRPr="00616B1B">
        <w:tab/>
        <w:t>като взе предвид Регламент (ЕС, Евратом) 2020/2093 на Съвета от 17 декември 2020 г. за определяне на многогодишната финансова рамка за годините 2021 – 2027</w:t>
      </w:r>
      <w:r w:rsidRPr="00616B1B">
        <w:rPr>
          <w:rStyle w:val="FootnoteReference"/>
          <w:b w:val="0"/>
        </w:rPr>
        <w:footnoteReference w:id="4"/>
      </w:r>
      <w:r w:rsidRPr="00616B1B">
        <w:t xml:space="preserve"> и съвместните декларации, договорени между Парламента, Съвета и Комисията в този контекст</w:t>
      </w:r>
      <w:r w:rsidRPr="00616B1B">
        <w:rPr>
          <w:color w:val="000000"/>
          <w:vertAlign w:val="superscript"/>
        </w:rPr>
        <w:footnoteReference w:id="5"/>
      </w:r>
      <w:r w:rsidRPr="00616B1B">
        <w:t>, както и свързаните едностранни декларации</w:t>
      </w:r>
      <w:r w:rsidRPr="00616B1B">
        <w:rPr>
          <w:color w:val="000000"/>
          <w:vertAlign w:val="superscript"/>
        </w:rPr>
        <w:footnoteReference w:id="6"/>
      </w:r>
      <w:r w:rsidRPr="00616B1B">
        <w:t>,</w:t>
      </w:r>
    </w:p>
    <w:p w:rsidR="004A5711" w:rsidRPr="00616B1B" w:rsidRDefault="004A5711" w:rsidP="004A5711">
      <w:pPr>
        <w:pBdr>
          <w:top w:val="nil"/>
          <w:left w:val="nil"/>
          <w:bottom w:val="nil"/>
          <w:right w:val="nil"/>
          <w:between w:val="nil"/>
        </w:pBdr>
        <w:spacing w:after="240"/>
        <w:ind w:left="567" w:hanging="567"/>
        <w:rPr>
          <w:szCs w:val="24"/>
        </w:rPr>
      </w:pPr>
      <w:r w:rsidRPr="00616B1B">
        <w:t>–</w:t>
      </w:r>
      <w:r w:rsidRPr="00616B1B">
        <w:tab/>
        <w:t xml:space="preserve">като взе предвид своя междинен доклад относно предложението за междинно </w:t>
      </w:r>
      <w:r w:rsidRPr="00616B1B">
        <w:lastRenderedPageBreak/>
        <w:t>преразглеждане на многогодишната финансова рамка за периода 2021 – 2027 г.</w:t>
      </w:r>
      <w:r w:rsidRPr="00616B1B">
        <w:rPr>
          <w:rStyle w:val="FootnoteReference"/>
          <w:b w:val="0"/>
          <w:szCs w:val="24"/>
        </w:rPr>
        <w:footnoteReference w:id="7"/>
      </w:r>
      <w:r w:rsidRPr="00616B1B">
        <w:t>,</w:t>
      </w:r>
    </w:p>
    <w:p w:rsidR="004A5711" w:rsidRPr="00616B1B" w:rsidRDefault="004A5711" w:rsidP="004A5711">
      <w:pPr>
        <w:pBdr>
          <w:top w:val="nil"/>
          <w:left w:val="nil"/>
          <w:bottom w:val="nil"/>
          <w:right w:val="nil"/>
          <w:between w:val="nil"/>
        </w:pBdr>
        <w:spacing w:after="240"/>
        <w:ind w:left="567" w:hanging="567"/>
        <w:rPr>
          <w:color w:val="000000"/>
        </w:rPr>
      </w:pPr>
      <w:r w:rsidRPr="00616B1B">
        <w:t>–</w:t>
      </w:r>
      <w:r w:rsidRPr="00616B1B">
        <w:tab/>
        <w:t>като взе предвид своята резолюция от 27 февруари 2024 г. относно проекта на регламент на Съвета за изменение на Регламент (EC, Евратом) 2020/2093 за определяне на многогодишната финансова рамка за годините 2021—2027</w:t>
      </w:r>
      <w:r w:rsidRPr="00616B1B">
        <w:rPr>
          <w:vertAlign w:val="superscript"/>
        </w:rPr>
        <w:footnoteReference w:id="8"/>
      </w:r>
      <w:r w:rsidRPr="00616B1B">
        <w:t>,</w:t>
      </w:r>
      <w:r w:rsidRPr="00616B1B">
        <w:rPr>
          <w:color w:val="000000"/>
        </w:rPr>
        <w:t xml:space="preserve"> </w:t>
      </w:r>
    </w:p>
    <w:p w:rsidR="004A5711" w:rsidRPr="00616B1B" w:rsidRDefault="004A5711" w:rsidP="004A5711">
      <w:pPr>
        <w:pStyle w:val="NormalHanging12a"/>
        <w:jc w:val="both"/>
      </w:pPr>
      <w:r w:rsidRPr="00616B1B">
        <w:t>–</w:t>
      </w:r>
      <w:r w:rsidRPr="00616B1B">
        <w:tab/>
        <w:t>като взе предвид своята резолюция от 10 май 2023 г. относно въздействието върху бюджета на ЕС за 2024 г. на увеличаващите се разходи по заеми по линия на Инструмента на Европейския съюз за възстановяване</w:t>
      </w:r>
      <w:r w:rsidRPr="00616B1B">
        <w:rPr>
          <w:vertAlign w:val="superscript"/>
        </w:rPr>
        <w:footnoteReference w:id="9"/>
      </w:r>
      <w:r w:rsidRPr="00616B1B">
        <w:t>,</w:t>
      </w:r>
    </w:p>
    <w:p w:rsidR="004A5711" w:rsidRPr="00616B1B" w:rsidRDefault="004A5711" w:rsidP="004A5711">
      <w:pPr>
        <w:pStyle w:val="NormalHanging12a"/>
        <w:rPr>
          <w:szCs w:val="24"/>
        </w:rPr>
      </w:pPr>
      <w:r w:rsidRPr="00616B1B">
        <w:t>–</w:t>
      </w:r>
      <w:r w:rsidRPr="00616B1B">
        <w:tab/>
        <w:t>като взе предвид своята резолюция от 15 декември 2022 г. относно подобряването на многогодишната финансова рамка за периода 2021 – 2027 г.: устойчив бюджет на ЕС, адаптиран към новите предизвикателства</w:t>
      </w:r>
      <w:r w:rsidRPr="00616B1B">
        <w:rPr>
          <w:rStyle w:val="FootnoteReference"/>
          <w:b w:val="0"/>
          <w:color w:val="000000"/>
          <w:szCs w:val="24"/>
        </w:rPr>
        <w:footnoteReference w:id="10"/>
      </w:r>
      <w:r w:rsidRPr="00616B1B">
        <w:t>,</w:t>
      </w:r>
    </w:p>
    <w:p w:rsidR="004A5711" w:rsidRPr="00616B1B" w:rsidRDefault="004A5711" w:rsidP="004A5711">
      <w:pPr>
        <w:pStyle w:val="NormalHanging12a"/>
      </w:pPr>
      <w:r w:rsidRPr="00616B1B">
        <w:t>–</w:t>
      </w:r>
      <w:r w:rsidRPr="00616B1B">
        <w:tab/>
        <w:t>като взе предвид предложението на Комисията от 16 май 2022 г. за регламент на Европейския парламент и на Съвета за финансовите правила, приложими за общия бюджет на Съюза (COM(2022)0223),</w:t>
      </w:r>
    </w:p>
    <w:p w:rsidR="004A5711" w:rsidRPr="00616B1B" w:rsidRDefault="004A5711" w:rsidP="004A5711">
      <w:pPr>
        <w:pStyle w:val="NormalHanging12a"/>
      </w:pPr>
      <w:r w:rsidRPr="00616B1B">
        <w:t>–</w:t>
      </w:r>
      <w:r w:rsidRPr="00616B1B">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616B1B">
        <w:rPr>
          <w:rStyle w:val="FootnoteReference"/>
          <w:b w:val="0"/>
        </w:rPr>
        <w:footnoteReference w:id="11"/>
      </w:r>
      <w:r w:rsidRPr="00616B1B">
        <w:t>,</w:t>
      </w:r>
    </w:p>
    <w:p w:rsidR="004A5711" w:rsidRPr="00616B1B" w:rsidRDefault="004A5711" w:rsidP="004A5711">
      <w:pPr>
        <w:pStyle w:val="NormalHanging12a"/>
      </w:pPr>
      <w:r w:rsidRPr="00616B1B">
        <w:t>–</w:t>
      </w:r>
      <w:r w:rsidRPr="00616B1B">
        <w:tab/>
        <w:t>като взе предвид Решение (ЕС, Евратом) 2020/2053 на Съвета от 14 декември 2020 г. относно системата на собствените ресурси на Европейския съюз</w:t>
      </w:r>
      <w:r w:rsidRPr="00616B1B">
        <w:rPr>
          <w:rStyle w:val="FootnoteReference"/>
          <w:b w:val="0"/>
        </w:rPr>
        <w:footnoteReference w:id="12"/>
      </w:r>
      <w:r w:rsidRPr="00616B1B">
        <w:t>,</w:t>
      </w:r>
    </w:p>
    <w:p w:rsidR="004A5711" w:rsidRPr="00616B1B" w:rsidRDefault="004A5711" w:rsidP="004A5711">
      <w:pPr>
        <w:pBdr>
          <w:top w:val="nil"/>
          <w:left w:val="nil"/>
          <w:bottom w:val="nil"/>
          <w:right w:val="nil"/>
          <w:between w:val="nil"/>
        </w:pBdr>
        <w:spacing w:after="240"/>
        <w:ind w:left="567" w:hanging="567"/>
        <w:rPr>
          <w:color w:val="000000"/>
        </w:rPr>
      </w:pPr>
      <w:r w:rsidRPr="00616B1B">
        <w:rPr>
          <w:color w:val="000000"/>
        </w:rPr>
        <w:t>–</w:t>
      </w:r>
      <w:r w:rsidRPr="00616B1B">
        <w:rPr>
          <w:color w:val="000000"/>
        </w:rPr>
        <w:tab/>
        <w:t>като взе предвид предложението на Комисията от 22 декември 2021 г. за решение на Съвета за изменение на Решение (ЕС, Евратом) 2020/2053 относно системата на собствените ресурси на Европейския съюз (COM(2021)0570) и своята позиция от 23 ноември 2022 г. относно предложението</w:t>
      </w:r>
      <w:r w:rsidRPr="00616B1B">
        <w:rPr>
          <w:color w:val="000000"/>
          <w:vertAlign w:val="superscript"/>
        </w:rPr>
        <w:footnoteReference w:id="13"/>
      </w:r>
      <w:r w:rsidRPr="00616B1B">
        <w:rPr>
          <w:color w:val="000000"/>
        </w:rPr>
        <w:t>,</w:t>
      </w:r>
    </w:p>
    <w:p w:rsidR="004A5711" w:rsidRPr="00616B1B" w:rsidRDefault="004A5711" w:rsidP="004A5711">
      <w:pPr>
        <w:pBdr>
          <w:top w:val="nil"/>
          <w:left w:val="nil"/>
          <w:bottom w:val="nil"/>
          <w:right w:val="nil"/>
          <w:between w:val="nil"/>
        </w:pBdr>
        <w:spacing w:after="240"/>
        <w:ind w:left="567" w:hanging="567"/>
        <w:rPr>
          <w:color w:val="000000"/>
        </w:rPr>
      </w:pPr>
      <w:r w:rsidRPr="00616B1B">
        <w:rPr>
          <w:color w:val="000000"/>
        </w:rPr>
        <w:t>–</w:t>
      </w:r>
      <w:r w:rsidRPr="00616B1B">
        <w:rPr>
          <w:color w:val="000000"/>
        </w:rPr>
        <w:tab/>
        <w:t>като взе предвид Регламент (ЕС) 2020/2094 на Съвета от 14 декември 2020 г. за създаване на Инструмент на Европейския съюз за възстановяване с цел подкрепа на възстановяването след кризата с COVID-19</w:t>
      </w:r>
      <w:r w:rsidRPr="00616B1B">
        <w:rPr>
          <w:rStyle w:val="FootnoteReference"/>
          <w:b w:val="0"/>
          <w:color w:val="000000"/>
        </w:rPr>
        <w:footnoteReference w:id="14"/>
      </w:r>
      <w:r w:rsidRPr="00616B1B">
        <w:rPr>
          <w:color w:val="000000"/>
        </w:rPr>
        <w:t>,</w:t>
      </w:r>
    </w:p>
    <w:p w:rsidR="004A5711" w:rsidRPr="00616B1B" w:rsidRDefault="004A5711" w:rsidP="004A5711">
      <w:pPr>
        <w:pBdr>
          <w:top w:val="nil"/>
          <w:left w:val="nil"/>
          <w:bottom w:val="nil"/>
          <w:right w:val="nil"/>
          <w:between w:val="nil"/>
        </w:pBdr>
        <w:spacing w:after="240"/>
        <w:ind w:left="567" w:hanging="567"/>
        <w:rPr>
          <w:color w:val="000000"/>
        </w:rPr>
      </w:pPr>
      <w:r w:rsidRPr="00616B1B">
        <w:rPr>
          <w:color w:val="000000"/>
        </w:rPr>
        <w:t>–</w:t>
      </w:r>
      <w:r w:rsidRPr="00616B1B">
        <w:rPr>
          <w:color w:val="000000"/>
        </w:rPr>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sidRPr="00616B1B">
        <w:rPr>
          <w:color w:val="000000"/>
          <w:vertAlign w:val="superscript"/>
        </w:rPr>
        <w:footnoteReference w:id="15"/>
      </w:r>
      <w:r w:rsidRPr="00616B1B">
        <w:rPr>
          <w:color w:val="000000"/>
        </w:rPr>
        <w:t>,</w:t>
      </w:r>
    </w:p>
    <w:p w:rsidR="004A5711" w:rsidRPr="00616B1B" w:rsidRDefault="004A5711" w:rsidP="004A5711">
      <w:pPr>
        <w:pBdr>
          <w:top w:val="nil"/>
          <w:left w:val="nil"/>
          <w:bottom w:val="nil"/>
          <w:right w:val="nil"/>
          <w:between w:val="nil"/>
        </w:pBdr>
        <w:spacing w:after="240"/>
        <w:ind w:left="567" w:hanging="567"/>
        <w:rPr>
          <w:color w:val="000000"/>
        </w:rPr>
      </w:pPr>
      <w:r w:rsidRPr="00616B1B">
        <w:rPr>
          <w:color w:val="000000"/>
        </w:rPr>
        <w:t>–</w:t>
      </w:r>
      <w:r w:rsidRPr="00616B1B">
        <w:rPr>
          <w:color w:val="000000"/>
        </w:rPr>
        <w:tab/>
        <w:t xml:space="preserve">като взе предвид съобщението на Комисията от 11 декември 2019 г., озаглавено „Европейският зелен пакт“ (COM(2019)0640), и своята резолюция от 15 януари </w:t>
      </w:r>
      <w:r w:rsidRPr="00616B1B">
        <w:rPr>
          <w:color w:val="000000"/>
        </w:rPr>
        <w:lastRenderedPageBreak/>
        <w:t>2020 г. в отговор на това съобщение</w:t>
      </w:r>
      <w:r w:rsidRPr="00616B1B">
        <w:rPr>
          <w:rStyle w:val="FootnoteReference"/>
          <w:b w:val="0"/>
          <w:color w:val="000000"/>
        </w:rPr>
        <w:footnoteReference w:id="16"/>
      </w:r>
      <w:r w:rsidRPr="00616B1B">
        <w:rPr>
          <w:color w:val="000000"/>
        </w:rPr>
        <w:t>,</w:t>
      </w:r>
    </w:p>
    <w:p w:rsidR="004A5711" w:rsidRPr="00616B1B" w:rsidRDefault="004A5711" w:rsidP="004A5711">
      <w:pPr>
        <w:pStyle w:val="NormalHanging12a"/>
        <w:rPr>
          <w:szCs w:val="24"/>
        </w:rPr>
      </w:pPr>
      <w:r w:rsidRPr="00616B1B">
        <w:t>–</w:t>
      </w:r>
      <w:r w:rsidRPr="00616B1B">
        <w:tab/>
        <w:t>като взе предвид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w:t>
      </w:r>
    </w:p>
    <w:p w:rsidR="004A5711" w:rsidRPr="00616B1B" w:rsidRDefault="004A5711" w:rsidP="004A5711">
      <w:pPr>
        <w:pStyle w:val="NormalHanging12a"/>
        <w:rPr>
          <w:szCs w:val="24"/>
        </w:rPr>
      </w:pPr>
      <w:r w:rsidRPr="00616B1B">
        <w:t>–</w:t>
      </w:r>
      <w:r w:rsidRPr="00616B1B">
        <w:tab/>
        <w:t>като взе предвид споразумението, прието на 21-вата конференция на страните по РКOОНИК (COP 21) в Париж на 12 декември 2015 г. (Парижкото споразумение),</w:t>
      </w:r>
    </w:p>
    <w:p w:rsidR="004A5711" w:rsidRPr="00616B1B" w:rsidRDefault="004A5711" w:rsidP="00616B1B">
      <w:pPr>
        <w:pBdr>
          <w:top w:val="nil"/>
          <w:left w:val="nil"/>
          <w:bottom w:val="nil"/>
          <w:right w:val="nil"/>
          <w:between w:val="nil"/>
        </w:pBdr>
        <w:spacing w:after="240"/>
        <w:ind w:left="567" w:hanging="567"/>
        <w:rPr>
          <w:color w:val="000000"/>
        </w:rPr>
      </w:pPr>
      <w:r w:rsidRPr="00616B1B">
        <w:rPr>
          <w:color w:val="000000"/>
        </w:rPr>
        <w:t>–</w:t>
      </w:r>
      <w:r w:rsidRPr="00616B1B">
        <w:rPr>
          <w:color w:val="000000"/>
        </w:rPr>
        <w:tab/>
      </w:r>
      <w:r w:rsidRPr="00616B1B">
        <w:t>като взе предвид Междуинституционалната прокламация относно Европейския стълб на социалните права от 13 декември 2017 г.</w:t>
      </w:r>
      <w:r w:rsidR="00616B1B" w:rsidRPr="00616B1B">
        <w:rPr>
          <w:rStyle w:val="FootnoteReference"/>
          <w:b w:val="0"/>
        </w:rPr>
        <w:footnoteReference w:id="17"/>
      </w:r>
      <w:r w:rsidRPr="00616B1B">
        <w:t xml:space="preserve"> и своята резолюция от 19 януари 2017 г. по този въпрос</w:t>
      </w:r>
      <w:r w:rsidR="00616B1B" w:rsidRPr="00616B1B">
        <w:rPr>
          <w:rStyle w:val="FootnoteReference"/>
          <w:b w:val="0"/>
        </w:rPr>
        <w:footnoteReference w:id="18"/>
      </w:r>
      <w:r w:rsidRPr="00616B1B">
        <w:t>, плана за действие на Комисията от 4 март 2021 г. относно прилагането на Европейския стълб на социалните права и Декларацията от Порто относно социалните въпроси, приета от членовете на Европейския съвет през май 2021 г.,</w:t>
      </w:r>
    </w:p>
    <w:p w:rsidR="004A5711" w:rsidRPr="00616B1B" w:rsidRDefault="004A5711" w:rsidP="004A5711">
      <w:pPr>
        <w:pStyle w:val="NormalHanging12a"/>
        <w:rPr>
          <w:szCs w:val="24"/>
        </w:rPr>
      </w:pPr>
      <w:r w:rsidRPr="00616B1B">
        <w:t>–</w:t>
      </w:r>
      <w:r w:rsidRPr="00616B1B">
        <w:tab/>
        <w:t>като взе предвид Европейската стратегия за равенство между половете за периода 2020 – 2025 г.,</w:t>
      </w:r>
    </w:p>
    <w:p w:rsidR="004A5711" w:rsidRPr="00616B1B" w:rsidRDefault="004A5711" w:rsidP="004A5711">
      <w:pPr>
        <w:pStyle w:val="NormalHanging12a"/>
        <w:rPr>
          <w:szCs w:val="24"/>
        </w:rPr>
      </w:pPr>
      <w:r w:rsidRPr="00616B1B">
        <w:t>–</w:t>
      </w:r>
      <w:r w:rsidRPr="00616B1B">
        <w:tab/>
        <w:t>като взе предвид специалния доклад на Европейската сметна палата, озаглавен „Интегриране на принципа на равенство между половете в бюджета на ЕС – време е да превърнем думите в дела“, от 2021 г.,</w:t>
      </w:r>
    </w:p>
    <w:p w:rsidR="004A5711" w:rsidRPr="00616B1B" w:rsidRDefault="004A5711" w:rsidP="004A5711">
      <w:pPr>
        <w:pStyle w:val="NormalHanging12a"/>
        <w:rPr>
          <w:szCs w:val="24"/>
        </w:rPr>
      </w:pPr>
      <w:r w:rsidRPr="00616B1B">
        <w:t>–</w:t>
      </w:r>
      <w:r w:rsidRPr="00616B1B">
        <w:tab/>
        <w:t>като взе предвид целите на Организацията на обединените нации за устойчиво развитие,</w:t>
      </w:r>
    </w:p>
    <w:p w:rsidR="004A5711" w:rsidRPr="00616B1B" w:rsidRDefault="004A5711" w:rsidP="004A5711">
      <w:pPr>
        <w:pBdr>
          <w:top w:val="nil"/>
          <w:left w:val="nil"/>
          <w:bottom w:val="nil"/>
          <w:right w:val="nil"/>
          <w:between w:val="nil"/>
        </w:pBdr>
        <w:spacing w:after="240"/>
        <w:ind w:left="567" w:hanging="567"/>
      </w:pPr>
      <w:r w:rsidRPr="00616B1B">
        <w:t>–</w:t>
      </w:r>
      <w:r w:rsidRPr="00616B1B">
        <w:tab/>
        <w:t>като взе предвид съобщението на Комисията от 1 февруари 2023 г., озаглавено „Промишлен план на Зеления пакт за ерата на нулеви нетни емисии“ (COM(2023)0062),</w:t>
      </w:r>
    </w:p>
    <w:p w:rsidR="004A5711" w:rsidRPr="00616B1B" w:rsidRDefault="004A5711" w:rsidP="00AF5F07">
      <w:pPr>
        <w:pBdr>
          <w:top w:val="nil"/>
          <w:left w:val="nil"/>
          <w:bottom w:val="nil"/>
          <w:right w:val="nil"/>
          <w:between w:val="nil"/>
        </w:pBdr>
        <w:spacing w:after="240"/>
        <w:ind w:left="567" w:hanging="567"/>
      </w:pPr>
      <w:r w:rsidRPr="00616B1B">
        <w:t>–</w:t>
      </w:r>
      <w:r w:rsidRPr="00616B1B">
        <w:tab/>
        <w:t xml:space="preserve">като взе предвид </w:t>
      </w:r>
      <w:r w:rsidR="00AF5F07" w:rsidRPr="00AF5F07">
        <w:t>Регламент (ЕС) 2024/795 на Европейския парламент и на Съвета от 29 февруари 2024 г. за създаване на платформата за стратегически технологии за Европа (STEP) и за изменение на Директива 2003/87/ЕО и на регламенти (ЕС) 2021/1058, (ЕС) 2021/1056, (ЕС) 2021/1057, (ЕС) № 1303/2013, (ЕС) № 223/2014, (ЕС) 2021/1060, (ЕС) 2021/523, (ЕС) 2021/695, (ЕС) 2021/697 и (ЕС) 2</w:t>
      </w:r>
      <w:r w:rsidR="00AF5F07">
        <w:t>021/241</w:t>
      </w:r>
      <w:r w:rsidR="00AF5F07">
        <w:rPr>
          <w:rStyle w:val="FootnoteReference"/>
        </w:rPr>
        <w:footnoteReference w:id="19"/>
      </w:r>
      <w:r w:rsidRPr="00616B1B">
        <w:t>,</w:t>
      </w:r>
    </w:p>
    <w:p w:rsidR="004A5711" w:rsidRPr="00616B1B" w:rsidRDefault="004A5711" w:rsidP="00AF5F07">
      <w:pPr>
        <w:pBdr>
          <w:top w:val="nil"/>
          <w:left w:val="nil"/>
          <w:bottom w:val="nil"/>
          <w:right w:val="nil"/>
          <w:between w:val="nil"/>
        </w:pBdr>
        <w:spacing w:after="240"/>
        <w:ind w:left="567" w:hanging="567"/>
      </w:pPr>
      <w:r w:rsidRPr="00616B1B">
        <w:t>–</w:t>
      </w:r>
      <w:r w:rsidRPr="00616B1B">
        <w:tab/>
        <w:t xml:space="preserve">като взе предвид </w:t>
      </w:r>
      <w:r w:rsidR="00AF5F07" w:rsidRPr="00AF5F07">
        <w:t>Регламент (ЕС) 2024/792 на Европейския парламент и на Съвета от 29 февруари 2024 г. за създа</w:t>
      </w:r>
      <w:r w:rsidR="00AF5F07">
        <w:t>ване на на механизъм за Украйна</w:t>
      </w:r>
      <w:r w:rsidR="00AF5F07">
        <w:rPr>
          <w:rStyle w:val="FootnoteReference"/>
        </w:rPr>
        <w:footnoteReference w:id="20"/>
      </w:r>
      <w:r w:rsidRPr="00616B1B">
        <w:t>;</w:t>
      </w:r>
    </w:p>
    <w:p w:rsidR="004A5711" w:rsidRPr="00616B1B" w:rsidRDefault="004A5711" w:rsidP="004A5711">
      <w:pPr>
        <w:pStyle w:val="NormalHanging12a"/>
      </w:pPr>
      <w:r w:rsidRPr="00616B1B">
        <w:t>–</w:t>
      </w:r>
      <w:r w:rsidRPr="00616B1B">
        <w:tab/>
        <w:t>като взе предвид общия бюджет на Европейския съюз за финансовата 2024 година</w:t>
      </w:r>
      <w:r w:rsidRPr="00616B1B">
        <w:rPr>
          <w:rStyle w:val="FootnoteReference"/>
          <w:b w:val="0"/>
        </w:rPr>
        <w:footnoteReference w:id="21"/>
      </w:r>
      <w:r w:rsidRPr="00616B1B">
        <w:t xml:space="preserve"> и общите декларации, договорени между Парламента, Съвета и Комисията, които са поместени в приложение,</w:t>
      </w:r>
    </w:p>
    <w:p w:rsidR="004A5711" w:rsidRPr="00616B1B" w:rsidRDefault="004A5711" w:rsidP="004A5711">
      <w:pPr>
        <w:pStyle w:val="NormalHanging12a"/>
      </w:pPr>
      <w:r w:rsidRPr="00616B1B">
        <w:t>–</w:t>
      </w:r>
      <w:r w:rsidRPr="00616B1B">
        <w:tab/>
        <w:t xml:space="preserve">като взе предвид заключенията на Съвета от </w:t>
      </w:r>
      <w:r w:rsidR="00AE7D34">
        <w:t>12 март 2024 г.</w:t>
      </w:r>
      <w:r w:rsidR="00AE7D34" w:rsidRPr="00616B1B">
        <w:t xml:space="preserve"> </w:t>
      </w:r>
      <w:r w:rsidRPr="00616B1B">
        <w:t xml:space="preserve">относно бюджетните </w:t>
      </w:r>
      <w:r w:rsidRPr="00616B1B">
        <w:lastRenderedPageBreak/>
        <w:t>насоки за 2025 година (</w:t>
      </w:r>
      <w:r w:rsidR="00AE7D34">
        <w:t>6195</w:t>
      </w:r>
      <w:r w:rsidRPr="00616B1B">
        <w:t>/2024),</w:t>
      </w:r>
    </w:p>
    <w:p w:rsidR="004A5711" w:rsidRPr="00616B1B" w:rsidRDefault="004A5711" w:rsidP="004A5711">
      <w:pPr>
        <w:pStyle w:val="NormalHanging12a"/>
      </w:pPr>
      <w:r w:rsidRPr="00616B1B">
        <w:t>–</w:t>
      </w:r>
      <w:r w:rsidRPr="00616B1B">
        <w:tab/>
        <w:t>като взе предвид член 93 от своя Правилник за дейността,</w:t>
      </w:r>
    </w:p>
    <w:p w:rsidR="004A5711" w:rsidRPr="00616B1B" w:rsidRDefault="004A5711" w:rsidP="004A5711">
      <w:pPr>
        <w:pStyle w:val="NormalHanging12a"/>
      </w:pPr>
      <w:r w:rsidRPr="00616B1B">
        <w:t>–</w:t>
      </w:r>
      <w:r w:rsidRPr="00616B1B">
        <w:tab/>
        <w:t>като взе предвид писмата от комисията по външни работи, комисията по развитие, комисията по бюджетен контрол, комисията по заетост и социални въпроси, комисията по околна среда, обществено здраве и безопасност на храните, комисията по промишленост, изследвания и енергетика, комисията по транспорт и туризъм, комисията по земеделие и развитие на селските райони, комисията по култура и образование, комисията по конституционни въпроси и комисията по правата на жените и равенството между половете,</w:t>
      </w:r>
    </w:p>
    <w:p w:rsidR="004A5711" w:rsidRPr="00616B1B" w:rsidRDefault="004A5711" w:rsidP="004A5711">
      <w:pPr>
        <w:pStyle w:val="NormalHanging12a"/>
      </w:pPr>
      <w:r w:rsidRPr="00616B1B">
        <w:t>–</w:t>
      </w:r>
      <w:r w:rsidRPr="00616B1B">
        <w:tab/>
        <w:t>като взе предвид доклада на комисията по бюджети (A9-0068/2024),</w:t>
      </w:r>
    </w:p>
    <w:p w:rsidR="004A5711" w:rsidRPr="004E381A" w:rsidRDefault="004A5711" w:rsidP="004A5711">
      <w:pPr>
        <w:pStyle w:val="NormalHanging12a"/>
        <w:ind w:left="0" w:firstLine="0"/>
        <w:rPr>
          <w:b/>
          <w:i/>
        </w:rPr>
      </w:pPr>
      <w:r w:rsidRPr="004E381A">
        <w:rPr>
          <w:b/>
          <w:i/>
        </w:rPr>
        <w:t>Ориентиран към хората бюджет на ЕС за 2025 г.: инвестиции, насочени към подобряване на живота на хората и повишаване на конкурентоспособността на Съюза</w:t>
      </w:r>
    </w:p>
    <w:p w:rsidR="004A5711" w:rsidRPr="004E381A" w:rsidRDefault="004A5711" w:rsidP="004A5711">
      <w:pPr>
        <w:spacing w:after="240"/>
        <w:ind w:left="567" w:hanging="567"/>
      </w:pPr>
      <w:r w:rsidRPr="004E381A">
        <w:t>1.</w:t>
      </w:r>
      <w:r w:rsidRPr="004E381A">
        <w:tab/>
        <w:t>посочва категорично, че във времена на геополитически и институционални промени, финансов натиск, изменение на климата и обществени предизвикателства надеждният, стабилен, гъвкав и инвестиционно ориентиран бюджет на ЕС продължава да бъде от основно значение за изпълнението на политиките на Съюза и да играе ключова роля за посрещането на увеличаващите се нужди на хората, без никой да бъде изоставен в процеса на екологичен и цифров преход, за осигуряването на просперитет и сигурност за хората и за повишаването на конкурентоспособността на икономиката на ЕС;</w:t>
      </w:r>
    </w:p>
    <w:p w:rsidR="004A5711" w:rsidRPr="004E381A" w:rsidRDefault="004A5711" w:rsidP="004A5711">
      <w:pPr>
        <w:pStyle w:val="NormalHanging12a"/>
      </w:pPr>
      <w:r w:rsidRPr="004E381A">
        <w:t>2.</w:t>
      </w:r>
      <w:r w:rsidRPr="004E381A">
        <w:tab/>
        <w:t>подчертава трудните обстоятелства във връзка с бюджетната процедура за 2025 г., която се провежда в момент на голямо международно напрежение и несигурност, както и в година на избори, когато Парламентът и Комисията ще трябва да управляват прехода между парламентарните мандати; напълно осъзнава сериозните, но неизбежни ограничения във връзка с графика, и призовава всички участници да ги вземат надлежно предвид с конструктивна нагласа;</w:t>
      </w:r>
    </w:p>
    <w:p w:rsidR="004A5711" w:rsidRPr="004E381A" w:rsidRDefault="004A5711" w:rsidP="004A5711">
      <w:pPr>
        <w:pStyle w:val="NormalHanging12a"/>
      </w:pPr>
      <w:r w:rsidRPr="004E381A">
        <w:t>3.</w:t>
      </w:r>
      <w:r w:rsidRPr="004E381A">
        <w:tab/>
        <w:t>изразява дълбоко съжаление относно факта, че Съветът не успя да постигне споразумение относно преразглеждането на многогодишната финансова рамка (МФР) преди края на 2023 г.; поради това отбелязва, че е трябвало да стартира бюджетната процедура при липсата на сигурност относно няколко ключови елемента във финансовото програмиране за 2025 г., и е напълно наясно с изключително ограничените, за съжаление, а в някои случаи и отрицателни маржове под таваните на МФР;</w:t>
      </w:r>
    </w:p>
    <w:p w:rsidR="004A5711" w:rsidRPr="004E381A" w:rsidRDefault="004A5711" w:rsidP="004A5711">
      <w:pPr>
        <w:spacing w:after="240"/>
        <w:ind w:left="567" w:hanging="567"/>
      </w:pPr>
      <w:r w:rsidRPr="004E381A">
        <w:t>4.</w:t>
      </w:r>
      <w:r w:rsidRPr="004E381A">
        <w:tab/>
        <w:t>счита, че резултатът от преразглеждането на МФР е под първоначалните стремежи на ЕП; подчертава, че преразглеждането на Регламента за МФР е съществена предпоставка за осигуряване на средносрочна финансова подкрепа за Украйна, с цел да се увеличи финансирането за целенасочени политически приоритети, включително насърчаването на стратегическата автономност на ЕС, и да се запазят програмите на Съюза и гъвкавостта на бюджета, като се вземат предвид по-високите от прогнозираните лихвени проценти, и следователно разходите по заемите на Съюза, които надхвърлят планираното равнище; отбелязва, че годишната бюджетна процедура за 2025 г. ще бъде първата процедура, основана изцяло на преразгледания регламент за МФР;</w:t>
      </w:r>
    </w:p>
    <w:p w:rsidR="004A5711" w:rsidRPr="004E381A" w:rsidRDefault="004A5711" w:rsidP="004A5711">
      <w:pPr>
        <w:spacing w:after="240"/>
        <w:ind w:left="567" w:hanging="567"/>
        <w:rPr>
          <w:color w:val="000000"/>
        </w:rPr>
      </w:pPr>
      <w:r w:rsidRPr="004E381A">
        <w:lastRenderedPageBreak/>
        <w:t>5.</w:t>
      </w:r>
      <w:r w:rsidRPr="004E381A">
        <w:tab/>
        <w:t>припомня, че съвместната декларация, договорена от трите институции като част от споразумението за МФР от 2020 г., съгласно която разходите за покриване на разходите за финансиране по линия на NGEU „се стремят да не намаляват разходите по програмите и фондовете“, все още се прилага и служи като отправна точка за бюджетния орган, по-специално за мобилизиране на инструмента EURI за покриване на поне част от недостига на разходи по заеми по линия на NGEU;</w:t>
      </w:r>
      <w:r w:rsidRPr="004E381A">
        <w:rPr>
          <w:snapToGrid w:val="0"/>
          <w:color w:val="000000" w:themeColor="text1"/>
          <w:shd w:val="clear" w:color="auto" w:fill="FFFFFF"/>
        </w:rPr>
        <w:t xml:space="preserve"> </w:t>
      </w:r>
      <w:r w:rsidRPr="004E381A">
        <w:rPr>
          <w:color w:val="000000"/>
        </w:rPr>
        <w:t>следователно иска да гарантира обезпечаването на всички програми с достатъчно средства и запазването на гъвкавостта и капацитета за реагиране на бюджета в хода на годишната бюджетна процедура; настоява върху факта, че Комисията трябва да предоставя надеждна, навременна и точна информация относно разходите по заеми по линия на NGEU и относно очакваните плащания по Механизма за възстановяване и устойчивост в хода на бюджетната процедура;</w:t>
      </w:r>
    </w:p>
    <w:p w:rsidR="004A5711" w:rsidRPr="004E381A" w:rsidRDefault="004A5711" w:rsidP="004A5711">
      <w:pPr>
        <w:spacing w:after="240"/>
        <w:ind w:left="567" w:hanging="567"/>
      </w:pPr>
      <w:r w:rsidRPr="004E381A">
        <w:t>6.</w:t>
      </w:r>
      <w:r w:rsidRPr="004E381A">
        <w:tab/>
        <w:t>призовава Съвета и Комисията да прилагат изцяло Регламент (ЕС, Евратом) 2020/2092 относно общ режим на обвързаност с условия за защита на бюджета на Съюза; подчертава по-специално, че спазването на принципите на правовата държава е основна предпоставка за достъп до средствата на ЕС; подчертава, че не може да се изплащат средства, ако държавите членки не спазват всички съответни изисквания; изтъква отново, че системните проблеми във връзка с принципите на правовата държава, като например нарушаването на принципа на разделение на властите или неотдавнашните опити в някои държави членки да се посяга на независимостта на съдебната власт, представляват явни рискове за финансовите интереси на ЕС и за защитата на неговия бюджет, и призовава Комисията да не допуска отстъпление от постиженията в областта на принципите на правовата държава; отново призовава Комисията спешно да гарантира, че спрените средства на ЕС ще достигнат до гражданите, предприятията, регионалните и местните власти, неправителствените организации и всички други заинтересовани страни чрез органите на местното самоуправление и организациите на гражданското общество, в съответствие с механизма за обвързване с условия за спазване на принципите на правовата държава;</w:t>
      </w:r>
    </w:p>
    <w:p w:rsidR="004A5711" w:rsidRPr="004E381A" w:rsidRDefault="004A5711" w:rsidP="004A5711">
      <w:pPr>
        <w:pBdr>
          <w:top w:val="nil"/>
          <w:left w:val="nil"/>
          <w:bottom w:val="nil"/>
          <w:right w:val="nil"/>
          <w:between w:val="nil"/>
        </w:pBdr>
        <w:spacing w:after="240"/>
        <w:ind w:left="567" w:hanging="567"/>
      </w:pPr>
      <w:r w:rsidRPr="004E381A">
        <w:t>7.</w:t>
      </w:r>
      <w:r w:rsidRPr="004E381A">
        <w:tab/>
        <w:t>подчертава, че погасяването на разходите по заеми по линия на Инструмента на Европейския съюз за възстановяване (EURI) е правно задължение на ЕС и недискреционна разходна позиция в бюджета на ЕС; отбелязва, че разходите по заеми зависят от темпа на плащанията по Механизма за възстановяване и устойчивост (МВУ), както и от пазарните колебания в доходността на облигациите, и следователно са непредвидими и нестабилни по своята същност; потвърждава позицията си, че разходите по заеми по линия на EURI е трябвало да бъдат поставени изцяло в специален инструмент на EURI над таваните на МФР с оглед на възстановяването на известен марж във функция 2б и защитата на бюджетното пространство в Инструмента за гъвкавост и Единния инструмент за маржовете; ще се стреми да гарантира, че прилагането на каскадния механизъм на EURI в преразгледаната МФР няма да доведе до договорености, които причиняват ненужни съпътстващи загуби за програмираните разходи или наличностите в рамките на нетематичните специални инструменти;</w:t>
      </w:r>
    </w:p>
    <w:p w:rsidR="004A5711" w:rsidRPr="004E381A" w:rsidRDefault="004A5711" w:rsidP="004A5711">
      <w:pPr>
        <w:pBdr>
          <w:top w:val="nil"/>
          <w:left w:val="nil"/>
          <w:bottom w:val="nil"/>
          <w:right w:val="nil"/>
          <w:between w:val="nil"/>
        </w:pBdr>
        <w:spacing w:after="240"/>
        <w:ind w:left="567" w:hanging="567"/>
      </w:pPr>
      <w:r w:rsidRPr="004E381A">
        <w:t>8.</w:t>
      </w:r>
      <w:r w:rsidRPr="004E381A">
        <w:tab/>
        <w:t>припомня, че според прогнозите европейската икономика</w:t>
      </w:r>
      <w:r w:rsidRPr="004E381A">
        <w:rPr>
          <w:rStyle w:val="FootnoteReference"/>
          <w:color w:val="000000"/>
        </w:rPr>
        <w:footnoteReference w:id="22"/>
      </w:r>
      <w:r w:rsidRPr="004E381A">
        <w:t xml:space="preserve"> ще нарасне много слабо (0,9% през 2024 г. и 1,7% през 2025 г.), докато инфлацията се очаква да </w:t>
      </w:r>
      <w:r w:rsidRPr="004E381A">
        <w:lastRenderedPageBreak/>
        <w:t xml:space="preserve">остане значително над равнището от 2%, което се използва като автоматичен дефлатор за МФР (3,0% през 2024 г. и 2,5% през 2025 г.); признава, че това означава продължаваща загуба на покупателна способност за бюджет, който трябва да остане балансиран и който е ограничен от абсолютни стойности; подчертава много ниската изискуема ставка за собствения ресурс на база брутен национален доход (БНД) през последните години (0,46% в проектобюджета за 2024 г.) в резултат на комбинирания ефект от инфлацията, ниските равнища на бюджетните кредити за плащания и по-високите приходи от някои други собствени ресурси; припомня позицията си, че отстъпките и другите корекционни механизми следва да бъдат окончателно премахнати и че дотогава брутните намаления на националните вноски на база БНД следва да подлежат на фиксиран дефлатор в размер до 2% годишно; </w:t>
      </w:r>
    </w:p>
    <w:p w:rsidR="004A5711" w:rsidRPr="004E381A" w:rsidRDefault="004A5711" w:rsidP="004A5711">
      <w:pPr>
        <w:pStyle w:val="NormalHanging12a"/>
      </w:pPr>
      <w:r w:rsidRPr="004E381A">
        <w:t>9.</w:t>
      </w:r>
      <w:r w:rsidRPr="004E381A">
        <w:tab/>
        <w:t>изразява съжаление относно липсата на напредък в Съвета по реформата на системата на собствените ресурси; припомня своята позиция относно изменените предложения на Комисията, която подкрепя въвеждането на нови собствени ресурси; счита, че въвеждането на нови истински източници на приходи в съответствие с пътната карта в междуинституционалното споразумение би послужило за покриване на допълнителната бюджетна тежест, произтичаща от заемите по линия на NextGenerationEU, и по този начин би защитило маржовете и механизмите за гъвкавост, което от своя страна би улеснило вземането на бюджетни решения относно непредвидени нужди, както и нови инициативи за стратегическо прогнозиране; освен това настоятелно призовава Комисията да продължи усилията си за идентифициране на свежи, нови и за предпочитане същински собствени ресурси и други източници на приходи за бюджета на Съюза извън МИС;</w:t>
      </w:r>
    </w:p>
    <w:p w:rsidR="004A5711" w:rsidRPr="004E381A" w:rsidRDefault="004A5711" w:rsidP="004A5711">
      <w:pPr>
        <w:pStyle w:val="NormalHanging12a"/>
      </w:pPr>
      <w:r w:rsidRPr="004E381A">
        <w:t>10.</w:t>
      </w:r>
      <w:r w:rsidRPr="004E381A">
        <w:tab/>
        <w:t>изразява съжаление относно факта, че капацитетът за реагиране на непредвидени събития или за стартиране на нови инициативи е сериозно засегнат от бюджетния недостиг, и възнамерява да коригира тази ситуация, доколкото е възможно и като взема предвид и нарасналите очаквания на гражданите на ЕС; припомня, че е необходимо да се създаде допълнителен специален инструмент над таваните на МФР, който да позволява на бюджета на ЕС да се приспособява по-добре и да реагира бързо на кризи и на техните социални и икономически последици;</w:t>
      </w:r>
    </w:p>
    <w:p w:rsidR="004A5711" w:rsidRPr="004E381A" w:rsidRDefault="004A5711" w:rsidP="004A5711">
      <w:pPr>
        <w:spacing w:after="240"/>
        <w:ind w:left="567" w:hanging="567"/>
      </w:pPr>
      <w:r w:rsidRPr="004E381A">
        <w:t>11.</w:t>
      </w:r>
      <w:r w:rsidRPr="004E381A">
        <w:tab/>
        <w:t>изразява решимост, въпреки тези многобройни ограничения, да поддържа съгласувана и единна позиция, която отразява неговите установени политически приоритети и институционални интереси, включително повишаване на конкурентоспособността на Съюза, намаляване на стратегическите зависимости, ускоряване на внедряването на чиста енергия, гарантиране на постигането на целите за интегриране на въпросите, свързани с климата и биологичното разнообразие, укрепване на капацитета му за сигурност и отбрана, както и принос към екологичния и цифровия преход, като същевременно се сведат до минимум отрицателните въздействия върху водещите програми и се увеличат максимално страничните ползи от икономическия растеж за всички хора в ЕС;</w:t>
      </w:r>
    </w:p>
    <w:p w:rsidR="004A5711" w:rsidRPr="004E381A" w:rsidRDefault="004A5711" w:rsidP="004A5711">
      <w:pPr>
        <w:pStyle w:val="NormalHanging12a"/>
        <w:ind w:left="0" w:firstLine="0"/>
        <w:rPr>
          <w:b/>
          <w:i/>
        </w:rPr>
      </w:pPr>
      <w:r w:rsidRPr="004E381A">
        <w:rPr>
          <w:b/>
          <w:i/>
        </w:rPr>
        <w:t>Безпристрастен, справедлив и приобщаващ бюджет, който предлага по-добри възможности за всички граждани на ЕС и гарантира икономически растеж</w:t>
      </w:r>
    </w:p>
    <w:p w:rsidR="004A5711" w:rsidRPr="004E381A" w:rsidRDefault="004A5711" w:rsidP="004A5711">
      <w:pPr>
        <w:pStyle w:val="NormalHanging12a"/>
      </w:pPr>
      <w:r w:rsidRPr="004E381A">
        <w:t>12.</w:t>
      </w:r>
      <w:r w:rsidRPr="004E381A">
        <w:tab/>
        <w:t xml:space="preserve">отбелязва, че финансово достъпният начин на живот и социалното сближаване продължават да бъдат постоянни предизвикателства във всички държави – членки на ЕС, и техните региони, и припомня ролята на висококачествените и достъпни </w:t>
      </w:r>
      <w:r w:rsidRPr="004E381A">
        <w:lastRenderedPageBreak/>
        <w:t xml:space="preserve">обществени услуги в това отношение; желае да засили приобщаващия характер и достъпността на финансирането, когато това е целесъобразно и в съответствие със съответните критерии за допустимост, и да увеличи максимално възможностите за финансиране чрез привличане на съществуващи средства; счита, че социалното измерение на разходите на ЕС, като необходима характеристика за тяхната легитимност, следва да се продължи да бъде хоризонтален критерий за всички области на политиката; </w:t>
      </w:r>
    </w:p>
    <w:p w:rsidR="004A5711" w:rsidRPr="004E381A" w:rsidRDefault="004A5711" w:rsidP="004A5711">
      <w:pPr>
        <w:pStyle w:val="NormalHanging12a"/>
      </w:pPr>
      <w:r w:rsidRPr="004E381A">
        <w:t>13.</w:t>
      </w:r>
      <w:r w:rsidRPr="004E381A">
        <w:tab/>
        <w:t>подчертава, че бюджетът на ЕС е преди всичко инвестиционен бюджет с ефект на ливъридж, който може да стимулира постигането на целите на Съюза и разработването на политики, като допълва националните политики и по този начин отговаря на нуждите на всички хора в ЕС; припомня значението на Механизма за възстановяване и устойчивост за повишаване на устойчивостта на Съюза и за смекчаване на социално-икономическите последици от миналите и настоящите кризи; счита, че не следва да се пестят усилия, за да се гарантира, че тези два основни източника на финансиране от ЕС се изразходват ефективно и без по-нататъшно забавяне;</w:t>
      </w:r>
    </w:p>
    <w:p w:rsidR="004A5711" w:rsidRPr="004E381A" w:rsidRDefault="004A5711" w:rsidP="004A5711">
      <w:pPr>
        <w:spacing w:after="240"/>
        <w:ind w:left="567" w:hanging="567"/>
      </w:pPr>
      <w:r w:rsidRPr="004E381A">
        <w:t>14.</w:t>
      </w:r>
      <w:r w:rsidRPr="004E381A">
        <w:tab/>
        <w:t xml:space="preserve">изразява твърда решимост да използва бюджета на ЕС, за да постигне осезаема и видима промяна за гражданите, за икономиката на единния пазар и за постигането на целите на Зеления пакт чрез подкрепа за създаването на качествени работни места в авангардни отрасли, адаптиране на пазара на труда към бъдещето чрез развитие на уменията и схеми за насърчаване на талантите, борба с безработицата, повишаване на европейската конкурентоспособност и повишаване на отбранителната готовност на Съюза; счита, че технологичната автономност и устойчивият растеж са от ключово значение за постигането на дългосрочните цели на Съюза в областта на енергетиката и климата; отново призовава за поддържането на подходящо финансиране в подкрепа на малките и средните предприятия (МСП) като гръбнак на европейската икономика, стартиращите предприятия и младите хора, земеделските стопани, учителите и транспортните работници; </w:t>
      </w:r>
      <w:r w:rsidRPr="004E381A">
        <w:rPr>
          <w:rStyle w:val="ui-provider"/>
        </w:rPr>
        <w:t>подчертава необходимостта от допълнително подобряване на енергийната и транспортната инфраструктура и инвестиране в модернизирането на общественото здравеопазване и социалните услуги, социалното и териториалното сближаване и приобщаване, както и в подкрепата за уязвимите, отдалечените и селските общности, включително интелигентните села</w:t>
      </w:r>
      <w:r w:rsidRPr="004E381A">
        <w:t xml:space="preserve">; посочва, че бюджетът трябва да гарантира екологичния преход, като същевременно подкрепя качественото селско стопанство и гарантира достъп до качествено здравеопазване и образование; </w:t>
      </w:r>
    </w:p>
    <w:p w:rsidR="004A5711" w:rsidRPr="004E381A" w:rsidRDefault="004A5711" w:rsidP="004A5711">
      <w:pPr>
        <w:spacing w:after="240"/>
        <w:ind w:left="567" w:hanging="567"/>
      </w:pPr>
      <w:r w:rsidRPr="004E381A">
        <w:t>15.</w:t>
      </w:r>
      <w:r w:rsidRPr="004E381A">
        <w:tab/>
        <w:t>подчертава значителното въздействие на научните изследвания и иновациите върху конкурентоспособността, дългосрочния растеж и заетостта в Европейския съюз; припомня дългогодишната инициатива за увеличаване на интензивността на инвестициите в научноизследователска и развойна дейност в ЕС до 3% от БВП; признава съществуващата разлика между целта и реално предоставеното финансиране; подчертава, че водещата роля на Европа в областта на технологиите е от съществено значение за прилагането на Зеления пакт и на здравния съюз, тъй като създава висококвалифицирани работни места в Съюза по цялата верига на стойността и укрепва високите постижения в областта на научните изследвания и иновациите в ЕС; изразява дълбока загриженост, че наличните средства покриват само малка част от всички подадени кандидатури, което води до привличане на много повече кандидати по програмите от възможния брой, както и до това изследователи да напускат Съюза за конкурентни региони;</w:t>
      </w:r>
    </w:p>
    <w:p w:rsidR="004A5711" w:rsidRPr="004E381A" w:rsidRDefault="004A5711" w:rsidP="004A5711">
      <w:pPr>
        <w:pStyle w:val="NormalHanging12a"/>
        <w:rPr>
          <w:szCs w:val="24"/>
        </w:rPr>
      </w:pPr>
      <w:r w:rsidRPr="004E381A">
        <w:lastRenderedPageBreak/>
        <w:t>16.</w:t>
      </w:r>
      <w:r w:rsidRPr="004E381A">
        <w:tab/>
        <w:t>подчертава, че трябва да се осигурят устойчиви и дългосрочни решения за успешна борба със структурните демографски предизвикателства, както и за намаляване на изтичането на мозъци от по-слабо развитите региони и градове на ЕС; изтъква необходимостта от финансови средства за съживяване на регионите, засегнати от намаляване на населението, чрез инвестиции в социални и демографски политики, които подкрепят семействата, както и от предоставяне на адекватна подкрепа за застаряващото население в Европа по отношение на достъпа до здравеопазване, мобилност и обществени услуги;</w:t>
      </w:r>
    </w:p>
    <w:p w:rsidR="004A5711" w:rsidRPr="004E381A" w:rsidRDefault="004A5711" w:rsidP="004A5711">
      <w:pPr>
        <w:pStyle w:val="NormalHanging12a"/>
      </w:pPr>
      <w:r w:rsidRPr="004E381A">
        <w:t>17.</w:t>
      </w:r>
      <w:r w:rsidRPr="004E381A">
        <w:tab/>
        <w:t>настоява, че чрез „Еразъм+“ и Европейския корпус за солидарност следва да бъде мобилизирано максимално възможно финансиране с цел насърчаване на ученето и предприемачеството и подобряване на уменията, формалното, неформалното и информалното образование и пригодността за заетост на младите хора, както и насърчаване на социалното приобщаване; отново подчертава необходимостта да се гарантира, че и двете програми гарантират равни възможности, като се обръща специално внимание на хората в неравностойно положение в целия ЕС и асоциираните държави; поддържа становището си, че безвъзмездните средства за мобилност по „Еразъм+“ трябва да бъдат допълнително подкрепени, за да се покрие увеличението на разходите за живот и да се гарантира достъпност, равни възможности и приобщаващо участие, по-конкретно, като се увеличи минималният размер на безвъзмездните средства за участник до подходящо равнище;</w:t>
      </w:r>
    </w:p>
    <w:p w:rsidR="004A5711" w:rsidRPr="004E381A" w:rsidRDefault="004A5711" w:rsidP="004A5711">
      <w:pPr>
        <w:pStyle w:val="NormalHanging12a"/>
      </w:pPr>
      <w:r w:rsidRPr="004E381A">
        <w:t>18.</w:t>
      </w:r>
      <w:r w:rsidRPr="004E381A">
        <w:tab/>
        <w:t>подчертава значението на прилагането на Европейския стълб на социалните права и призовава Комисията да започне да обмисля методология за проследяване на социалните разходи в бюджета на ЕС през следващия програмен период; подчертава решаващата роля на бюджета на ЕС за приноса към инициативи, които засилват социалния диалог, укрепват социалните действия на местно и регионално равнище и осигуряват достъп на всички до жизненоважни ключови услуги; отново подчертава необходимостта от европейска стратегия за възрастните хора с конкретни действия за борба с маргинализацията, самотата и изолацията; припомня освен това необходимостта от пълно прилагане на Стратегията за правата на хората с увреждания за периода 2021 – 2030 г., за да се подобрят условията им на живот в Съюза; подчертава случая с европейските превозвачи, които се сблъскват с различни предизвикателства във всяка държава членка – от нарастващите разходи до недостига на капацитет, както и необходимостта от гъвкавост и по-добри условия на труд; подчертава необходимостта от засилване на съществуващите правила за тяхната защита и от разпределяне на допълнителни ресурси за наблюдение на условията на труд във всички държави членки; подчертава в това отношение ползите от разработването на ИТ инструменти на равнище ЕС, които да спомогнат за по-доброто изпълнение на бюрократичните изисквания и стандартизирането на сертификатите;</w:t>
      </w:r>
    </w:p>
    <w:p w:rsidR="004A5711" w:rsidRPr="004E381A" w:rsidRDefault="004A5711" w:rsidP="004A5711">
      <w:pPr>
        <w:pStyle w:val="NormalHanging12a"/>
      </w:pPr>
      <w:r w:rsidRPr="004E381A">
        <w:t>19.</w:t>
      </w:r>
      <w:r w:rsidRPr="004E381A">
        <w:tab/>
        <w:t xml:space="preserve">призовава Комисията и държавите членки да заделят подходящи ресурси за ефективното прилагане на правилата на ЕС относно координирането на системите за социална сигурност, за да се улесни трудовата мобилност и прехвърлянето на социални обезщетения; призовава средствата на ЕС да се използват за разработване на системата за електронен обмен на данни за социалната сигурност и за подпомагане на по-нататъшната цифровизация на системите за социална сигурност с цел справедлива трудова мобилност; </w:t>
      </w:r>
    </w:p>
    <w:p w:rsidR="004A5711" w:rsidRPr="004E381A" w:rsidRDefault="004A5711" w:rsidP="004A5711">
      <w:pPr>
        <w:spacing w:after="240"/>
        <w:ind w:left="567" w:hanging="567"/>
      </w:pPr>
      <w:r w:rsidRPr="004E381A">
        <w:t>20.</w:t>
      </w:r>
      <w:r w:rsidRPr="004E381A">
        <w:tab/>
        <w:t xml:space="preserve">признава, че технологиите и изкуственият интелект (ИИ) бързо променят </w:t>
      </w:r>
      <w:r w:rsidRPr="004E381A">
        <w:lastRenderedPageBreak/>
        <w:t>картината в сферата на заетостта; подчертава икономическия потенциал, който ориентираните към човека надеждни технологии с ИИ могат да осигурят за икономическия растеж на Европа, като същевременно подобрят живота на гражданите в редица области като здравеопазването, селското стопанство, енергетиката, транспорта и сигурността;</w:t>
      </w:r>
      <w:r w:rsidRPr="004E381A">
        <w:rPr>
          <w:color w:val="00B0F0"/>
        </w:rPr>
        <w:t xml:space="preserve"> </w:t>
      </w:r>
      <w:r w:rsidRPr="004E381A">
        <w:t>призовава това да бъде отразено в програмите и политиките на ЕС чрез отпускането на подходящи финансови средства; подчертава необходимостта от подобряване на основните цифрови умения на гражданите, за да се отговори на нуждите на предприятията и да се подготвят гражданите срещу дезинформацията; подкрепя мерките на ЕС, които допълват националните стратегии за заетостта в областта на преквалификацията и мобилността на равнище ЕС по координиран начин, оползотворявайки потенциала на тези промени за процъфтяваща и адаптивна работна сила, включително чрез насърчаване на преквалификацията и мобилността, като по този начин се гарантира плавен преход към нови и нововъзникващи сектори на заетост;</w:t>
      </w:r>
    </w:p>
    <w:p w:rsidR="004A5711" w:rsidRPr="004E381A" w:rsidRDefault="004A5711" w:rsidP="004A5711">
      <w:pPr>
        <w:spacing w:after="240"/>
        <w:ind w:left="567" w:hanging="567"/>
      </w:pPr>
      <w:r w:rsidRPr="004E381A">
        <w:t>21.</w:t>
      </w:r>
      <w:r w:rsidRPr="004E381A">
        <w:tab/>
        <w:t>изразява тревога във връзка с нарастващия брой екстремни метеорологични явления, като например тежки пожари, наводнения и други природни бедствия, свързани с влошаващото се изменение на климата в цяла Европа; поради това подчертава необходимостта да се осигури достатъчно финансиране за механизма за гражданска защита на ЕС и призовава за по-добро консолидиране на капацитета на ЕС за реагиране при извънредни ситуации чрез укрепване на съвместните екипи за медицинска и спешна намеса; призовава Комисията да гарантира, че ресурсите могат да бъдат предоставени бързо и чрез ФСЕС и РСП;</w:t>
      </w:r>
    </w:p>
    <w:p w:rsidR="004A5711" w:rsidRPr="004E381A" w:rsidRDefault="004A5711" w:rsidP="004A5711">
      <w:pPr>
        <w:pStyle w:val="NormalHanging12a"/>
      </w:pPr>
      <w:r w:rsidRPr="004E381A">
        <w:t>22.</w:t>
      </w:r>
      <w:r w:rsidRPr="004E381A">
        <w:tab/>
        <w:t>подчертава значението на отпускането на подходящо финансиране за дейностите, определени в Регламента относно програма „ЕС в подкрепа на здравето“; признава, че цената на лекарствата и здравните технологии оказва значително въздействие върху способността на пациентите да имат достъп до тях; подчертава, че недостъпните разходи за лекарства представляват реална пречка пред лечението, и призовава за прилагането на специфични мерки с цел справяне с тези предизвикателства; призовава в това отношение за по-добра координация на равнище ЕС и за съвместно възлагане на обществени поръчки за лекарства, за да се намалят разходите; подчертава значението на борбата с детските болести със специален акцент върху редките болести; подчертава по-специално значението на европейския план за борба с рака; призовава за амбициозен бюджет на клъстера „Здравеопазване“ по програма „Хоризонт Европа“, за да се гарантира, че ЕС може да реагира ефективно на бъдещи здравни кризи, да помогне за укрепването на здравните системи и да подобри физическото и психическото здраве на хората, като направи здравните грижи по-достъпни и по-евтини; признава, че сърдечносъдовите болести продължават да бъдат водещата причина за смърт в ЕС; счита, че решаването на проблема със сърдечносъдовите болести чрез инвестиране в действия, насочени към персонализираната медицина и електронното здравеопазване, е от ключово значение, тъй като това ще повиши стандартите за профилактика и лечение и ще осигури равен достъп на всички граждани до здравеопазване; подчертава необходимостта да се предотврати недостигът на лекарства, с който се сблъскаха някои държави членки през последните години; признава, че неравенствата в здравеопазването трябва да бъдат намалени, за да се осигури справедливо здравеопазване за всички жени, включително достъп до услуги в областта на сексуалното и репродуктивно здраве, и напомня, че е от съществено значение здравето на жените да остане приоритет на политиката и научните изследвания;</w:t>
      </w:r>
    </w:p>
    <w:p w:rsidR="004A5711" w:rsidRPr="004E381A" w:rsidRDefault="004A5711" w:rsidP="004A5711">
      <w:pPr>
        <w:pStyle w:val="NormalHanging12a"/>
      </w:pPr>
      <w:r w:rsidRPr="004E381A">
        <w:lastRenderedPageBreak/>
        <w:t>23.</w:t>
      </w:r>
      <w:r w:rsidRPr="004E381A">
        <w:tab/>
        <w:t>припомня необходимостта от справяне с недостига на умения, проблема с изтичането на мозъци и взаимовръзката между нуждите и уменията на пазара, също и от гледна точка на ситуацията в различните региони на ЕС; счита, че за да може работната сила в ЕС да остане конкурентоспособна в бъдеще, е необходимо да се определят ключови области за обучение и преквалификация, особено за насърчаване на уменията в екологичната и цифровата сфера; подчертава, че са необходими допълнителни инвестиции за модернизиране на образователните системи на Съюза, създаване на схеми за насърчаване на талантите и стимулиране на младите предприемачи; призовава за ускоряване на реализацията на Европейската година на уменията и на европейското пространство за образование; призовава Комисията бързо да приложи решенията, определени като ключови по време на Европейската година на уменията, като подчертава необходимостта от по-добро сътрудничество с предприятията, включително оценката на въздействието на ЕС от гледна точка на младежта и забраната на неплатените стажове; съгласно препоръките, приети на Конференцията за бъдещето на Европа, припомня значението на създаването на европейски план за образованието, включващ финансови ресурси с цел подкрепа на качественото образование и обучението на учителите, както и намаляване на дела на преждевременно напускащите училище;</w:t>
      </w:r>
    </w:p>
    <w:p w:rsidR="004A5711" w:rsidRPr="004E381A" w:rsidRDefault="004A5711" w:rsidP="004A5711">
      <w:pPr>
        <w:pBdr>
          <w:top w:val="nil"/>
          <w:left w:val="nil"/>
          <w:bottom w:val="nil"/>
          <w:right w:val="nil"/>
          <w:between w:val="nil"/>
        </w:pBdr>
        <w:ind w:left="567" w:hanging="567"/>
        <w:rPr>
          <w:color w:val="000000"/>
        </w:rPr>
      </w:pPr>
      <w:r w:rsidRPr="004E381A">
        <w:rPr>
          <w:color w:val="000000"/>
        </w:rPr>
        <w:t>24.</w:t>
      </w:r>
      <w:r w:rsidRPr="004E381A">
        <w:rPr>
          <w:color w:val="000000"/>
        </w:rPr>
        <w:tab/>
        <w:t xml:space="preserve">подчертава добавената стойност на програмите за финансиране в областта на демокрацията и правата и ценностите и припомня значението, което бюджетът на ЕС има за утвърждаването на европейските ценности, залегнали в член 2 от ДЕС, културата и правата на гражданите, за изграждането на устойчиви общества и за подкрепата на ключовите принципи на демокрацията, правовата държава, солидарността, приобщаването, справедливостта, недискриминацията и равенството, включително равенството между половете; желае средствата за съответните бюджетни редове и органи да бъдат увеличени с цел справяне с поляризацията, нарастването на политическия екстремизъм и ниското доверие в институциите, насърчаване на демокрацията на участието, предотвратяване на отстъплението от демокрацията, подкопаването на принципите на правовата държава, свиващото се пространство за организациите на гражданското общество, работещи в тази област на местно и национално равнище и на равнището на Съюза, и инструментализирането на евроскептицизма; призовава за осигуряване на достатъчно средства от ЕС за програмата „Граждани, равенство, права и ценности“ и подчертава ценната работа, свършена в рамките на направлението „Ценности на Съюза“, което предоставя пряко финансиране на организациите на гражданското общество, както и направленията „Дафне“ и „Равенство и права“; отново заявява, че следва да бъдат отделени необходимите ресурси за борба с основаното на пола насилие и за подпомагане на правата и достъпа до безопасни услуги в областта на сексуалното и репродуктивното здраве, за организациите за защита на правата на жените, както и за инициативите и органите на ЕС за борба с дискриминацията срещу жените; призовава Комисията да улесни достъпа до програмата „Граждани, равенство, права и ценности“, както и да гарантира гъвкавостта на процеса на вторично отпускане на безвъзмездни средства на местните организации и организациите по места от операторите в държавите членки, за да се гарантира, че финансирането достига до тези, които работят най-близо до гражданите; </w:t>
      </w:r>
    </w:p>
    <w:p w:rsidR="004A5711" w:rsidRPr="004E381A" w:rsidRDefault="004A5711" w:rsidP="004A5711">
      <w:pPr>
        <w:pBdr>
          <w:top w:val="nil"/>
          <w:left w:val="nil"/>
          <w:bottom w:val="nil"/>
          <w:right w:val="nil"/>
          <w:between w:val="nil"/>
        </w:pBdr>
        <w:ind w:left="720" w:hanging="720"/>
        <w:rPr>
          <w:color w:val="000000"/>
        </w:rPr>
      </w:pPr>
    </w:p>
    <w:p w:rsidR="004A5711" w:rsidRPr="004E381A" w:rsidRDefault="004A5711" w:rsidP="004A5711">
      <w:pPr>
        <w:pBdr>
          <w:top w:val="nil"/>
          <w:left w:val="nil"/>
          <w:bottom w:val="nil"/>
          <w:right w:val="nil"/>
          <w:between w:val="nil"/>
        </w:pBdr>
        <w:ind w:left="567" w:hanging="567"/>
        <w:rPr>
          <w:color w:val="000000"/>
        </w:rPr>
      </w:pPr>
      <w:r w:rsidRPr="004E381A">
        <w:rPr>
          <w:color w:val="000000"/>
        </w:rPr>
        <w:t>25.</w:t>
      </w:r>
      <w:r w:rsidRPr="004E381A">
        <w:rPr>
          <w:color w:val="000000"/>
        </w:rPr>
        <w:tab/>
        <w:t xml:space="preserve">призовава Комисията да увеличи подкрепата на Съюза за защита на гражданите, малцинствата и религиозните общности и обществените пространства от </w:t>
      </w:r>
      <w:r w:rsidRPr="004E381A">
        <w:rPr>
          <w:color w:val="000000"/>
        </w:rPr>
        <w:lastRenderedPageBreak/>
        <w:t>терористични заплахи, за борба с радикализацията и терористичното съдържание онлайн и за противодействие на рязкото нарастване на речта на омразата, антисемитизма, омразата срещу мюсюлманите и расизма в цяла Европа и по света;</w:t>
      </w:r>
    </w:p>
    <w:p w:rsidR="004A5711" w:rsidRPr="004E381A" w:rsidRDefault="004A5711" w:rsidP="004A5711">
      <w:pPr>
        <w:pBdr>
          <w:top w:val="nil"/>
          <w:left w:val="nil"/>
          <w:bottom w:val="nil"/>
          <w:right w:val="nil"/>
          <w:between w:val="nil"/>
        </w:pBdr>
        <w:ind w:left="567" w:hanging="567"/>
      </w:pPr>
    </w:p>
    <w:p w:rsidR="004A5711" w:rsidRPr="004E381A" w:rsidRDefault="004A5711" w:rsidP="004A5711">
      <w:pPr>
        <w:pStyle w:val="NormalHanging12a"/>
      </w:pPr>
      <w:r w:rsidRPr="004E381A">
        <w:t>26.</w:t>
      </w:r>
      <w:r w:rsidRPr="004E381A">
        <w:tab/>
        <w:t>подчертава все по-нарастващите заплахи и опасности, произтичащи от организираните и целенасочени кампании за дезинформация срещу Европейския съюз от страна на чуждестранни заинтересовани страни; изисква финансиране за програмата „Хоризонт Европа“ и за дейности под ръководството на Комисията и ЕСВД за борба с широкомащабното разпространение на дезинформация и за разработване на по-ефективни ответни мерки; призовава Съюза и държавите членки да използват средствата на ЕС за дейности, насочени към повишаване на медийната грамотност сред гражданите; призовава за увеличаване на финансирането за противодействие на речта на омразата и терористичното съдържание онлайн; подчертава необходимостта от укрепване на журналистическата свобода и медийния плурализъм чрез подходящи ресурси, в съответствие с приложимите разпоредби, и от подкрепа за журналистите, включително разследващите журналисти, защитниците на правата на човека и членовете на гражданското общество, изправени пред ответни действия, като например стратегически съдебни производства, насочени срещу участието на обществеността; призовава за подходяща подкрепа за сектора на културата, включително за насърчаването на трансграничното разпространение на европейски филми, музика и видеоигри; поради това призовава за увеличаване на финансирането за програмата „Творческа Европа“;</w:t>
      </w:r>
    </w:p>
    <w:p w:rsidR="004A5711" w:rsidRPr="004E381A" w:rsidRDefault="004A5711" w:rsidP="004A5711">
      <w:pPr>
        <w:pStyle w:val="NormalHanging12a"/>
        <w:rPr>
          <w:b/>
          <w:i/>
        </w:rPr>
      </w:pPr>
      <w:r w:rsidRPr="004E381A">
        <w:rPr>
          <w:b/>
          <w:i/>
        </w:rPr>
        <w:t>Бюджет, който изпълнява стратегическите приоритети</w:t>
      </w:r>
    </w:p>
    <w:p w:rsidR="004A5711" w:rsidRPr="004E381A" w:rsidRDefault="004A5711" w:rsidP="004A5711">
      <w:pPr>
        <w:pBdr>
          <w:top w:val="nil"/>
          <w:left w:val="nil"/>
          <w:bottom w:val="nil"/>
          <w:right w:val="nil"/>
          <w:between w:val="nil"/>
        </w:pBdr>
        <w:spacing w:after="240"/>
        <w:ind w:left="567" w:hanging="567"/>
        <w:rPr>
          <w:color w:val="000000"/>
        </w:rPr>
      </w:pPr>
      <w:r w:rsidRPr="004E381A">
        <w:rPr>
          <w:color w:val="000000"/>
        </w:rPr>
        <w:t>27.</w:t>
      </w:r>
      <w:r w:rsidRPr="004E381A">
        <w:rPr>
          <w:color w:val="000000"/>
        </w:rPr>
        <w:tab/>
        <w:t xml:space="preserve">подчертава значението на намаляването на стратегическите зависимости на Съюза в ключови сектори; приветства новия регламент за STEP, но изтъква необходимостта от структурен отговор на инвестиционните нужди на стратегическите отрасли, за да се улесни идентифицирането, разработването и разширяването на революционните технологии; изразява съжаление, че съществуващото равнище на финансиране по програма „Хоризонт Европа“ е недостатъчно в това отношение, и призовава за увеличаване на финансирането за „Хоризонт Европа“ и други ключови програми на Съюза в тази област, като например InvestEU, за да се постигне целта за отворена стратегическа автономност; счита, че зависимостта на ЕС по отношение на снабдяването с ресурси e повод за нарастващо безпокойство; </w:t>
      </w:r>
      <w:r w:rsidRPr="004E381A">
        <w:t>призовава за допълнителни инвестиции на ЕС в изграждането на неговата отворена стратегическа автономност, като се осигури ускоряване на използването на възобновяеми енергийни източници, ускоряване на процесите на издаване на разрешителни, декарбонизация на сградите, достъп до суровини от критично значение и разработване на устойчиви вериги за създаване на стойност за промишлените екосистеми на ЕС, особено в ключови области като здравеопазването и отбраната;</w:t>
      </w:r>
      <w:r w:rsidRPr="004E381A">
        <w:rPr>
          <w:color w:val="000000"/>
        </w:rPr>
        <w:t xml:space="preserve"> </w:t>
      </w:r>
      <w:r w:rsidRPr="004E381A">
        <w:t>изисква подходящо финансиране, за да се гарантира непрекъснатото развитие на настоящите европейски водещи програми в космическия сектор, включително „Коперник“, „Галилео“/EGNOS и европейската инициатива за спътникови комуникации (GOVSATCOM) и за информираност за ситуацията в космоса (SSA);</w:t>
      </w:r>
    </w:p>
    <w:p w:rsidR="004A5711" w:rsidRPr="004E381A" w:rsidRDefault="004A5711" w:rsidP="004A5711">
      <w:pPr>
        <w:pStyle w:val="NormalHanging12a"/>
      </w:pPr>
      <w:r w:rsidRPr="004E381A">
        <w:t>28.</w:t>
      </w:r>
      <w:r w:rsidRPr="004E381A">
        <w:tab/>
        <w:t xml:space="preserve">счита, че цифровият преход предлага множество възможности за подобряване на цифровата инфраструктура и свързаността и за развиване на цифрови умения; посочва значението на програмата „Цифрова Европа“ и Механизма за свързване </w:t>
      </w:r>
      <w:r w:rsidRPr="004E381A">
        <w:lastRenderedPageBreak/>
        <w:t>на Европа (МСЕ – Цифрови технологии), както и на плана за действие в областта на цифровото образование в това отношение; отново изтъква необходимостта от образователна програма в областта на ИИ, кодирането и роботиката, предназначена за учители и учащи и финансирана чрез съответните програми; подчертава, че бюджетът на ЕС трябва да подкрепя адекватно етичното и недискриминационно използване на ИИ, особено в секторите на образованието и културата; припомня необходимостта финансираните от ЕС програми да продължат да инвестират в подобряването на цифровата грамотност в обществото и в преодоляването на цифровото разделение, включително неравенството между половете в областта на цифровите технологии, в образованието и ученето през целия живот;</w:t>
      </w:r>
    </w:p>
    <w:p w:rsidR="004A5711" w:rsidRPr="004E381A" w:rsidRDefault="004A5711" w:rsidP="004A5711">
      <w:pPr>
        <w:pStyle w:val="NormalHanging12a"/>
      </w:pPr>
      <w:r w:rsidRPr="004E381A">
        <w:t>29.</w:t>
      </w:r>
      <w:r w:rsidRPr="004E381A">
        <w:tab/>
        <w:t>подчертава централната роля на бюджета на ЕС за изпълнението на Европейския зелен пакт и за справянето с изменението на климата чрез намаляването на емисиите, увеличаването на използването на енергия от възобновяеми източници, създаването на кръгова икономика, опазването на екосистемите и обръщането на тревожната тенденция на загуба на биологично разнообразие, като същевременно се запазва конкурентоспособността и се създават екологични работни места, както и растеж в рамките на ЕС; подчертава централната роля, която програмата LIFE играе за изпълнението на Европейския зелен пакт, постигането на целта на Съюза за неутралност по отношение на климата, в съответствие с Европейския закон за климата и Парижкото споразумение; изразява дълбока загриженост във връзка със сериозните последици от изменението на климата, включително под формата на недостиг на вода;</w:t>
      </w:r>
    </w:p>
    <w:p w:rsidR="004A5711" w:rsidRPr="004E381A" w:rsidRDefault="004A5711" w:rsidP="004A5711">
      <w:pPr>
        <w:pBdr>
          <w:top w:val="nil"/>
          <w:left w:val="nil"/>
          <w:bottom w:val="nil"/>
          <w:right w:val="nil"/>
          <w:between w:val="nil"/>
        </w:pBdr>
        <w:spacing w:after="240"/>
        <w:ind w:left="567" w:hanging="567"/>
        <w:rPr>
          <w:color w:val="000000"/>
        </w:rPr>
      </w:pPr>
      <w:r w:rsidRPr="004E381A">
        <w:rPr>
          <w:color w:val="000000"/>
        </w:rPr>
        <w:t>30.</w:t>
      </w:r>
      <w:r w:rsidRPr="004E381A">
        <w:rPr>
          <w:color w:val="000000"/>
        </w:rPr>
        <w:tab/>
        <w:t>подчертава, че загрижеността във връзка със сигурността на енергийните доставки и високите цени на енергията превръщат енергийната бедност във въпрос от решаващо значение и създават предизвикателства за европейската промишленост, по-специално за МСП; във връзка с това подчертава необходимостта от стимулиране на инвестициите на ЕС за текущия преход на ЕС към неутралност по отношение на климата, включително за енергийната ефективност, научните изследвания и иновациите в областта на устойчивите нисковъглеродни и безвъглеродни технологии, и по-специално в областите с положително въздействие върху намаляването на разходите за живот на домакинствата, като например подобряването на енергийната ефективност на сградите и внедряването на възобновяеми енергийни източници; отбелязва огромните нужди от инвестиции за декарбонизация на транспорта и непрекъснатото увеличение на цените на строителството и суровините; признава стратегическата стойност на разширяването на TEN-T към източното съседство и засилената свързаност със стратегическите партньори на ЕС; подчертава значението на програмата МСЕ – Транспорт и нейната положителна роля за постигането на целите на Зеления пакт и прехода към чиста енергия;</w:t>
      </w:r>
    </w:p>
    <w:p w:rsidR="004A5711" w:rsidRPr="004E381A" w:rsidRDefault="004A5711" w:rsidP="004A5711">
      <w:pPr>
        <w:pBdr>
          <w:top w:val="nil"/>
          <w:left w:val="nil"/>
          <w:bottom w:val="nil"/>
          <w:right w:val="nil"/>
          <w:between w:val="nil"/>
        </w:pBdr>
        <w:spacing w:after="240"/>
        <w:ind w:left="567" w:hanging="567"/>
        <w:rPr>
          <w:color w:val="000000"/>
        </w:rPr>
      </w:pPr>
      <w:r w:rsidRPr="004E381A">
        <w:rPr>
          <w:color w:val="000000"/>
        </w:rPr>
        <w:t>31.</w:t>
      </w:r>
      <w:r w:rsidRPr="004E381A">
        <w:rPr>
          <w:color w:val="000000"/>
        </w:rPr>
        <w:tab/>
        <w:t xml:space="preserve">подчертава, че бюджетът за 2025 г. трябва да бъде приведен в съответствие с целите на политиката и международните ангажименти на Съюза; подчертава необходимостта от непрекъсната работа за постигане на целите за интегриране на въпросите за климата и биологичното разнообразие в бюджетните разходи на Съюза, заложени в МИС, като част от по-широката цел Съюзът да стане неутрален по отношение на климата най-късно до 2050 г.; припомня разпоредбата в МИС за набелязване на съответните мерки, които да бъдат предприети, в случай че периодичният преглед покаже недостатъчен напредък към постигането на приложимите цели; изразява загриженост във връзка с оценката на Комисията, че </w:t>
      </w:r>
      <w:r w:rsidRPr="004E381A">
        <w:rPr>
          <w:color w:val="000000"/>
        </w:rPr>
        <w:lastRenderedPageBreak/>
        <w:t xml:space="preserve">целта за заделяне на 10% от общите разходи за сферата на биологичното разнообразие през 2026 и 2027 г. най-вероятно няма да бъде постигната, както и за липсата на ясен път за постигане на договорените цели; призовава Комисията да наблюдава прилагането на принципа за ненанасяне на значителни вреди и да предприема необходимите корективни мерки, когато това е необходимо; </w:t>
      </w:r>
    </w:p>
    <w:p w:rsidR="004A5711" w:rsidRPr="004E381A" w:rsidRDefault="004A5711" w:rsidP="004A5711">
      <w:pPr>
        <w:pStyle w:val="NormalHanging12a"/>
        <w:rPr>
          <w:color w:val="000000"/>
        </w:rPr>
      </w:pPr>
      <w:r w:rsidRPr="004E381A">
        <w:rPr>
          <w:color w:val="000000"/>
        </w:rPr>
        <w:t>32.</w:t>
      </w:r>
      <w:r w:rsidRPr="004E381A">
        <w:rPr>
          <w:color w:val="000000"/>
        </w:rPr>
        <w:tab/>
      </w:r>
      <w:r w:rsidRPr="004E381A">
        <w:t>подчертава значението на Европейската инициатива за градовете и на адекватното ѝ финансиране за постигането на всички нейни цели;</w:t>
      </w:r>
      <w:r w:rsidRPr="004E381A">
        <w:rPr>
          <w:color w:val="000000"/>
        </w:rPr>
        <w:t xml:space="preserve"> призовава за повече пряко финансиране за местните органи с цел укрепване на изграждането на капацитет, техническата подкрепа и обмена на най-добри практики; призовава за увеличаване на ресурсите за съответните агенции, което трябва да съответства на работното натоварване, произтичащо от програмата на Зеления пакт на ЕС, по-специално пакета „Подготвени за цел 55“;</w:t>
      </w:r>
    </w:p>
    <w:p w:rsidR="004A5711" w:rsidRPr="004E381A" w:rsidRDefault="004A5711" w:rsidP="004A5711">
      <w:pPr>
        <w:pStyle w:val="NormalHanging12a"/>
      </w:pPr>
      <w:r w:rsidRPr="004E381A">
        <w:t>33.</w:t>
      </w:r>
      <w:r w:rsidRPr="004E381A">
        <w:tab/>
        <w:t xml:space="preserve">изтъква съществения принос на земеделските стопани и рибарите за обществото и следователно подчертава ключовата значимост на общата селскостопанска политика (ОСП) и общата политика в областта на рибарството за продоволствената сигурност и по-голямата автономност на ЕС в производството на висококачествени храни; подчертава ролята на ОСП за гарантиране на устойчиви и достойни доходи за земеделските стопани в ЕС, по-специално за дребните и младите земеделски стопани; призовава за конкретни мерки за справяне с първопричините за недоволството на земеделските стопани в целия ЕС, и по-специално призовава за незабавни ресурси и мерки, за да се помогне на земеделските стопани да се справят с въздействието на инфлацията, разходите за гориво, новите производствени стандарти и промените в световния пазар на храни; подчертава необходимостта да се подпомогнат новите и младите земеделски стопани, гарантирайки по този начин приемствеността между поколенията, като същевременно се преодолява недостигът на работна ръка и умения в хранително-вкусовия сектор; посочва, че европейските земеделски стопани са изправени пред много предизвикателства, по-специално прекомерна бюрокрация и административна тежест, нарастващо регулаторно припокриване, недостиг, както и трудни условия на труд; </w:t>
      </w:r>
      <w:r w:rsidRPr="004E381A">
        <w:rPr>
          <w:color w:val="000000"/>
        </w:rPr>
        <w:t xml:space="preserve">подчертава необходимостта от по-добро справяне с въздействието на нарастващата честота и интензивност на наводненията, сушите и горските пожари върху секторите чрез специални мерки за подкрепа; </w:t>
      </w:r>
      <w:r w:rsidRPr="004E381A">
        <w:t>призовава за адекватни доходи за всички в селскостопанските сектори; подчертава необходимостта от подходяща подкрепа за научните изследвания и иновациите и от спазване на трудовите стандарти, както и от подходящи инвестиции, за да се предложат алтернативни източници на доходи и за да се улесни преходът към по-устойчива и финансово достъпна продоволствена система, по-специално чрез иновации, запазвайки доходите на земеделските стопани, като същевременно се избягва ситуация, при която европейските земеделски стопани са изправени пред нелоялна конкуренция от внос, който не отговаря на нашите стандарти;</w:t>
      </w:r>
      <w:r w:rsidRPr="004E381A">
        <w:rPr>
          <w:color w:val="000000"/>
        </w:rPr>
        <w:t xml:space="preserve"> </w:t>
      </w:r>
      <w:r w:rsidRPr="004E381A">
        <w:t>очаква в стратегическия диалог за бъдещето на селското стопанство да бъдат разгледани всички съответни въпроси, включително превантивните аспекти;</w:t>
      </w:r>
    </w:p>
    <w:p w:rsidR="004A5711" w:rsidRPr="004E381A" w:rsidRDefault="004A5711" w:rsidP="004A5711">
      <w:pPr>
        <w:pBdr>
          <w:top w:val="nil"/>
          <w:left w:val="nil"/>
          <w:bottom w:val="nil"/>
          <w:right w:val="nil"/>
          <w:between w:val="nil"/>
        </w:pBdr>
        <w:spacing w:after="240"/>
        <w:ind w:left="567" w:hanging="567"/>
        <w:rPr>
          <w:color w:val="000000"/>
        </w:rPr>
      </w:pPr>
      <w:r w:rsidRPr="004E381A">
        <w:t>34.</w:t>
      </w:r>
      <w:r w:rsidRPr="004E381A">
        <w:tab/>
        <w:t xml:space="preserve">отново заявява, че всички програми, политики и дейности на ЕС следва да се изпълняват по начин, който насърчава равенството между половете при постигането на техните цели; приветства в това отношение работата на Комисията по бюджетиране, съобразено с равенството между половете, и подчертава необходимостта от по-нататъшно развитие на методологията ѝ за проследяване на равенството между половете с цел измерване на въздействието на разходите на </w:t>
      </w:r>
      <w:r w:rsidRPr="004E381A">
        <w:lastRenderedPageBreak/>
        <w:t>Съюза върху равенството между половете, както е предвидено в междуинституционалното споразумение;</w:t>
      </w:r>
      <w:r w:rsidRPr="004E381A">
        <w:rPr>
          <w:color w:val="000000"/>
        </w:rPr>
        <w:t xml:space="preserve"> призовава Комисията да покаже резултатите от тази методология за бюджета за 2025 г., придружени от систематично събиране, докладване и оценка на разбити по полов признак данни;</w:t>
      </w:r>
    </w:p>
    <w:p w:rsidR="004A5711" w:rsidRPr="004E381A" w:rsidRDefault="004A5711" w:rsidP="004A5711">
      <w:pPr>
        <w:pStyle w:val="NormalHanging12a"/>
        <w:rPr>
          <w:b/>
          <w:i/>
        </w:rPr>
      </w:pPr>
      <w:r w:rsidRPr="004E381A">
        <w:rPr>
          <w:b/>
          <w:i/>
        </w:rPr>
        <w:t>Ориентиран към бъдещето бюджет за един променящ се свят</w:t>
      </w:r>
    </w:p>
    <w:p w:rsidR="004A5711" w:rsidRPr="004E381A" w:rsidRDefault="004A5711" w:rsidP="004A5711">
      <w:pPr>
        <w:spacing w:after="240"/>
        <w:ind w:left="567" w:hanging="567"/>
      </w:pPr>
      <w:r w:rsidRPr="004E381A">
        <w:t>35.</w:t>
      </w:r>
      <w:r w:rsidRPr="004E381A">
        <w:tab/>
        <w:t>отново подчертава, че е необходимо да се прилага политика в областта на миграцията и убежището, основавана на солидарност, споделена отговорност и зачитане на правата на човека, в съответствие с ценностите на Съюза и международните ангажименти; подчертава, че ефективното, хуманно и справедливо управление и защита на външните граници на Съюза са от ключово значение за гарантиране на неговата сигурност и на гладкото и ефективно прилагане на политиката на Съюза в областта на миграцията и убежището, по-специално за да се подготви влизането в сила на новия пакт за миграцията и убежището, включително по отношение на ефективните, безопасни и достойни процедури за приемане, интеграция, връщане и обратно приемане;</w:t>
      </w:r>
      <w:r w:rsidRPr="004E381A">
        <w:rPr>
          <w:color w:val="000000"/>
        </w:rPr>
        <w:t xml:space="preserve"> подчертава жизненоважната роля, която фондът „Убежище, миграция и интеграция“ (ФУМИ) и Инструментът за финансова подкрепа за управлението на границите и визовата политика (ИУГВП) играят в това отношение; </w:t>
      </w:r>
      <w:r w:rsidRPr="004E381A">
        <w:t>припомня необходимостта от запазване на свободното движение на хора в рамките на Съюза; припомня, че Румъния и България се присъединиха към Шенгенското пространство за пътуване без граници през март 2024 г., и отново изтъква значението на спешното приключване и привеждане в действие на пълно присъединяване, включващо сухопътните и железопътните връзки; ще се стреми да увеличи максимално наличните средства в бюджета за 2025 г. за тези цели; счита, че ЕС трябва да работи в тясно сътрудничество със своите съседи и трети държави на произход и транзитно преминаване, за да стимулира стабилното, устойчиво и приобщаващо развитие и за да се справи с първопричините за миграцията, като по този начин предотвратява незаконната миграция и защитава уязвимите лица от мрежите за контрабанда и трафик на хора, както и от смъртни случаи в морето; подчертава по-специално нарастващите отговорности на агенциите, отговарящи за наблюдението и управлението на границите, подкрепата за държавите членки при изпълнението на техните задачи в рамките на общата европейска система за убежище и спазването на основните права;</w:t>
      </w:r>
      <w:r w:rsidRPr="004E381A">
        <w:rPr>
          <w:color w:val="000000"/>
        </w:rPr>
        <w:t xml:space="preserve"> изтъква необходимостта от подходящо финансиране, персонал и обучение на персонала за всички агенции, работещи в областта на сигурността, правосъдието, правоприлагането, убежището и миграцията, както и управлението на границите, за да могат да изпълняват мандата си; призовава да се обръща специално внимание на точното внедряване и управление на широкомащабните информационни системи на ЕС, които допринасят за обстановката по отношение на сигурността на Съюза;</w:t>
      </w:r>
    </w:p>
    <w:p w:rsidR="004A5711" w:rsidRPr="004E381A" w:rsidRDefault="004A5711" w:rsidP="004A5711">
      <w:pPr>
        <w:pBdr>
          <w:top w:val="nil"/>
          <w:left w:val="nil"/>
          <w:bottom w:val="nil"/>
          <w:right w:val="nil"/>
          <w:between w:val="nil"/>
        </w:pBdr>
        <w:spacing w:after="240"/>
        <w:ind w:left="567" w:hanging="567"/>
      </w:pPr>
      <w:r w:rsidRPr="004E381A">
        <w:rPr>
          <w:color w:val="000000"/>
        </w:rPr>
        <w:t>36.</w:t>
      </w:r>
      <w:r w:rsidRPr="004E381A">
        <w:rPr>
          <w:color w:val="000000"/>
        </w:rPr>
        <w:tab/>
      </w:r>
      <w:r w:rsidRPr="004E381A">
        <w:t xml:space="preserve">подчертава, че обстановката по отношение на сигурността в съседните на ЕС региони продължава да бъде много неустойчива; </w:t>
      </w:r>
      <w:r w:rsidRPr="004E381A">
        <w:rPr>
          <w:color w:val="000000"/>
        </w:rPr>
        <w:t xml:space="preserve"> продължава да поставя силен акцент върху европейските способности в областта на сигурността и отбраната, за да се отговори по-добре на безпрецедентните геополитически предизвикателства; счита, че бюджетът на ЕС е от съществено значение в контекста на една обща отбранителна стратегия на ЕС и засилената координация в областта на сигурността и отбраната между държавите членки; желае да укрепи своите най-успешни и подходящи програми, като например Европейския фонд за отбрана, и агенциите си, за да насърчи европейския суверенитет; желае да подчертае полезните взаимодействия и ефективността на инвестициите на равнище ЕС в </w:t>
      </w:r>
      <w:r w:rsidRPr="004E381A">
        <w:rPr>
          <w:color w:val="000000"/>
        </w:rPr>
        <w:lastRenderedPageBreak/>
        <w:t xml:space="preserve">сферата на отбраната, особено в областта на военната мобилност, защитата и оперативната съвместимост на инфраструктурата; подчертава необходимостта да се разгледат въпроси като дезинформацията, която е нарастващо предизвикателство за политиката и сигурността, особено след руската война срещу Украйна, киберпрестъпността или организираната престъпност с трансгранично измерение; </w:t>
      </w:r>
    </w:p>
    <w:p w:rsidR="004A5711" w:rsidRPr="004E381A" w:rsidRDefault="004A5711" w:rsidP="004A5711">
      <w:pPr>
        <w:pStyle w:val="NormalHanging12a"/>
      </w:pPr>
      <w:r w:rsidRPr="004E381A">
        <w:t>37.</w:t>
      </w:r>
      <w:r w:rsidRPr="004E381A">
        <w:tab/>
        <w:t xml:space="preserve">отново осъжда войната на Русия срещу Украйна и подчертава, че войната на Русия срещу Украйна върна войната в съседството на Европейския съюз и засегна веригите на доставки, търговските и икономическите отношения; </w:t>
      </w:r>
      <w:r w:rsidRPr="004E381A">
        <w:rPr>
          <w:color w:val="000000"/>
        </w:rPr>
        <w:t xml:space="preserve">отново изразява пълната си подкрепа за Украйна в борбата за нейната свобода и демокрация; </w:t>
      </w:r>
      <w:r w:rsidRPr="004E381A">
        <w:t>изразява съжаление относно ужасното въздействие върху живота, страданията на украинския народ, както и значителните икономически и социални последици за хората в Европа, причинени от непровокираната и неоправдана руска агресивна война; счита, че бюджетът за 2025 г. следва да допринесе за смекчаване на въздействието на кризата, свързана с издръжката на живота, и инфлацията; припомня, че някои държави членки, по-специално тези на първа линия, и уязвимите сектори на икономиката продължават да бъдат изложени в особено голяма степен на последиците от агресивната война на Русия срещу Украйна и заслужават подкрепа в области като селското стопанство или инфраструктурата, но също и военната мобилност в духа на солидарност на ЕС;</w:t>
      </w:r>
    </w:p>
    <w:p w:rsidR="004A5711" w:rsidRPr="004E381A" w:rsidRDefault="004A5711" w:rsidP="004A5711">
      <w:pPr>
        <w:pStyle w:val="NormalHanging12a"/>
      </w:pPr>
      <w:r w:rsidRPr="004E381A">
        <w:t>38.</w:t>
      </w:r>
      <w:r w:rsidRPr="004E381A">
        <w:tab/>
        <w:t xml:space="preserve">остава решен да помогне и окаже подкрепа на Украйна чрез предложения механизъм за Украйна, който ще предоставя подкрепа под формата на безвъзмездни средства и заеми за укрепването, възстановяването и реконструкцията на Украйна, макрофинансова помощ, възходяща социална, икономическа и екологична конвергенция и публични инвестиции, както и за пътя ѝ към присъединяване към ЕС; подчертава неотложността и възможността за съчетаване на подкрепата за Украйна и усилията за възстановяване с конструктивен предприсъединителен процес, който насърчава реформите и постепенното сближаване с достиженията на правото на ЕС; </w:t>
      </w:r>
      <w:r w:rsidRPr="004E381A">
        <w:rPr>
          <w:color w:val="000000"/>
        </w:rPr>
        <w:t>припомня, че хуманитарната помощ за Украйна няма да бъде покрита от механизма, и поради това подчертава, че в този контекст ще трябва да бъдат предоставени достатъчно ресурси за хуманитарна помощ и в бюджета за 2025 г.;</w:t>
      </w:r>
    </w:p>
    <w:p w:rsidR="004A5711" w:rsidRPr="004E381A" w:rsidRDefault="004A5711" w:rsidP="004A5711">
      <w:pPr>
        <w:pStyle w:val="NormalHanging12a"/>
      </w:pPr>
      <w:r w:rsidRPr="004E381A">
        <w:t>39.</w:t>
      </w:r>
      <w:r w:rsidRPr="004E381A">
        <w:tab/>
        <w:t xml:space="preserve">счита, че подкрепата за държавите от Западните Балкани продължава да бъде важна с оглед на разширяването на ЕС, и приветства изготвения от Комисията нов план за растеж за Западните Балкани като добра стъпка за по-нататъшно подпомагане на държавите от Западните Балкани в икономическата им конвергенция с единния пазар на ЕС; подчертава значението на устойчивата подкрепа за страните кандидатки за осъществяване на необходимите реформи, свързани с присъединяването, по-специално по отношение на принципите на правовата държава, борбата с корупцията и демокрацията, и за повишаване на тяхната устойчивост, както и за предотвратяване и противодействие на хибридните заплахи; </w:t>
      </w:r>
    </w:p>
    <w:p w:rsidR="004A5711" w:rsidRPr="004E381A" w:rsidRDefault="004A5711" w:rsidP="004A5711">
      <w:pPr>
        <w:pBdr>
          <w:top w:val="nil"/>
          <w:left w:val="nil"/>
          <w:bottom w:val="nil"/>
          <w:right w:val="nil"/>
          <w:between w:val="nil"/>
        </w:pBdr>
        <w:spacing w:after="240"/>
        <w:ind w:left="567" w:hanging="567"/>
      </w:pPr>
      <w:r w:rsidRPr="004E381A">
        <w:rPr>
          <w:color w:val="000000"/>
        </w:rPr>
        <w:t>40.</w:t>
      </w:r>
      <w:r w:rsidRPr="004E381A">
        <w:rPr>
          <w:color w:val="000000"/>
        </w:rPr>
        <w:tab/>
        <w:t xml:space="preserve">приветства решението за предоставяне на Украйна и Република Молдова на статут на страни кандидатки и настоява, че е необходимо да се мобилизират необходимите средства в подкрепа на процеса им на присъединяване; подчертава, че разпределението на средства за Инструмента за предприсъединителна помощ (ИПП III) и съответните бюджетни редове в рамките на ИССРМС – Глобална Европа през 2025 г. следва да катализира сътрудничеството с Молдова, както и с </w:t>
      </w:r>
      <w:r w:rsidRPr="004E381A">
        <w:rPr>
          <w:color w:val="000000"/>
        </w:rPr>
        <w:lastRenderedPageBreak/>
        <w:t>Грузия, в съответствие със споразумението относно преразглеждането на МФР;</w:t>
      </w:r>
    </w:p>
    <w:p w:rsidR="004A5711" w:rsidRPr="004E381A" w:rsidRDefault="004A5711" w:rsidP="004A5711">
      <w:pPr>
        <w:pStyle w:val="NormalHanging12a"/>
      </w:pPr>
      <w:r w:rsidRPr="004E381A">
        <w:t>41.</w:t>
      </w:r>
      <w:r w:rsidRPr="004E381A">
        <w:tab/>
        <w:t>подчертава, че Инструментът за съседство, сътрудничество за развитие и международно сътрудничество (ИССРМС) – Глобална Европа е изключително важен инструмент за позицията на Съюза като водеща световна сила и за изпълнението на ролята му на мирна стабилизираща сила в целия свят, подсилвайки по този начин геополитическите интереси на Съюза в света;</w:t>
      </w:r>
      <w:r w:rsidRPr="004E381A">
        <w:rPr>
          <w:color w:val="000000"/>
        </w:rPr>
        <w:t xml:space="preserve"> </w:t>
      </w:r>
      <w:r w:rsidRPr="004E381A">
        <w:t>настоява, че финансовият му резерв е изчерпан и следва да бъде спешно подсилен със средства;</w:t>
      </w:r>
    </w:p>
    <w:p w:rsidR="004A5711" w:rsidRDefault="004A5711" w:rsidP="004A5711">
      <w:pPr>
        <w:pBdr>
          <w:top w:val="nil"/>
          <w:left w:val="nil"/>
          <w:bottom w:val="nil"/>
          <w:right w:val="nil"/>
          <w:between w:val="nil"/>
        </w:pBdr>
        <w:spacing w:after="240"/>
        <w:ind w:left="567" w:hanging="567"/>
        <w:rPr>
          <w:color w:val="000000"/>
        </w:rPr>
      </w:pPr>
      <w:r w:rsidRPr="004E381A">
        <w:rPr>
          <w:color w:val="000000"/>
        </w:rPr>
        <w:t>42.</w:t>
      </w:r>
      <w:r w:rsidRPr="004E381A">
        <w:rPr>
          <w:color w:val="000000"/>
        </w:rPr>
        <w:tab/>
        <w:t>подчертава освен това значението на програмата на ИССРМС за подкрепата за глобалните предизвикателства, за насърчаването на правата на човека, свободите и демокрацията, както и за изграждането на капацитет на организациите на гражданското общество и за изпълнението на международните ангажименти на Съюза в областта на климата и биологичното разнообразие в рамките на всеобхватна система за мониторинг и контрол;</w:t>
      </w:r>
    </w:p>
    <w:p w:rsidR="00490E19" w:rsidRPr="004E381A" w:rsidRDefault="00490E19" w:rsidP="004A5711">
      <w:pPr>
        <w:pBdr>
          <w:top w:val="nil"/>
          <w:left w:val="nil"/>
          <w:bottom w:val="nil"/>
          <w:right w:val="nil"/>
          <w:between w:val="nil"/>
        </w:pBdr>
        <w:spacing w:after="240"/>
        <w:ind w:left="567" w:hanging="567"/>
      </w:pPr>
      <w:r>
        <w:t>43</w:t>
      </w:r>
      <w:r w:rsidRPr="00490E19">
        <w:t>.</w:t>
      </w:r>
      <w:r w:rsidRPr="00490E19">
        <w:tab/>
        <w:t>изразява съжаление, че Комисията не е поставила по-ефективни условия за плащанията към трети държави като средство за налагане на геополитическите интереси на Съюза, по-специално във връзка с неговите миграционни политики, опасенията в областта на отбраната, както и във връзка с правата на човека; призовава Комисията да определи конкретни условия и етапни цели за плащанията си към трети държави в съответствие с конкретните политически интереси на Съюза и да суспендира без неоправдано забавяне съответната част от плащанията, ако дадена трета държава не изпълни определените условия; очаква всички отговорни кандидати за членове на Комисията при изслушванията си да се ангажират с такива по-строги условия за отпускане на средства от бюджета на ЕС на трети държави, основани на интересите на Съюза.</w:t>
      </w:r>
    </w:p>
    <w:p w:rsidR="004A5711" w:rsidRPr="004E381A" w:rsidRDefault="00701355" w:rsidP="004A5711">
      <w:pPr>
        <w:pBdr>
          <w:top w:val="nil"/>
          <w:left w:val="nil"/>
          <w:bottom w:val="nil"/>
          <w:right w:val="nil"/>
          <w:between w:val="nil"/>
        </w:pBdr>
        <w:spacing w:after="240"/>
        <w:ind w:left="567" w:hanging="567"/>
      </w:pPr>
      <w:r>
        <w:rPr>
          <w:color w:val="000000"/>
        </w:rPr>
        <w:t>44</w:t>
      </w:r>
      <w:r w:rsidR="004A5711" w:rsidRPr="004E381A">
        <w:rPr>
          <w:color w:val="000000"/>
        </w:rPr>
        <w:t>.</w:t>
      </w:r>
      <w:r w:rsidR="004A5711" w:rsidRPr="004E381A">
        <w:rPr>
          <w:color w:val="000000"/>
        </w:rPr>
        <w:tab/>
        <w:t>подчертава значението на увеличаването на средствата по бюджетните редове за южното и източното съседство с цел да се подкрепят политическите, икономическите и социалните реформи в регионите, да се предостави помощ на бежанците, по-специално чрез осигуряване на непрекъснато, увеличено и предвидимо финансиране за съответните участници и агенции, съизмеримо с равнището на нуждите с цел да се достигне до хората на място чрез разумен механизъм за разпределение, който е в пълно съответствие с правилата на ЕС за предотвратяване на незаконното използване на европейски средства;</w:t>
      </w:r>
    </w:p>
    <w:p w:rsidR="004A5711" w:rsidRPr="004E381A" w:rsidRDefault="00701355" w:rsidP="004A5711">
      <w:pPr>
        <w:pBdr>
          <w:top w:val="nil"/>
          <w:left w:val="nil"/>
          <w:bottom w:val="nil"/>
          <w:right w:val="nil"/>
          <w:between w:val="nil"/>
        </w:pBdr>
        <w:spacing w:after="240"/>
        <w:ind w:left="567" w:hanging="567"/>
        <w:rPr>
          <w:color w:val="000000"/>
        </w:rPr>
      </w:pPr>
      <w:r>
        <w:rPr>
          <w:color w:val="000000"/>
        </w:rPr>
        <w:t>45</w:t>
      </w:r>
      <w:r w:rsidR="004A5711" w:rsidRPr="004E381A">
        <w:rPr>
          <w:color w:val="000000"/>
        </w:rPr>
        <w:t>.</w:t>
      </w:r>
      <w:r w:rsidR="004A5711" w:rsidRPr="004E381A">
        <w:rPr>
          <w:color w:val="000000"/>
        </w:rPr>
        <w:tab/>
      </w:r>
      <w:r w:rsidR="004A5711" w:rsidRPr="004E381A">
        <w:t>припомня, че хуманитарната помощ на ЕС за цивилното население в крайна нужда е абсолютно необходима и допринася за изграждането на стабилност и мир в засегнатите региони и че предоставянето на спешно необходими основни услуги и хуманитарна помощ трябва да бъде гарантирано и да не бъде възпрепятствано в съответствие с международните решения, придружени от обичайните процедури за скрининг и мониторинг;</w:t>
      </w:r>
      <w:r w:rsidR="004A5711" w:rsidRPr="004E381A">
        <w:rPr>
          <w:color w:val="000000"/>
        </w:rPr>
        <w:t xml:space="preserve"> очаква финансовите нужди от хуманитарна помощ да продължат да се увеличават вследствие на войните, нарастващата геополитическа нестабилност, продължаващата крайна бедност и зачестилите природни бедствия; счита, въз основа на тези предположения, че ЕС ще трябва значително да засили хуманитарната помощ, за да отговори на нарасналите нужди на място, по-специално за нуждаещите се хора в региона на Близкия изток;</w:t>
      </w:r>
    </w:p>
    <w:p w:rsidR="004A5711" w:rsidRPr="004E381A" w:rsidRDefault="00701355" w:rsidP="004A5711">
      <w:pPr>
        <w:pBdr>
          <w:top w:val="nil"/>
          <w:left w:val="nil"/>
          <w:bottom w:val="nil"/>
          <w:right w:val="nil"/>
          <w:between w:val="nil"/>
        </w:pBdr>
        <w:spacing w:after="240"/>
        <w:ind w:left="567" w:hanging="567"/>
        <w:rPr>
          <w:color w:val="000000"/>
        </w:rPr>
      </w:pPr>
      <w:r>
        <w:rPr>
          <w:color w:val="000000"/>
        </w:rPr>
        <w:t>46</w:t>
      </w:r>
      <w:r w:rsidR="004A5711" w:rsidRPr="004E381A">
        <w:rPr>
          <w:color w:val="000000"/>
        </w:rPr>
        <w:t>.</w:t>
      </w:r>
      <w:r w:rsidR="004A5711" w:rsidRPr="004E381A">
        <w:rPr>
          <w:color w:val="000000"/>
        </w:rPr>
        <w:tab/>
        <w:t>отново заявява, че осъжда недвусмислено бруталните терористични нападения, извършени от Хамас срещу Израел и неговия народ на 7 октомври</w:t>
      </w:r>
      <w:r w:rsidR="00B15011">
        <w:rPr>
          <w:color w:val="000000"/>
        </w:rPr>
        <w:t xml:space="preserve"> 2023 г.</w:t>
      </w:r>
      <w:r w:rsidR="004A5711" w:rsidRPr="004E381A">
        <w:rPr>
          <w:color w:val="000000"/>
        </w:rPr>
        <w:t xml:space="preserve">, и </w:t>
      </w:r>
      <w:r w:rsidR="004A5711" w:rsidRPr="004E381A">
        <w:rPr>
          <w:color w:val="000000"/>
        </w:rPr>
        <w:lastRenderedPageBreak/>
        <w:t>изразява дълбока скръб за невинните жертви и от двете страни; подчертава, че бюджетът на Съюза трябва да продължи да предоставя подкрепа за изграждането на мир и стабилност в региона, за борба срещу омразата, политическия екстремизъм и фундаментализма и за насърчаване на правата на човека;</w:t>
      </w:r>
    </w:p>
    <w:p w:rsidR="004A5711" w:rsidRPr="004E381A" w:rsidRDefault="00701355" w:rsidP="004A5711">
      <w:pPr>
        <w:pStyle w:val="NormalHanging12a"/>
      </w:pPr>
      <w:r>
        <w:rPr>
          <w:color w:val="000000"/>
        </w:rPr>
        <w:t>47</w:t>
      </w:r>
      <w:r w:rsidR="004A5711" w:rsidRPr="004E381A">
        <w:rPr>
          <w:color w:val="000000"/>
        </w:rPr>
        <w:t>.</w:t>
      </w:r>
      <w:r w:rsidR="004A5711" w:rsidRPr="004E381A">
        <w:rPr>
          <w:color w:val="000000"/>
        </w:rPr>
        <w:tab/>
      </w:r>
      <w:r w:rsidR="004A5711" w:rsidRPr="004E381A">
        <w:t>припомня своята резолюция, приета на 18 януари 2024 г., в която се признава ролята на Агенцията на ООН за подпомагане и строителство за палестинските бежанци в Близкия изток (UNRWA), която понастоящем осигурява подслон за над един милион вътрешно разселени лица и е най-голямата платформа за предоставяне на хуманитарна помощ за населението на Ивицата Газа, където цялото население е изправено пред влошаващи се хуманитарни условия, включително недостиг на подслон, чиста вода, храна и медицинска помощ;</w:t>
      </w:r>
      <w:r w:rsidR="004A5711" w:rsidRPr="004E381A">
        <w:rPr>
          <w:color w:val="000000"/>
        </w:rPr>
        <w:t xml:space="preserve"> поради това отново подчертава значението на непрекъснатото и предвидимо финансиране от ЕС; приветства факта, че ООН незабавно започна разследване вследствие на сериозните твърдения, касаещи лица, които са били част от персонала на UNRWA и за които се твърди, че са участвали в терористичните нападения срещу Израел на 7 октомври</w:t>
      </w:r>
      <w:r w:rsidR="00B15011">
        <w:rPr>
          <w:color w:val="000000"/>
        </w:rPr>
        <w:t xml:space="preserve"> 2023 г.</w:t>
      </w:r>
      <w:r w:rsidR="004A5711" w:rsidRPr="004E381A">
        <w:rPr>
          <w:color w:val="000000"/>
        </w:rPr>
        <w:t>, както и предоставената информация и предприетите незабавни действия от страна на агенцията, по-специално за незабавно прекратяване на съществуващите договори; отбелязва призива на Комисията за външен одит, чрез който да се направи преглед на оценката по стълбове на системите за контрол на ООН и който е одобрен от UNRWA; подкрепя прилаганите от Комисията системи за контрол, мониторинг и надзор, като припомня, че при използването на средства на ЕС от бенефициентите трябва да се спазват правилата и гаранциите на ЕС и международното право; във връзка с това приветства факта, че извършеният от Комисията преглед на помощта от ЕС за Палестина стигна до заключението, че проверките и съществуващите ефективни предпазни мерки функционират добре и че до момента не са открити доказателства за отклоняване на средства за непредвидени цели, също както и оценката на риска и свързаните с нея допълнителни мерки;</w:t>
      </w:r>
    </w:p>
    <w:p w:rsidR="004A5711" w:rsidRPr="004E381A" w:rsidRDefault="004A5711" w:rsidP="004A5711">
      <w:pPr>
        <w:pStyle w:val="NormalHanging12a"/>
        <w:rPr>
          <w:b/>
          <w:i/>
        </w:rPr>
      </w:pPr>
      <w:r w:rsidRPr="004E381A">
        <w:rPr>
          <w:b/>
          <w:i/>
        </w:rPr>
        <w:t>Насърчаване на изпълнението на програмите</w:t>
      </w:r>
    </w:p>
    <w:p w:rsidR="004A5711" w:rsidRPr="004E381A" w:rsidRDefault="00701355" w:rsidP="004A5711">
      <w:pPr>
        <w:spacing w:after="240"/>
        <w:ind w:left="567" w:hanging="567"/>
      </w:pPr>
      <w:r>
        <w:t>48</w:t>
      </w:r>
      <w:r w:rsidR="004A5711" w:rsidRPr="004E381A">
        <w:t>.</w:t>
      </w:r>
      <w:r w:rsidR="004A5711" w:rsidRPr="004E381A">
        <w:tab/>
        <w:t>припомня пълната подкрепа на Парламента за политиката на сближаване при изпълнението на политическите приоритети на ЕС и засилването на икономиката на Съюза, като допринася за справедлив, приобщаващ и устойчив растеж и развитие, насърчава икономическата и социалната конвергенция между държавите членки и техните региони, подкрепя екологичния и цифровия преход и стимулира иновациите и заетостта; отново изразява убеждението си, че целите на политиката на сближаване могат да бъдат постигнати само ако забавянията в изпълнението на програмите бъдат преодолени незабавно и по спешност; счита, че подобен подход за ускоряване на усвояването и изпълнението би бил също така най-ефективният начин добавената стойност на разходите на ЕС да стане видима и осезаема за хората в ЕС; припомня необходимостта от увеличаване на техническата помощ, за да се насърчи още повече капацитетът на държавите членки за усвояване;</w:t>
      </w:r>
    </w:p>
    <w:p w:rsidR="004A5711" w:rsidRPr="004E381A" w:rsidRDefault="00701355" w:rsidP="004A5711">
      <w:pPr>
        <w:spacing w:after="240"/>
        <w:ind w:left="567" w:hanging="567"/>
      </w:pPr>
      <w:r>
        <w:t>49</w:t>
      </w:r>
      <w:r w:rsidR="004A5711" w:rsidRPr="004E381A">
        <w:t>.</w:t>
      </w:r>
      <w:r w:rsidR="004A5711" w:rsidRPr="004E381A">
        <w:tab/>
        <w:t xml:space="preserve">подчертава, че бюджетните средства на ЕС трябва да достигнат до гражданите и МСП в ЕС; припомня, че опростяването на административните процедури, лесните за ползване и изчерпателни уебсайтове и портали, намаляването на бюрокрацията и създаването на звена за обслужване на едно гише са от съществено значение, за да станат програмите на ЕС по-достъпни за местните и регионалните власти, организациите на гражданското общество, младите </w:t>
      </w:r>
      <w:r w:rsidR="004A5711" w:rsidRPr="004E381A">
        <w:lastRenderedPageBreak/>
        <w:t>предприемачи и МСП;</w:t>
      </w:r>
    </w:p>
    <w:p w:rsidR="004A5711" w:rsidRPr="004E381A" w:rsidRDefault="00701355" w:rsidP="004A5711">
      <w:pPr>
        <w:pStyle w:val="NormalHanging12a"/>
      </w:pPr>
      <w:r>
        <w:t>50</w:t>
      </w:r>
      <w:r w:rsidR="004A5711" w:rsidRPr="004E381A">
        <w:t>.</w:t>
      </w:r>
      <w:r w:rsidR="004A5711" w:rsidRPr="004E381A">
        <w:tab/>
        <w:t>настоятелно призовава държавите членки и Комисията да ускорят изпълнението на оперативните програми в рамките на фондовете със споделено управление и да гарантират бързо изпълнение на бюджета, по-специално на кохезионните фондове; отбелязва, че делът на неусвоените средства по програмите за периода 2014 – 2020 г. следва да бъде преразпределен за държавите членки, за да продължи намаляването на регионалните различия; призовава за бързо изпълнение на плановете за възстановяване и устойчивост, включително оценка от страна на Комисията по отношение на процеса на изпълнение, пречките и резултатите; изразява загриженост, че непълното изпълнение, освен ако не бъде смекчено бързо, ще доведе до криза с плащанията, т.е. несъответствие на нуждите от плащания и наличното пространство под тавана на плащанията в МФР през 2026 г. и 2027 г.;</w:t>
      </w:r>
    </w:p>
    <w:p w:rsidR="004A5711" w:rsidRPr="004E381A" w:rsidRDefault="00701355" w:rsidP="004A5711">
      <w:pPr>
        <w:spacing w:after="240"/>
        <w:ind w:left="567" w:hanging="567"/>
      </w:pPr>
      <w:r>
        <w:t>51</w:t>
      </w:r>
      <w:r w:rsidR="004A5711" w:rsidRPr="004E381A">
        <w:t>.</w:t>
      </w:r>
      <w:r w:rsidR="004A5711" w:rsidRPr="004E381A">
        <w:tab/>
        <w:t>счита, че надлежната проверка, отчетността и зачитането на ценностите на Съюза следва да се прилагат за всички бенефициенти на средства на ЕС и партньори по изпълнението, за да се защитят финансовите интереси на ЕС и да се избегне неправомерна намеса; отново подчертава значението на ефективните и прецизни органи за мониторинг и контрол, които разкриват, разследват, преследват по наказателен ред и подвеждат под съдебна отговорност за престъпления срещу финансовите интереси на ЕС, тъй като средствата, изразходвани за борба с корупцията, носят огромна нетна възвръщаемост за ЕС; поради това счита, че тези органи следва да разполагат с достатъчно ресурси и подходящ персонал, за да могат да изпълняват задачите си по най-ефективния начин; подчертава в същия дух, че е необходим адекватен надзор от страна на ЕС, за да се гарантира, че финансовият сектор работи в полза на гражданите и потребителите; изисква, с оглед на здравословния, приобщаващ и устойчив финансов сектор, ресурсите за европейските органи и агенции за финансов надзор, които са натоварени с надзорни задачи или с разработването на технически регулаторни стандарти в това отношение, да бъдат изцяло адаптирани, за да се вземат предвид всички нови регулаторни задачи, свързани с изпълнението на тези цели на политиката;</w:t>
      </w:r>
    </w:p>
    <w:p w:rsidR="004A5711" w:rsidRPr="004E381A" w:rsidRDefault="00701355" w:rsidP="004A5711">
      <w:pPr>
        <w:pStyle w:val="NormalHanging12a"/>
      </w:pPr>
      <w:r>
        <w:t>52</w:t>
      </w:r>
      <w:r w:rsidR="004A5711" w:rsidRPr="004E381A">
        <w:t>.</w:t>
      </w:r>
      <w:r w:rsidR="004A5711" w:rsidRPr="004E381A">
        <w:tab/>
        <w:t>призовава всички участници да положат допълнителни усилия с цел да се насърчи изпълнението на проектите и усвояването на допустимото финансиране и по този начин да се намалят извънредните непогасени бюджетни задължения (RAL); счита, че 2024 г. и 2025 г. следва да се използват за идентифициране и отстраняване на пречките, които възпрепятстват по-ефективното изпълнение; призовава за адекватни бюджетни средства с цел ускоряване на изпълнението на програмите чрез изграждане на допълнителен капацитет и техническа помощ за държавите членки, особено за тези, които срещат по-големи трудности при усвояването, включително за средствата от МВУ, както и за мерки за ускоряване на справедливите, конкурентни и ефективни процедури за възлагане на обществени поръчки и тръжни процедури с цел стимулиране на усилията за изпълнение;</w:t>
      </w:r>
    </w:p>
    <w:p w:rsidR="004A5711" w:rsidRPr="004E381A" w:rsidRDefault="00701355" w:rsidP="004A5711">
      <w:pPr>
        <w:spacing w:after="240"/>
        <w:ind w:left="567" w:hanging="567"/>
      </w:pPr>
      <w:r>
        <w:t>53</w:t>
      </w:r>
      <w:r w:rsidR="004A5711" w:rsidRPr="004E381A">
        <w:t>.</w:t>
      </w:r>
      <w:r w:rsidR="004A5711" w:rsidRPr="004E381A">
        <w:tab/>
        <w:t>подчертава значението на ефективната комуникация и видимостта на политиките и програмите на ЕС за повишаване на осведомеността относно добавената стойност, която ЕС носи на гражданите, предприятията и партньорите; призовава да се осигурят подходящи средства за тази цел;</w:t>
      </w:r>
    </w:p>
    <w:p w:rsidR="004A5711" w:rsidRPr="004E381A" w:rsidRDefault="00701355" w:rsidP="004A5711">
      <w:pPr>
        <w:pStyle w:val="NormalHanging12a"/>
      </w:pPr>
      <w:r>
        <w:t>54</w:t>
      </w:r>
      <w:r w:rsidR="004A5711" w:rsidRPr="004E381A">
        <w:t>.</w:t>
      </w:r>
      <w:r w:rsidR="004A5711" w:rsidRPr="004E381A">
        <w:tab/>
        <w:t xml:space="preserve">припомня, че надлежното изпълнение на добре разработени програми е възможно </w:t>
      </w:r>
      <w:r w:rsidR="004A5711" w:rsidRPr="004E381A">
        <w:lastRenderedPageBreak/>
        <w:t>само с подкрепата на специализирана администрация; подчертава съществената работа, извършвана от органите и децентрализираните агенции, и счита, че те трябва да разполагат с подходящ персонал и достатъчно ресурси, за да могат да изпълняват своите задачи; подчертава, че техните задачи се развиват в съответствие с политическите приоритети, като например екологичния и цифровия преход, и подчертава, че новите отговорности, както и удължаването на техните мандати, трябва да бъдат пропорционално придружени от нови ресурси;</w:t>
      </w:r>
    </w:p>
    <w:p w:rsidR="004A5711" w:rsidRPr="004E381A" w:rsidRDefault="004A5711" w:rsidP="004A5711">
      <w:pPr>
        <w:pStyle w:val="NormalHanging12a"/>
        <w:jc w:val="center"/>
      </w:pPr>
      <w:r w:rsidRPr="004E381A">
        <w:t>°</w:t>
      </w:r>
    </w:p>
    <w:p w:rsidR="004A5711" w:rsidRPr="004E381A" w:rsidRDefault="004A5711" w:rsidP="004A5711">
      <w:pPr>
        <w:pStyle w:val="NormalHanging12a"/>
        <w:jc w:val="center"/>
      </w:pPr>
      <w:r w:rsidRPr="004E381A">
        <w:t>°</w:t>
      </w:r>
      <w:r w:rsidRPr="004E381A">
        <w:tab/>
        <w:t>°</w:t>
      </w:r>
    </w:p>
    <w:p w:rsidR="004A5711" w:rsidRPr="004E381A" w:rsidRDefault="00701355" w:rsidP="004A5711">
      <w:pPr>
        <w:pStyle w:val="NormalHanging12a"/>
      </w:pPr>
      <w:r>
        <w:t>55</w:t>
      </w:r>
      <w:r w:rsidR="004A5711" w:rsidRPr="004E381A">
        <w:t>.</w:t>
      </w:r>
      <w:r w:rsidR="004A5711" w:rsidRPr="004E381A">
        <w:tab/>
        <w:t>възлага на своя председател да предаде настоящата резолюция на Съвета, Комисията и Европейската сметна палата.</w:t>
      </w:r>
    </w:p>
    <w:p w:rsidR="004A5711" w:rsidRPr="00F9166E" w:rsidRDefault="004A5711" w:rsidP="004A5711"/>
    <w:p w:rsidR="00E365E1" w:rsidRPr="00F379FD" w:rsidRDefault="00E365E1" w:rsidP="004A5711">
      <w:bookmarkStart w:id="8" w:name="TextBodyEnd"/>
      <w:bookmarkEnd w:id="8"/>
    </w:p>
    <w:sectPr w:rsidR="00E365E1" w:rsidRPr="00F379FD" w:rsidSect="00DA7FCD">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9FD" w:rsidRPr="00F379FD" w:rsidRDefault="00F379FD">
      <w:r w:rsidRPr="00F379FD">
        <w:separator/>
      </w:r>
    </w:p>
  </w:endnote>
  <w:endnote w:type="continuationSeparator" w:id="0">
    <w:p w:rsidR="00F379FD" w:rsidRPr="00F379FD" w:rsidRDefault="00F379FD">
      <w:r w:rsidRPr="00F379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9FD" w:rsidRPr="00F379FD" w:rsidRDefault="00F379FD">
      <w:r w:rsidRPr="00F379FD">
        <w:separator/>
      </w:r>
    </w:p>
  </w:footnote>
  <w:footnote w:type="continuationSeparator" w:id="0">
    <w:p w:rsidR="00F379FD" w:rsidRPr="00F379FD" w:rsidRDefault="00F379FD">
      <w:r w:rsidRPr="00F379FD">
        <w:continuationSeparator/>
      </w:r>
    </w:p>
  </w:footnote>
  <w:footnote w:id="1">
    <w:p w:rsidR="00B15011" w:rsidRPr="00B15011" w:rsidRDefault="00B15011" w:rsidP="00B15011">
      <w:pPr>
        <w:pStyle w:val="FootnoteText"/>
        <w:ind w:left="567" w:hanging="567"/>
        <w:rPr>
          <w:lang w:val="bg-BG"/>
        </w:rPr>
      </w:pPr>
      <w:r>
        <w:rPr>
          <w:rStyle w:val="FootnoteReference"/>
        </w:rPr>
        <w:footnoteRef/>
      </w:r>
      <w:r>
        <w:t xml:space="preserve"> </w:t>
      </w:r>
      <w:r>
        <w:tab/>
      </w:r>
      <w:r w:rsidRPr="00616B1B">
        <w:rPr>
          <w:bCs/>
          <w:sz w:val="24"/>
          <w:szCs w:val="24"/>
        </w:rPr>
        <w:t>ОВ L</w:t>
      </w:r>
      <w:r>
        <w:rPr>
          <w:bCs/>
          <w:sz w:val="24"/>
          <w:szCs w:val="24"/>
          <w:lang w:val="bg-BG"/>
        </w:rPr>
        <w:t>,</w:t>
      </w:r>
      <w:r w:rsidRPr="00616B1B">
        <w:rPr>
          <w:bCs/>
          <w:sz w:val="24"/>
          <w:szCs w:val="24"/>
        </w:rPr>
        <w:t xml:space="preserve"> </w:t>
      </w:r>
      <w:r>
        <w:rPr>
          <w:bCs/>
          <w:sz w:val="24"/>
          <w:szCs w:val="24"/>
          <w:lang w:val="bg-BG"/>
        </w:rPr>
        <w:t>2024/765</w:t>
      </w:r>
      <w:r w:rsidRPr="00616B1B">
        <w:rPr>
          <w:bCs/>
          <w:sz w:val="24"/>
          <w:szCs w:val="24"/>
        </w:rPr>
        <w:t>, 2</w:t>
      </w:r>
      <w:r>
        <w:rPr>
          <w:bCs/>
          <w:sz w:val="24"/>
          <w:szCs w:val="24"/>
          <w:lang w:val="bg-BG"/>
        </w:rPr>
        <w:t>9</w:t>
      </w:r>
      <w:r w:rsidRPr="00616B1B">
        <w:rPr>
          <w:bCs/>
          <w:sz w:val="24"/>
          <w:szCs w:val="24"/>
        </w:rPr>
        <w:t>.2.202</w:t>
      </w:r>
      <w:r>
        <w:rPr>
          <w:bCs/>
          <w:sz w:val="24"/>
          <w:szCs w:val="24"/>
          <w:lang w:val="bg-BG"/>
        </w:rPr>
        <w:t>4</w:t>
      </w:r>
      <w:r w:rsidRPr="00616B1B">
        <w:rPr>
          <w:bCs/>
          <w:sz w:val="24"/>
          <w:szCs w:val="24"/>
        </w:rPr>
        <w:t xml:space="preserve"> г., </w:t>
      </w:r>
      <w:r w:rsidRPr="00B15011">
        <w:rPr>
          <w:rFonts w:ascii="Segoe UI" w:hAnsi="Segoe UI" w:cs="Segoe UI"/>
          <w:iCs/>
          <w:color w:val="333333"/>
          <w:sz w:val="21"/>
          <w:szCs w:val="21"/>
          <w:shd w:val="clear" w:color="auto" w:fill="FFFFFF"/>
          <w:lang w:val="fi-FI"/>
        </w:rPr>
        <w:t xml:space="preserve">ELI: </w:t>
      </w:r>
      <w:r w:rsidRPr="00B15011">
        <w:rPr>
          <w:rFonts w:ascii="Segoe UI" w:hAnsi="Segoe UI" w:cs="Segoe UI"/>
          <w:iCs/>
          <w:color w:val="333333"/>
          <w:sz w:val="21"/>
          <w:szCs w:val="21"/>
          <w:shd w:val="clear" w:color="auto" w:fill="FFFFFF"/>
          <w:lang w:val="fi-FI"/>
        </w:rPr>
        <w:t>https://eur-lex.europa.eu/legal-content/BG/TXT/?</w:t>
      </w:r>
      <w:r w:rsidRPr="00B15011">
        <w:rPr>
          <w:bCs/>
          <w:color w:val="000000"/>
          <w:sz w:val="24"/>
          <w:szCs w:val="24"/>
        </w:rPr>
        <w:t>uri</w:t>
      </w:r>
      <w:r w:rsidRPr="00B15011">
        <w:rPr>
          <w:rFonts w:ascii="Segoe UI" w:hAnsi="Segoe UI" w:cs="Segoe UI"/>
          <w:iCs/>
          <w:color w:val="333333"/>
          <w:sz w:val="21"/>
          <w:szCs w:val="21"/>
          <w:shd w:val="clear" w:color="auto" w:fill="FFFFFF"/>
          <w:lang w:val="fi-FI"/>
        </w:rPr>
        <w:t>=CELEX:32024R0765</w:t>
      </w:r>
      <w:r w:rsidRPr="00616B1B">
        <w:rPr>
          <w:bCs/>
          <w:sz w:val="24"/>
          <w:szCs w:val="24"/>
        </w:rPr>
        <w:t>.</w:t>
      </w:r>
    </w:p>
  </w:footnote>
  <w:footnote w:id="2">
    <w:p w:rsidR="004A5711" w:rsidRPr="00616B1B" w:rsidRDefault="004A5711" w:rsidP="00616B1B">
      <w:pPr>
        <w:pStyle w:val="FootnoteText"/>
        <w:ind w:left="567" w:hanging="567"/>
        <w:rPr>
          <w:bCs/>
          <w:sz w:val="24"/>
          <w:szCs w:val="24"/>
        </w:rPr>
      </w:pPr>
      <w:r w:rsidRPr="00616B1B">
        <w:rPr>
          <w:rStyle w:val="FootnoteReference"/>
          <w:b w:val="0"/>
          <w:bCs/>
          <w:sz w:val="24"/>
          <w:szCs w:val="24"/>
        </w:rPr>
        <w:footnoteRef/>
      </w:r>
      <w:r w:rsidRPr="00616B1B">
        <w:rPr>
          <w:rStyle w:val="FootnoteReference"/>
          <w:b w:val="0"/>
          <w:bCs/>
          <w:sz w:val="24"/>
          <w:szCs w:val="24"/>
        </w:rPr>
        <w:t xml:space="preserve"> </w:t>
      </w:r>
      <w:r w:rsidR="00616B1B" w:rsidRPr="00616B1B">
        <w:rPr>
          <w:bCs/>
          <w:sz w:val="24"/>
          <w:szCs w:val="24"/>
        </w:rPr>
        <w:tab/>
      </w:r>
      <w:r w:rsidRPr="00616B1B">
        <w:rPr>
          <w:bCs/>
          <w:sz w:val="24"/>
          <w:szCs w:val="24"/>
        </w:rPr>
        <w:t>ОВ L 325, 20.12.2022 г., стр. 11.</w:t>
      </w:r>
    </w:p>
  </w:footnote>
  <w:footnote w:id="3">
    <w:p w:rsidR="004A5711" w:rsidRPr="00616B1B" w:rsidRDefault="004A5711" w:rsidP="00616B1B">
      <w:pPr>
        <w:pStyle w:val="FootnoteText"/>
        <w:ind w:left="567" w:hanging="567"/>
        <w:rPr>
          <w:bCs/>
          <w:sz w:val="24"/>
          <w:szCs w:val="24"/>
        </w:rPr>
      </w:pPr>
      <w:r w:rsidRPr="00616B1B">
        <w:rPr>
          <w:rStyle w:val="FootnoteReference"/>
          <w:b w:val="0"/>
          <w:bCs/>
          <w:sz w:val="24"/>
          <w:szCs w:val="24"/>
        </w:rPr>
        <w:footnoteRef/>
      </w:r>
      <w:r w:rsidRPr="00616B1B">
        <w:rPr>
          <w:bCs/>
          <w:sz w:val="24"/>
          <w:szCs w:val="24"/>
        </w:rPr>
        <w:t xml:space="preserve"> </w:t>
      </w:r>
      <w:r w:rsidR="00616B1B" w:rsidRPr="00616B1B">
        <w:rPr>
          <w:bCs/>
          <w:sz w:val="24"/>
          <w:szCs w:val="24"/>
        </w:rPr>
        <w:tab/>
      </w:r>
      <w:r w:rsidRPr="00616B1B">
        <w:rPr>
          <w:bCs/>
          <w:color w:val="000000"/>
          <w:sz w:val="24"/>
          <w:szCs w:val="24"/>
        </w:rPr>
        <w:t>ОВ C 445, 29.10.2021 г., стр. 240.</w:t>
      </w:r>
    </w:p>
  </w:footnote>
  <w:footnote w:id="4">
    <w:p w:rsidR="004A5711" w:rsidRPr="00616B1B" w:rsidRDefault="004A5711" w:rsidP="00616B1B">
      <w:pPr>
        <w:pStyle w:val="FootnoteText"/>
        <w:ind w:left="567" w:hanging="567"/>
        <w:rPr>
          <w:bCs/>
          <w:sz w:val="24"/>
          <w:szCs w:val="24"/>
        </w:rPr>
      </w:pPr>
      <w:r w:rsidRPr="00616B1B">
        <w:rPr>
          <w:rStyle w:val="FootnoteReference"/>
          <w:b w:val="0"/>
          <w:bCs/>
          <w:sz w:val="24"/>
          <w:szCs w:val="24"/>
        </w:rPr>
        <w:footnoteRef/>
      </w:r>
      <w:r w:rsidRPr="00616B1B">
        <w:rPr>
          <w:rStyle w:val="FootnoteReference"/>
          <w:b w:val="0"/>
          <w:bCs/>
          <w:sz w:val="24"/>
          <w:szCs w:val="24"/>
        </w:rPr>
        <w:t xml:space="preserve"> </w:t>
      </w:r>
      <w:r w:rsidR="00616B1B" w:rsidRPr="00616B1B">
        <w:rPr>
          <w:bCs/>
          <w:sz w:val="24"/>
          <w:szCs w:val="24"/>
        </w:rPr>
        <w:tab/>
      </w:r>
      <w:r w:rsidRPr="00616B1B">
        <w:rPr>
          <w:bCs/>
          <w:sz w:val="24"/>
          <w:szCs w:val="24"/>
        </w:rPr>
        <w:t>OВ L 433 I, 22.12.2020 г., стр. 11.</w:t>
      </w:r>
    </w:p>
  </w:footnote>
  <w:footnote w:id="5">
    <w:p w:rsidR="004A5711" w:rsidRPr="00616B1B" w:rsidRDefault="004A5711" w:rsidP="00616B1B">
      <w:pPr>
        <w:pStyle w:val="FootnoteText"/>
        <w:ind w:left="567" w:hanging="567"/>
        <w:rPr>
          <w:bCs/>
          <w:sz w:val="24"/>
          <w:szCs w:val="24"/>
        </w:rPr>
      </w:pPr>
      <w:r w:rsidRPr="00616B1B">
        <w:rPr>
          <w:rStyle w:val="FootnoteReference"/>
          <w:b w:val="0"/>
          <w:bCs/>
          <w:sz w:val="24"/>
          <w:szCs w:val="24"/>
        </w:rPr>
        <w:footnoteRef/>
      </w:r>
      <w:r w:rsidRPr="00616B1B">
        <w:rPr>
          <w:rStyle w:val="FootnoteReference"/>
          <w:b w:val="0"/>
          <w:bCs/>
          <w:sz w:val="24"/>
          <w:szCs w:val="24"/>
        </w:rPr>
        <w:t xml:space="preserve"> </w:t>
      </w:r>
      <w:r w:rsidR="00616B1B" w:rsidRPr="00616B1B">
        <w:rPr>
          <w:bCs/>
          <w:sz w:val="24"/>
          <w:szCs w:val="24"/>
        </w:rPr>
        <w:tab/>
      </w:r>
      <w:r w:rsidRPr="00616B1B">
        <w:rPr>
          <w:bCs/>
          <w:sz w:val="24"/>
          <w:szCs w:val="24"/>
        </w:rPr>
        <w:t>ОВ C 444 I, 22.12.2020 г., стр. 4.</w:t>
      </w:r>
    </w:p>
  </w:footnote>
  <w:footnote w:id="6">
    <w:p w:rsidR="004A5711" w:rsidRPr="00616B1B" w:rsidRDefault="004A5711" w:rsidP="00AF5F07">
      <w:pPr>
        <w:pStyle w:val="FootnoteText"/>
        <w:ind w:left="567" w:hanging="567"/>
        <w:rPr>
          <w:bCs/>
          <w:sz w:val="24"/>
          <w:szCs w:val="24"/>
        </w:rPr>
      </w:pPr>
      <w:r w:rsidRPr="00616B1B">
        <w:rPr>
          <w:rStyle w:val="FootnoteReference"/>
          <w:b w:val="0"/>
          <w:bCs/>
          <w:sz w:val="24"/>
          <w:szCs w:val="24"/>
        </w:rPr>
        <w:footnoteRef/>
      </w:r>
      <w:r w:rsidRPr="00616B1B">
        <w:rPr>
          <w:rStyle w:val="FootnoteReference"/>
          <w:b w:val="0"/>
          <w:bCs/>
          <w:sz w:val="24"/>
          <w:szCs w:val="24"/>
        </w:rPr>
        <w:t xml:space="preserve"> </w:t>
      </w:r>
      <w:r w:rsidR="00616B1B" w:rsidRPr="00616B1B">
        <w:rPr>
          <w:bCs/>
          <w:sz w:val="24"/>
          <w:szCs w:val="24"/>
        </w:rPr>
        <w:tab/>
      </w:r>
      <w:r w:rsidR="00AF5F07">
        <w:rPr>
          <w:bCs/>
          <w:sz w:val="24"/>
          <w:szCs w:val="24"/>
          <w:lang w:val="fi-FI"/>
        </w:rPr>
        <w:t>O</w:t>
      </w:r>
      <w:r w:rsidR="00B15011">
        <w:rPr>
          <w:bCs/>
          <w:sz w:val="24"/>
          <w:szCs w:val="24"/>
          <w:lang w:val="bg-BG"/>
        </w:rPr>
        <w:t>В</w:t>
      </w:r>
      <w:bookmarkStart w:id="7" w:name="_GoBack"/>
      <w:bookmarkEnd w:id="7"/>
      <w:r w:rsidR="00AF5F07" w:rsidRPr="00AF5F07">
        <w:rPr>
          <w:bCs/>
          <w:sz w:val="24"/>
          <w:szCs w:val="24"/>
          <w:lang w:val="fi-FI"/>
        </w:rPr>
        <w:t xml:space="preserve"> C 445, 29.10.2021</w:t>
      </w:r>
      <w:r w:rsidR="00AF5F07">
        <w:rPr>
          <w:bCs/>
          <w:sz w:val="24"/>
          <w:szCs w:val="24"/>
          <w:lang w:val="fi-FI"/>
        </w:rPr>
        <w:t> </w:t>
      </w:r>
      <w:r w:rsidR="00AF5F07">
        <w:rPr>
          <w:bCs/>
          <w:sz w:val="24"/>
          <w:szCs w:val="24"/>
          <w:lang w:val="bg-BG"/>
        </w:rPr>
        <w:t>г.</w:t>
      </w:r>
      <w:r w:rsidR="00AF5F07">
        <w:rPr>
          <w:bCs/>
          <w:sz w:val="24"/>
          <w:szCs w:val="24"/>
          <w:lang w:val="fi-FI"/>
        </w:rPr>
        <w:t xml:space="preserve">, </w:t>
      </w:r>
      <w:r w:rsidR="00AF5F07">
        <w:rPr>
          <w:bCs/>
          <w:sz w:val="24"/>
          <w:szCs w:val="24"/>
          <w:lang w:val="bg-BG"/>
        </w:rPr>
        <w:t>стр</w:t>
      </w:r>
      <w:r w:rsidR="00AF5F07" w:rsidRPr="00AF5F07">
        <w:rPr>
          <w:bCs/>
          <w:sz w:val="24"/>
          <w:szCs w:val="24"/>
          <w:lang w:val="fi-FI"/>
        </w:rPr>
        <w:t>. 252.</w:t>
      </w:r>
    </w:p>
  </w:footnote>
  <w:footnote w:id="7">
    <w:p w:rsidR="004A5711" w:rsidRPr="00616B1B" w:rsidRDefault="004A5711" w:rsidP="00AF5F07">
      <w:pPr>
        <w:pStyle w:val="FootnoteText"/>
        <w:ind w:left="567" w:hanging="567"/>
        <w:rPr>
          <w:bCs/>
          <w:sz w:val="24"/>
          <w:szCs w:val="24"/>
        </w:rPr>
      </w:pPr>
      <w:r w:rsidRPr="00616B1B">
        <w:rPr>
          <w:rStyle w:val="FootnoteReference"/>
          <w:b w:val="0"/>
          <w:bCs/>
          <w:sz w:val="24"/>
          <w:szCs w:val="24"/>
        </w:rPr>
        <w:footnoteRef/>
      </w:r>
      <w:r w:rsidRPr="00616B1B">
        <w:rPr>
          <w:rStyle w:val="FootnoteReference"/>
          <w:b w:val="0"/>
          <w:bCs/>
          <w:sz w:val="24"/>
          <w:szCs w:val="24"/>
        </w:rPr>
        <w:t xml:space="preserve"> </w:t>
      </w:r>
      <w:r w:rsidR="00616B1B" w:rsidRPr="00616B1B">
        <w:rPr>
          <w:rStyle w:val="FootnoteReference"/>
          <w:b w:val="0"/>
          <w:bCs/>
          <w:sz w:val="24"/>
          <w:szCs w:val="24"/>
        </w:rPr>
        <w:tab/>
      </w:r>
      <w:r w:rsidR="00AF5F07">
        <w:rPr>
          <w:bCs/>
          <w:sz w:val="24"/>
          <w:szCs w:val="24"/>
          <w:lang w:val="fi-FI"/>
        </w:rPr>
        <w:t>O</w:t>
      </w:r>
      <w:r w:rsidR="00AF5F07">
        <w:rPr>
          <w:bCs/>
          <w:sz w:val="24"/>
          <w:szCs w:val="24"/>
          <w:lang w:val="bg-BG"/>
        </w:rPr>
        <w:t>В</w:t>
      </w:r>
      <w:r w:rsidR="00AF5F07" w:rsidRPr="00AF5F07">
        <w:rPr>
          <w:bCs/>
          <w:sz w:val="24"/>
          <w:szCs w:val="24"/>
          <w:lang w:val="fi-FI"/>
        </w:rPr>
        <w:t xml:space="preserve"> C, C/2024/1195, 23.02.2024</w:t>
      </w:r>
      <w:r w:rsidR="00AF5F07">
        <w:rPr>
          <w:bCs/>
          <w:sz w:val="24"/>
          <w:szCs w:val="24"/>
          <w:lang w:val="bg-BG"/>
        </w:rPr>
        <w:t> г.</w:t>
      </w:r>
      <w:r w:rsidR="00AF5F07" w:rsidRPr="00AF5F07">
        <w:rPr>
          <w:bCs/>
          <w:sz w:val="24"/>
          <w:szCs w:val="24"/>
          <w:lang w:val="fi-FI"/>
        </w:rPr>
        <w:t xml:space="preserve">, ELI: </w:t>
      </w:r>
      <w:hyperlink r:id="rId1" w:history="1">
        <w:r w:rsidR="00AF5F07" w:rsidRPr="00AF5F07">
          <w:rPr>
            <w:rStyle w:val="Hyperlink"/>
            <w:bCs/>
            <w:sz w:val="24"/>
            <w:szCs w:val="24"/>
            <w:lang w:val="fi-FI"/>
          </w:rPr>
          <w:t>http://data.europa.eu/eli/C/2024/1195/oj</w:t>
        </w:r>
      </w:hyperlink>
    </w:p>
  </w:footnote>
  <w:footnote w:id="8">
    <w:p w:rsidR="004A5711" w:rsidRPr="00616B1B" w:rsidRDefault="004A5711" w:rsidP="00616B1B">
      <w:pPr>
        <w:pBdr>
          <w:top w:val="nil"/>
          <w:left w:val="nil"/>
          <w:bottom w:val="nil"/>
          <w:right w:val="nil"/>
          <w:between w:val="nil"/>
        </w:pBdr>
        <w:ind w:left="567" w:hanging="567"/>
        <w:rPr>
          <w:bCs/>
          <w:color w:val="000000"/>
          <w:szCs w:val="24"/>
        </w:rPr>
      </w:pPr>
      <w:r w:rsidRPr="00616B1B">
        <w:rPr>
          <w:bCs/>
          <w:szCs w:val="24"/>
          <w:vertAlign w:val="superscript"/>
        </w:rPr>
        <w:footnoteRef/>
      </w:r>
      <w:r w:rsidRPr="00616B1B">
        <w:rPr>
          <w:bCs/>
          <w:color w:val="000000"/>
          <w:szCs w:val="24"/>
          <w:vertAlign w:val="superscript"/>
        </w:rPr>
        <w:t xml:space="preserve"> </w:t>
      </w:r>
      <w:r w:rsidR="00616B1B" w:rsidRPr="00616B1B">
        <w:rPr>
          <w:bCs/>
          <w:color w:val="000000"/>
          <w:szCs w:val="24"/>
          <w:vertAlign w:val="superscript"/>
        </w:rPr>
        <w:tab/>
      </w:r>
      <w:r w:rsidRPr="00616B1B">
        <w:rPr>
          <w:bCs/>
          <w:color w:val="000000"/>
          <w:szCs w:val="24"/>
        </w:rPr>
        <w:t>Приети текстове, P9_TA(2024)0082.</w:t>
      </w:r>
    </w:p>
  </w:footnote>
  <w:footnote w:id="9">
    <w:p w:rsidR="004A5711" w:rsidRPr="00616B1B" w:rsidRDefault="004A5711" w:rsidP="00AF5F07">
      <w:pPr>
        <w:pStyle w:val="FootnoteText"/>
        <w:ind w:left="567" w:hanging="567"/>
        <w:rPr>
          <w:bCs/>
          <w:sz w:val="24"/>
          <w:szCs w:val="24"/>
          <w:lang w:val="bg-BG"/>
        </w:rPr>
      </w:pPr>
      <w:r w:rsidRPr="00616B1B">
        <w:rPr>
          <w:rStyle w:val="FootnoteReference"/>
          <w:b w:val="0"/>
          <w:bCs/>
          <w:sz w:val="24"/>
          <w:szCs w:val="24"/>
        </w:rPr>
        <w:footnoteRef/>
      </w:r>
      <w:r w:rsidRPr="00616B1B">
        <w:rPr>
          <w:rStyle w:val="FootnoteReference"/>
          <w:b w:val="0"/>
          <w:bCs/>
          <w:sz w:val="24"/>
          <w:szCs w:val="24"/>
          <w:lang w:val="bg-BG"/>
        </w:rPr>
        <w:t xml:space="preserve"> </w:t>
      </w:r>
      <w:r w:rsidR="00616B1B" w:rsidRPr="00616B1B">
        <w:rPr>
          <w:bCs/>
          <w:sz w:val="24"/>
          <w:szCs w:val="24"/>
          <w:lang w:val="bg-BG"/>
        </w:rPr>
        <w:tab/>
      </w:r>
      <w:r w:rsidR="00AF5F07">
        <w:rPr>
          <w:bCs/>
          <w:sz w:val="24"/>
          <w:szCs w:val="24"/>
          <w:lang w:val="en-GB"/>
        </w:rPr>
        <w:t>O</w:t>
      </w:r>
      <w:r w:rsidR="00AF5F07">
        <w:rPr>
          <w:bCs/>
          <w:sz w:val="24"/>
          <w:szCs w:val="24"/>
          <w:lang w:val="bg-BG"/>
        </w:rPr>
        <w:t>В</w:t>
      </w:r>
      <w:r w:rsidR="00AF5F07" w:rsidRPr="00AF5F07">
        <w:rPr>
          <w:bCs/>
          <w:sz w:val="24"/>
          <w:szCs w:val="24"/>
          <w:lang w:val="en-GB"/>
        </w:rPr>
        <w:t xml:space="preserve"> C, C/2023/1084, 15.12.2023</w:t>
      </w:r>
      <w:r w:rsidR="00AF5F07">
        <w:rPr>
          <w:bCs/>
          <w:sz w:val="24"/>
          <w:szCs w:val="24"/>
          <w:lang w:val="bg-BG"/>
        </w:rPr>
        <w:t> г.</w:t>
      </w:r>
      <w:r w:rsidR="00AF5F07" w:rsidRPr="00AF5F07">
        <w:rPr>
          <w:bCs/>
          <w:sz w:val="24"/>
          <w:szCs w:val="24"/>
          <w:lang w:val="en-GB"/>
        </w:rPr>
        <w:t xml:space="preserve">, ELI: </w:t>
      </w:r>
      <w:hyperlink r:id="rId2" w:history="1">
        <w:r w:rsidR="00AF5F07" w:rsidRPr="00AF5F07">
          <w:rPr>
            <w:rStyle w:val="Hyperlink"/>
            <w:bCs/>
            <w:sz w:val="24"/>
            <w:szCs w:val="24"/>
            <w:lang w:val="bg-BG"/>
          </w:rPr>
          <w:t>http://data.europa.eu/eli/C/2023/1084/oj</w:t>
        </w:r>
      </w:hyperlink>
    </w:p>
  </w:footnote>
  <w:footnote w:id="10">
    <w:p w:rsidR="004A5711" w:rsidRPr="00616B1B" w:rsidRDefault="004A5711" w:rsidP="00616B1B">
      <w:pPr>
        <w:pStyle w:val="FootnoteText"/>
        <w:ind w:left="567" w:hanging="567"/>
        <w:rPr>
          <w:bCs/>
          <w:sz w:val="24"/>
          <w:szCs w:val="24"/>
          <w:lang w:val="bg-BG"/>
        </w:rPr>
      </w:pPr>
      <w:r w:rsidRPr="00616B1B">
        <w:rPr>
          <w:rStyle w:val="FootnoteReference"/>
          <w:b w:val="0"/>
          <w:bCs/>
          <w:sz w:val="24"/>
          <w:szCs w:val="24"/>
        </w:rPr>
        <w:footnoteRef/>
      </w:r>
      <w:r w:rsidRPr="00616B1B">
        <w:rPr>
          <w:rStyle w:val="FootnoteReference"/>
          <w:b w:val="0"/>
          <w:bCs/>
          <w:sz w:val="24"/>
          <w:szCs w:val="24"/>
          <w:lang w:val="bg-BG"/>
        </w:rPr>
        <w:t xml:space="preserve"> </w:t>
      </w:r>
      <w:r w:rsidR="00616B1B" w:rsidRPr="00616B1B">
        <w:rPr>
          <w:bCs/>
          <w:sz w:val="24"/>
          <w:szCs w:val="24"/>
          <w:lang w:val="bg-BG"/>
        </w:rPr>
        <w:tab/>
      </w:r>
      <w:r w:rsidRPr="00616B1B">
        <w:rPr>
          <w:bCs/>
          <w:sz w:val="24"/>
          <w:szCs w:val="24"/>
          <w:lang w:val="bg-BG"/>
        </w:rPr>
        <w:t xml:space="preserve">ОВ </w:t>
      </w:r>
      <w:r w:rsidRPr="00616B1B">
        <w:rPr>
          <w:bCs/>
          <w:sz w:val="24"/>
          <w:szCs w:val="24"/>
        </w:rPr>
        <w:t>C </w:t>
      </w:r>
      <w:r w:rsidRPr="00616B1B">
        <w:rPr>
          <w:bCs/>
          <w:sz w:val="24"/>
          <w:szCs w:val="24"/>
          <w:lang w:val="bg-BG"/>
        </w:rPr>
        <w:t>177, 17.5.2023</w:t>
      </w:r>
      <w:r w:rsidRPr="00616B1B">
        <w:rPr>
          <w:bCs/>
          <w:sz w:val="24"/>
          <w:szCs w:val="24"/>
        </w:rPr>
        <w:t> </w:t>
      </w:r>
      <w:r w:rsidRPr="00616B1B">
        <w:rPr>
          <w:bCs/>
          <w:sz w:val="24"/>
          <w:szCs w:val="24"/>
          <w:lang w:val="bg-BG"/>
        </w:rPr>
        <w:t>г., стр.</w:t>
      </w:r>
      <w:r w:rsidRPr="00616B1B">
        <w:rPr>
          <w:bCs/>
          <w:sz w:val="24"/>
          <w:szCs w:val="24"/>
        </w:rPr>
        <w:t> </w:t>
      </w:r>
      <w:r w:rsidRPr="00616B1B">
        <w:rPr>
          <w:bCs/>
          <w:sz w:val="24"/>
          <w:szCs w:val="24"/>
          <w:lang w:val="bg-BG"/>
        </w:rPr>
        <w:t>115</w:t>
      </w:r>
      <w:r w:rsidRPr="00616B1B">
        <w:rPr>
          <w:bCs/>
          <w:sz w:val="24"/>
          <w:szCs w:val="24"/>
          <w:shd w:val="clear" w:color="auto" w:fill="FFFFFF"/>
          <w:lang w:val="bg-BG"/>
        </w:rPr>
        <w:t>.</w:t>
      </w:r>
    </w:p>
  </w:footnote>
  <w:footnote w:id="11">
    <w:p w:rsidR="004A5711" w:rsidRPr="00616B1B" w:rsidRDefault="004A5711" w:rsidP="00616B1B">
      <w:pPr>
        <w:pStyle w:val="FootnoteText"/>
        <w:ind w:left="567" w:hanging="567"/>
        <w:rPr>
          <w:bCs/>
          <w:sz w:val="24"/>
          <w:szCs w:val="24"/>
          <w:lang w:val="bg-BG"/>
        </w:rPr>
      </w:pPr>
      <w:r w:rsidRPr="00616B1B">
        <w:rPr>
          <w:rStyle w:val="FootnoteReference"/>
          <w:b w:val="0"/>
          <w:bCs/>
          <w:sz w:val="24"/>
          <w:szCs w:val="24"/>
        </w:rPr>
        <w:footnoteRef/>
      </w:r>
      <w:r w:rsidRPr="00616B1B">
        <w:rPr>
          <w:rStyle w:val="FootnoteReference"/>
          <w:b w:val="0"/>
          <w:bCs/>
          <w:sz w:val="24"/>
          <w:szCs w:val="24"/>
          <w:lang w:val="bg-BG"/>
        </w:rPr>
        <w:t xml:space="preserve"> </w:t>
      </w:r>
      <w:r w:rsidR="00616B1B" w:rsidRPr="00616B1B">
        <w:rPr>
          <w:bCs/>
          <w:sz w:val="24"/>
          <w:szCs w:val="24"/>
          <w:lang w:val="bg-BG"/>
        </w:rPr>
        <w:tab/>
      </w:r>
      <w:r w:rsidRPr="00616B1B">
        <w:rPr>
          <w:bCs/>
          <w:sz w:val="24"/>
          <w:szCs w:val="24"/>
        </w:rPr>
        <w:t>O</w:t>
      </w:r>
      <w:r w:rsidRPr="00616B1B">
        <w:rPr>
          <w:bCs/>
          <w:sz w:val="24"/>
          <w:szCs w:val="24"/>
          <w:lang w:val="bg-BG"/>
        </w:rPr>
        <w:t xml:space="preserve">В </w:t>
      </w:r>
      <w:r w:rsidRPr="00616B1B">
        <w:rPr>
          <w:bCs/>
          <w:sz w:val="24"/>
          <w:szCs w:val="24"/>
        </w:rPr>
        <w:t>L</w:t>
      </w:r>
      <w:r w:rsidRPr="00616B1B">
        <w:rPr>
          <w:bCs/>
          <w:sz w:val="24"/>
          <w:szCs w:val="24"/>
          <w:lang w:val="bg-BG"/>
        </w:rPr>
        <w:t xml:space="preserve"> 433 </w:t>
      </w:r>
      <w:r w:rsidRPr="00616B1B">
        <w:rPr>
          <w:bCs/>
          <w:sz w:val="24"/>
          <w:szCs w:val="24"/>
        </w:rPr>
        <w:t>I</w:t>
      </w:r>
      <w:r w:rsidRPr="00616B1B">
        <w:rPr>
          <w:bCs/>
          <w:sz w:val="24"/>
          <w:szCs w:val="24"/>
          <w:lang w:val="bg-BG"/>
        </w:rPr>
        <w:t>, 22.12.2020</w:t>
      </w:r>
      <w:r w:rsidRPr="00616B1B">
        <w:rPr>
          <w:bCs/>
          <w:sz w:val="24"/>
          <w:szCs w:val="24"/>
        </w:rPr>
        <w:t> </w:t>
      </w:r>
      <w:r w:rsidRPr="00616B1B">
        <w:rPr>
          <w:bCs/>
          <w:sz w:val="24"/>
          <w:szCs w:val="24"/>
          <w:lang w:val="bg-BG"/>
        </w:rPr>
        <w:t>г., стр.</w:t>
      </w:r>
      <w:r w:rsidRPr="00616B1B">
        <w:rPr>
          <w:bCs/>
          <w:sz w:val="24"/>
          <w:szCs w:val="24"/>
        </w:rPr>
        <w:t> </w:t>
      </w:r>
      <w:r w:rsidRPr="00616B1B">
        <w:rPr>
          <w:bCs/>
          <w:sz w:val="24"/>
          <w:szCs w:val="24"/>
          <w:lang w:val="bg-BG"/>
        </w:rPr>
        <w:t>28.</w:t>
      </w:r>
    </w:p>
  </w:footnote>
  <w:footnote w:id="12">
    <w:p w:rsidR="004A5711" w:rsidRPr="00616B1B" w:rsidRDefault="004A5711" w:rsidP="00616B1B">
      <w:pPr>
        <w:pStyle w:val="FootnoteText"/>
        <w:ind w:left="567" w:hanging="567"/>
        <w:rPr>
          <w:bCs/>
          <w:sz w:val="24"/>
          <w:szCs w:val="24"/>
          <w:lang w:val="bg-BG"/>
        </w:rPr>
      </w:pPr>
      <w:r w:rsidRPr="00616B1B">
        <w:rPr>
          <w:rStyle w:val="FootnoteReference"/>
          <w:b w:val="0"/>
          <w:bCs/>
          <w:sz w:val="24"/>
          <w:szCs w:val="24"/>
        </w:rPr>
        <w:footnoteRef/>
      </w:r>
      <w:r w:rsidRPr="00616B1B">
        <w:rPr>
          <w:rStyle w:val="FootnoteReference"/>
          <w:b w:val="0"/>
          <w:bCs/>
          <w:sz w:val="24"/>
          <w:szCs w:val="24"/>
          <w:lang w:val="bg-BG"/>
        </w:rPr>
        <w:t xml:space="preserve"> </w:t>
      </w:r>
      <w:r w:rsidR="00616B1B" w:rsidRPr="00616B1B">
        <w:rPr>
          <w:bCs/>
          <w:sz w:val="24"/>
          <w:szCs w:val="24"/>
          <w:lang w:val="bg-BG"/>
        </w:rPr>
        <w:tab/>
      </w:r>
      <w:r w:rsidRPr="00616B1B">
        <w:rPr>
          <w:bCs/>
          <w:sz w:val="24"/>
          <w:szCs w:val="24"/>
          <w:lang w:val="bg-BG"/>
        </w:rPr>
        <w:t xml:space="preserve">ОВ </w:t>
      </w:r>
      <w:r w:rsidRPr="00616B1B">
        <w:rPr>
          <w:bCs/>
          <w:sz w:val="24"/>
          <w:szCs w:val="24"/>
        </w:rPr>
        <w:t>L</w:t>
      </w:r>
      <w:r w:rsidRPr="00616B1B">
        <w:rPr>
          <w:bCs/>
          <w:sz w:val="24"/>
          <w:szCs w:val="24"/>
          <w:lang w:val="bg-BG"/>
        </w:rPr>
        <w:t xml:space="preserve"> 424, 15.12.2020 г., стр. 1.</w:t>
      </w:r>
    </w:p>
  </w:footnote>
  <w:footnote w:id="13">
    <w:p w:rsidR="004A5711" w:rsidRPr="00616B1B" w:rsidRDefault="004A5711" w:rsidP="00616B1B">
      <w:pPr>
        <w:pStyle w:val="FootnoteText"/>
        <w:ind w:left="567" w:hanging="567"/>
        <w:rPr>
          <w:bCs/>
          <w:sz w:val="24"/>
          <w:szCs w:val="24"/>
          <w:lang w:val="bg-BG"/>
        </w:rPr>
      </w:pPr>
      <w:r w:rsidRPr="00616B1B">
        <w:rPr>
          <w:rStyle w:val="FootnoteReference"/>
          <w:b w:val="0"/>
          <w:bCs/>
          <w:sz w:val="24"/>
          <w:szCs w:val="24"/>
        </w:rPr>
        <w:footnoteRef/>
      </w:r>
      <w:r w:rsidRPr="00616B1B">
        <w:rPr>
          <w:rStyle w:val="FootnoteReference"/>
          <w:b w:val="0"/>
          <w:bCs/>
          <w:sz w:val="24"/>
          <w:szCs w:val="24"/>
          <w:lang w:val="bg-BG"/>
        </w:rPr>
        <w:t xml:space="preserve"> </w:t>
      </w:r>
      <w:r w:rsidR="00616B1B" w:rsidRPr="00616B1B">
        <w:rPr>
          <w:bCs/>
          <w:sz w:val="24"/>
          <w:szCs w:val="24"/>
          <w:lang w:val="bg-BG"/>
        </w:rPr>
        <w:tab/>
      </w:r>
      <w:r w:rsidRPr="00616B1B">
        <w:rPr>
          <w:bCs/>
          <w:sz w:val="24"/>
          <w:szCs w:val="24"/>
          <w:lang w:val="bg-BG"/>
        </w:rPr>
        <w:t xml:space="preserve">ОВ </w:t>
      </w:r>
      <w:r w:rsidRPr="00616B1B">
        <w:rPr>
          <w:bCs/>
          <w:sz w:val="24"/>
          <w:szCs w:val="24"/>
        </w:rPr>
        <w:t>C</w:t>
      </w:r>
      <w:r w:rsidRPr="00616B1B">
        <w:rPr>
          <w:bCs/>
          <w:sz w:val="24"/>
          <w:szCs w:val="24"/>
          <w:lang w:val="bg-BG"/>
        </w:rPr>
        <w:t xml:space="preserve"> 167, 11.5.2023</w:t>
      </w:r>
      <w:r w:rsidRPr="00616B1B">
        <w:rPr>
          <w:bCs/>
          <w:sz w:val="24"/>
          <w:szCs w:val="24"/>
        </w:rPr>
        <w:t> </w:t>
      </w:r>
      <w:r w:rsidRPr="00616B1B">
        <w:rPr>
          <w:bCs/>
          <w:sz w:val="24"/>
          <w:szCs w:val="24"/>
          <w:lang w:val="bg-BG"/>
        </w:rPr>
        <w:t>г., стр.</w:t>
      </w:r>
      <w:r w:rsidRPr="00616B1B">
        <w:rPr>
          <w:bCs/>
          <w:sz w:val="24"/>
          <w:szCs w:val="24"/>
        </w:rPr>
        <w:t> </w:t>
      </w:r>
      <w:r w:rsidRPr="00616B1B">
        <w:rPr>
          <w:bCs/>
          <w:sz w:val="24"/>
          <w:szCs w:val="24"/>
          <w:lang w:val="bg-BG"/>
        </w:rPr>
        <w:t>162.</w:t>
      </w:r>
    </w:p>
  </w:footnote>
  <w:footnote w:id="14">
    <w:p w:rsidR="004A5711" w:rsidRPr="00616B1B" w:rsidRDefault="004A5711" w:rsidP="00616B1B">
      <w:pPr>
        <w:pStyle w:val="FootnoteText"/>
        <w:ind w:left="567" w:hanging="567"/>
        <w:rPr>
          <w:bCs/>
          <w:sz w:val="24"/>
          <w:szCs w:val="24"/>
          <w:lang w:val="bg-BG"/>
        </w:rPr>
      </w:pPr>
      <w:r w:rsidRPr="00616B1B">
        <w:rPr>
          <w:rStyle w:val="FootnoteReference"/>
          <w:b w:val="0"/>
          <w:bCs/>
          <w:sz w:val="24"/>
          <w:szCs w:val="24"/>
        </w:rPr>
        <w:footnoteRef/>
      </w:r>
      <w:r w:rsidRPr="00616B1B">
        <w:rPr>
          <w:rStyle w:val="FootnoteReference"/>
          <w:b w:val="0"/>
          <w:bCs/>
          <w:sz w:val="24"/>
          <w:szCs w:val="24"/>
          <w:lang w:val="bg-BG"/>
        </w:rPr>
        <w:t xml:space="preserve"> </w:t>
      </w:r>
      <w:r w:rsidR="00616B1B" w:rsidRPr="00616B1B">
        <w:rPr>
          <w:rStyle w:val="FootnoteReference"/>
          <w:b w:val="0"/>
          <w:bCs/>
          <w:sz w:val="24"/>
          <w:szCs w:val="24"/>
          <w:lang w:val="bg-BG"/>
        </w:rPr>
        <w:tab/>
      </w:r>
      <w:r w:rsidRPr="00616B1B">
        <w:rPr>
          <w:bCs/>
          <w:sz w:val="24"/>
          <w:szCs w:val="24"/>
        </w:rPr>
        <w:t>O</w:t>
      </w:r>
      <w:r w:rsidRPr="00616B1B">
        <w:rPr>
          <w:bCs/>
          <w:sz w:val="24"/>
          <w:szCs w:val="24"/>
          <w:lang w:val="bg-BG"/>
        </w:rPr>
        <w:t xml:space="preserve">В </w:t>
      </w:r>
      <w:r w:rsidRPr="00616B1B">
        <w:rPr>
          <w:bCs/>
          <w:sz w:val="24"/>
          <w:szCs w:val="24"/>
        </w:rPr>
        <w:t>L </w:t>
      </w:r>
      <w:r w:rsidRPr="00616B1B">
        <w:rPr>
          <w:bCs/>
          <w:sz w:val="24"/>
          <w:szCs w:val="24"/>
          <w:lang w:val="bg-BG"/>
        </w:rPr>
        <w:t xml:space="preserve">433 </w:t>
      </w:r>
      <w:r w:rsidRPr="00616B1B">
        <w:rPr>
          <w:bCs/>
          <w:sz w:val="24"/>
          <w:szCs w:val="24"/>
        </w:rPr>
        <w:t>I</w:t>
      </w:r>
      <w:r w:rsidRPr="00616B1B">
        <w:rPr>
          <w:bCs/>
          <w:sz w:val="24"/>
          <w:szCs w:val="24"/>
          <w:lang w:val="bg-BG"/>
        </w:rPr>
        <w:t>, 22.12.2020</w:t>
      </w:r>
      <w:r w:rsidRPr="00616B1B">
        <w:rPr>
          <w:bCs/>
          <w:sz w:val="24"/>
          <w:szCs w:val="24"/>
        </w:rPr>
        <w:t> </w:t>
      </w:r>
      <w:r w:rsidRPr="00616B1B">
        <w:rPr>
          <w:bCs/>
          <w:sz w:val="24"/>
          <w:szCs w:val="24"/>
          <w:lang w:val="bg-BG"/>
        </w:rPr>
        <w:t>г., стр.</w:t>
      </w:r>
      <w:r w:rsidRPr="00616B1B">
        <w:rPr>
          <w:bCs/>
          <w:sz w:val="24"/>
          <w:szCs w:val="24"/>
        </w:rPr>
        <w:t> </w:t>
      </w:r>
      <w:r w:rsidRPr="00616B1B">
        <w:rPr>
          <w:bCs/>
          <w:sz w:val="24"/>
          <w:szCs w:val="24"/>
          <w:lang w:val="bg-BG"/>
        </w:rPr>
        <w:t>23.</w:t>
      </w:r>
    </w:p>
  </w:footnote>
  <w:footnote w:id="15">
    <w:p w:rsidR="004A5711" w:rsidRPr="00616B1B" w:rsidRDefault="004A5711" w:rsidP="00616B1B">
      <w:pPr>
        <w:pStyle w:val="FootnoteText"/>
        <w:ind w:left="567" w:hanging="567"/>
        <w:rPr>
          <w:bCs/>
          <w:sz w:val="24"/>
          <w:szCs w:val="24"/>
          <w:lang w:val="bg-BG"/>
        </w:rPr>
      </w:pPr>
      <w:r w:rsidRPr="00616B1B">
        <w:rPr>
          <w:rStyle w:val="FootnoteReference"/>
          <w:b w:val="0"/>
          <w:bCs/>
          <w:sz w:val="24"/>
          <w:szCs w:val="24"/>
        </w:rPr>
        <w:footnoteRef/>
      </w:r>
      <w:r w:rsidRPr="00616B1B">
        <w:rPr>
          <w:rStyle w:val="FootnoteReference"/>
          <w:b w:val="0"/>
          <w:bCs/>
          <w:sz w:val="24"/>
          <w:szCs w:val="24"/>
          <w:lang w:val="bg-BG"/>
        </w:rPr>
        <w:t xml:space="preserve"> </w:t>
      </w:r>
      <w:r w:rsidR="00616B1B" w:rsidRPr="00616B1B">
        <w:rPr>
          <w:bCs/>
          <w:sz w:val="24"/>
          <w:szCs w:val="24"/>
          <w:lang w:val="bg-BG"/>
        </w:rPr>
        <w:tab/>
      </w:r>
      <w:r w:rsidRPr="00616B1B">
        <w:rPr>
          <w:bCs/>
          <w:sz w:val="24"/>
          <w:szCs w:val="24"/>
        </w:rPr>
        <w:t>O</w:t>
      </w:r>
      <w:r w:rsidRPr="00616B1B">
        <w:rPr>
          <w:bCs/>
          <w:sz w:val="24"/>
          <w:szCs w:val="24"/>
          <w:lang w:val="bg-BG"/>
        </w:rPr>
        <w:t xml:space="preserve">В </w:t>
      </w:r>
      <w:r w:rsidRPr="00616B1B">
        <w:rPr>
          <w:bCs/>
          <w:sz w:val="24"/>
          <w:szCs w:val="24"/>
        </w:rPr>
        <w:t>L </w:t>
      </w:r>
      <w:r w:rsidRPr="00616B1B">
        <w:rPr>
          <w:bCs/>
          <w:sz w:val="24"/>
          <w:szCs w:val="24"/>
          <w:lang w:val="bg-BG"/>
        </w:rPr>
        <w:t xml:space="preserve">433 </w:t>
      </w:r>
      <w:r w:rsidRPr="00616B1B">
        <w:rPr>
          <w:bCs/>
          <w:sz w:val="24"/>
          <w:szCs w:val="24"/>
        </w:rPr>
        <w:t>I</w:t>
      </w:r>
      <w:r w:rsidRPr="00616B1B">
        <w:rPr>
          <w:bCs/>
          <w:sz w:val="24"/>
          <w:szCs w:val="24"/>
          <w:lang w:val="bg-BG"/>
        </w:rPr>
        <w:t>, 22.12.2020</w:t>
      </w:r>
      <w:r w:rsidRPr="00616B1B">
        <w:rPr>
          <w:bCs/>
          <w:sz w:val="24"/>
          <w:szCs w:val="24"/>
        </w:rPr>
        <w:t> </w:t>
      </w:r>
      <w:r w:rsidRPr="00616B1B">
        <w:rPr>
          <w:bCs/>
          <w:sz w:val="24"/>
          <w:szCs w:val="24"/>
          <w:lang w:val="bg-BG"/>
        </w:rPr>
        <w:t>г., стр.</w:t>
      </w:r>
      <w:r w:rsidRPr="00616B1B">
        <w:rPr>
          <w:bCs/>
          <w:sz w:val="24"/>
          <w:szCs w:val="24"/>
        </w:rPr>
        <w:t> </w:t>
      </w:r>
      <w:r w:rsidRPr="00616B1B">
        <w:rPr>
          <w:bCs/>
          <w:sz w:val="24"/>
          <w:szCs w:val="24"/>
          <w:lang w:val="bg-BG"/>
        </w:rPr>
        <w:t>1.</w:t>
      </w:r>
    </w:p>
  </w:footnote>
  <w:footnote w:id="16">
    <w:p w:rsidR="004A5711" w:rsidRPr="00616B1B" w:rsidRDefault="004A5711" w:rsidP="00616B1B">
      <w:pPr>
        <w:pStyle w:val="FootnoteText"/>
        <w:ind w:left="567" w:hanging="567"/>
        <w:rPr>
          <w:bCs/>
          <w:sz w:val="24"/>
          <w:szCs w:val="24"/>
          <w:lang w:val="bg-BG"/>
        </w:rPr>
      </w:pPr>
      <w:r w:rsidRPr="00616B1B">
        <w:rPr>
          <w:rStyle w:val="FootnoteReference"/>
          <w:b w:val="0"/>
          <w:bCs/>
          <w:sz w:val="24"/>
          <w:szCs w:val="24"/>
        </w:rPr>
        <w:footnoteRef/>
      </w:r>
      <w:r w:rsidRPr="00616B1B">
        <w:rPr>
          <w:rStyle w:val="FootnoteReference"/>
          <w:b w:val="0"/>
          <w:bCs/>
          <w:sz w:val="24"/>
          <w:szCs w:val="24"/>
          <w:lang w:val="bg-BG"/>
        </w:rPr>
        <w:t xml:space="preserve"> </w:t>
      </w:r>
      <w:r w:rsidR="00616B1B" w:rsidRPr="00616B1B">
        <w:rPr>
          <w:rStyle w:val="FootnoteReference"/>
          <w:b w:val="0"/>
          <w:bCs/>
          <w:sz w:val="24"/>
          <w:szCs w:val="24"/>
          <w:lang w:val="bg-BG"/>
        </w:rPr>
        <w:tab/>
      </w:r>
      <w:r w:rsidRPr="00616B1B">
        <w:rPr>
          <w:bCs/>
          <w:sz w:val="24"/>
          <w:szCs w:val="24"/>
          <w:lang w:val="bg-BG"/>
        </w:rPr>
        <w:t xml:space="preserve">ОВ </w:t>
      </w:r>
      <w:r w:rsidRPr="00616B1B">
        <w:rPr>
          <w:bCs/>
          <w:sz w:val="24"/>
          <w:szCs w:val="24"/>
        </w:rPr>
        <w:t>C </w:t>
      </w:r>
      <w:r w:rsidRPr="00616B1B">
        <w:rPr>
          <w:bCs/>
          <w:sz w:val="24"/>
          <w:szCs w:val="24"/>
          <w:lang w:val="bg-BG"/>
        </w:rPr>
        <w:t>270, 7.7.2021</w:t>
      </w:r>
      <w:r w:rsidRPr="00616B1B">
        <w:rPr>
          <w:bCs/>
          <w:sz w:val="24"/>
          <w:szCs w:val="24"/>
        </w:rPr>
        <w:t> </w:t>
      </w:r>
      <w:r w:rsidRPr="00616B1B">
        <w:rPr>
          <w:bCs/>
          <w:sz w:val="24"/>
          <w:szCs w:val="24"/>
          <w:lang w:val="bg-BG"/>
        </w:rPr>
        <w:t>г., стр.</w:t>
      </w:r>
      <w:r w:rsidRPr="00616B1B">
        <w:rPr>
          <w:bCs/>
          <w:sz w:val="24"/>
          <w:szCs w:val="24"/>
        </w:rPr>
        <w:t> </w:t>
      </w:r>
      <w:r w:rsidRPr="00616B1B">
        <w:rPr>
          <w:bCs/>
          <w:sz w:val="24"/>
          <w:szCs w:val="24"/>
          <w:lang w:val="bg-BG"/>
        </w:rPr>
        <w:t>2.</w:t>
      </w:r>
    </w:p>
  </w:footnote>
  <w:footnote w:id="17">
    <w:p w:rsidR="00616B1B" w:rsidRPr="00616B1B" w:rsidRDefault="00616B1B" w:rsidP="00616B1B">
      <w:pPr>
        <w:pStyle w:val="FootnoteText"/>
        <w:ind w:left="567" w:hanging="567"/>
        <w:rPr>
          <w:bCs/>
          <w:lang w:val="bg-BG"/>
        </w:rPr>
      </w:pPr>
      <w:r w:rsidRPr="00616B1B">
        <w:rPr>
          <w:rStyle w:val="FootnoteReference"/>
          <w:b w:val="0"/>
          <w:bCs/>
        </w:rPr>
        <w:footnoteRef/>
      </w:r>
      <w:r w:rsidRPr="00616B1B">
        <w:rPr>
          <w:bCs/>
          <w:lang w:val="bg-BG"/>
        </w:rPr>
        <w:t xml:space="preserve"> </w:t>
      </w:r>
      <w:r w:rsidRPr="00616B1B">
        <w:rPr>
          <w:bCs/>
          <w:lang w:val="bg-BG"/>
        </w:rPr>
        <w:tab/>
      </w:r>
      <w:r w:rsidRPr="00616B1B">
        <w:rPr>
          <w:bCs/>
          <w:sz w:val="24"/>
          <w:szCs w:val="24"/>
          <w:lang w:val="bg-BG"/>
        </w:rPr>
        <w:t xml:space="preserve">ОВ </w:t>
      </w:r>
      <w:r w:rsidRPr="00616B1B">
        <w:rPr>
          <w:bCs/>
          <w:sz w:val="24"/>
          <w:szCs w:val="24"/>
        </w:rPr>
        <w:t>C</w:t>
      </w:r>
      <w:r w:rsidRPr="00616B1B">
        <w:rPr>
          <w:bCs/>
          <w:sz w:val="24"/>
          <w:szCs w:val="24"/>
          <w:lang w:val="bg-BG"/>
        </w:rPr>
        <w:t xml:space="preserve"> 428, 13.12.2017</w:t>
      </w:r>
      <w:r w:rsidRPr="00616B1B">
        <w:rPr>
          <w:bCs/>
          <w:sz w:val="24"/>
          <w:szCs w:val="24"/>
        </w:rPr>
        <w:t> </w:t>
      </w:r>
      <w:r w:rsidRPr="00616B1B">
        <w:rPr>
          <w:bCs/>
          <w:sz w:val="24"/>
          <w:szCs w:val="24"/>
          <w:lang w:val="bg-BG"/>
        </w:rPr>
        <w:t>г., стр.</w:t>
      </w:r>
      <w:r w:rsidRPr="00616B1B">
        <w:rPr>
          <w:bCs/>
          <w:sz w:val="24"/>
          <w:szCs w:val="24"/>
        </w:rPr>
        <w:t> </w:t>
      </w:r>
      <w:r w:rsidRPr="00616B1B">
        <w:rPr>
          <w:bCs/>
          <w:sz w:val="24"/>
          <w:szCs w:val="24"/>
          <w:lang w:val="bg-BG"/>
        </w:rPr>
        <w:t>10.</w:t>
      </w:r>
    </w:p>
  </w:footnote>
  <w:footnote w:id="18">
    <w:p w:rsidR="00616B1B" w:rsidRPr="00616B1B" w:rsidRDefault="00616B1B" w:rsidP="00AF5F07">
      <w:pPr>
        <w:pStyle w:val="FootnoteText"/>
        <w:ind w:left="567" w:hanging="567"/>
        <w:rPr>
          <w:bCs/>
          <w:lang w:val="bg-BG"/>
        </w:rPr>
      </w:pPr>
      <w:r w:rsidRPr="00616B1B">
        <w:rPr>
          <w:rStyle w:val="FootnoteReference"/>
          <w:b w:val="0"/>
          <w:bCs/>
        </w:rPr>
        <w:footnoteRef/>
      </w:r>
      <w:r w:rsidRPr="00616B1B">
        <w:rPr>
          <w:bCs/>
          <w:lang w:val="bg-BG"/>
        </w:rPr>
        <w:t xml:space="preserve"> </w:t>
      </w:r>
      <w:r w:rsidRPr="00616B1B">
        <w:rPr>
          <w:bCs/>
          <w:lang w:val="bg-BG"/>
        </w:rPr>
        <w:tab/>
      </w:r>
      <w:r w:rsidR="00AF5F07" w:rsidRPr="00AF5F07">
        <w:rPr>
          <w:bCs/>
          <w:sz w:val="24"/>
          <w:szCs w:val="24"/>
          <w:lang w:val="bg-BG"/>
        </w:rPr>
        <w:t>ОВ C 242, 10.7.2018 г., стр. 24.</w:t>
      </w:r>
    </w:p>
  </w:footnote>
  <w:footnote w:id="19">
    <w:p w:rsidR="00AF5F07" w:rsidRPr="00490E19" w:rsidRDefault="00AF5F07" w:rsidP="00490E19">
      <w:pPr>
        <w:pStyle w:val="FootnoteText"/>
        <w:ind w:left="567" w:hanging="567"/>
        <w:rPr>
          <w:lang w:val="en-GB"/>
        </w:rPr>
      </w:pPr>
      <w:r>
        <w:rPr>
          <w:rStyle w:val="FootnoteReference"/>
        </w:rPr>
        <w:footnoteRef/>
      </w:r>
      <w:r>
        <w:t xml:space="preserve"> </w:t>
      </w:r>
      <w:r>
        <w:rPr>
          <w:lang w:val="en-GB"/>
        </w:rPr>
        <w:tab/>
      </w:r>
      <w:r w:rsidRPr="00490E19">
        <w:rPr>
          <w:bCs/>
          <w:sz w:val="24"/>
          <w:szCs w:val="24"/>
          <w:lang w:val="bg-BG"/>
        </w:rPr>
        <w:t>O</w:t>
      </w:r>
      <w:r>
        <w:rPr>
          <w:bCs/>
          <w:sz w:val="24"/>
          <w:szCs w:val="24"/>
          <w:lang w:val="bg-BG"/>
        </w:rPr>
        <w:t>В</w:t>
      </w:r>
      <w:r w:rsidRPr="00490E19">
        <w:rPr>
          <w:bCs/>
          <w:sz w:val="24"/>
          <w:szCs w:val="24"/>
          <w:lang w:val="bg-BG"/>
        </w:rPr>
        <w:t xml:space="preserve"> L, 2024/795, 29.02.2024</w:t>
      </w:r>
      <w:r>
        <w:rPr>
          <w:bCs/>
          <w:sz w:val="24"/>
          <w:szCs w:val="24"/>
          <w:lang w:val="bg-BG"/>
        </w:rPr>
        <w:t> г.</w:t>
      </w:r>
      <w:r w:rsidRPr="00490E19">
        <w:rPr>
          <w:bCs/>
          <w:sz w:val="24"/>
          <w:szCs w:val="24"/>
          <w:lang w:val="bg-BG"/>
        </w:rPr>
        <w:t xml:space="preserve">, ELI: </w:t>
      </w:r>
      <w:hyperlink r:id="rId3" w:history="1">
        <w:r w:rsidRPr="00490E19">
          <w:rPr>
            <w:bCs/>
            <w:sz w:val="24"/>
            <w:szCs w:val="24"/>
            <w:lang w:val="bg-BG"/>
          </w:rPr>
          <w:t>http://data.europa.eu/eli/reg/2024/795/oj</w:t>
        </w:r>
      </w:hyperlink>
      <w:r>
        <w:rPr>
          <w:bCs/>
          <w:sz w:val="24"/>
          <w:szCs w:val="24"/>
          <w:lang w:val="bg-BG"/>
        </w:rPr>
        <w:t>.</w:t>
      </w:r>
    </w:p>
  </w:footnote>
  <w:footnote w:id="20">
    <w:p w:rsidR="00AF5F07" w:rsidRPr="00490E19" w:rsidRDefault="00AF5F07" w:rsidP="00490E19">
      <w:pPr>
        <w:pStyle w:val="FootnoteText"/>
        <w:ind w:left="567" w:hanging="567"/>
        <w:rPr>
          <w:lang w:val="bg-BG"/>
        </w:rPr>
      </w:pPr>
      <w:r>
        <w:rPr>
          <w:rStyle w:val="FootnoteReference"/>
        </w:rPr>
        <w:footnoteRef/>
      </w:r>
      <w:r>
        <w:t xml:space="preserve"> </w:t>
      </w:r>
      <w:r>
        <w:rPr>
          <w:lang w:val="bg-BG"/>
        </w:rPr>
        <w:tab/>
      </w:r>
      <w:r w:rsidRPr="00AF5F07">
        <w:rPr>
          <w:sz w:val="24"/>
          <w:szCs w:val="24"/>
          <w:lang w:val="fi-FI"/>
        </w:rPr>
        <w:t>O</w:t>
      </w:r>
      <w:r>
        <w:rPr>
          <w:sz w:val="24"/>
          <w:szCs w:val="24"/>
          <w:lang w:val="bg-BG"/>
        </w:rPr>
        <w:t>В</w:t>
      </w:r>
      <w:r w:rsidRPr="00490E19">
        <w:rPr>
          <w:sz w:val="24"/>
          <w:szCs w:val="24"/>
          <w:lang w:val="fi-FI"/>
        </w:rPr>
        <w:t xml:space="preserve"> L, 2024/792, 29.02.2024</w:t>
      </w:r>
      <w:r>
        <w:rPr>
          <w:sz w:val="24"/>
          <w:szCs w:val="24"/>
          <w:lang w:val="bg-BG"/>
        </w:rPr>
        <w:t> г.</w:t>
      </w:r>
      <w:r w:rsidRPr="00490E19">
        <w:rPr>
          <w:sz w:val="24"/>
          <w:szCs w:val="24"/>
          <w:lang w:val="fi-FI"/>
        </w:rPr>
        <w:t xml:space="preserve">, ELI: </w:t>
      </w:r>
      <w:hyperlink r:id="rId4" w:history="1">
        <w:r w:rsidRPr="00490E19">
          <w:rPr>
            <w:rStyle w:val="Hyperlink"/>
            <w:sz w:val="24"/>
            <w:szCs w:val="24"/>
            <w:lang w:val="fi-FI"/>
          </w:rPr>
          <w:t>http://data.europa.eu/eli/reg/2024/792/oj</w:t>
        </w:r>
      </w:hyperlink>
      <w:r w:rsidRPr="00490E19">
        <w:rPr>
          <w:sz w:val="24"/>
          <w:szCs w:val="24"/>
          <w:lang w:val="bg-BG"/>
        </w:rPr>
        <w:t>.</w:t>
      </w:r>
    </w:p>
  </w:footnote>
  <w:footnote w:id="21">
    <w:p w:rsidR="004A5711" w:rsidRPr="00616B1B" w:rsidRDefault="004A5711" w:rsidP="00616B1B">
      <w:pPr>
        <w:pStyle w:val="FootnoteText"/>
        <w:ind w:left="567" w:hanging="567"/>
        <w:rPr>
          <w:bCs/>
          <w:sz w:val="24"/>
          <w:szCs w:val="24"/>
          <w:lang w:val="bg-BG"/>
        </w:rPr>
      </w:pPr>
      <w:r w:rsidRPr="00616B1B">
        <w:rPr>
          <w:rStyle w:val="FootnoteReference"/>
          <w:b w:val="0"/>
          <w:bCs/>
          <w:sz w:val="24"/>
          <w:szCs w:val="24"/>
        </w:rPr>
        <w:footnoteRef/>
      </w:r>
      <w:r w:rsidRPr="00616B1B">
        <w:rPr>
          <w:rStyle w:val="FootnoteReference"/>
          <w:b w:val="0"/>
          <w:bCs/>
          <w:sz w:val="24"/>
          <w:szCs w:val="24"/>
          <w:lang w:val="bg-BG"/>
        </w:rPr>
        <w:t xml:space="preserve"> </w:t>
      </w:r>
      <w:r w:rsidR="00616B1B" w:rsidRPr="00616B1B">
        <w:rPr>
          <w:rStyle w:val="FootnoteReference"/>
          <w:b w:val="0"/>
          <w:bCs/>
          <w:sz w:val="24"/>
          <w:szCs w:val="24"/>
          <w:lang w:val="bg-BG"/>
        </w:rPr>
        <w:tab/>
      </w:r>
      <w:r w:rsidRPr="00616B1B">
        <w:rPr>
          <w:bCs/>
          <w:sz w:val="24"/>
          <w:szCs w:val="24"/>
        </w:rPr>
        <w:t>O</w:t>
      </w:r>
      <w:r w:rsidRPr="00616B1B">
        <w:rPr>
          <w:bCs/>
          <w:sz w:val="24"/>
          <w:szCs w:val="24"/>
          <w:lang w:val="bg-BG"/>
        </w:rPr>
        <w:t xml:space="preserve">В </w:t>
      </w:r>
      <w:r w:rsidRPr="00616B1B">
        <w:rPr>
          <w:bCs/>
          <w:sz w:val="24"/>
          <w:szCs w:val="24"/>
        </w:rPr>
        <w:t>L</w:t>
      </w:r>
      <w:r w:rsidRPr="00616B1B">
        <w:rPr>
          <w:bCs/>
          <w:sz w:val="24"/>
          <w:szCs w:val="24"/>
          <w:lang w:val="bg-BG"/>
        </w:rPr>
        <w:t xml:space="preserve"> 207, 22.2.2024 г., стр. 1.</w:t>
      </w:r>
    </w:p>
  </w:footnote>
  <w:footnote w:id="22">
    <w:p w:rsidR="004A5711" w:rsidRPr="00616B1B" w:rsidRDefault="004A5711" w:rsidP="00616B1B">
      <w:pPr>
        <w:pStyle w:val="FootnoteText"/>
        <w:ind w:left="567" w:hanging="567"/>
        <w:rPr>
          <w:bCs/>
          <w:sz w:val="24"/>
          <w:szCs w:val="24"/>
          <w:lang w:val="bg-BG"/>
        </w:rPr>
      </w:pPr>
      <w:r w:rsidRPr="00616B1B">
        <w:rPr>
          <w:rStyle w:val="FootnoteReference"/>
          <w:b w:val="0"/>
          <w:bCs/>
          <w:sz w:val="24"/>
          <w:szCs w:val="24"/>
        </w:rPr>
        <w:footnoteRef/>
      </w:r>
      <w:r w:rsidRPr="00616B1B">
        <w:rPr>
          <w:rStyle w:val="FootnoteReference"/>
          <w:b w:val="0"/>
          <w:bCs/>
          <w:sz w:val="24"/>
          <w:szCs w:val="24"/>
          <w:lang w:val="bg-BG"/>
        </w:rPr>
        <w:t xml:space="preserve"> </w:t>
      </w:r>
      <w:r w:rsidR="00616B1B">
        <w:rPr>
          <w:rStyle w:val="FootnoteReference"/>
          <w:b w:val="0"/>
          <w:bCs/>
          <w:sz w:val="24"/>
          <w:szCs w:val="24"/>
          <w:lang w:val="bg-BG"/>
        </w:rPr>
        <w:tab/>
      </w:r>
      <w:r w:rsidRPr="00616B1B">
        <w:rPr>
          <w:bCs/>
          <w:sz w:val="24"/>
          <w:szCs w:val="24"/>
          <w:lang w:val="bg-BG"/>
        </w:rPr>
        <w:t>Европейска комисия, „</w:t>
      </w:r>
      <w:r w:rsidRPr="00616B1B">
        <w:rPr>
          <w:rStyle w:val="Hyperlink"/>
          <w:bCs/>
          <w:sz w:val="24"/>
          <w:szCs w:val="24"/>
          <w:lang w:val="bg-BG"/>
        </w:rPr>
        <w:t>Икономическа прогноза от зимата на 2024 г.: Забавено възстановяване на растежа на фона на по-бързото намаляване на инфлацията</w:t>
      </w:r>
      <w:r w:rsidRPr="00616B1B">
        <w:rPr>
          <w:bCs/>
          <w:sz w:val="24"/>
          <w:szCs w:val="24"/>
          <w:lang w:val="bg-BG"/>
        </w:rPr>
        <w:t>“, 2023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numam" w:val="0"/>
    <w:docVar w:name="dvrapporteur" w:val="Докладчик: "/>
  </w:docVars>
  <w:rsids>
    <w:rsidRoot w:val="00F379FD"/>
    <w:rsid w:val="00002272"/>
    <w:rsid w:val="00064002"/>
    <w:rsid w:val="000677B9"/>
    <w:rsid w:val="000831BA"/>
    <w:rsid w:val="000A42CC"/>
    <w:rsid w:val="000A4F3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0E19"/>
    <w:rsid w:val="00494A28"/>
    <w:rsid w:val="004A5711"/>
    <w:rsid w:val="004C0004"/>
    <w:rsid w:val="004C5D52"/>
    <w:rsid w:val="0050519A"/>
    <w:rsid w:val="005072A1"/>
    <w:rsid w:val="00514517"/>
    <w:rsid w:val="00545827"/>
    <w:rsid w:val="00560270"/>
    <w:rsid w:val="005C2568"/>
    <w:rsid w:val="006037C0"/>
    <w:rsid w:val="00616B1B"/>
    <w:rsid w:val="006631B6"/>
    <w:rsid w:val="00680577"/>
    <w:rsid w:val="006F74FA"/>
    <w:rsid w:val="0070135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76C"/>
    <w:rsid w:val="00A1687D"/>
    <w:rsid w:val="00A43E52"/>
    <w:rsid w:val="00A4678D"/>
    <w:rsid w:val="00A778C7"/>
    <w:rsid w:val="00AB441E"/>
    <w:rsid w:val="00AB6293"/>
    <w:rsid w:val="00AE0928"/>
    <w:rsid w:val="00AE7D34"/>
    <w:rsid w:val="00AF3B82"/>
    <w:rsid w:val="00AF5F07"/>
    <w:rsid w:val="00B12E95"/>
    <w:rsid w:val="00B15011"/>
    <w:rsid w:val="00B22876"/>
    <w:rsid w:val="00B558F0"/>
    <w:rsid w:val="00BD48FE"/>
    <w:rsid w:val="00BD7BD8"/>
    <w:rsid w:val="00BE6ADC"/>
    <w:rsid w:val="00C056D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9FD"/>
    <w:rsid w:val="00F5134D"/>
    <w:rsid w:val="00F74202"/>
    <w:rsid w:val="00F87713"/>
    <w:rsid w:val="00FB4360"/>
    <w:rsid w:val="00FD0C70"/>
    <w:rsid w:val="00FD21B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35AC4"/>
  <w15:chartTrackingRefBased/>
  <w15:docId w15:val="{CE284C0C-1EB5-42D0-9D38-9F61BBD36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5711"/>
    <w:pPr>
      <w:spacing w:before="480" w:after="240"/>
    </w:pPr>
  </w:style>
  <w:style w:type="paragraph" w:customStyle="1" w:styleId="NormalHanging12a">
    <w:name w:val="NormalHanging12a"/>
    <w:basedOn w:val="Normal"/>
    <w:link w:val="NormalHanging12aChar"/>
    <w:rsid w:val="004A5711"/>
    <w:pPr>
      <w:spacing w:after="240"/>
      <w:ind w:left="567" w:hanging="567"/>
    </w:pPr>
  </w:style>
  <w:style w:type="character" w:customStyle="1" w:styleId="NormalHanging12aChar">
    <w:name w:val="NormalHanging12a Char"/>
    <w:basedOn w:val="DefaultParagraphFont"/>
    <w:link w:val="NormalHanging12a"/>
    <w:locked/>
    <w:rsid w:val="004A5711"/>
    <w:rPr>
      <w:sz w:val="24"/>
      <w:lang w:val="bg-BG"/>
    </w:rPr>
  </w:style>
  <w:style w:type="paragraph" w:customStyle="1" w:styleId="FootnoteReference1">
    <w:name w:val="Footnote Reference1"/>
    <w:basedOn w:val="Normal"/>
    <w:link w:val="FootnoteReference"/>
    <w:rsid w:val="004A5711"/>
    <w:pPr>
      <w:widowControl/>
      <w:spacing w:after="160" w:line="240" w:lineRule="exact"/>
    </w:pPr>
    <w:rPr>
      <w:b/>
      <w:sz w:val="20"/>
      <w:vertAlign w:val="superscript"/>
      <w:lang w:val="en-GB"/>
    </w:rPr>
  </w:style>
  <w:style w:type="character" w:customStyle="1" w:styleId="ui-provider">
    <w:name w:val="ui-provider"/>
    <w:basedOn w:val="DefaultParagraphFont"/>
    <w:rsid w:val="004A5711"/>
  </w:style>
  <w:style w:type="character" w:styleId="Hyperlink">
    <w:name w:val="Hyperlink"/>
    <w:basedOn w:val="DefaultParagraphFont"/>
    <w:rsid w:val="004A5711"/>
    <w:rPr>
      <w:color w:val="0563C1" w:themeColor="hyperlink"/>
      <w:u w:val="single"/>
    </w:rPr>
  </w:style>
  <w:style w:type="paragraph" w:styleId="BalloonText">
    <w:name w:val="Balloon Text"/>
    <w:basedOn w:val="Normal"/>
    <w:link w:val="BalloonTextChar"/>
    <w:rsid w:val="00AF5F07"/>
    <w:rPr>
      <w:rFonts w:ascii="Segoe UI" w:hAnsi="Segoe UI" w:cs="Segoe UI"/>
      <w:sz w:val="18"/>
      <w:szCs w:val="18"/>
    </w:rPr>
  </w:style>
  <w:style w:type="character" w:customStyle="1" w:styleId="BalloonTextChar">
    <w:name w:val="Balloon Text Char"/>
    <w:basedOn w:val="DefaultParagraphFont"/>
    <w:link w:val="BalloonText"/>
    <w:rsid w:val="00AF5F07"/>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95/oj" TargetMode="External"/><Relationship Id="rId2" Type="http://schemas.openxmlformats.org/officeDocument/2006/relationships/hyperlink" Target="http://data.europa.eu/eli/C/2023/1084/oj" TargetMode="External"/><Relationship Id="rId1" Type="http://schemas.openxmlformats.org/officeDocument/2006/relationships/hyperlink" Target="http://data.europa.eu/eli/C/2024/1195/oj" TargetMode="External"/><Relationship Id="rId4"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inkova\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5720F-6558-454C-9E57-C2BF2B4CB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1</TotalTime>
  <Pages>19</Pages>
  <Words>7151</Words>
  <Characters>50773</Characters>
  <Application>Microsoft Office Word</Application>
  <DocSecurity>0</DocSecurity>
  <Lines>1750</Lines>
  <Paragraphs>1016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2024-04-16T08:33:00Z</dcterms:created>
  <dcterms:modified xsi:type="dcterms:W3CDTF">2024-04-16T08:33:00Z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P9_TA(2024)0157_</vt:lpwstr>
  </property>
  <property fmtid="{D5CDD505-2E9C-101B-9397-08002B2CF9AE}" pid="4" name="&lt;Type&gt;">
    <vt:lpwstr>RR</vt:lpwstr>
  </property>
</Properties>
</file>