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4E90" w:rsidTr="0010095E">
        <w:trPr>
          <w:trHeight w:hRule="exact" w:val="1418"/>
        </w:trPr>
        <w:tc>
          <w:tcPr>
            <w:tcW w:w="6804" w:type="dxa"/>
            <w:shd w:val="clear" w:color="auto" w:fill="auto"/>
            <w:vAlign w:val="center"/>
          </w:tcPr>
          <w:p w:rsidR="00751A4A" w:rsidRPr="00204E90" w:rsidRDefault="00512680" w:rsidP="0010095E">
            <w:pPr>
              <w:pStyle w:val="EPName"/>
            </w:pPr>
            <w:r w:rsidRPr="00204E90">
              <w:t>Ευρωπαϊκό Κοινοβούλιο</w:t>
            </w:r>
          </w:p>
          <w:p w:rsidR="00751A4A" w:rsidRPr="00204E90" w:rsidRDefault="00817416" w:rsidP="00756632">
            <w:pPr>
              <w:pStyle w:val="EPTerm"/>
              <w:rPr>
                <w:rStyle w:val="HideTWBExt"/>
                <w:noProof w:val="0"/>
                <w:vanish w:val="0"/>
                <w:color w:val="auto"/>
              </w:rPr>
            </w:pPr>
            <w:r w:rsidRPr="00204E90">
              <w:t>2019-2024</w:t>
            </w:r>
          </w:p>
        </w:tc>
        <w:tc>
          <w:tcPr>
            <w:tcW w:w="2268" w:type="dxa"/>
            <w:shd w:val="clear" w:color="auto" w:fill="auto"/>
          </w:tcPr>
          <w:p w:rsidR="00751A4A" w:rsidRPr="00204E90" w:rsidRDefault="00187494" w:rsidP="0010095E">
            <w:pPr>
              <w:pStyle w:val="EPLogo"/>
            </w:pPr>
            <w:r w:rsidRPr="00204E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4E90" w:rsidRDefault="00D058B8" w:rsidP="004C5D52">
      <w:pPr>
        <w:pStyle w:val="LineTop"/>
      </w:pPr>
    </w:p>
    <w:p w:rsidR="00680577" w:rsidRPr="00204E90" w:rsidRDefault="00512680" w:rsidP="00680577">
      <w:pPr>
        <w:pStyle w:val="EPBodyTA1"/>
      </w:pPr>
      <w:r w:rsidRPr="00204E90">
        <w:t>ΚΕΙΜΕΝΑ ΠΟΥ ΕΓΚΡΙΘΗΚΑΝ</w:t>
      </w:r>
    </w:p>
    <w:p w:rsidR="00D058B8" w:rsidRPr="00204E90" w:rsidRDefault="00D058B8" w:rsidP="00D058B8">
      <w:pPr>
        <w:pStyle w:val="LineBottom"/>
      </w:pPr>
    </w:p>
    <w:p w:rsidR="00512680" w:rsidRPr="00204E90" w:rsidRDefault="00512680" w:rsidP="00512680">
      <w:pPr>
        <w:pStyle w:val="ATHeading1"/>
      </w:pPr>
      <w:bookmarkStart w:id="0" w:name="TANumber"/>
      <w:r w:rsidRPr="00204E90">
        <w:t>P9_TA(2024)0</w:t>
      </w:r>
      <w:r w:rsidR="00045198" w:rsidRPr="00204E90">
        <w:t>157</w:t>
      </w:r>
      <w:bookmarkEnd w:id="0"/>
    </w:p>
    <w:p w:rsidR="00512680" w:rsidRPr="00204E90" w:rsidRDefault="00012622" w:rsidP="00512680">
      <w:pPr>
        <w:pStyle w:val="ATHeading2"/>
      </w:pPr>
      <w:bookmarkStart w:id="1" w:name="title"/>
      <w:r w:rsidRPr="00204E90">
        <w:t>Οδηγίες για τον προϋπολογισμό του 2025 – Τμήμα III</w:t>
      </w:r>
      <w:bookmarkEnd w:id="1"/>
    </w:p>
    <w:p w:rsidR="00512680" w:rsidRPr="00204E90" w:rsidRDefault="00512680" w:rsidP="00512680">
      <w:pPr>
        <w:rPr>
          <w:i/>
          <w:vanish/>
        </w:rPr>
      </w:pPr>
      <w:r w:rsidRPr="00204E90">
        <w:rPr>
          <w:i/>
        </w:rPr>
        <w:fldChar w:fldCharType="begin"/>
      </w:r>
      <w:r w:rsidRPr="00204E90">
        <w:rPr>
          <w:i/>
        </w:rPr>
        <w:instrText xml:space="preserve"> TC"(</w:instrText>
      </w:r>
      <w:bookmarkStart w:id="2" w:name="DocNumber"/>
      <w:r w:rsidRPr="00204E90">
        <w:rPr>
          <w:i/>
        </w:rPr>
        <w:instrText>A9-0068/2024</w:instrText>
      </w:r>
      <w:bookmarkEnd w:id="2"/>
      <w:r w:rsidRPr="00204E90">
        <w:rPr>
          <w:i/>
        </w:rPr>
        <w:instrText xml:space="preserve"> - Εισηγητής: Victor Negrescu)"\l3 \n&gt; \* MERGEFORMAT </w:instrText>
      </w:r>
      <w:r w:rsidRPr="00204E90">
        <w:rPr>
          <w:i/>
        </w:rPr>
        <w:fldChar w:fldCharType="end"/>
      </w:r>
    </w:p>
    <w:p w:rsidR="00512680" w:rsidRPr="00204E90" w:rsidRDefault="00512680" w:rsidP="00512680">
      <w:pPr>
        <w:rPr>
          <w:vanish/>
        </w:rPr>
      </w:pPr>
      <w:bookmarkStart w:id="3" w:name="Commission"/>
      <w:r w:rsidRPr="00204E90">
        <w:rPr>
          <w:vanish/>
        </w:rPr>
        <w:t>Επιτροπή Προϋπολογισμών</w:t>
      </w:r>
      <w:bookmarkEnd w:id="3"/>
    </w:p>
    <w:p w:rsidR="00512680" w:rsidRPr="00204E90" w:rsidRDefault="00512680" w:rsidP="00512680">
      <w:pPr>
        <w:rPr>
          <w:vanish/>
        </w:rPr>
      </w:pPr>
      <w:bookmarkStart w:id="4" w:name="PE"/>
      <w:r w:rsidRPr="00204E90">
        <w:rPr>
          <w:vanish/>
        </w:rPr>
        <w:t>PE758.108</w:t>
      </w:r>
      <w:bookmarkEnd w:id="4"/>
    </w:p>
    <w:p w:rsidR="00512680" w:rsidRPr="00204E90" w:rsidRDefault="00512680" w:rsidP="00512680">
      <w:pPr>
        <w:pStyle w:val="ATHeading3"/>
      </w:pPr>
      <w:bookmarkStart w:id="5" w:name="Sujet"/>
      <w:r w:rsidRPr="00204E90">
        <w:t xml:space="preserve">Ψήφισμα του Ευρωπαϊκού Κοινοβουλίου </w:t>
      </w:r>
      <w:r w:rsidR="00012622" w:rsidRPr="00204E90">
        <w:t xml:space="preserve">της </w:t>
      </w:r>
      <w:r w:rsidR="002244A2" w:rsidRPr="00204E90">
        <w:t>13</w:t>
      </w:r>
      <w:r w:rsidR="00012622" w:rsidRPr="00204E90">
        <w:t xml:space="preserve">ης Μαρτίου 2024 </w:t>
      </w:r>
      <w:r w:rsidRPr="00204E90">
        <w:t>σχετικά με τις γενικές κατευθυντήριες γραμμές για την κατάρτιση του προϋπολογισμού 2025, τμήμα III – Επιτροπή</w:t>
      </w:r>
      <w:bookmarkEnd w:id="5"/>
      <w:r w:rsidRPr="00204E90">
        <w:t xml:space="preserve"> </w:t>
      </w:r>
      <w:bookmarkStart w:id="6" w:name="References"/>
      <w:r w:rsidRPr="00204E90">
        <w:t>(2023/2220(BUI))</w:t>
      </w:r>
      <w:bookmarkEnd w:id="6"/>
    </w:p>
    <w:p w:rsidR="00956A6B" w:rsidRPr="00204E90" w:rsidRDefault="00956A6B" w:rsidP="00956A6B">
      <w:pPr>
        <w:pStyle w:val="EPComma"/>
      </w:pPr>
      <w:bookmarkStart w:id="7" w:name="TextBodyBegin"/>
      <w:bookmarkEnd w:id="7"/>
      <w:r w:rsidRPr="00204E90">
        <w:rPr>
          <w:i/>
        </w:rPr>
        <w:t>Το Ευρωπαϊκό Κοινοβούλιο</w:t>
      </w:r>
      <w:r w:rsidRPr="00204E90">
        <w:t>,</w:t>
      </w:r>
    </w:p>
    <w:p w:rsidR="00956A6B" w:rsidRPr="00204E90" w:rsidRDefault="00956A6B" w:rsidP="00012622">
      <w:pPr>
        <w:pStyle w:val="NormalHanging12a"/>
        <w:widowControl/>
      </w:pPr>
      <w:r w:rsidRPr="00204E90">
        <w:t>–</w:t>
      </w:r>
      <w:r w:rsidRPr="00204E90">
        <w:tab/>
        <w:t>έχοντας υπόψη το άρθρο 314 της Συνθήκης για τη λειτουργία της Ευρωπαϊκής Ένωσης,</w:t>
      </w:r>
    </w:p>
    <w:p w:rsidR="00956A6B" w:rsidRPr="00204E90" w:rsidRDefault="00956A6B" w:rsidP="00012622">
      <w:pPr>
        <w:pStyle w:val="NormalHanging12a"/>
        <w:widowControl/>
      </w:pPr>
      <w:r w:rsidRPr="00204E90">
        <w:t>–</w:t>
      </w:r>
      <w:r w:rsidRPr="00204E90">
        <w:tab/>
        <w:t>έχοντας υπόψη το άρθρο 106α της Συνθήκης περί ιδρύσεως της Ευρωπαϊκής Κοινότητας Ατομικής Ενεργείας,</w:t>
      </w:r>
    </w:p>
    <w:p w:rsidR="00956A6B" w:rsidRPr="00204E90" w:rsidRDefault="00956A6B" w:rsidP="002369A7">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t>έχοντας υπόψη τον κανονισμό (ΕΕ, Ευρατόμ) </w:t>
      </w:r>
      <w:r w:rsidR="00372236" w:rsidRPr="00372236">
        <w:rPr>
          <w:color w:val="000000"/>
        </w:rPr>
        <w:t xml:space="preserve">2024/765 </w:t>
      </w:r>
      <w:r w:rsidR="00372236">
        <w:rPr>
          <w:color w:val="000000"/>
        </w:rPr>
        <w:t xml:space="preserve">του Συμβουλίου, της 29ης Φεβρουαρίου 2024, για την τροποποίηση του κανονισμού (ΕΕ, </w:t>
      </w:r>
      <w:proofErr w:type="spellStart"/>
      <w:r w:rsidR="00372236">
        <w:rPr>
          <w:color w:val="000000"/>
        </w:rPr>
        <w:t>Ευρατόμ</w:t>
      </w:r>
      <w:proofErr w:type="spellEnd"/>
      <w:r w:rsidR="00372236">
        <w:rPr>
          <w:color w:val="000000"/>
        </w:rPr>
        <w:t>) 2020/2</w:t>
      </w:r>
      <w:r w:rsidR="002369A7">
        <w:rPr>
          <w:color w:val="000000"/>
          <w:lang w:val="sl-SI"/>
        </w:rPr>
        <w:t>0</w:t>
      </w:r>
      <w:bookmarkStart w:id="8" w:name="_GoBack"/>
      <w:bookmarkEnd w:id="8"/>
      <w:r w:rsidR="00372236">
        <w:rPr>
          <w:color w:val="000000"/>
        </w:rPr>
        <w:t xml:space="preserve">93 </w:t>
      </w:r>
      <w:r w:rsidRPr="00204E90">
        <w:rPr>
          <w:color w:val="000000"/>
        </w:rPr>
        <w:t>για τον καθορισμό του πολυετούς δημοσιονομικού πλαισίου για τα έτη 2021 έως 2027</w:t>
      </w:r>
      <w:r w:rsidR="00372236" w:rsidRPr="00204E90">
        <w:rPr>
          <w:rStyle w:val="FootnoteReference"/>
        </w:rPr>
        <w:footnoteReference w:id="1"/>
      </w:r>
      <w:r w:rsidRPr="00204E90">
        <w:rPr>
          <w:color w:val="000000"/>
        </w:rPr>
        <w:t xml:space="preserve"> (αναθεώρηση ΠΔΠ),</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t xml:space="preserve">έχοντας υπόψη τον κανονισμό (ΕΕ, Ευρατόμ) 2022/2496 του Συμβουλίου, της 15ης Δεκεμβρίου 2022, για την τροποποίηση του κανονισμού (ΕΕ, </w:t>
      </w:r>
      <w:proofErr w:type="spellStart"/>
      <w:r w:rsidRPr="00204E90">
        <w:rPr>
          <w:color w:val="000000"/>
        </w:rPr>
        <w:t>Ευρατόμ</w:t>
      </w:r>
      <w:proofErr w:type="spellEnd"/>
      <w:r w:rsidRPr="00204E90">
        <w:rPr>
          <w:color w:val="000000"/>
        </w:rPr>
        <w:t>)</w:t>
      </w:r>
      <w:r w:rsidR="00372236">
        <w:rPr>
          <w:color w:val="000000"/>
        </w:rPr>
        <w:t xml:space="preserve"> </w:t>
      </w:r>
      <w:r w:rsidRPr="00204E90">
        <w:rPr>
          <w:color w:val="000000"/>
        </w:rPr>
        <w:t>2020/2093 για τον καθορισμό του πολυετούς δημοσιονομικού πλαισίου για τα έτη 2021 έως 2027</w:t>
      </w:r>
      <w:r w:rsidRPr="00204E90">
        <w:rPr>
          <w:color w:val="000000"/>
          <w:vertAlign w:val="superscript"/>
        </w:rPr>
        <w:footnoteReference w:id="2"/>
      </w:r>
      <w:r w:rsidRPr="00204E90">
        <w:rPr>
          <w:color w:val="000000"/>
        </w:rPr>
        <w:t>,</w:t>
      </w:r>
    </w:p>
    <w:p w:rsidR="00956A6B" w:rsidRPr="00204E90" w:rsidRDefault="00956A6B" w:rsidP="00012622">
      <w:pPr>
        <w:pStyle w:val="NormalHanging12a"/>
        <w:widowControl/>
      </w:pPr>
      <w:r w:rsidRPr="00204E90">
        <w:t>–</w:t>
      </w:r>
      <w:r w:rsidRPr="00204E90">
        <w:tab/>
        <w:t>έχοντας υπόψη τη θέση του της 16ης Δεκεμβρίου 2020 σχετικά με το σχέδιο κανονισμού του Συμβουλίου για τον καθορισμό του πολυετούς δημοσιονομικού πλαισίου της περιόδου 2021-2027</w:t>
      </w:r>
      <w:r w:rsidRPr="00204E90">
        <w:rPr>
          <w:rStyle w:val="FootnoteReference"/>
        </w:rPr>
        <w:footnoteReference w:id="3"/>
      </w:r>
      <w:r w:rsidRPr="00204E90">
        <w:t>,</w:t>
      </w:r>
    </w:p>
    <w:p w:rsidR="00956A6B" w:rsidRPr="00204E90" w:rsidRDefault="00956A6B" w:rsidP="00012622">
      <w:pPr>
        <w:pStyle w:val="NormalHanging12a"/>
        <w:widowControl/>
      </w:pPr>
      <w:r w:rsidRPr="00204E90">
        <w:t>–</w:t>
      </w:r>
      <w:r w:rsidRPr="00204E90">
        <w:tab/>
        <w:t>έχοντας υπόψη τον κανονισμό (EE, Ευρατόμ) 2020/2093 του Συμβουλίου, της 17ης Δεκεμβρίου 20</w:t>
      </w:r>
      <w:r w:rsidR="007B6967" w:rsidRPr="007B6967">
        <w:t>20</w:t>
      </w:r>
      <w:r w:rsidRPr="00204E90">
        <w:t>, για τον καθορισμό του πολυετούς δημοσιονομικού πλαισίου για την περίοδο 2021-2027</w:t>
      </w:r>
      <w:r w:rsidRPr="00204E90">
        <w:rPr>
          <w:rStyle w:val="FootnoteReference"/>
        </w:rPr>
        <w:footnoteReference w:id="4"/>
      </w:r>
      <w:r w:rsidRPr="00204E90">
        <w:t xml:space="preserve">, και τις κοινές δηλώσεις επί των οποίων επήλθε συμφωνία </w:t>
      </w:r>
      <w:r w:rsidRPr="00204E90">
        <w:lastRenderedPageBreak/>
        <w:t>μεταξύ του Κοινοβουλίου, του Συμβουλίου και της Επιτροπής σχετικά με αυτό το ζήτημα</w:t>
      </w:r>
      <w:r w:rsidRPr="00204E90">
        <w:rPr>
          <w:color w:val="000000"/>
          <w:vertAlign w:val="superscript"/>
        </w:rPr>
        <w:footnoteReference w:id="5"/>
      </w:r>
      <w:r w:rsidRPr="00204E90">
        <w:t xml:space="preserve"> και τις σχετικές μονομερείς δηλώσεις</w:t>
      </w:r>
      <w:r w:rsidRPr="00204E90">
        <w:rPr>
          <w:color w:val="000000"/>
          <w:vertAlign w:val="superscript"/>
        </w:rPr>
        <w:footnoteReference w:id="6"/>
      </w:r>
      <w:r w:rsidRPr="00204E90">
        <w:t>,</w:t>
      </w:r>
    </w:p>
    <w:p w:rsidR="00956A6B" w:rsidRPr="00204E90" w:rsidRDefault="00956A6B" w:rsidP="00012622">
      <w:pPr>
        <w:widowControl/>
        <w:pBdr>
          <w:top w:val="nil"/>
          <w:left w:val="nil"/>
          <w:bottom w:val="nil"/>
          <w:right w:val="nil"/>
          <w:between w:val="nil"/>
        </w:pBdr>
        <w:spacing w:after="240"/>
        <w:ind w:left="567" w:hanging="567"/>
        <w:rPr>
          <w:szCs w:val="24"/>
        </w:rPr>
      </w:pPr>
      <w:r w:rsidRPr="00204E90">
        <w:t>–</w:t>
      </w:r>
      <w:r w:rsidRPr="00204E90">
        <w:tab/>
        <w:t>έχοντας υπόψη την ενδιάμεση έκθεση του σχετικά με την πρόταση ενδιάμεσης αναθεώρησης του πολυετούς δημοσιονομικού πλαισίου 2021-2027</w:t>
      </w:r>
      <w:r w:rsidRPr="00204E90">
        <w:rPr>
          <w:rStyle w:val="FootnoteReference"/>
          <w:szCs w:val="24"/>
        </w:rPr>
        <w:footnoteReference w:id="7"/>
      </w:r>
      <w:r w:rsidRPr="00204E90">
        <w:t>,</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t>–</w:t>
      </w:r>
      <w:r w:rsidRPr="00204E90">
        <w:tab/>
        <w:t>έχοντας υπόψη το ψήφισμά του, της 27ης Φεβρουαρίου 2024, σχετικά με το σχέδιο κανονισμού του Συμβουλίου που αφορά την τροποποίηση του κανονισμού (ΕΕ,</w:t>
      </w:r>
      <w:r w:rsidR="00012622" w:rsidRPr="00204E90">
        <w:t> </w:t>
      </w:r>
      <w:r w:rsidRPr="00204E90">
        <w:t>Ευρατόμ) 2020/2093 για τον καθορισμό του πολυετούς δημοσιονομικού πλαισίου της περιόδου 2021-2027</w:t>
      </w:r>
      <w:r w:rsidRPr="00204E90">
        <w:rPr>
          <w:vertAlign w:val="superscript"/>
        </w:rPr>
        <w:footnoteReference w:id="8"/>
      </w:r>
      <w:r w:rsidRPr="00204E90">
        <w:t>,</w:t>
      </w:r>
      <w:r w:rsidRPr="00204E90">
        <w:rPr>
          <w:color w:val="000000"/>
        </w:rPr>
        <w:t xml:space="preserve"> </w:t>
      </w:r>
    </w:p>
    <w:p w:rsidR="00956A6B" w:rsidRPr="00204E90" w:rsidRDefault="00956A6B" w:rsidP="00012622">
      <w:pPr>
        <w:pStyle w:val="NormalHanging12a"/>
        <w:widowControl/>
        <w:rPr>
          <w:bCs/>
        </w:rPr>
      </w:pPr>
      <w:r w:rsidRPr="00204E90">
        <w:t>–</w:t>
      </w:r>
      <w:r w:rsidRPr="00204E90">
        <w:tab/>
        <w:t>έχοντας υπόψη το ψήφισμά του</w:t>
      </w:r>
      <w:r w:rsidR="00012622" w:rsidRPr="00204E90">
        <w:t>,</w:t>
      </w:r>
      <w:r w:rsidRPr="00204E90">
        <w:t xml:space="preserve"> της 10ης Μαΐου 2023</w:t>
      </w:r>
      <w:r w:rsidR="00012622" w:rsidRPr="00204E90">
        <w:t>,</w:t>
      </w:r>
      <w:r w:rsidRPr="00204E90">
        <w:t xml:space="preserve"> σχετικά με τον αντίκτυπο της αύξησης του κόστους δανεισμού του Μέσου Ανάκαμψης της Ευρωπαϊκής Ένωσης στον προϋπολογισμό της ΕΕ για το 2024</w:t>
      </w:r>
      <w:r w:rsidRPr="00204E90">
        <w:rPr>
          <w:bCs/>
          <w:vertAlign w:val="superscript"/>
        </w:rPr>
        <w:footnoteReference w:id="9"/>
      </w:r>
      <w:r w:rsidRPr="00204E90">
        <w:t>,</w:t>
      </w:r>
    </w:p>
    <w:p w:rsidR="00956A6B" w:rsidRPr="00204E90" w:rsidRDefault="00956A6B" w:rsidP="00012622">
      <w:pPr>
        <w:pStyle w:val="NormalHanging12a"/>
        <w:widowControl/>
        <w:rPr>
          <w:szCs w:val="24"/>
        </w:rPr>
      </w:pPr>
      <w:r w:rsidRPr="00204E90">
        <w:t>–</w:t>
      </w:r>
      <w:r w:rsidRPr="00204E90">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204E90">
        <w:rPr>
          <w:rStyle w:val="FootnoteReference"/>
          <w:color w:val="000000"/>
          <w:szCs w:val="24"/>
        </w:rPr>
        <w:footnoteReference w:id="10"/>
      </w:r>
      <w:r w:rsidRPr="00204E90">
        <w:t>,</w:t>
      </w:r>
    </w:p>
    <w:p w:rsidR="00956A6B" w:rsidRPr="00204E90" w:rsidRDefault="00956A6B" w:rsidP="00012622">
      <w:pPr>
        <w:pStyle w:val="NormalHanging12a"/>
        <w:widowControl/>
      </w:pPr>
      <w:r w:rsidRPr="00204E90">
        <w:t>–</w:t>
      </w:r>
      <w:r w:rsidRPr="00204E90">
        <w:tab/>
        <w:t>έχοντας υπόψη την πρόταση της Επιτροπής, της 16ης Μαΐου 2022, για κανονισμό του Ευρωπαϊκού Κοινοβουλίου και του Συμβουλίου σχετικά με τους δημοσιονομικούς κανόνες που εφαρμόζονται στον γενικό προϋπολογισμό της Ένωσης (COM(2022)0223),</w:t>
      </w:r>
    </w:p>
    <w:p w:rsidR="00956A6B" w:rsidRPr="00204E90" w:rsidRDefault="00956A6B" w:rsidP="00012622">
      <w:pPr>
        <w:pStyle w:val="NormalHanging12a"/>
        <w:widowControl/>
      </w:pPr>
      <w:r w:rsidRPr="00204E90">
        <w:t>–</w:t>
      </w:r>
      <w:r w:rsidRPr="00204E90">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204E90">
        <w:rPr>
          <w:rStyle w:val="FootnoteReference"/>
        </w:rPr>
        <w:footnoteReference w:id="11"/>
      </w:r>
      <w:r w:rsidRPr="00204E90">
        <w:t>,</w:t>
      </w:r>
    </w:p>
    <w:p w:rsidR="00956A6B" w:rsidRPr="00204E90" w:rsidRDefault="00956A6B" w:rsidP="00012622">
      <w:pPr>
        <w:pStyle w:val="NormalHanging12a"/>
        <w:widowControl/>
      </w:pPr>
      <w:r w:rsidRPr="00204E90">
        <w:t>–</w:t>
      </w:r>
      <w:r w:rsidRPr="00204E90">
        <w:tab/>
        <w:t>έχοντας υπόψη την απόφαση (ΕΕ, Ευρατόμ) 2020/2053 του Συμβουλίου, της 14ης Δεκεμβρίου 2020, για το σύστημα των ιδίων πόρων της Ευρωπαϊκής Ένωσης</w:t>
      </w:r>
      <w:r w:rsidRPr="00204E90">
        <w:rPr>
          <w:rStyle w:val="FootnoteReference"/>
        </w:rPr>
        <w:footnoteReference w:id="12"/>
      </w:r>
      <w:r w:rsidRPr="00204E90">
        <w:t>,</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t>έχοντας υπόψη την πρόταση της Επιτροπής, της 22ας Δεκεμβρίου 2021, για απόφαση του Συμβουλίου σχετικά με την τροποποίηση της απόφασης (ΕΕ, Ευρατόμ) 2020/2053 για το σύστημα των ιδίων πόρων της Ευρωπαϊκής Ένωσης (COM(2021)0570) και τη θέση του Κοινοβουλίου, της 23ης Νοεμβρίου 2022, σχετικά με την πρόταση</w:t>
      </w:r>
      <w:r w:rsidRPr="00204E90">
        <w:rPr>
          <w:color w:val="000000"/>
          <w:vertAlign w:val="superscript"/>
        </w:rPr>
        <w:footnoteReference w:id="13"/>
      </w:r>
      <w:r w:rsidRPr="00204E90">
        <w:rPr>
          <w:color w:val="000000"/>
        </w:rPr>
        <w:t>,</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lastRenderedPageBreak/>
        <w:t>–</w:t>
      </w:r>
      <w:r w:rsidRPr="00204E90">
        <w:rPr>
          <w:color w:val="000000"/>
        </w:rPr>
        <w:tab/>
        <w:t>έχοντας υπόψη τον κανονισμό (ΕΕ) 2020/2094 του Συμβουλίου, της 14ης Δεκεμβρίου 2020, σχετικά με τη θέσπιση Μέσου Ανάκαμψης της Ευρωπαϊκής Ένωσης για τη στήριξη της ανάκαμψης μετά την κρίση της νόσου COVID-19</w:t>
      </w:r>
      <w:r w:rsidRPr="00204E90">
        <w:rPr>
          <w:rStyle w:val="FootnoteReference"/>
          <w:color w:val="000000"/>
        </w:rPr>
        <w:footnoteReference w:id="14"/>
      </w:r>
      <w:r w:rsidRPr="00204E90">
        <w:rPr>
          <w:color w:val="000000"/>
        </w:rPr>
        <w:t>,</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t>έχοντας υπόψη τον κανονισμό (ΕΕ, Ευρατόμ) 2020/2092 του Ευρωπαϊκού Κοινοβουλίου και του Συμβουλίου</w:t>
      </w:r>
      <w:r w:rsidR="00012622" w:rsidRPr="00204E90">
        <w:rPr>
          <w:color w:val="000000"/>
        </w:rPr>
        <w:t>,</w:t>
      </w:r>
      <w:r w:rsidRPr="00204E90">
        <w:rPr>
          <w:color w:val="000000"/>
        </w:rPr>
        <w:t xml:space="preserve"> της 16ης Δεκεμβρίου 2020</w:t>
      </w:r>
      <w:r w:rsidR="00012622" w:rsidRPr="00204E90">
        <w:rPr>
          <w:color w:val="000000"/>
        </w:rPr>
        <w:t>,</w:t>
      </w:r>
      <w:r w:rsidRPr="00204E90">
        <w:rPr>
          <w:color w:val="000000"/>
        </w:rPr>
        <w:t xml:space="preserve"> περί γενικού καθεστώτος αιρεσιμότητος για την προστασία του προϋπολογισμού της Ένωσης</w:t>
      </w:r>
      <w:r w:rsidRPr="00204E90">
        <w:rPr>
          <w:color w:val="000000"/>
          <w:vertAlign w:val="superscript"/>
        </w:rPr>
        <w:footnoteReference w:id="15"/>
      </w:r>
      <w:r w:rsidRPr="00204E90">
        <w:rPr>
          <w:color w:val="000000"/>
        </w:rPr>
        <w:t>,</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t>έχοντας υπόψη την ανακοίνωση της Επιτροπής, της 11ης Δεκεμβρίου 2019, με τίτλο: «Ευρωπαϊκή Πράσινη Συμφωνία» (COM(2019)0640), και το ψήφισμά του, της 15ης</w:t>
      </w:r>
      <w:r w:rsidR="00012622" w:rsidRPr="00204E90">
        <w:rPr>
          <w:color w:val="000000"/>
        </w:rPr>
        <w:t> </w:t>
      </w:r>
      <w:r w:rsidRPr="00204E90">
        <w:rPr>
          <w:color w:val="000000"/>
        </w:rPr>
        <w:t>Ιανουαρίου 2020 σχετικά με το ίδιο αυτό θέμα</w:t>
      </w:r>
      <w:r w:rsidRPr="00204E90">
        <w:rPr>
          <w:rStyle w:val="FootnoteReference"/>
          <w:color w:val="000000"/>
        </w:rPr>
        <w:footnoteReference w:id="16"/>
      </w:r>
      <w:r w:rsidRPr="00204E90">
        <w:rPr>
          <w:color w:val="000000"/>
        </w:rPr>
        <w:t>,</w:t>
      </w:r>
    </w:p>
    <w:p w:rsidR="00956A6B" w:rsidRPr="00204E90" w:rsidRDefault="00956A6B" w:rsidP="00012622">
      <w:pPr>
        <w:pStyle w:val="NormalHanging12a"/>
        <w:widowControl/>
        <w:rPr>
          <w:szCs w:val="24"/>
        </w:rPr>
      </w:pPr>
      <w:r w:rsidRPr="00204E90">
        <w:t>–</w:t>
      </w:r>
      <w:r w:rsidRPr="00204E90">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p>
    <w:p w:rsidR="00956A6B" w:rsidRPr="00204E90" w:rsidRDefault="00956A6B" w:rsidP="00012622">
      <w:pPr>
        <w:pStyle w:val="NormalHanging12a"/>
        <w:widowControl/>
        <w:rPr>
          <w:szCs w:val="24"/>
        </w:rPr>
      </w:pPr>
      <w:r w:rsidRPr="00204E90">
        <w:t>–</w:t>
      </w:r>
      <w:r w:rsidRPr="00204E90">
        <w:tab/>
        <w:t>έχοντας υπόψη τη συμφωνία που εγκρίθηκε κατά την 21η Διάσκεψη των Μερών της UNFCCC (COP21) στο Παρίσι, στις 12 Δεκεμβρίου 2015 (Συμφωνία του Παρισιού),</w:t>
      </w:r>
    </w:p>
    <w:p w:rsidR="00956A6B" w:rsidRPr="00204E90" w:rsidRDefault="00956A6B" w:rsidP="00012622">
      <w:pPr>
        <w:widowControl/>
        <w:pBdr>
          <w:top w:val="nil"/>
          <w:left w:val="nil"/>
          <w:bottom w:val="nil"/>
          <w:right w:val="nil"/>
          <w:between w:val="nil"/>
        </w:pBdr>
        <w:spacing w:after="240"/>
        <w:ind w:left="567" w:hanging="567"/>
        <w:rPr>
          <w:color w:val="000000"/>
        </w:rPr>
      </w:pPr>
      <w:r w:rsidRPr="00204E90">
        <w:rPr>
          <w:color w:val="000000"/>
        </w:rPr>
        <w:t>–</w:t>
      </w:r>
      <w:r w:rsidRPr="00204E90">
        <w:rPr>
          <w:color w:val="000000"/>
        </w:rPr>
        <w:tab/>
      </w:r>
      <w:r w:rsidRPr="00204E90">
        <w:t>έχοντας υπόψη τη διοργανική διακήρυξη σχετικά με τον ευρωπαϊκό πυλώνα κοινωνικών δικαιωμάτων, της 13ης Δεκεμβρίου 2017</w:t>
      </w:r>
      <w:r w:rsidR="00012622" w:rsidRPr="00204E90">
        <w:rPr>
          <w:rStyle w:val="FootnoteReference"/>
        </w:rPr>
        <w:footnoteReference w:id="17"/>
      </w:r>
      <w:r w:rsidRPr="00204E90">
        <w:t>, και το σχετικό ψήφισμά του της 19ης Ιανουαρίου 2017, το σχέδιο δράσης της Επιτροπής</w:t>
      </w:r>
      <w:r w:rsidR="00012622" w:rsidRPr="00204E90">
        <w:rPr>
          <w:rStyle w:val="FootnoteReference"/>
        </w:rPr>
        <w:footnoteReference w:id="18"/>
      </w:r>
      <w:r w:rsidRPr="00204E90">
        <w:t xml:space="preserve"> για την εφαρμογή του ευρωπαϊκού πυλώνα κοινωνικών δικαιωμάτων, της 4ης Μαρτίου 2021, και τη διακήρυξη του Πόρτο για τις κοινωνικές υποθέσεις που εγκρίθηκε από τα μέλη του Ευρωπαϊκού Συμβουλίου τον Μάιο του 2021,</w:t>
      </w:r>
    </w:p>
    <w:p w:rsidR="00956A6B" w:rsidRPr="00204E90" w:rsidRDefault="00956A6B" w:rsidP="00012622">
      <w:pPr>
        <w:pStyle w:val="NormalHanging12a"/>
        <w:widowControl/>
        <w:rPr>
          <w:szCs w:val="24"/>
        </w:rPr>
      </w:pPr>
      <w:r w:rsidRPr="00204E90">
        <w:t>–</w:t>
      </w:r>
      <w:r w:rsidRPr="00204E90">
        <w:tab/>
        <w:t>έχοντας υπόψη τη στρατηγική της ΕΕ για την ισότητα των φύλων 2020-2025,</w:t>
      </w:r>
    </w:p>
    <w:p w:rsidR="00956A6B" w:rsidRPr="00204E90" w:rsidRDefault="00956A6B" w:rsidP="00012622">
      <w:pPr>
        <w:pStyle w:val="NormalHanging12a"/>
        <w:widowControl/>
        <w:rPr>
          <w:szCs w:val="24"/>
        </w:rPr>
      </w:pPr>
      <w:r w:rsidRPr="00204E90">
        <w:t>–</w:t>
      </w:r>
      <w:r w:rsidRPr="00204E90">
        <w:tab/>
        <w:t>έχοντας υπόψη την ειδική έκθεση του Ευρωπαϊκού Ελεγκτικού Συνεδρίου «Συνεκτίμηση της διάστασης του φύλου στον προϋπολογισμό της ΕΕ: καιρός τα λόγια να γίνουν πράξη», που συντάχθηκε το 2021,</w:t>
      </w:r>
    </w:p>
    <w:p w:rsidR="00956A6B" w:rsidRPr="00204E90" w:rsidRDefault="00956A6B" w:rsidP="00012622">
      <w:pPr>
        <w:pStyle w:val="NormalHanging12a"/>
        <w:widowControl/>
        <w:rPr>
          <w:szCs w:val="24"/>
        </w:rPr>
      </w:pPr>
      <w:r w:rsidRPr="00204E90">
        <w:t>–</w:t>
      </w:r>
      <w:r w:rsidRPr="00204E90">
        <w:tab/>
        <w:t>έχοντας υπόψη τους Στόχους Βιώσιμης Ανάπτυξης των Ηνωμένων Εθνών,</w:t>
      </w:r>
    </w:p>
    <w:p w:rsidR="00956A6B" w:rsidRPr="00204E90" w:rsidRDefault="00956A6B" w:rsidP="00012622">
      <w:pPr>
        <w:widowControl/>
        <w:pBdr>
          <w:top w:val="nil"/>
          <w:left w:val="nil"/>
          <w:bottom w:val="nil"/>
          <w:right w:val="nil"/>
          <w:between w:val="nil"/>
        </w:pBdr>
        <w:spacing w:after="240"/>
        <w:ind w:left="567" w:hanging="567"/>
      </w:pPr>
      <w:r w:rsidRPr="00204E90">
        <w:t>–</w:t>
      </w:r>
      <w:r w:rsidRPr="00204E90">
        <w:tab/>
        <w:t>έχοντας υπόψη την ανακοίνωση της Επιτροπής, της 1ης Φεβρουαρίου 2023, με τίτλο «Βιομηχανικό σχέδιο της Πράσινης Συμφωνίας για μια εποχή με μηδενικές καθαρές εκπομπές» (COM(2023)0062),</w:t>
      </w:r>
    </w:p>
    <w:p w:rsidR="00956A6B" w:rsidRPr="00204E90" w:rsidRDefault="00956A6B" w:rsidP="00012622">
      <w:pPr>
        <w:widowControl/>
        <w:pBdr>
          <w:top w:val="nil"/>
          <w:left w:val="nil"/>
          <w:bottom w:val="nil"/>
          <w:right w:val="nil"/>
          <w:between w:val="nil"/>
        </w:pBdr>
        <w:spacing w:after="240"/>
        <w:ind w:left="567" w:hanging="567"/>
      </w:pPr>
      <w:r w:rsidRPr="00204E90">
        <w:t>–</w:t>
      </w:r>
      <w:r w:rsidRPr="00204E90">
        <w:tab/>
        <w:t>έχοντας υπόψη τ</w:t>
      </w:r>
      <w:r w:rsidR="000B50CC" w:rsidRPr="00204E90">
        <w:t xml:space="preserve">ον κανονισμό (ΕΕ) 2024/795 του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της οδηγίας 2003/87/ΕΚ και των κανονισμών (ΕΕ) 2021/1058, (ΕΕ) 2021/1056, (ΕΕ) 2021/1057, </w:t>
      </w:r>
      <w:r w:rsidR="000B50CC" w:rsidRPr="00204E90">
        <w:lastRenderedPageBreak/>
        <w:t>(ΕΕ) αριθ. 1303/2013, (ΕΕ) αριθ. 223/2014, (ΕΕ) 2021/1060, (ΕΕ) 2021/523, (ΕΕ) 2021/695, (ΕΕ) 2021/697 και (ΕΕ) 2021/241</w:t>
      </w:r>
      <w:r w:rsidR="000B50CC" w:rsidRPr="00204E90">
        <w:rPr>
          <w:rStyle w:val="FootnoteReference"/>
        </w:rPr>
        <w:footnoteReference w:id="19"/>
      </w:r>
      <w:r w:rsidRPr="00204E90">
        <w:t>,</w:t>
      </w:r>
    </w:p>
    <w:p w:rsidR="00956A6B" w:rsidRPr="00204E90" w:rsidRDefault="00956A6B" w:rsidP="00012622">
      <w:pPr>
        <w:widowControl/>
        <w:pBdr>
          <w:top w:val="nil"/>
          <w:left w:val="nil"/>
          <w:bottom w:val="nil"/>
          <w:right w:val="nil"/>
          <w:between w:val="nil"/>
        </w:pBdr>
        <w:spacing w:after="240"/>
        <w:ind w:left="567" w:hanging="567"/>
      </w:pPr>
      <w:r w:rsidRPr="00204E90">
        <w:t>–</w:t>
      </w:r>
      <w:r w:rsidRPr="00204E90">
        <w:tab/>
        <w:t>έχοντας υπόψη τ</w:t>
      </w:r>
      <w:r w:rsidR="000B50CC" w:rsidRPr="00204E90">
        <w:t>ον κανονισμό (ΕΕ) 2024/792 του Ευρωπαϊκού Κοινοβουλίου και του Συμβουλίου, της 29ης Φεβρουαρίου 2024, για τη θέσπιση του Μέσου Διευκόλυνσης για την Ουκρανία</w:t>
      </w:r>
      <w:r w:rsidR="000B50CC" w:rsidRPr="00204E90">
        <w:rPr>
          <w:rStyle w:val="FootnoteReference"/>
        </w:rPr>
        <w:footnoteReference w:id="20"/>
      </w:r>
      <w:r w:rsidRPr="00204E90">
        <w:t>,</w:t>
      </w:r>
    </w:p>
    <w:p w:rsidR="00956A6B" w:rsidRPr="00204E90" w:rsidRDefault="00956A6B" w:rsidP="00012622">
      <w:pPr>
        <w:pStyle w:val="NormalHanging12a"/>
        <w:widowControl/>
      </w:pPr>
      <w:r w:rsidRPr="00204E90">
        <w:t>–</w:t>
      </w:r>
      <w:r w:rsidRPr="00204E90">
        <w:tab/>
        <w:t>έχοντας υπόψη τον γενικό προϋπολογισμό της Ευρωπαϊκής Ένωσης για το οικονομικό έτος 2024</w:t>
      </w:r>
      <w:r w:rsidRPr="00204E90">
        <w:rPr>
          <w:rStyle w:val="FootnoteReference"/>
        </w:rPr>
        <w:footnoteReference w:id="21"/>
      </w:r>
      <w:r w:rsidRPr="00204E90">
        <w:t xml:space="preserve"> και τις επισυναπτόμενες σε αυτόν κοινές δηλώσεις επί των οποίων επήλθε συμφωνία μεταξύ του Κοινοβουλίου, του Συμβουλίου και της Επιτροπής,</w:t>
      </w:r>
    </w:p>
    <w:p w:rsidR="00956A6B" w:rsidRPr="00204E90" w:rsidRDefault="00956A6B" w:rsidP="00012622">
      <w:pPr>
        <w:pStyle w:val="NormalHanging12a"/>
        <w:widowControl/>
      </w:pPr>
      <w:r w:rsidRPr="00204E90">
        <w:t>–</w:t>
      </w:r>
      <w:r w:rsidRPr="00204E90">
        <w:tab/>
        <w:t xml:space="preserve">έχοντας υπόψη τα συμπεράσματα του Συμβουλίου της </w:t>
      </w:r>
      <w:r w:rsidR="00372236">
        <w:t xml:space="preserve">12ης Μαρτίου 2024 </w:t>
      </w:r>
      <w:r w:rsidRPr="00204E90">
        <w:t>σχετικά με τις κατευθυντήριες γραμμές για τον προϋπολογισμού του 2025 (</w:t>
      </w:r>
      <w:r w:rsidR="00372236">
        <w:t>6195</w:t>
      </w:r>
      <w:r w:rsidRPr="00204E90">
        <w:t>/2024),</w:t>
      </w:r>
    </w:p>
    <w:p w:rsidR="00956A6B" w:rsidRPr="00204E90" w:rsidRDefault="00956A6B" w:rsidP="00012622">
      <w:pPr>
        <w:pStyle w:val="NormalHanging12a"/>
        <w:widowControl/>
      </w:pPr>
      <w:r w:rsidRPr="00204E90">
        <w:t>–</w:t>
      </w:r>
      <w:r w:rsidRPr="00204E90">
        <w:tab/>
        <w:t>έχοντας υπόψη το άρθρο 93 του Κανονισμού του,</w:t>
      </w:r>
    </w:p>
    <w:p w:rsidR="00956A6B" w:rsidRPr="00204E90" w:rsidRDefault="00956A6B" w:rsidP="00012622">
      <w:pPr>
        <w:pStyle w:val="NormalHanging12a"/>
        <w:widowControl/>
      </w:pPr>
      <w:r w:rsidRPr="00204E90">
        <w:t>–</w:t>
      </w:r>
      <w:r w:rsidRPr="00204E90">
        <w:tab/>
        <w:t>έχοντας υπόψη τις γνωμοδοτήσεις της Επιτροπής Εξωτερικών Υποθέσεων, της Επιτροπής Ανάπτυξης, της Επιτροπής Ελέγχου του Προϋπολογισμού, της Επιτροπής Απασχόλησης και Κοινωνικών Υποθέσεων, της Επιτροπής Περιβάλλοντος, Δημόσιας Υγείας και Ασφάλειας των Τροφίμων, της Επιτροπής Βιομηχανίας, Έρευνας και Ενέργειας, της Επιτροπής Μεταφορών και Τουρισμού, της Επιτροπής Γεωργίας και Ανάπτυξης της Υπαίθρου, της Επιτροπής Πολιτισμού και Παιδείας, της Επιτροπής Συνταγματικών Υποθέσεων και της Επιτροπής Δικαιωμάτων των Γυναικών και Ισότητας των Φύλων,</w:t>
      </w:r>
    </w:p>
    <w:p w:rsidR="00956A6B" w:rsidRPr="00204E90" w:rsidRDefault="00956A6B" w:rsidP="00012622">
      <w:pPr>
        <w:pStyle w:val="NormalHanging12a"/>
        <w:widowControl/>
      </w:pPr>
      <w:r w:rsidRPr="00204E90">
        <w:t>–</w:t>
      </w:r>
      <w:r w:rsidRPr="00204E90">
        <w:tab/>
        <w:t>έχοντας υπόψη την έκθεση της Επιτροπής Προϋπολογισμών (A9-0068/2024),</w:t>
      </w:r>
    </w:p>
    <w:p w:rsidR="00956A6B" w:rsidRPr="00204E90" w:rsidRDefault="00956A6B" w:rsidP="00012622">
      <w:pPr>
        <w:pStyle w:val="NormalHanging12a"/>
        <w:widowControl/>
        <w:ind w:left="0" w:firstLine="0"/>
        <w:rPr>
          <w:b/>
          <w:i/>
        </w:rPr>
      </w:pPr>
      <w:r w:rsidRPr="00204E90">
        <w:rPr>
          <w:b/>
          <w:i/>
        </w:rPr>
        <w:t>Ένας ανθρωποκεντρικός προϋπολογισμός της ΕΕ για το 2025: Επενδύσεις προσαρμοσμένες στη βελτίωση της ζωής των ανθρώπων και στην τόνωση της ανταγωνιστικότητας της Ένωσης</w:t>
      </w:r>
    </w:p>
    <w:p w:rsidR="00956A6B" w:rsidRPr="00204E90" w:rsidRDefault="00204E90" w:rsidP="00204E90">
      <w:pPr>
        <w:widowControl/>
        <w:spacing w:after="240"/>
        <w:ind w:left="570" w:hanging="570"/>
      </w:pPr>
      <w:r w:rsidRPr="00204E90">
        <w:t>1.</w:t>
      </w:r>
      <w:r w:rsidRPr="00204E90">
        <w:tab/>
      </w:r>
      <w:r w:rsidR="00956A6B" w:rsidRPr="00204E90">
        <w:t>είναι πεπεισμένο ότι, σε καιρούς γεωπολιτικών και θεσμικών αλλαγών, οικονομικής πίεσης, κλιματικής αλλαγής και κοινωνικών προκλήσεων, ένας αξιόπιστος, ισχυρός, ευέλικτος και προσαρμοσμένος στις επενδύσεις προϋπολογισμός της ΕΕ παραμένει καθοριστικής σημασίας για την εφαρμογή των πολιτικών της Ένωσης και διαδραματίζει κεντρικό ρόλο στην ανταπόκριση στις αυξανόμενες ανάγκες των πολιτών, χωρίς να μείνει κανένας στο περιθώριο κατά τη διάρκεια της πράσινης και της ψηφιακής μετάβασης, την προσφορά ευημερίας και ασφάλειας στους ανθρώπους και την τόνωση της ανταγωνιστικότητας της οικονομίας της ΕΕ·</w:t>
      </w:r>
    </w:p>
    <w:p w:rsidR="00956A6B" w:rsidRPr="00204E90" w:rsidRDefault="00204E90" w:rsidP="00204E90">
      <w:pPr>
        <w:pStyle w:val="NormalHanging12a"/>
        <w:widowControl/>
        <w:ind w:left="570" w:hanging="570"/>
      </w:pPr>
      <w:r w:rsidRPr="00204E90">
        <w:t>2.</w:t>
      </w:r>
      <w:r w:rsidRPr="00204E90">
        <w:tab/>
      </w:r>
      <w:r w:rsidR="00956A6B" w:rsidRPr="00204E90">
        <w:t>επισημαίνει τις δύσκολες συνθήκες της διαδικασίας του προϋπολογισμού του 2025, η οποία λαμβάνει χώρα σε μια περίοδο υψηλών διεθνών εντάσεων και αβεβαιοτήτων, και σε ένα έτος εκλογών κατά το οποίο το Κοινοβούλιο και η Επιτροπή θα πρέπει να διαχειριστούν τη μετάβαση της κοινοβουλευτικής περιόδου· έχει πλήρη επίγνωση των σοβαρών αλλά αναπόφευκτων ημερολογιακών περιορισμών και καλεί όλους τους παράγοντες να τους λάβουν δεόντως υπόψη με εποικοδομητικό πνεύμα·</w:t>
      </w:r>
    </w:p>
    <w:p w:rsidR="00956A6B" w:rsidRPr="00204E90" w:rsidRDefault="00204E90" w:rsidP="00204E90">
      <w:pPr>
        <w:pStyle w:val="NormalHanging12a"/>
        <w:widowControl/>
        <w:ind w:left="570" w:hanging="570"/>
      </w:pPr>
      <w:r w:rsidRPr="00204E90">
        <w:lastRenderedPageBreak/>
        <w:t>3.</w:t>
      </w:r>
      <w:r w:rsidRPr="00204E90">
        <w:tab/>
      </w:r>
      <w:r w:rsidR="00956A6B" w:rsidRPr="00204E90">
        <w:t>εκφράζει τη βαθιά λύπη του για το γεγονός ότι το Συμβούλιο δεν κατόρθωσε να καταλήξει σε συμφωνία σχετικά με την αναθεώρηση του πολυετούς δημοσιονομικού πλαισίου (ΠΔΠ) πριν από το τέλος του 2023· σημειώνει, ως εκ τούτου, ότι έπρεπε να ξεκινήσει η διαδικασία του προϋπολογισμού χωρίς να υπάρχει βεβαιότητα σχετικά με διάφορα κρίσιμα στοιχεία του δημοσιονομικού προγραμματισμού για το 2025, και έχει πλήρη επίγνωση των, δυστυχώς, πολύ αυστηρών και σε ορισμένες περιπτώσεις αρνητικών περιθωρίων κάτω από τα ανώτατα όρια του ΠΔΠ·</w:t>
      </w:r>
    </w:p>
    <w:p w:rsidR="00956A6B" w:rsidRPr="00204E90" w:rsidRDefault="00204E90" w:rsidP="00204E90">
      <w:pPr>
        <w:widowControl/>
        <w:spacing w:after="240"/>
        <w:ind w:left="570" w:hanging="570"/>
      </w:pPr>
      <w:r w:rsidRPr="00204E90">
        <w:t>4.</w:t>
      </w:r>
      <w:r w:rsidRPr="00204E90">
        <w:tab/>
      </w:r>
      <w:r w:rsidR="00956A6B" w:rsidRPr="00204E90">
        <w:t>θεωρεί ότι το αποτέλεσμα της αναθεώρησης του ΠΔΠ υπολείπεται των αρχικών προσδοκιών του ΕΚ· υπογραμμίζει ότι η αναθεώρηση του κανονισμού για το ΠΔΠ αποτελεί απαραίτητη προϋπόθεση για να διασφαλιστεί η μεσοπρόθεσμη χρηματοδοτική στήριξη προς την Ουκρανία, για να καταστεί δυνατή η αύξηση της χρηματοδότησης για στοχευμένες προτεραιότητες πολιτικής, συμπεριλαμβανομένης της προώθησης της στρατηγικής αυτονομίας της ΕΕ, και για να διαφυλαχθούν τα προγράμματα της Ένωσης και η ευελιξία του προϋπολογισμού, δεδομένων των υψηλότερων από το προβλεπόμενο επιτοκίων και, κατά συνέπεια, του υψηλότερου απ’ ότι προγραμματιζόταν κόστους δανεισμού της Ένωσης· σημειώνει ότι η ετήσια διαδικασία του προϋπολογισμού για το 2025 θα είναι η πρώτη διαδικασία που θα βασίζεται εξ ολοκλήρου στον αναθεωρημένο κανονισμό για το ΠΔΠ·</w:t>
      </w:r>
    </w:p>
    <w:p w:rsidR="00956A6B" w:rsidRPr="00204E90" w:rsidRDefault="00204E90" w:rsidP="00204E90">
      <w:pPr>
        <w:widowControl/>
        <w:spacing w:after="240"/>
        <w:ind w:left="570" w:hanging="570"/>
        <w:rPr>
          <w:color w:val="000000"/>
        </w:rPr>
      </w:pPr>
      <w:r w:rsidRPr="00204E90">
        <w:rPr>
          <w:color w:val="000000"/>
        </w:rPr>
        <w:t>5.</w:t>
      </w:r>
      <w:r w:rsidRPr="00204E90">
        <w:rPr>
          <w:color w:val="000000"/>
        </w:rPr>
        <w:tab/>
      </w:r>
      <w:r w:rsidR="00956A6B" w:rsidRPr="00204E90">
        <w:t>υπενθυμίζει ότι η κοινή δήλωση που συμφωνήθηκε από τα τρία θεσμικά όργανα στο πλαίσιο της συμφωνίας για το ΠΔΠ του 2020, σύμφωνα με την οποία οι δαπάνες για την κάλυψη του κόστους χρηματοδότησης του NGEU «αποσκοπούν στην αποφυγή μείωσης των προγραμμάτων και των ταμείων», εξακολουθεί να ισχύει και χρησιμεύει ως σημείο αναφοράς για την αρμόδια για τον προϋπολογισμό αρχή, ιδίως για την κινητοποίηση του μέσου EURI για την κάλυψη τουλάχιστον μέρους του ελλείμματος που προκύπτει από το κόστος δανεισμού κόστους δανεισμού του NGEU·</w:t>
      </w:r>
      <w:r w:rsidR="00956A6B" w:rsidRPr="00204E90">
        <w:rPr>
          <w:snapToGrid w:val="0"/>
          <w:color w:val="000000" w:themeColor="text1"/>
          <w:shd w:val="clear" w:color="auto" w:fill="FFFFFF"/>
        </w:rPr>
        <w:t xml:space="preserve"> </w:t>
      </w:r>
      <w:r w:rsidR="00956A6B" w:rsidRPr="00204E90">
        <w:rPr>
          <w:color w:val="000000"/>
        </w:rPr>
        <w:t>προτίθεται, επομένως, να διασφαλίσει ότι όλα τα προγράμματα διαθέτουν επαρκείς πόρους και ότι διατηρείται η ευελιξία και η ικανότητα απόκρισης του προϋπολογισμού καθ’ όλη τη διάρκεια της ετήσιας διαδικασίας προϋπολογισμού· επιμένει ότι η Επιτροπή πρέπει να παρέχει αξιόπιστες, έγκαιρες και ακριβείς πληροφορίες σχετικά με το κόστος δανεισμού του NGEU και τις αναμενόμενες εκταμιεύσεις στο πλαίσιο του Μηχανισμού Ανάκαμψης και Ανθεκτικότητας καθ’ όλη τη διάρκεια της διαδικασίας του προϋπολογισμού·</w:t>
      </w:r>
    </w:p>
    <w:p w:rsidR="00956A6B" w:rsidRPr="00204E90" w:rsidRDefault="00204E90" w:rsidP="00204E90">
      <w:pPr>
        <w:widowControl/>
        <w:spacing w:after="240"/>
        <w:ind w:left="570" w:hanging="570"/>
      </w:pPr>
      <w:r w:rsidRPr="00204E90">
        <w:t>6.</w:t>
      </w:r>
      <w:r w:rsidRPr="00204E90">
        <w:tab/>
      </w:r>
      <w:r w:rsidR="00956A6B" w:rsidRPr="00204E90">
        <w:t>καλεί το Συμβούλιο και την Επιτροπή να εφαρμόσουν πλήρως τον κανονισμό (ΕΕ,</w:t>
      </w:r>
      <w:r w:rsidR="007B6967">
        <w:t xml:space="preserve"> </w:t>
      </w:r>
      <w:proofErr w:type="spellStart"/>
      <w:r w:rsidR="007B6967">
        <w:t>Ευρατόμ</w:t>
      </w:r>
      <w:proofErr w:type="spellEnd"/>
      <w:r w:rsidR="00956A6B" w:rsidRPr="00204E90">
        <w:t xml:space="preserve">) 2020/2092 περί γενικού καθεστώτος αιρεσιμότητας για την προστασία του προϋπολογισμού της Ένωσης· τονίζει ειδικότερα ότι η συμμόρφωση με το κράτος δικαίου αποτελεί θεμελιώδη προϋπόθεση για την πρόσβαση στα κονδύλια της ΕΕ· τονίζει ότι τα κονδύλια δεν μπορούν να εκταμιευθούν εάν τα κράτη μέλη δεν συμμορφωθούν με όλες τις σχετικές απαιτήσεις· επαναλαμβάνει ότι τα συστημικά ζητήματα που αφορούν το κράτος δικαίου, όπως η παραβίαση της αρχής της διάκρισης των εξουσιών ή οι πρόσφατες προσπάθειες σε ορισμένα κράτη μέλη να στραφούν κατά της ανεξαρτησίας της δικαιοσύνης, συνιστούν σαφείς κινδύνους για τα οικονομικά συμφέροντα της ΕΕ και την προστασία του προϋπολογισμού της ΕΕ και καλεί την Επιτροπή να μην επιτρέψει καμία οπισθοδρόμηση όσον αφορά τα επιτεύγματα στον τομέα του κράτους δικαίου· επαναλαμβάνει την έκκλησή του προς την Επιτροπή να διασφαλίσει επειγόντως ότι τα κονδύλια της ΕΕ που ανεστάλησαν θα φθάσουν στους πολίτες, τις επιχειρήσεις, τις περιφερειακές και τοπικές αρχές, τις μη κυβερνητικές οργανώσεις και κάθε άλλο σχετικό ενδιαφερόμενο μέρος μέσω των τοπικών </w:t>
      </w:r>
      <w:r w:rsidR="00956A6B" w:rsidRPr="00204E90">
        <w:lastRenderedPageBreak/>
        <w:t>κυβερνήσεων και των οργανώσεων της κοινωνίας των πολιτών, σύμφωνα με τον μηχανισμό αιρεσιμότητας για το κράτος δικαίου·</w:t>
      </w:r>
    </w:p>
    <w:p w:rsidR="00956A6B" w:rsidRPr="00204E90" w:rsidRDefault="00204E90" w:rsidP="00204E90">
      <w:pPr>
        <w:widowControl/>
        <w:pBdr>
          <w:top w:val="nil"/>
          <w:left w:val="nil"/>
          <w:bottom w:val="nil"/>
          <w:right w:val="nil"/>
          <w:between w:val="nil"/>
        </w:pBdr>
        <w:spacing w:after="240"/>
        <w:ind w:left="570" w:hanging="570"/>
      </w:pPr>
      <w:r w:rsidRPr="00204E90">
        <w:t>7.</w:t>
      </w:r>
      <w:r w:rsidRPr="00204E90">
        <w:tab/>
      </w:r>
      <w:r w:rsidR="00956A6B" w:rsidRPr="00204E90">
        <w:t>υπογραμμίζει ότι η αποπληρωμή του κόστους δανεισμού του Μέσου Ανάκαμψης της Ευρωπαϊκής Ένωσης (EURI) αποτελεί νομική υποχρέωση της ΕΕ και δαπάνη που δεν υπόκειται σε διακριτική ευχέρεια στο πλαίσιο του προϋπολογισμού της ΕΕ· σημειώνει ότι το κόστος δανεισμού εξαρτάται από τον ρυθμό των εκταμιεύσεων στο πλαίσιο του Μηχανισμού Ανάκαμψης και Ανθεκτικότητας (ΜΑΑ), καθώς και από τις διακυμάνσεις της αγοράς στις αποδόσεις των ομολόγων και, ως εκ τούτου, είναι εγγενώς απρόβλεπτο και ασταθές· επαναλαμβάνει τη θέση του ότι το κόστος δανεισμού του EURI θα έπρεπε να είχε υπαχθεί πλήρως σε ειδικό μέσο EURI, πάνω από τα ανώτατα όρια του ΠΔΠ, με στόχο την αποκατάσταση κάποιου περιθωρίου εντός του τομέα 2β και την προστασία του δημοσιονομικού χώρου στον μηχανισμό ευελιξίας και στο μέσο ενιαίου περιθωρίου· θα προσπαθήσει να διασφαλίσει ότι η εφαρμογή του αλυσιδωτού μηχανισμού του EURI στο αναθεωρημένο ΠΔΠ δεν θα οδηγήσει σε ρυθμίσεις που προκαλούν αδικαιολόγητη παράπλευρη ζημία στις προγραμματισμένες δαπάνες ή τις διαθέσιμες πιστώσεις στο πλαίσιο των μη θεματικών ειδικών μέσων·</w:t>
      </w:r>
    </w:p>
    <w:p w:rsidR="00956A6B" w:rsidRPr="00204E90" w:rsidRDefault="00204E90" w:rsidP="00204E90">
      <w:pPr>
        <w:widowControl/>
        <w:pBdr>
          <w:top w:val="nil"/>
          <w:left w:val="nil"/>
          <w:bottom w:val="nil"/>
          <w:right w:val="nil"/>
          <w:between w:val="nil"/>
        </w:pBdr>
        <w:spacing w:after="240"/>
        <w:ind w:left="570" w:hanging="570"/>
      </w:pPr>
      <w:r w:rsidRPr="00204E90">
        <w:t>8.</w:t>
      </w:r>
      <w:r w:rsidRPr="00204E90">
        <w:tab/>
      </w:r>
      <w:r w:rsidR="00956A6B" w:rsidRPr="00204E90">
        <w:t>υπενθυμίζει ότι η ευρωπαϊκή οικονομία προβλέπεται</w:t>
      </w:r>
      <w:r w:rsidR="00956A6B" w:rsidRPr="00204E90">
        <w:rPr>
          <w:rStyle w:val="FootnoteReference"/>
          <w:color w:val="000000"/>
        </w:rPr>
        <w:footnoteReference w:id="22"/>
      </w:r>
      <w:r w:rsidR="00956A6B" w:rsidRPr="00204E90">
        <w:t xml:space="preserve"> να αναπτυχθεί πολύ συγκρατημένα (0,9 % το 2024 και 1,7 % το 2025), ενώ ο πληθωρισμός αναμένεται να παραμείνει σημαντικά πάνω από το 2 % που χρησιμοποιείται ως αυτόματος </w:t>
      </w:r>
      <w:proofErr w:type="spellStart"/>
      <w:r w:rsidR="00956A6B" w:rsidRPr="00204E90">
        <w:t>αποπληθωριστής</w:t>
      </w:r>
      <w:proofErr w:type="spellEnd"/>
      <w:r w:rsidR="00956A6B" w:rsidRPr="00204E90">
        <w:t xml:space="preserve"> για το ΠΔΠ (3,0 % το 2024 και 2,5 % το 2025)· αναγνωρίζει ότι αυτό σημαίνει συνεχή απώλεια αγοραστικής δύναμης για έναν προϋπολογισμό που πρέπει να παραμείνει ισοσκελισμένος και στον οποίο επιβάλλεται ανώτατο όριο από απόλυτα ποσά· επισημαίνει τον πολύ χαμηλό συντελεστή καταβολής για τον ίδιο πόρο που βασίζεται στο ακαθάριστο εθνικό εισόδημα (ΑΕΕ) τα τελευταία έτη (0,46 % στο σχέδιο προϋπολογισμού του 2024), ως αποτέλεσμα του συνδυασμένου αντικτύπου του πληθωρισμού, των χαμηλών επιπέδων πιστώσεων πληρωμών και των υψηλότερων εσόδων από ορισμένους άλλους ιδίους πόρους· υπενθυμίζει τη θέση του ότι οι εκπτώσεις και άλλοι διορθωτικοί μηχανισμοί θα πρέπει να καταργηθούν οριστικά και ότι, μέχρι την οριστική κατάργησή τους, οι ακαθάριστες μειώσεις στις εθνικές συνεισφορές που βασίζονται στο ΑΕΕ θα πρέπει να υπόκεινται σε σταθερό </w:t>
      </w:r>
      <w:proofErr w:type="spellStart"/>
      <w:r w:rsidR="00956A6B" w:rsidRPr="00204E90">
        <w:t>αποπληθωριστή</w:t>
      </w:r>
      <w:proofErr w:type="spellEnd"/>
      <w:r w:rsidR="00956A6B" w:rsidRPr="00204E90">
        <w:t xml:space="preserve"> έως και 2 % ετησίως· </w:t>
      </w:r>
    </w:p>
    <w:p w:rsidR="00956A6B" w:rsidRPr="00204E90" w:rsidRDefault="00204E90" w:rsidP="00204E90">
      <w:pPr>
        <w:pStyle w:val="NormalHanging12a"/>
        <w:widowControl/>
        <w:ind w:left="570" w:hanging="570"/>
      </w:pPr>
      <w:r w:rsidRPr="00204E90">
        <w:t>9.</w:t>
      </w:r>
      <w:r w:rsidRPr="00204E90">
        <w:tab/>
      </w:r>
      <w:r w:rsidR="00956A6B" w:rsidRPr="00204E90">
        <w:t>αποδοκιμάζει την απουσία προόδου στο Συμβούλιο όσον αφορά τη μεταρρύθμιση του συστήματος ιδίων πόρων· υπενθυμίζει τη θέση του σχετικά με τις τροποποιημένες προτάσεις της Επιτροπής, η οποία υποστηρίζει την εισαγωγή νέων ιδίων πόρων· θεωρεί ότι η εισαγωγή νέων πραγματικών πηγών εσόδων, σύμφωνα με τον χάρτη πορείας της διοργανικής συμφωνίας, θα χρησιμεύσει για την κάλυψη της πρόσθετης δημοσιονομικής επιβάρυνσης που προκύπτει από τον δανεισμό του NextGenerationEU και, ως εκ τούτου, θα θωρακίσει τα περιθώρια και τους μηχανισμούς ευελιξίας, γεγονός που με τη σειρά του θα διευκολύνει τη λήψη δημοσιονομικών αποφάσεων σχετικά με απρόβλεπτες ανάγκες, καθώς και νέες πρωτοβουλίες στρατηγικής ανάλυσης προοπτικών· καλεί, επιπλέον, την Επιτροπή να συνεχίσει τις προσπάθειες για τον εντοπισμό νέων και, κατά προτίμηση, γνήσιων ιδίων πόρων και άλλων πηγών εσόδων για τον προϋπολογισμό της ΕΕ πέραν της διοργανικής συμφωνίας·</w:t>
      </w:r>
    </w:p>
    <w:p w:rsidR="00956A6B" w:rsidRPr="00204E90" w:rsidRDefault="00204E90" w:rsidP="00204E90">
      <w:pPr>
        <w:pStyle w:val="NormalHanging12a"/>
        <w:widowControl/>
        <w:ind w:left="570" w:hanging="570"/>
      </w:pPr>
      <w:r w:rsidRPr="00204E90">
        <w:lastRenderedPageBreak/>
        <w:t>10.</w:t>
      </w:r>
      <w:r w:rsidRPr="00204E90">
        <w:tab/>
      </w:r>
      <w:r w:rsidR="00956A6B" w:rsidRPr="00204E90">
        <w:t>εκφράζει τη λύπη του για το γεγονός ότι η ικανότητα αντίδρασης σε απρόβλεπτα γεγονότα ή δρομολόγησης νέων πρωτοβουλιών επηρεάζεται σημαντικά από την έλλειψη προϋπολογισμού και προτίθεται να διορθώσει την κατάσταση αυτή στο μέτρο του δυνατού, και λαμβανομένων επίσης υπόψη των αυξημένων προσδοκιών από τους πολίτες της ΕΕ· υπενθυμίζει ότι είναι αναγκαίο να συσταθεί ένα πρόσθετο ειδικό μέσο πέραν των ανώτατων ορίων του ΠΔΠ, ούτως ώστε να μπορεί ο προϋπολογισμός της ΕΕ να προσαρμόζεται καλύτερα και να αντιδρά γρήγορα στις κρίσεις και στις κοινωνικές και οικονομικές επιπτώσεις τους·</w:t>
      </w:r>
    </w:p>
    <w:p w:rsidR="00956A6B" w:rsidRPr="00204E90" w:rsidRDefault="00204E90" w:rsidP="00204E90">
      <w:pPr>
        <w:widowControl/>
        <w:spacing w:after="240"/>
        <w:ind w:left="570" w:hanging="570"/>
      </w:pPr>
      <w:r w:rsidRPr="00204E90">
        <w:t>11.</w:t>
      </w:r>
      <w:r w:rsidRPr="00204E90">
        <w:tab/>
      </w:r>
      <w:r w:rsidR="00956A6B" w:rsidRPr="00204E90">
        <w:t>είναι αποφασισμένο, παρά τους πολυάριθμους αυτούς περιορισμούς, να διατηρήσει μια συνεκτική και ενιαία θέση που να αντικατοπτρίζει τις καθιερωμένες πολιτικές προτεραιότητες και τα θεσμικά του συμφέροντα, καθώς και να ενισχύσει τη ανταγωνιστικότητα της Ένωσης, να μειώσει τις στρατηγικές εξαρτήσεις, να επισπεύσει την ανάπτυξη της καθαρής ενέργειας, να διασφαλίσει την επίτευξη των στόχων της Ένωσης για την ενσωμάτωση της διάστασης του κλίματος και της βιοποικιλότητας, να ενισχύσει τις δυνατότητες ασφάλειας και άμυνας, καθώς και να συμβάλει στην πράσινη και την ψηφιακή μετάβαση, ελαχιστοποιώντας παράλληλα τις αρνητικές επιπτώσεις στα εμβληματικά προγράμματα και μεγιστοποιώντας τα δευτερογενή οφέλη της οικονομικής ανάπτυξης για όλους τους ανθρώπους στην ΕΕ·</w:t>
      </w:r>
    </w:p>
    <w:p w:rsidR="00956A6B" w:rsidRPr="00204E90" w:rsidRDefault="00956A6B" w:rsidP="00012622">
      <w:pPr>
        <w:pStyle w:val="NormalHanging12a"/>
        <w:widowControl/>
        <w:ind w:left="0" w:firstLine="0"/>
        <w:rPr>
          <w:b/>
          <w:i/>
        </w:rPr>
      </w:pPr>
      <w:r w:rsidRPr="00204E90">
        <w:rPr>
          <w:b/>
          <w:i/>
        </w:rPr>
        <w:t>Ένας ισότιμος, δίκαιος και χωρίς αποκλεισμούς προϋπολογισμός που προσφέρει καλύτερες ευκαιρίες σε όλους τους πολίτες της ΕΕ και διασφαλίζει την οικονομική ανάπτυξη</w:t>
      </w:r>
    </w:p>
    <w:p w:rsidR="00956A6B" w:rsidRPr="00204E90" w:rsidRDefault="00204E90" w:rsidP="00204E90">
      <w:pPr>
        <w:pStyle w:val="NormalHanging12a"/>
        <w:widowControl/>
        <w:ind w:left="570" w:hanging="570"/>
      </w:pPr>
      <w:r w:rsidRPr="00204E90">
        <w:t>12.</w:t>
      </w:r>
      <w:r w:rsidRPr="00204E90">
        <w:tab/>
      </w:r>
      <w:r w:rsidR="00956A6B" w:rsidRPr="00204E90">
        <w:t xml:space="preserve">παρατηρεί ότι η οικονομικά προσιτή διαβίωση και η κοινωνική συνοχή εξακολουθούν να αποτελούν επίμονες προκλήσεις σε όλα τα κράτη μέλη της ΕΕ και τις περιφέρειές τους και υπενθυμίζει, εν προκειμένω, τον ρόλο των υψηλής ποιότητας και προσβάσιμων δημόσιων υπηρεσιών· επιθυμεί να ενισχύσει τη συμπεριληπτικότητα και την προσβασιμότητα στη χρηματοδότηση, όπου κρίνεται σκόπιμο, και σύμφωνα με συναφή κριτήρια επιλεξιμότητας, και να μεγιστοποιήσει τις δυνατότητες χρηματοδότησης μέσω της μόχλευσης των υφιστάμενων κονδυλίων· θεωρεί ότι η κοινωνική διάσταση των δαπανών της ΕΕ, ως απαραίτητο στοιχείο για τη νομιμότητά τους, θα πρέπει να εξακολουθήσει να αποτελεί οριζόντιο κριτήριο για όλους τους τομείς πολιτικής· </w:t>
      </w:r>
    </w:p>
    <w:p w:rsidR="00956A6B" w:rsidRPr="00204E90" w:rsidRDefault="00204E90" w:rsidP="00204E90">
      <w:pPr>
        <w:pStyle w:val="NormalHanging12a"/>
        <w:widowControl/>
        <w:ind w:left="570" w:hanging="570"/>
      </w:pPr>
      <w:r w:rsidRPr="00204E90">
        <w:t>13.</w:t>
      </w:r>
      <w:r w:rsidRPr="00204E90">
        <w:tab/>
      </w:r>
      <w:r w:rsidR="00956A6B" w:rsidRPr="00204E90">
        <w:t>υπογραμμίζει ότι ο προϋπολογισμός της ΕΕ είναι πρωτίστως ένας προϋπολογισμός επενδύσεων με αποτέλεσμα μόχλευσης, ικανός να ενισχύσει τους στόχους και τη χάραξη πολιτικής της Ένωσης, συμπληρώνοντας τις εθνικές πολιτικές και, ως εκ τούτου, ανταποκρινόμενος στις ανάγκες όλων των ανθρώπων στην ΕΕ· υπενθυμίζει τη σημασία του Μηχανισμού Ανάκαμψης και Ανθεκτικότητας για την αύξηση της ανθεκτικότητας της Ένωσης και τον μετριασμό των κοινωνικοοικονομικών επιπτώσεων των προηγούμενων και εν εξελίξει κρίσεων· πιστεύει ότι θα πρέπει να καταβληθεί κάθε δυνατή προσπάθεια για να διασφαλιστεί ότι αυτές οι δύο κύριες πηγές χρηματοδότησης της ΕΕ δαπανώνται αποτελεσματικά και χωρίς περαιτέρω καθυστέρηση·</w:t>
      </w:r>
    </w:p>
    <w:p w:rsidR="00956A6B" w:rsidRPr="00204E90" w:rsidRDefault="00204E90" w:rsidP="00204E90">
      <w:pPr>
        <w:widowControl/>
        <w:spacing w:after="240"/>
        <w:ind w:left="570" w:hanging="570"/>
      </w:pPr>
      <w:r w:rsidRPr="00204E90">
        <w:t>14.</w:t>
      </w:r>
      <w:r w:rsidRPr="00204E90">
        <w:tab/>
      </w:r>
      <w:r w:rsidR="00956A6B" w:rsidRPr="00204E90">
        <w:t xml:space="preserve">είναι σταθερά αποφασισμένο να χρησιμοποιήσει τον προϋπολογισμό της ΕΕ για να κάνει απτή και ορατή διαφορά στους πολίτες, στην οικονομία στην ενιαία αγορά και για την επίτευξη των στόχων της Πράσινης Συμφωνίας μέσω της στήριξης της δημιουργίας ποιοτικών θέσεων εργασίας σε βιομηχανίες αιχμής, της θωράκισης της αγοράς εργασίας έναντι μελλοντικών εξελίξεων μέσω προγραμμάτων ανάπτυξης δεξιοτήτων και τόνωσης ταλέντων, της καταπολέμησης της ανεργίας, της ενίσχυσης της ευρωπαϊκής ανταγωνιστικότητας και της αύξησης της αμυντικής ετοιμότητας της Ένωσης· θεωρεί </w:t>
      </w:r>
      <w:r w:rsidR="00956A6B" w:rsidRPr="00204E90">
        <w:lastRenderedPageBreak/>
        <w:t xml:space="preserve">ότι η τεχνολογική αυτονομία και η βιώσιμη ανάπτυξη είναι καθοριστικής σημασίας για την επίτευξη των μακροπρόθεσμων στόχων της Ένωσης για την ενέργεια και το κλίμα· επαναλαμβάνει την έκκλησή του να διατηρηθεί επαρκής χρηματοδότηση για τη στήριξη των μικρών και μεσαίων επιχειρήσεων (ΜΜΕ) ως ραχοκοκαλιάς της ευρωπαϊκής οικονομίας, των νεοφυών επιχειρήσεων και των νέων, των γεωργών, των εκπαιδευτικών και των εργαζομένων στον τομέα των μεταφορών· υπογραμμίζει την ανάγκη περαιτέρω βελτίωσης των υποδομών ενέργειας και μεταφορών, επενδύσεων στην αναβάθμιση των υπηρεσιών δημόσιας υγείας και πρόνοιας, της κοινωνικής και εδαφικής συνοχής και ένταξης, καθώς και στη στήριξη ευάλωτων, απομακρυσμένων και αγροτικών κοινοτήτων, συμπεριλαμβανομένων των έξυπνων χωριών· επισημαίνει ότι ο προϋπολογισμός πρέπει να διασφαλίσει την πράσινη μετάβαση, στηρίζοντας παράλληλα την ποιοτική γεωργία, διασφαλίζοντας την πρόσβαση σε ποιοτική υγεία και εκπαίδευση· </w:t>
      </w:r>
    </w:p>
    <w:p w:rsidR="00956A6B" w:rsidRPr="00204E90" w:rsidRDefault="00204E90" w:rsidP="00204E90">
      <w:pPr>
        <w:widowControl/>
        <w:spacing w:after="240"/>
        <w:ind w:left="570" w:hanging="570"/>
      </w:pPr>
      <w:r w:rsidRPr="00204E90">
        <w:t>15.</w:t>
      </w:r>
      <w:r w:rsidRPr="00204E90">
        <w:tab/>
      </w:r>
      <w:r w:rsidR="00956A6B" w:rsidRPr="00204E90">
        <w:t>τονίζει τον σημαντικό αντίκτυπο της έρευνας και της καινοτομίας στην ανταγωνιστικότητα, τη μακροπρόθεσμη ανάπτυξη και την απασχόληση στην Ευρωπαϊκή Ένωση· υπενθυμίζει τη μακροχρόνια πρωτοβουλία να αυξηθεί η ένταση των επενδύσεων στην έρευνα και ανάπτυξη της ΕΕ στο 3 % του ΑΕΠ· αναγνωρίζει το υφιστάμενο χάσμα μεταξύ του στόχου και της πραγματικής χρηματοδότησης που παρέχεται· υπογραμμίζει ότι η ηγετική θέση της ευρωπαϊκής τεχνολογίας έχει ζωτική σημασία για την εφαρμογή της Πράσινης Συμφωνίας και της Ένωσης Υγείας καθώς δημιουργεί θέσεις εργασίας υψηλής ειδίκευσης στην Ένωση σε ολόκληρη την αλυσίδα αξίας, και ενισχύει την αριστεία στον τομέα της έρευνας και καινοτομίας εντός της Ένωσης· ανησυχεί βαθύτατα για το γεγονός ότι τα διαθέσιμα κονδύλια καλύπτουν ένα μέρος μόνο όλων των αιτήσεων που υποβάλλονται, με αποτέλεσμα υψηλά επίπεδα υπερπροσφοράς προγραμμάτων και ερευνητών, οι οποίοι εγκαταλείπουν την Ένωση για ανταγωνιστικές περιφέρειες·</w:t>
      </w:r>
    </w:p>
    <w:p w:rsidR="00956A6B" w:rsidRPr="00204E90" w:rsidRDefault="00204E90" w:rsidP="00204E90">
      <w:pPr>
        <w:pStyle w:val="NormalHanging12a"/>
        <w:widowControl/>
        <w:ind w:left="570" w:hanging="570"/>
        <w:rPr>
          <w:szCs w:val="24"/>
        </w:rPr>
      </w:pPr>
      <w:r w:rsidRPr="00204E90">
        <w:rPr>
          <w:szCs w:val="24"/>
        </w:rPr>
        <w:t>16.</w:t>
      </w:r>
      <w:r w:rsidRPr="00204E90">
        <w:rPr>
          <w:szCs w:val="24"/>
        </w:rPr>
        <w:tab/>
      </w:r>
      <w:r w:rsidR="00956A6B" w:rsidRPr="00204E90">
        <w:t xml:space="preserve">τονίζει ότι πρέπει να παρασχεθούν βιώσιμες και μακροπρόθεσμες λύσεις για την επιτυχή αντιμετώπιση των διαρθρωτικών δημογραφικών προκλήσεων, καθώς και για τον μετριασμό της διαρροής εγκεφάλων από τις λιγότερο ανεπτυγμένες περιφέρειες και πόλεις της ΕΕ· τονίζει την ανάγκη να διατεθούν οικονομικοί πόροι για την αναζωογόνηση των περιφερειών που πλήττονται από μείωση του πληθυσμού, μέσω επενδύσεων σε κοινωνικές και δημογραφικές πολιτικές που στηρίζουν τις οικογένειες, και για την παροχή επαρκούς στήριξης στους </w:t>
      </w:r>
      <w:proofErr w:type="spellStart"/>
      <w:r w:rsidR="00956A6B" w:rsidRPr="00204E90">
        <w:t>γηράσκοντες</w:t>
      </w:r>
      <w:proofErr w:type="spellEnd"/>
      <w:r w:rsidR="00956A6B" w:rsidRPr="00204E90">
        <w:t xml:space="preserve"> πληθυσμούς στην Ευρώπη όσον αφορά την πρόσβαση στην υγειονομική περίθαλψη, την κινητικότητα και τις δημόσιες υπηρεσίες·</w:t>
      </w:r>
    </w:p>
    <w:p w:rsidR="00956A6B" w:rsidRPr="00204E90" w:rsidRDefault="00204E90" w:rsidP="00204E90">
      <w:pPr>
        <w:pStyle w:val="NormalHanging12a"/>
        <w:widowControl/>
        <w:ind w:left="570" w:hanging="570"/>
      </w:pPr>
      <w:r w:rsidRPr="00204E90">
        <w:t>17.</w:t>
      </w:r>
      <w:r w:rsidRPr="00204E90">
        <w:tab/>
      </w:r>
      <w:r w:rsidR="00956A6B" w:rsidRPr="00204E90">
        <w:t>επιμένει ότι θα πρέπει να κινητοποιηθεί η μέγιστη δυνατή χρηματοδότηση μέσω του Erasmus+ και του Ευρωπαϊκού Σώματος Αλληλεγγύης για να προωθηθούν η μάθηση και η επιχειρηματικότητα και να βελτιωθούν οι δεξιότητες, η τυπική, μη τυπική και άτυπη εκπαίδευση και η απασχολησιμότητα των νέων, καθώς και για να προωθηθεί η κοινωνική ένταξη· επαναλαμβάνει την ανάγκη να διασφαλιστεί ότι και τα δύο προγράμματα διασφαλίζουν ίσες ευκαιρίες, με ιδιαίτερη έμφαση σε άτομα που προέρχονται από μειονεκτούντα περιβάλλοντα σε ολόκληρη την ΕΕ και τις συνδεδεμένες χώρες· εμμένει στην άποψή του ότι οι υποτροφίες κινητικότητας στο πλαίσιο του Erasmus+ πρέπει να ενισχυθούν περαιτέρω προκειμένου να καλύπτουν την αύξηση του κόστους διαβίωσης και να διασφαλιστούν η προσβασιμότητα, οι ίσες ευκαιρίες και η χωρίς αποκλεισμούς συμμετοχή, ειδικότερα με την αύξηση της ελάχιστης επιχορήγησης ανά συμμετέχοντα στο κατάλληλο επίπεδο·</w:t>
      </w:r>
    </w:p>
    <w:p w:rsidR="00956A6B" w:rsidRPr="00204E90" w:rsidRDefault="00204E90" w:rsidP="00204E90">
      <w:pPr>
        <w:pStyle w:val="NormalHanging12a"/>
        <w:widowControl/>
        <w:ind w:left="570" w:hanging="570"/>
      </w:pPr>
      <w:r w:rsidRPr="00204E90">
        <w:lastRenderedPageBreak/>
        <w:t>18.</w:t>
      </w:r>
      <w:r w:rsidRPr="00204E90">
        <w:tab/>
      </w:r>
      <w:r w:rsidR="00956A6B" w:rsidRPr="00204E90">
        <w:t>υπογραμμίζει τη σημασία της εφαρμογής του ευρωπαϊκού πυλώνα κοινωνικών δικαιωμάτων και καλεί την Επιτροπή να αρχίσει μελέτες σχετικά με μια μεθοδολογία για την παρακολούθηση των κοινωνικών δαπανών στον προϋπολογισμό της ΕΕ στο πλαίσιο της επόμενης περιόδου προγραμματισμού· επισημαίνει τον καίριο ρόλο του προϋπολογισμού της ΕΕ όσον αφορά τη συμβολή σε πρωτοβουλίες που ενισχύουν τον κοινωνικό διάλογο, ενισχύουν τις τοπικές και περιφερειακές κοινωνικές δράσεις και παρέχουν σε όλους πρόσβαση σε ζωτικής σημασίας βασικές υπηρεσίες· επαναλαμβάνει την ανάγκη για μια ευρωπαϊκή στρατηγική για τους ηλικιωμένους, με συγκεκριμένες δράσεις για την καταπολέμηση της περιθωριοποίησης, της μοναξιάς και της απομόνωσης· υπενθυμίζει περαιτέρω την ανάγκη πλήρους εφαρμογής της στρατηγικής για τα δικαιώματα των ατόμων με αναπηρία 2021-2030 προκειμένου να βελτιωθούν οι συνθήκες διαβίωσής τους στην Ένωση· επισημαίνει την περίπτωση των Ευρωπαίων μεταφορέων που αντιμετωπίζουν διαφορετικές προκλήσεις σε κάθε κράτος μέλος, από το αυξανόμενο κόστος έως τις ελλείψεις χωρητικότητας, και την ανάγκη για ευελιξία και καλύτερες συνθήκες εργασίας· τονίζει την ανάγκη να ενισχυθούν οι υφιστάμενοι κανόνες για την προστασία τους και να διατεθούν πρόσθετοι πόροι για την παρακολούθηση των συνθηκών εργασίας σε όλα τα κράτη μέλη· υπογραμμίζει, εν προκειμένω, τα οφέλη από την ανάπτυξη εργαλείων πληροφορικής σε επίπεδο ΕΕ που συμβάλλουν στη βελτίωση της εφαρμογής των γραφειοκρατικών απαιτήσεων και της τυποποίησης των πιστοποιητικών·</w:t>
      </w:r>
    </w:p>
    <w:p w:rsidR="00956A6B" w:rsidRPr="00204E90" w:rsidRDefault="00204E90" w:rsidP="00204E90">
      <w:pPr>
        <w:pStyle w:val="NormalHanging12a"/>
        <w:widowControl/>
        <w:ind w:left="570" w:hanging="570"/>
      </w:pPr>
      <w:r w:rsidRPr="00204E90">
        <w:t>19.</w:t>
      </w:r>
      <w:r w:rsidRPr="00204E90">
        <w:tab/>
      </w:r>
      <w:r w:rsidR="00956A6B" w:rsidRPr="00204E90">
        <w:t xml:space="preserve">καλεί την Επιτροπή και τα κράτη μέλη να διαθέσουν επαρκείς πόρους για την αποτελεσματική εφαρμογή των κανόνων της ΕΕ για τον συντονισμό της κοινωνικής ασφάλισης, προκειμένου να διευκολυνθεί η κινητικότητα του εργατικού δυναμικού και η μεταφορά των παροχών κοινωνικής ασφάλισης· ζητεί να χρησιμοποιηθούν κονδύλια της ΕΕ για την ανάπτυξη του συστήματος ηλεκτρονικής ανταλλαγής πληροφοριών για την κοινωνική ασφάλιση και για τη στήριξη της περαιτέρω ψηφιοποίησης των συστημάτων κοινωνικής ασφάλισης για τη δίκαιη κινητικότητα του εργατικού δυναμικού· </w:t>
      </w:r>
    </w:p>
    <w:p w:rsidR="00956A6B" w:rsidRPr="00204E90" w:rsidRDefault="00204E90" w:rsidP="00204E90">
      <w:pPr>
        <w:widowControl/>
        <w:spacing w:after="240"/>
        <w:ind w:left="570" w:hanging="570"/>
      </w:pPr>
      <w:r w:rsidRPr="00204E90">
        <w:t>20.</w:t>
      </w:r>
      <w:r w:rsidRPr="00204E90">
        <w:tab/>
      </w:r>
      <w:r w:rsidR="00956A6B" w:rsidRPr="00204E90">
        <w:t>αναγνωρίζει ότι η τεχνολογία και η τεχνητή νοημοσύνη (ΤΝ) μεταβάλλουν ταχέως το τοπίο της απασχόλησης· επισημαίνει το οικονομικό δυναμικό που μπορεί να προσφέρουν οι αξιόπιστες τεχνολογίες ΤΝ με επίκεντρο τον άνθρωπο στην οικονομική ανάπτυξη της Ευρώπης, βελτιώνοντας παράλληλα τη ζωή των πολιτών σε διάφορους τομείς, όπως η υγεία, η γεωργία, η ενέργεια, οι μεταφορές και η ασφάλεια·</w:t>
      </w:r>
      <w:r w:rsidR="00956A6B" w:rsidRPr="00204E90">
        <w:rPr>
          <w:color w:val="00B0F0"/>
        </w:rPr>
        <w:t xml:space="preserve"> </w:t>
      </w:r>
      <w:r w:rsidR="00956A6B" w:rsidRPr="00204E90">
        <w:t>ζητεί να αντικατοπτρίζεται αυτό στα προγράμματα και τις πολιτικές της ΕΕ μέσω της διάθεσης επαρκών χρηματοδοτικών πόρων· τονίζει την ανάγκη να βελτιωθούν οι βασικές ψηφιακές δεξιότητες των πολιτών ώστε να ανταποκρίνονται στις ανάγκες των εταιρειών και να εξοπλιστούν οι πολίτες έναντι της παραπληροφόρησης· υποστηρίζει τα μέτρα της ΕΕ που συμπληρώνουν τις εθνικές στρατηγικές απασχόλησης για τον επαγγελματικό αναπροσανατολισμό και την κινητικότητα σε επίπεδο ΕΕ με συντονισμένο τρόπο, αξιοποιώντας το δυναμικό αυτών των αλλαγών για ένα ακμάζον και ευπροσάρμοστο εργατικό δυναμικό, μεταξύ άλλων μέσω της προώθησης της επανειδίκευσης και της κινητικότητας, διασφαλίζοντας έτσι την ομαλή μετάβαση σε νέους και αναδυόμενους εργασιακούς τομείς·</w:t>
      </w:r>
    </w:p>
    <w:p w:rsidR="00956A6B" w:rsidRPr="00204E90" w:rsidRDefault="00204E90" w:rsidP="00204E90">
      <w:pPr>
        <w:widowControl/>
        <w:spacing w:after="240"/>
        <w:ind w:left="570" w:hanging="570"/>
      </w:pPr>
      <w:r w:rsidRPr="00204E90">
        <w:t>21.</w:t>
      </w:r>
      <w:r w:rsidRPr="00204E90">
        <w:tab/>
      </w:r>
      <w:r w:rsidR="00956A6B" w:rsidRPr="00204E90">
        <w:t xml:space="preserve">εκφράζει την ανησυχία του για τον αυξανόμενο αριθμό ακραίων καιρικών φαινομένων, όπως σοβαρές πυρκαγιές, πλημμύρες και άλλες φυσικές καταστροφές που συνδέονται με την επιδείνωση της κλιματικής αλλαγής σε ολόκληρη την Ευρώπη· τονίζει, επομένως, την ανάγκη να εξασφαλιστεί επαρκής χρηματοδότηση για τον μηχανισμό πολιτικής προστασίας της ΕΕ και ζητεί την καλύτερη ενοποίηση των ικανοτήτων της </w:t>
      </w:r>
      <w:r w:rsidR="00956A6B" w:rsidRPr="00204E90">
        <w:lastRenderedPageBreak/>
        <w:t>ΕΕ για την αντιμετώπιση καταστάσεων έκτακτης ανάγκης μέσω της ενίσχυσης των κοινών ιατρικών ομάδων και ομάδων επέμβασης έκτακτης ανάγκης· καλεί την Επιτροπή να διασφαλίσει ότι οι πόροι μπορούν επίσης να διατεθούν γρήγορα μέσω του ΤΑΕΕ και του ΑΕΒ·</w:t>
      </w:r>
    </w:p>
    <w:p w:rsidR="00956A6B" w:rsidRPr="00204E90" w:rsidRDefault="00204E90" w:rsidP="00204E90">
      <w:pPr>
        <w:pStyle w:val="NormalHanging12a"/>
        <w:widowControl/>
        <w:ind w:left="570" w:hanging="570"/>
      </w:pPr>
      <w:r w:rsidRPr="00204E90">
        <w:t>22.</w:t>
      </w:r>
      <w:r w:rsidRPr="00204E90">
        <w:tab/>
      </w:r>
      <w:r w:rsidR="00956A6B" w:rsidRPr="00204E90">
        <w:t>υπογραμμίζει ότι είναι σημαντικό να διατεθεί κατάλληλη χρηματοδότηση για τις δραστηριότητες που ορίζονται στον κανονισμό EU4Health· αναγνωρίζει ότι η τιμή των φαρμάκων και των τεχνολογιών υγείας έχει σημαντικό αντίκτυπο στην ικανότητα των ασθενών να έχουν πρόσβαση σε αυτά· τονίζει ότι το μη προσιτό κόστος των φαρμάκων αποτελεί πραγματικό εμπόδιο στη θεραπεία και ζητεί την εφαρμογή ειδικών μέτρων για την αντιμετώπιση αυτών των προκλήσεων· ζητεί, εν προκειμένω, τον καλύτερο συντονισμό σε επίπεδο ΕΕ και την κοινή προμήθεια φαρμάκων προκειμένου να μειωθεί το κόστος· υπογραμμίζει τη σημασία της αντιμετώπισης των παιδικών ασθενειών με ιδιαίτερη έμφαση στις σπάνιες ασθένειες· τονίζει, ειδικότερα, τη σημασία του σχεδίου για την καταπολέμηση του καρκίνου· ζητεί έναν φιλόδοξο προϋπολογισμό για την ομάδα «Υγεία» στο πρόγραμμα «Ορίζων Ευρώπη», προκειμένου να διασφαλιστεί ότι η ΕΕ μπορεί να ανταποκριθεί αποτελεσματικά σε μελλοντικές κρίσεις στον τομέα της υγείας, να συμβάλει στην ενίσχυση των συστημάτων υγείας και στη βελτίωση της σωματικής και ψυχικής υγείας των ανθρώπων, καθιστώντας την υγειονομική περίθαλψη πιο προσιτή και προσβάσιμη· αναγνωρίζει ότι τα καρδιαγγειακά νοσήματα (CVD) παραμένουν η κύρια αιτία θανάτου στην ΕΕ· θεωρεί ότι η αντιμετώπιση των καρδιαγγειακών νοσημάτων μέσω επενδύσεων σε δράσεις που στοχεύουν στην εξατομικευμένη ιατρική και την ηλεκτρονική υγεία (</w:t>
      </w:r>
      <w:proofErr w:type="spellStart"/>
      <w:r w:rsidR="00956A6B" w:rsidRPr="00204E90">
        <w:t>eHealth</w:t>
      </w:r>
      <w:proofErr w:type="spellEnd"/>
      <w:r w:rsidR="00956A6B" w:rsidRPr="00204E90">
        <w:t>) είναι καίριας σημασίας, καθώς αυτό θα αυξήσει τα πρότυπα πρόληψης και θεραπείας, και θα επιτρέψει σε όλους τους πολίτες ισότιμη πρόσβαση στην υγειονομική περίθαλψη· υπογραμμίζει την ανάγκη να αποτραπούν οι ελλείψεις φαρμάκων που αντιμετωπίζουν ορισμένα κράτη μέλη κατά τα τελευταία έτη· αναγνωρίζει ότι οι ανισότητες στον τομέα της υγείας πρέπει να μειωθούν προκειμένου να παρέχεται ισότιμη πρόσβαση στην υγεία σε όλες τις γυναίκες, συμπεριλαμβανομένης της πρόσβασης στη σεξουαλική και αναπαραγωγική υγεία, και υπενθυμίζει ότι είναι σημαντικό η υγεία των γυναικών να παραμείνει προτεραιότητα σε επίπεδο πολιτικής και έρευνας·</w:t>
      </w:r>
    </w:p>
    <w:p w:rsidR="00956A6B" w:rsidRPr="00204E90" w:rsidRDefault="00204E90" w:rsidP="00204E90">
      <w:pPr>
        <w:pStyle w:val="NormalHanging12a"/>
        <w:widowControl/>
        <w:ind w:left="570" w:hanging="570"/>
      </w:pPr>
      <w:r w:rsidRPr="00204E90">
        <w:t>23.</w:t>
      </w:r>
      <w:r w:rsidRPr="00204E90">
        <w:tab/>
      </w:r>
      <w:r w:rsidR="00956A6B" w:rsidRPr="00204E90">
        <w:t xml:space="preserve">υπενθυμίζει την ανάγκη αντιμετώπισης του ελλείμματος δεξιοτήτων, του ζητήματος της διαρροής εγκεφάλων και της συσχέτισης μεταξύ των αναγκών της αγοράς και των δεξιοτήτων, πόσο μάλλον υπό το πρίσμα της κατάστασης σε διάφορες περιφέρειες της ΕΕ· θεωρεί ότι, προκειμένου το εργατικό δυναμικό της ΕΕ να παραμείνει ανταγωνιστικό στο μέλλον, είναι απαραίτητος ο καθορισμός βασικών τομέων για την κατάρτιση και την επανειδίκευση, ιδίως για την προώθηση των πράσινων και των ψηφιακών δεξιοτήτων· τονίζει ότι απαιτούνται περαιτέρω επενδύσεις για τον εκσυγχρονισμό των εκπαιδευτικών συστημάτων της Ένωσης, τη δημιουργία προγραμμάτων τόνωσης ταλέντων και την παροχή κινήτρων για νέους επιχειρηματίες· ζητεί να επιταχυνθεί η υλοποίηση του Ευρωπαϊκού Έτους Δεξιοτήτων και του Ευρωπαϊκού Χώρου Εκπαίδευσης· καλεί την Επιτροπή να εφαρμόσει ταχέως τις λύσεις που προσδιορίστηκαν ως βασικές κατά τη διάρκεια του Ευρωπαϊκού Έτους Δεξιοτήτων, επισημαίνοντας την ανάγκη για καλύτερη συνεργασία με τις εταιρείες, συμπεριλαμβανομένης της αξιολόγησης αντικτύπου της ΕΕ από τη σκοπιά της νεολαίας και της απαγόρευσης της μη αμειβόμενης πρακτικής άσκησης· σε συνέχεια των συστάσεων που εγκρίθηκαν στη Διάσκεψη για το μέλλον της Ευρώπης, υπενθυμίζει ότι είναι σημαντικό να θεσπιστεί ένα ευρωπαϊκό εκπαιδευτικό σχέδιο με οικονομικούς πόρους για τη στήριξη της ποιοτικής εκπαίδευσης και της κατάρτισης των </w:t>
      </w:r>
      <w:r w:rsidR="00956A6B" w:rsidRPr="00204E90">
        <w:lastRenderedPageBreak/>
        <w:t>εκπαιδευτικών, καθώς και για τη μείωση των ποσοστών πρόωρης εγκατάλειψης του σχολείου·</w:t>
      </w:r>
    </w:p>
    <w:p w:rsidR="00956A6B" w:rsidRPr="00204E90" w:rsidRDefault="00204E90" w:rsidP="00204E90">
      <w:pPr>
        <w:pStyle w:val="NormalHanging12a"/>
        <w:widowControl/>
        <w:ind w:left="570" w:hanging="570"/>
        <w:rPr>
          <w:color w:val="000000"/>
        </w:rPr>
      </w:pPr>
      <w:r w:rsidRPr="00204E90">
        <w:rPr>
          <w:color w:val="000000"/>
        </w:rPr>
        <w:t>24.</w:t>
      </w:r>
      <w:r w:rsidRPr="00204E90">
        <w:rPr>
          <w:color w:val="000000"/>
        </w:rPr>
        <w:tab/>
      </w:r>
      <w:r w:rsidR="00956A6B" w:rsidRPr="00204E90">
        <w:rPr>
          <w:color w:val="000000"/>
        </w:rPr>
        <w:t xml:space="preserve">υπογραμμίζει την προστιθέμενη αξία της χρηματοδότηση προγραμμάτων στους τομείς της δημοκρατίας και των δικαιωμάτων και αξιών· υπενθυμίζει τη σημασία που διαδραματίζει ο προϋπολογισμός της ΕΕ στην προώθηση των ευρωπαϊκών αξιών που κατοχυρώνονται στο άρθρο 2 ΣΕΕ, του πολιτισμού και των δικαιωμάτων των πολιτών και στην οικοδόμηση ανθεκτικών κοινωνιών, καθώς και στη στήριξη των βασικών αρχών της δημοκρατίας, του κράτους δικαίου, της αλληλεγγύης, της συμπεριληπτικότητας, της δικαιοσύνης, της μη εισαγωγής διακρίσεων και της ισότητας, συμπεριλαμβανομένης της ισότητας των φύλων· επιθυμεί να ενισχυθούν οι σχετικές γραμμές και όργανα του προϋπολογισμού προκειμένου να αντιμετωπιστούν η πόλωση, η άνοδος του πολιτικού εξτρεμισμού, η περιορισμένη εμπιστοσύνη στους θεσμούς, να ενισχυθεί η συμμετοχική δημοκρατία, να προωθηθούν τα θεμελιώδη δικαιώματα, να αποτραπεί η δημοκρατική οπισθοδρόμηση, η διάβρωση του κράτους δικαίου, η συρρίκνωση του χώρου της κοινωνίας των πολιτών που εργάζονται στον τομέα αυτό σε τοπικό, εθνικό και ενωσιακό επίπεδο και η </w:t>
      </w:r>
      <w:proofErr w:type="spellStart"/>
      <w:r w:rsidR="00956A6B" w:rsidRPr="00204E90">
        <w:rPr>
          <w:color w:val="000000"/>
        </w:rPr>
        <w:t>εργαλειοποίηση</w:t>
      </w:r>
      <w:proofErr w:type="spellEnd"/>
      <w:r w:rsidR="00956A6B" w:rsidRPr="00204E90">
        <w:rPr>
          <w:color w:val="000000"/>
        </w:rPr>
        <w:t xml:space="preserve"> του </w:t>
      </w:r>
      <w:proofErr w:type="spellStart"/>
      <w:r w:rsidR="00956A6B" w:rsidRPr="00204E90">
        <w:rPr>
          <w:color w:val="000000"/>
        </w:rPr>
        <w:t>ευρωσκεπτικισμού</w:t>
      </w:r>
      <w:proofErr w:type="spellEnd"/>
      <w:r w:rsidR="00956A6B" w:rsidRPr="00204E90">
        <w:rPr>
          <w:color w:val="000000"/>
        </w:rPr>
        <w:t xml:space="preserve">· ζητεί να εξασφαλιστούν επαρκείς πόροι της ΕΕ για το πρόγραμμα «Πολίτες, ισότητα, δικαιώματα και αξίες» (CERV), τονίζει το αξιόλογο έργο που πραγματοποιείται στο πλαίσιο του σκέλους «Ενωσιακές αξίες», το οποίο παρέχει άμεση χρηματοδότηση σε οργανώσεις της κοινωνίας των πολιτών, καθώς των σκελών «Daphne», «Ισότητα» και «Αξίες»· επαναλαμβάνει ότι θα πρέπει να διατεθούν οι αναγκαίοι πόροι για την καταπολέμηση της έμφυλης βίας και για τη στήριξη των δικαιωμάτων και της πρόσβασης σε ασφαλείς υπηρεσίες σεξουαλικής και αναπαραγωγικής υγείας, σε οργανώσεις για τα δικαιώματα των γυναικών, καθώς και σε πρωτοβουλίες και όργανα της ΕΕ για την αντιμετώπιση των διακρίσεων κατά των γυναικών· καλεί την Επιτροπή να διευκολύνει την πρόσβαση στο πρόγραμμα CERV καθώς και να εγγυηθεί την ευελιξία στη διαδικασία εκ νέου χορήγησης σε τοπικές οργανώσεις και οργανώσεις βάσης από φορείς στα κράτη μέλη, προκειμένου να διασφαλιστεί ότι η χρηματοδότηση φθάνει σε όσους εργάζονται πλησιέστερα στους πολίτες· </w:t>
      </w:r>
    </w:p>
    <w:p w:rsidR="00956A6B" w:rsidRPr="00204E90" w:rsidRDefault="00204E90" w:rsidP="00204E90">
      <w:pPr>
        <w:pStyle w:val="NormalHanging12a"/>
        <w:widowControl/>
        <w:ind w:left="570" w:hanging="570"/>
      </w:pPr>
      <w:r w:rsidRPr="00204E90">
        <w:t>25.</w:t>
      </w:r>
      <w:r w:rsidRPr="00204E90">
        <w:tab/>
      </w:r>
      <w:r w:rsidR="00956A6B" w:rsidRPr="00204E90">
        <w:rPr>
          <w:color w:val="000000"/>
        </w:rPr>
        <w:t xml:space="preserve">καλεί την Επιτροπή να αυξήσει τη στήριξη της Ένωσης για την προστασία των πολιτών, των μειονοτήτων και των θρησκευτικών κοινοτήτων και των δημόσιων χώρων από τρομοκρατικές απειλές, για την καταπολέμηση της ριζοσπαστικοποίησης και του τρομοκρατικού περιεχομένου στο διαδίκτυο, και για την αντιμετώπιση της αύξησης της ρητορικής μίσους, του αντισημιτισμού, του </w:t>
      </w:r>
      <w:proofErr w:type="spellStart"/>
      <w:r w:rsidR="00956A6B" w:rsidRPr="00204E90">
        <w:rPr>
          <w:color w:val="000000"/>
        </w:rPr>
        <w:t>αντιμουσουλμανικού</w:t>
      </w:r>
      <w:proofErr w:type="spellEnd"/>
      <w:r w:rsidR="00956A6B" w:rsidRPr="00204E90">
        <w:rPr>
          <w:color w:val="000000"/>
        </w:rPr>
        <w:t xml:space="preserve"> μίσους και του ρατσισμού σε ολόκληρη την Ευρώπη και παγκοσμίως·</w:t>
      </w:r>
    </w:p>
    <w:p w:rsidR="00956A6B" w:rsidRPr="00204E90" w:rsidRDefault="00204E90" w:rsidP="00204E90">
      <w:pPr>
        <w:pStyle w:val="NormalHanging12a"/>
        <w:widowControl/>
        <w:ind w:left="570" w:hanging="570"/>
      </w:pPr>
      <w:r w:rsidRPr="00204E90">
        <w:t>26.</w:t>
      </w:r>
      <w:r w:rsidRPr="00204E90">
        <w:tab/>
      </w:r>
      <w:r w:rsidR="00956A6B" w:rsidRPr="00204E90">
        <w:t xml:space="preserve">επισημαίνει τις διαρκώς αυξανόμενες απειλές και τους κινδύνους των οργανωμένων και στοχευμένων εκστρατειών παραπληροφόρησης στην Ευρωπαϊκή Ένωση από ξένα ενδιαφερόμενα μέρη· ζητεί χρηματοδότηση για το πρόγραμμα «Ορίζων Ευρώπη» και δραστηριότητες υπό τη διαχείριση της Επιτροπής και της ΕΥΕΔ για την καταπολέμηση της διάδοσης της παραπληροφόρησης σε μεγάλη κλίμακα και την ανάπτυξη αποτελεσματικότερων αντιμέτρων· καλεί την Ένωση και τα κράτη μέλη να χρησιμοποιήσουν τα κονδύλια της ΕΕ για δραστηριότητες ενίσχυσης της παιδείας των πολιτών στα Μέσα· ζητεί να αυξηθεί η χρηματοδότηση για την καταπολέμηση της ρητορικής μίσους και του τρομοκρατικού περιεχομένου στο διαδίκτυο· υπογραμμίζει την ανάγκη να ενισχυθεί η δημοσιογραφική ελευθερία και η πολυφωνία των μέσων ενημέρωσης μέσω επαρκών πόρων, σύμφωνα με τους σχετικούς κανονισμούς, και να υποστηριχθούν οι δημοσιογράφοι, συμπεριλαμβανομένων των ερευνητών δημοσιογράφων, των υπερασπιστών των ανθρωπίνων δικαιωμάτων και των μελών της </w:t>
      </w:r>
      <w:r w:rsidR="00956A6B" w:rsidRPr="00204E90">
        <w:lastRenderedPageBreak/>
        <w:t>κοινωνίας των πολιτών που αντιμετωπίζουν αντίποινα, όπως στρατηγικές αγωγές προς αποθάρρυνση της συμμετοχής του κοινού (SLAPP)· ζητεί επαρκή στήριξη στον πολιτιστικό τομέα, μεταξύ άλλων για την προώθηση της διασυνοριακής κυκλοφορίας ευρωπαϊκών ταινιών, μουσικής και βιντεοπαιχνιδιών· ζητεί, ως εκ τούτου, να αυξηθεί η χρηματοδότηση για το πρόγραμμα «Δημιουργική Ευρώπη»·</w:t>
      </w:r>
    </w:p>
    <w:p w:rsidR="00956A6B" w:rsidRPr="00204E90" w:rsidRDefault="00956A6B" w:rsidP="00012622">
      <w:pPr>
        <w:pStyle w:val="NormalHanging12a"/>
        <w:widowControl/>
        <w:ind w:left="0" w:firstLine="0"/>
        <w:rPr>
          <w:b/>
          <w:i/>
        </w:rPr>
      </w:pPr>
      <w:r w:rsidRPr="00204E90">
        <w:rPr>
          <w:b/>
          <w:i/>
        </w:rPr>
        <w:t>Προϋπολογισμός που υλοποιεί στρατηγικές προτεραιότητες</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27.</w:t>
      </w:r>
      <w:r w:rsidRPr="00204E90">
        <w:rPr>
          <w:color w:val="000000"/>
        </w:rPr>
        <w:tab/>
      </w:r>
      <w:r w:rsidR="00956A6B" w:rsidRPr="00204E90">
        <w:rPr>
          <w:color w:val="000000"/>
        </w:rPr>
        <w:t xml:space="preserve">τονίζει ότι είναι σημαντικό να μειωθούν οι στρατηγικές εξαρτήσεις της Ένωσης σε βασικούς τομείς· εκφράζει την ικανοποίηση του για τον νέο κανονισμό STEP, αλλά επισημαίνει την ανάγκη να δοθεί μια διαρθρωτική απάντηση στις επενδυτικές ανάγκες των στρατηγικών βιομηχανιών προκειμένου να διευκολυνθούν ο εντοπισμός, η ανάπτυξη και κλιμάκωση ρηξικέλευθων τεχνολογιών· εκφράζει τη λύπη του για το γεγονός ότι, εν προκειμένω, το υφιστάμενο επίπεδο χρηματοδότησης του προγράμματος «Ορίζων Ευρώπη» είναι ανεπαρκές και ζητεί να αυξηθεί η χρηματοδότηση για το πρόγραμμα «Ορίζων Ευρώπη» και άλλα βασικά προγράμματα της Ένωσης στον τομέα αυτό, όπως το InvestEU, για την επίτευξη του στόχου της ανοικτής στρατηγικής αυτονομίας· θεωρεί ότι η εξάρτηση της ΕΕ όσον αφορά την προμήθεια πόρων αποτελεί αυξανόμενη ανησυχία· </w:t>
      </w:r>
      <w:r w:rsidR="00956A6B" w:rsidRPr="00204E90">
        <w:t>ζητεί περαιτέρω επενδύσεις της ΕΕ στην οικοδόμηση της ανοικτής στρατηγικής αυτονομίας της με τη διασφάλιση της επίσπευσης της ανάπτυξης ανανεώσιμων πηγών ενέργειας, της επίσπευσης των διαδικασιών αδειοδότησης, της απανθρακοποίησης των κτιρίων, της πρόσβασης σε κρίσιμες πρώτες ύλες και της ανάπτυξης ανθεκτικών αλυσίδων αξίας για τα βιομηχανικά οικοσυστήματα της ΕΕ, ιδίως σε βασικούς τομείς όπως η υγεία και η άμυνα·</w:t>
      </w:r>
      <w:r w:rsidR="00956A6B" w:rsidRPr="00204E90">
        <w:rPr>
          <w:color w:val="000000"/>
        </w:rPr>
        <w:t xml:space="preserve"> </w:t>
      </w:r>
      <w:r w:rsidR="00956A6B" w:rsidRPr="00204E90">
        <w:t xml:space="preserve">ζητεί επαρκή χρηματοδότηση που θα διασφαλίζει συνεχή ανάπτυξη στα τρέχοντα ενωσιακά εμβληματικά προγράμματα στον διαστημικό τομέα, μεταξύ άλλων το </w:t>
      </w:r>
      <w:proofErr w:type="spellStart"/>
      <w:r w:rsidR="00956A6B" w:rsidRPr="00204E90">
        <w:t>Copernicus</w:t>
      </w:r>
      <w:proofErr w:type="spellEnd"/>
      <w:r w:rsidR="00956A6B" w:rsidRPr="00204E90">
        <w:t xml:space="preserve">, το </w:t>
      </w:r>
      <w:proofErr w:type="spellStart"/>
      <w:r w:rsidR="00956A6B" w:rsidRPr="00204E90">
        <w:t>Galileo</w:t>
      </w:r>
      <w:proofErr w:type="spellEnd"/>
      <w:r w:rsidR="00956A6B" w:rsidRPr="00204E90">
        <w:t>/EGNOS, την ευρωπαϊκή πρωτοβουλία που αφορά τις δορυφορικές επικοινωνίες (GOVSATCOM) και το σύστημα επαγρύπνησης για την κατάσταση στο διάστημα (SSA)·</w:t>
      </w:r>
    </w:p>
    <w:p w:rsidR="00956A6B" w:rsidRPr="00204E90" w:rsidRDefault="00204E90" w:rsidP="00204E90">
      <w:pPr>
        <w:pStyle w:val="NormalHanging12a"/>
        <w:widowControl/>
        <w:ind w:left="570" w:hanging="570"/>
      </w:pPr>
      <w:r w:rsidRPr="00204E90">
        <w:t>28.</w:t>
      </w:r>
      <w:r w:rsidRPr="00204E90">
        <w:tab/>
      </w:r>
      <w:r w:rsidR="00956A6B" w:rsidRPr="00204E90">
        <w:t>υποστηρίζει ότι η ψηφιακή μετάβαση προσφέρει μια σειρά ευκαιριών για τη βελτίωση των ψηφιακών υποδομών και της συνδεσιμότητας και για την ανάπτυξη ψηφιακών δεξιοτήτων· επισημαίνει, εν προκειμένω, τη σημασία του προγράμματος «Ψηφιακή Ευρώπη», του μηχανισμού «Συνδέοντας την Ευρώπη» (ΜΣΕ-Ψηφιακός τομέας) καθώς και του σχεδίου δράσης για την ψηφιακή εκπαίδευση· επαναλαμβάνει την ανάγκη για ένα εκπαιδευτικό πρόγραμμα ΤΝ, κωδικοποίησης και ρομποτικής σχεδιασμένο για εκπαιδευτικούς και εκπαιδευόμενους, το οποίο θα χρηματοδοτείται μέσω των σχετικών προγραμμάτων· υπογραμμίζει ότι ο προϋπολογισμός της ΕΕ θα πρέπει να στηρίζει επαρκώς τη δεοντολογική και χωρίς διακρίσεις χρήση της τεχνητής νοημοσύνης, ιδίως στους τομείς της εκπαίδευσης και του πολιτισμού· υπενθυμίζει την ανάγκη για προγράμματα χρηματοδοτούμενα από την ΕΕ για την πραγματοποίηση περαιτέρω επενδύσεων στη βελτίωση του ψηφιακού γραμματισμού στην κοινωνία και την κάλυψη του ψηφιακού χάσματος, συμπεριλαμβανομένου του ψηφιακού χάσματος μεταξύ των φύλων, στην εκπαίδευση και τη διά βίου μάθηση·</w:t>
      </w:r>
    </w:p>
    <w:p w:rsidR="00956A6B" w:rsidRPr="00204E90" w:rsidRDefault="00204E90" w:rsidP="00204E90">
      <w:pPr>
        <w:pStyle w:val="NormalHanging12a"/>
        <w:widowControl/>
        <w:ind w:left="570" w:hanging="570"/>
      </w:pPr>
      <w:r w:rsidRPr="00204E90">
        <w:t>29.</w:t>
      </w:r>
      <w:r w:rsidRPr="00204E90">
        <w:tab/>
      </w:r>
      <w:r w:rsidR="00956A6B" w:rsidRPr="00204E90">
        <w:t xml:space="preserve">υπογραμμίζει τον κεντρικό ρόλο του προϋπολογισμού της ΕΕ στην υλοποίηση της Ευρωπαϊκής Πράσινης Συμφωνίας και στην αντιμετώπιση της κλιματικής αλλαγής μέσω της μείωσης των εκπομπών, της αύξησης της χρήσης ανανεώσιμων πηγών ενέργειας, της δημιουργίας μιας κυκλικής οικονομίας, της προστασίας των οικοσυστημάτων και της αντιστροφής της ανησυχητικής τάσης για απώλεια της βιοποικιλότητας, με την παράλληλη προστασία της ανταγωνιστικότητας και τη </w:t>
      </w:r>
      <w:r w:rsidR="00956A6B" w:rsidRPr="00204E90">
        <w:lastRenderedPageBreak/>
        <w:t>δημιουργία πράσινων θέσεων εργασίας, καθώς και την ανάπτυξη εντός της ΕΕ· υπογραμμίζει τον κεντρικό ρόλο που διαδραματίζει το πρόγραμμα LIFE στην υλοποίηση της Ευρωπαϊκής Πράσινης Συμφωνίας και την επίτευξη του στόχου της Ένωσης για κλιματική ουδετερότητα, σύμφωνα με το ευρωπαϊκό νομοθέτημα για το κλίμα και τη συμφωνία του Παρισιού· εκφράζει τη βαθιά του ανησυχία για τις σοβαρές επιπτώσεις της κλιματικής αλλαγής, μεταξύ άλλων με τη μορφή λειψυδρίας·</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30.</w:t>
      </w:r>
      <w:r w:rsidRPr="00204E90">
        <w:rPr>
          <w:color w:val="000000"/>
        </w:rPr>
        <w:tab/>
      </w:r>
      <w:r w:rsidR="00956A6B" w:rsidRPr="00204E90">
        <w:rPr>
          <w:color w:val="000000"/>
        </w:rPr>
        <w:t>υπογραμμίζει ότι οι ανησυχίες σχετικά με την ασφάλεια του ενεργειακού εφοδιασμού και τις υψηλές τιμές ενέργειας καθιστούν το ζήτημα της ενεργειακής φτώχειας κρίσιμο και θέτουν προκλήσεις για την ευρωπαϊκή βιομηχανία, ιδίως τις ΜΜΕ· στο πλαίσιο αυτό, τονίζει την ανάγκη να ενισχυθούν οι επενδύσεις της ΕΕ για την εν εξελίξει μετάβαση της ΕΕ στην κλιματική ουδετερότητα, μεταξύ άλλων για την ενεργειακή απόδοση, την έρευνα και την καινοτομία σε βιώσιμες τεχνολογίες χαμηλών ανθρακούχων εκπομπών και χωρίς ανθρακούχες εκπομπές, και ιδίως σε τομείς με θετικό αντίκτυπο στη μείωση του κόστους διαβίωσης για τα νοικοκυριά, όπως η βελτίωση της ενεργειακής απόδοσης των κτιρίων, και η ανάπτυξη ανανεώσιμων πηγών ενέργειας· σημειώνει τις τεράστιες επενδυτικές ανάγκες για την απανθρακοποίηση των μεταφορών και τη συνεχή άνοδο των τιμών των κατασκευών και των πρώτων υλών· αναγνωρίζει τη στρατηγική αξία της επέκτασης του ΔΕΔ-Μ προς την Ανατολική Γειτονία και την ισχυρότερη συνδεσιμότητα με τους στρατηγικούς εταίρους της ΕΕ· τονίζει τη σημασία του προγράμματος ΜΣΕ-Μεταφορές και τον θετικό του ρόλο στην επίτευξη των στόχων της Πράσινης Συμφωνίας και της μετάβασης σε καθαρές μορφές ενέργειας·</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31.</w:t>
      </w:r>
      <w:r w:rsidRPr="00204E90">
        <w:rPr>
          <w:color w:val="000000"/>
        </w:rPr>
        <w:tab/>
      </w:r>
      <w:r w:rsidR="00956A6B" w:rsidRPr="00204E90">
        <w:rPr>
          <w:color w:val="000000"/>
        </w:rPr>
        <w:t xml:space="preserve">υπογραμμίζει ότι ο προϋπολογισμός του 2025 πρέπει να ευθυγραμμιστεί με τους στόχους πολιτικής και τις διεθνείς δεσμεύσεις της Ένωσης· τονίζει την ανάγκη συνεχούς εργασίας για να επιτευχθούν οι στόχοι ενσωμάτωσης της διάστασης του κλίματος και της βιοποικιλότητας για τις δαπάνες του προϋπολογισμού της Ένωσης που ορίζονται στη διοργανική συμφωνία, στο πλαίσιο του ευρύτερου στόχου να καταστεί η Ένωση κλιματικά ουδέτερη έως το 2050 το αργότερο· υπενθυμίζει τη διάταξη της διοργανικής συμφωνίας για τον προσδιορισμό των σχετικών μέτρων που πρέπει να λαμβάνονται σε περίπτωση που ο περιοδικός απολογισμός δείχνει ανεπαρκή πρόοδο προς την επίτευξη των εφαρμοστέων στόχων· εκφράζει την ανησυχία του για την εκτίμηση της Επιτροπής ότι ο στόχος του 10 % των δαπανών σε σχέση με τη βιοποικιλότητα το 2026 και το 2027 πιθανότατα δεν θα επιτευχθεί και για την έλλειψη σαφούς οδού για την επίτευξη των συμφωνημένων στόχων· ζητεί από την Επιτροπή να παρακολουθεί την εφαρμογή της αρχής της μη πρόκλησης σημαντικής βλάβης και να λαμβάνει τα αναγκαία διορθωτικά μέτρα, όταν είναι απαραίτητο· </w:t>
      </w:r>
    </w:p>
    <w:p w:rsidR="00956A6B" w:rsidRPr="00204E90" w:rsidRDefault="00204E90" w:rsidP="00204E90">
      <w:pPr>
        <w:pStyle w:val="NormalHanging12a"/>
        <w:widowControl/>
        <w:ind w:left="570" w:hanging="570"/>
        <w:rPr>
          <w:color w:val="000000"/>
        </w:rPr>
      </w:pPr>
      <w:r w:rsidRPr="00204E90">
        <w:rPr>
          <w:color w:val="000000"/>
        </w:rPr>
        <w:t>32.</w:t>
      </w:r>
      <w:r w:rsidRPr="00204E90">
        <w:rPr>
          <w:color w:val="000000"/>
        </w:rPr>
        <w:tab/>
      </w:r>
      <w:r w:rsidR="00956A6B" w:rsidRPr="00204E90">
        <w:t>τονίζει τη σημασία της Ευρωπαϊκής Αστικής Πρωτοβουλίας και της επαρκούς χρηματοδότησής της για την εκπλήρωση όλων των στόχων της·</w:t>
      </w:r>
      <w:r w:rsidR="00956A6B" w:rsidRPr="00204E90">
        <w:rPr>
          <w:color w:val="000000"/>
        </w:rPr>
        <w:t xml:space="preserve"> ζητεί περισσότερη άμεση χρηματοδότηση για τις τοπικές αρχές προκειμένου να ενισχυθεί η ανάπτυξη ικανοτήτων, η τεχνική υποστήριξη και η ανταλλαγή βέλτιστων πρακτικών· ζητεί την ενίσχυση των πόρων για τους σχετικούς οργανισμούς, οι οποίοι πρέπει να αντιστοιχούν στον φόρτο εργασίας που απορρέει από το θεματολόγιο της Πράσινης Συμφωνίας της ΕΕ, ιδίως από τη «δέσμη προσαρμογής στον στόχο του 55 %»·</w:t>
      </w:r>
    </w:p>
    <w:p w:rsidR="00956A6B" w:rsidRPr="00204E90" w:rsidRDefault="00204E90" w:rsidP="00204E90">
      <w:pPr>
        <w:pStyle w:val="NormalHanging12a"/>
        <w:widowControl/>
        <w:ind w:left="570" w:hanging="570"/>
      </w:pPr>
      <w:r w:rsidRPr="00204E90">
        <w:t>33.</w:t>
      </w:r>
      <w:r w:rsidRPr="00204E90">
        <w:tab/>
      </w:r>
      <w:r w:rsidR="00956A6B" w:rsidRPr="00204E90">
        <w:t xml:space="preserve">τονίζει την ουσιώδη συνεισφορά των γεωργών και των αλιέων στην κοινωνία και υπογραμμίζει, επομένως, την κεντρική σημασία της κοινής γεωργικής πολιτικής (ΚΓΠ) και της κοινής αλιευτικής πολιτικής για την επισιτιστική ασφάλεια και τη μεγαλύτερη αυτονομία της ΕΕ στην παραγωγή τροφίμων υψηλής ποιότητας· υπογραμμίζει τον ρόλο </w:t>
      </w:r>
      <w:r w:rsidR="00956A6B" w:rsidRPr="00204E90">
        <w:lastRenderedPageBreak/>
        <w:t xml:space="preserve">της ΚΓΠ στη διασφάλιση βιώσιμου και αξιοπρεπούς εισοδήματος για τους γεωργούς της ΕΕ, ιδίως τους γεωργούς μικρής κλίμακας και τους γεωργούς νεαρής ηλικίας· ζητεί συγκεκριμένα μέτρα για την αντιμετώπιση των βαθύτερων αιτιών της δυσαρέσκειας των γεωργών σε ολόκληρη την ΕΕ και ειδικότερα ζητεί άμεσους πόρους και μέτρα για να βοηθηθούν οι γεωργοί να αντιμετωπίσουν τον αντίκτυπο του πληθωρισμού, του κόστους των καυσίμων, των νέων προτύπων παραγωγής και των αλλαγών στην παγκόσμια αγορά τροφίμων· τονίζει την ανάγκη να βοηθηθούν οι νέοι γεωργοί και οι γεωργοί νεαρής ηλικίας, διασφαλίζοντας έτσι την ανανέωση των γενεών, και αντιμετωπίζοντας παράλληλα τις ελλείψεις εργατικού δυναμικού και δεξιοτήτων στον </w:t>
      </w:r>
      <w:proofErr w:type="spellStart"/>
      <w:r w:rsidR="00956A6B" w:rsidRPr="00204E90">
        <w:t>αγροδιατροφικό</w:t>
      </w:r>
      <w:proofErr w:type="spellEnd"/>
      <w:r w:rsidR="00956A6B" w:rsidRPr="00204E90">
        <w:t xml:space="preserve"> τομέα· επισημαίνει ότι οι Ευρωπαίοι γεωργοί αντιμετωπίζουν πολλές προκλήσεις, ιδίως υπερβολική γραφειοκρατία και διοικητικό φόρτο, αύξηση της κανονιστικής αλληλεπικάλυψης, ελλείψεις, καθώς και δύσκολες συνθήκες εργασίας· </w:t>
      </w:r>
      <w:r w:rsidR="00956A6B" w:rsidRPr="00204E90">
        <w:rPr>
          <w:color w:val="000000"/>
        </w:rPr>
        <w:t xml:space="preserve">τονίζει την ανάγκη να αντιμετωπιστεί καλύτερα ο αντίκτυπος της αυξανόμενης συχνότητας και έντασης των πλημμυρών, των ξηρασιών και των δασικών πυρκαγιών στους τομείς μέσω ειδικών μέτρων στήριξης· </w:t>
      </w:r>
      <w:r w:rsidR="00956A6B" w:rsidRPr="00204E90">
        <w:t>ζητεί επαρκές εισόδημα για όλους στους γεωργικούς τομείς· υπογραμμίζει την ανάγκη για κατάλληλη στήριξη της έρευνας και της καινοτομίας, για την τήρηση των εργασιακών προτύπων, καθώς και για κατάλληλες επενδύσεις που θα προσφέρουν εναλλακτικές πηγές εισοδήματος και θα διευκολύνουν τη μετάβαση σε ένα πιο βιώσιμο και οικονομικά προσιτό σύστημα τροφίμων, ιδίως μέσω της καινοτομίας, διατηρώντας το εισόδημα των γεωργών, και αποφεύγοντας παράλληλα μια κατάσταση όπου οι Ευρωπαίοι γεωργοί θα αντιμετωπίζουν αθέμιτο ανταγωνισμό από εισαγωγές που δεν πληρούν τα πρότυπά μας·</w:t>
      </w:r>
      <w:r w:rsidR="00956A6B" w:rsidRPr="00204E90">
        <w:rPr>
          <w:color w:val="000000"/>
        </w:rPr>
        <w:t xml:space="preserve"> </w:t>
      </w:r>
      <w:r w:rsidR="00956A6B" w:rsidRPr="00204E90">
        <w:t>αναμένει ότι ο στρατηγικός διάλογος για το μέλλον της γεωργίας θα εξετάσει όλα τα σχετικά ζητήματα, συμπεριλαμβανομένων των προληπτικών πτυχών·</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34.</w:t>
      </w:r>
      <w:r w:rsidRPr="00204E90">
        <w:rPr>
          <w:color w:val="000000"/>
        </w:rPr>
        <w:tab/>
      </w:r>
      <w:r w:rsidR="00956A6B" w:rsidRPr="00204E90">
        <w:t>επαναλαμβάνει ότι όλα τα προγράμματα, οι πολιτικές και οι δραστηριότητες της ΕΕ θα πρέπει να εφαρμόζονται κατά τρόπο που να προωθεί την ισότητα των φύλων κατά την επίτευξη των στόχων τους· χαιρετίζει, στο πλαίσιο αυτό, το έργο της Επιτροπής σχετικά με τη συνεκτίμηση της διάστασης του φύλου στον προϋπολογισμό και τονίζει την ανάγκη περαιτέρω ανάπτυξης της οικείας μεθοδολογίας για τη μέτρηση του αντικτύπου των δαπανών της Ένωσης στην ισότητα των φύλων, όπως ορίζεται στη διοργανική συμφωνία·</w:t>
      </w:r>
      <w:r w:rsidR="00956A6B" w:rsidRPr="00204E90">
        <w:rPr>
          <w:color w:val="000000"/>
        </w:rPr>
        <w:t xml:space="preserve"> καλεί την Επιτροπή να καταδείξει τα αποτελέσματα αυτής της μεθοδολογίας για τον προϋπολογισμό του 2025, σε συνδυασμό με τη συστηματική συλλογή, υποβολή στοιχείων και αξιολόγηση δεδομένων ανά φύλο·</w:t>
      </w:r>
    </w:p>
    <w:p w:rsidR="00956A6B" w:rsidRPr="00204E90" w:rsidRDefault="00956A6B" w:rsidP="00012622">
      <w:pPr>
        <w:pStyle w:val="NormalHanging12a"/>
        <w:widowControl/>
        <w:ind w:left="0" w:firstLine="0"/>
        <w:rPr>
          <w:b/>
          <w:i/>
        </w:rPr>
      </w:pPr>
      <w:r w:rsidRPr="00204E90">
        <w:rPr>
          <w:b/>
          <w:i/>
        </w:rPr>
        <w:t>Ένας προϋπολογισμός που μπορεί να ανταποκριθεί στις μελλοντικές εξελίξεις για έναν μεταβαλλόμενο κόσμο</w:t>
      </w:r>
    </w:p>
    <w:p w:rsidR="00956A6B" w:rsidRPr="00204E90" w:rsidRDefault="00204E90" w:rsidP="00204E90">
      <w:pPr>
        <w:widowControl/>
        <w:spacing w:after="240"/>
        <w:ind w:left="570" w:hanging="570"/>
      </w:pPr>
      <w:r w:rsidRPr="00204E90">
        <w:t>35.</w:t>
      </w:r>
      <w:r w:rsidRPr="00204E90">
        <w:tab/>
      </w:r>
      <w:r w:rsidR="00956A6B" w:rsidRPr="00204E90">
        <w:t>τονίζει εκ νέου την ανάγκη εφαρμογής μιας πολιτικής για τη μετανάστευση και το άσυλο που θα βασίζεται στην αλληλεγγύη, την κοινή ευθύνη και τον σεβασμό των ανθρωπίνων δικαιωμάτων, σύμφωνα με τις αξίες και διεθνείς δεσμεύσεις της Ένωσης· τονίζει ότι η αποτελεσματική, ανθρωπιστική και δίκαιη διαχείριση και προστασία των εξωτερικών συνόρων της Ένωσης, είναι καίριας σημασίας για να εξασφαλιστεί η ασφάλεια της Ένωσης, η ομαλή και αποδοτική εφαρμογή της πολιτικής της Ένωσης για τη μετανάστευση και το άσυλο, ιδίως προκειμένου να προετοιμαστεί η έναρξη εφαρμογής του νέου συμφώνου για τη μετανάστευση και το άσυλο μεταξύ άλλων όσον αφορά την καθιέρωση αποτελεσματικών, ασφαλών και αξιοπρεπών διαδικασιών υποδοχής, ένταξης, επιστροφής και επανεισδοχής·</w:t>
      </w:r>
      <w:r w:rsidR="00956A6B" w:rsidRPr="00204E90">
        <w:rPr>
          <w:color w:val="000000"/>
        </w:rPr>
        <w:t xml:space="preserve"> υπογραμμίζει τον ζωτικό ρόλο που διαδραματίζουν εν προκειμένω το Ταμείο Ασύλου, Μετανάστευσης και Ένταξης</w:t>
      </w:r>
      <w:r w:rsidR="00012622" w:rsidRPr="00204E90">
        <w:rPr>
          <w:color w:val="000000"/>
        </w:rPr>
        <w:t xml:space="preserve"> </w:t>
      </w:r>
      <w:r w:rsidR="00956A6B" w:rsidRPr="00204E90">
        <w:rPr>
          <w:color w:val="000000"/>
        </w:rPr>
        <w:t xml:space="preserve">(ΤΑΜΕ) και το Μέσο για τη Διαχείριση των Συνόρων και τις Θεωρήσεις (ΜΔΣΘ)· </w:t>
      </w:r>
      <w:r w:rsidR="00956A6B" w:rsidRPr="00204E90">
        <w:t xml:space="preserve">υπενθυμίζει την ανάγκη να διατηρηθεί η ελεύθερη κυκλοφορία των ανθρώπων εντός </w:t>
      </w:r>
      <w:r w:rsidR="00956A6B" w:rsidRPr="00204E90">
        <w:lastRenderedPageBreak/>
        <w:t>της Ένωσης· υπενθυμίζει ότι η Ρουμανία και η Βουλγαρία θα ενταχθούν στον χωρίς σύνορα ταξιδιωτικό χώρο Σένγκεν της Ευρώπης έως τον Μάρτιο του 2024 και επαναλαμβάνει ότι είναι σημαντικό να ολοκληρωθεί επειγόντως και να τεθεί σε λειτουργία μια πλήρης προσχώρηση, συμπεριλαμβανομένων των χερσαίων και σιδηροδρομικών συνδέσεων· θα προσπαθήσει να μεγιστοποιήσει τα διαθέσιμα κονδύλια στον προϋπολογισμό 2025 για τους σκοπούς αυτούς· θεωρεί ότι η ΕΕ πρέπει να συνεργαστεί στενά με τους γείτονές της και τις τρίτες χώρες προέλευσης και διέλευσης για την τόνωση της σταθερής, βιώσιμης και χωρίς αποκλεισμούς ανάπτυξης και την αντιμετώπιση των βαθύτερων αιτίων της μετανάστευσης, αποτρέποντας έτσι την παράτυπη μετανάστευση και προστατεύοντας τα ευάλωτα άτομα από τα δίκτυα παράνομης διακίνησης και εμπορίας ανθρώπων, καθώς και τους θανάτους στη θάλασσα· επισημαίνει ειδικότερα τις αυξανόμενες αρμοδιότητες των οργανισμών που είναι υπεύθυνοι για την επιτήρηση και τη διαχείριση των συνόρων, τη στήριξη των κρατών μελών κατά την εκτέλεση των καθηκόντων τους στο πλαίσιο του κοινού ευρωπαϊκού συστήματος ασύλου και τη συμμόρφωση με τα θεμελιώδη δικαιώματα·</w:t>
      </w:r>
      <w:r w:rsidR="00956A6B" w:rsidRPr="00204E90">
        <w:rPr>
          <w:color w:val="000000"/>
        </w:rPr>
        <w:t xml:space="preserve"> τονίζει την ανάγκη επαρκούς χρηματοδότησης, στελέχωσης και κατάρτισης του προσωπικού για όλους τους οργανισμούς που δραστηριοποιούνται στους τομείς της ασφάλειας, της δικαιοσύνης, της επιβολής του νόμου, του ασύλου και της μετανάστευσης, καθώς και της διαχείρισης των συνόρων, προκειμένου να είναι σε θέση να εκπληρώνουν την εντολή τους· ζητεί να δοθεί ιδιαίτερη έμφαση στην ακριβή εφαρμογή και διαχείριση των συστημάτων ΤΠ μεγάλης κλίμακας της ΕΕ, τα οποία συμβάλλουν στο τοπίο της ασφάλειας της Ένωσης·</w:t>
      </w:r>
    </w:p>
    <w:p w:rsidR="00956A6B" w:rsidRPr="00204E90" w:rsidRDefault="00204E90" w:rsidP="00204E90">
      <w:pPr>
        <w:widowControl/>
        <w:pBdr>
          <w:top w:val="nil"/>
          <w:left w:val="nil"/>
          <w:bottom w:val="nil"/>
          <w:right w:val="nil"/>
          <w:between w:val="nil"/>
        </w:pBdr>
        <w:spacing w:after="240"/>
        <w:ind w:left="570" w:hanging="570"/>
      </w:pPr>
      <w:r w:rsidRPr="00204E90">
        <w:t>36.</w:t>
      </w:r>
      <w:r w:rsidRPr="00204E90">
        <w:tab/>
      </w:r>
      <w:r w:rsidR="00956A6B" w:rsidRPr="00204E90">
        <w:t xml:space="preserve">τονίζει ότι το περιβάλλον ασφάλειας γύρω από την ΕΕ παραμένει πολύ ασταθές· </w:t>
      </w:r>
      <w:r w:rsidR="00956A6B" w:rsidRPr="00204E90">
        <w:rPr>
          <w:color w:val="000000"/>
        </w:rPr>
        <w:t xml:space="preserve"> εξακολουθεί να δίνει ιδιαίτερη έμφαση στις ευρωπαϊκές ικανότητες ασφάλειας και άμυνας για την καλύτερη ανταπόκριση στις άνευ προηγουμένου γεωπολιτικές προκλήσεις· πιστεύει ότι ο προϋπολογισμός της ΕΕ είναι καθοριστικής σημασίας στο πλαίσιο μιας κοινής αμυντικής στρατηγικής της ΕΕ και της ενίσχυσης του συντονισμού στον τομέα της ασφάλειας και της άμυνας μεταξύ των κρατών μελών· επιθυμεί να ενισχύσει τα πλέον επιτυχημένα και συναφή προγράμματα, όπως το Ευρωπαϊκό Ταμείο Άμυνας και τους οργανισμούς του για την ενίσχυση της ευρωπαϊκής κυριαρχίας· επιθυμεί να υπογραμμίσει τις συνέργειες και την αποδοτικότητα των επενδύσεων σε επίπεδο ΕΕ στον τομέα της άμυνας, ιδίως στον τομέα της στρατιωτικής κινητικότητας, της προστασίας και της διαλειτουργικότητας των υποδομών· υπογραμμίζει την ανάγκη να αντιμετωπιστούν ζητήματα όπως η παραπληροφόρηση ως αυξανόμενη πρόκληση πολιτικής και ασφάλειας, ιδίως μετά τον πόλεμο της Ρωσίας κατά της Ουκρανίας, το έγκλημα στον κυβερνοχώρο ή το οργανωμένο έγκλημα με διασυνοριακή διάσταση· </w:t>
      </w:r>
    </w:p>
    <w:p w:rsidR="00956A6B" w:rsidRPr="00204E90" w:rsidRDefault="00204E90" w:rsidP="00204E90">
      <w:pPr>
        <w:pStyle w:val="NormalHanging12a"/>
        <w:widowControl/>
        <w:ind w:left="570" w:hanging="570"/>
      </w:pPr>
      <w:r w:rsidRPr="00204E90">
        <w:t>37.</w:t>
      </w:r>
      <w:r w:rsidRPr="00204E90">
        <w:tab/>
      </w:r>
      <w:r w:rsidR="00956A6B" w:rsidRPr="00204E90">
        <w:t xml:space="preserve">επαναλαμβάνει ότι καταδικάζει τον πόλεμο της Ρωσίας κατά της Ουκρανίας και τονίζει ότι ο πόλεμος της Ρωσίας κατά της Ουκρανίας έχει επαναφέρει τον πόλεμο στη γειτονία της Ευρωπαϊκής Ένωσης και έχει επηρεάσει τις αλυσίδες εφοδιασμού, τις εμπορικές και οικονομικές σχέσεις· </w:t>
      </w:r>
      <w:r w:rsidR="00956A6B" w:rsidRPr="00204E90">
        <w:rPr>
          <w:color w:val="000000"/>
        </w:rPr>
        <w:t xml:space="preserve">επαναλαμβάνει την πλήρη υποστήριξή του προς την Ουκρανία στον αγώνα για την ελευθερία της και τη δημοκρατία· </w:t>
      </w:r>
      <w:r w:rsidR="00956A6B" w:rsidRPr="00204E90">
        <w:t xml:space="preserve">εκφράζει τη βαθιά λύπη του για τον τρομερό αντίκτυπο στις ζωές, τα δεινά του ουκρανικού λαού, καθώς και για τις σημαντικές οικονομικές και κοινωνικές συνέπειες για τους λαούς της Ευρώπης που οφείλονται στον απρόκλητο και αδικαιολόγητο επιθετικό πόλεμο της Ρωσίας· θεωρεί ότι ο προϋπολογισμός του 2025 θα πρέπει να συμβάλει στον μετριασμό των επιπτώσεων της κρίσης του κόστους ζωής και του πληθωρισμού· υπενθυμίζει ότι ορισμένα κράτη μέλη, ιδίως εκείνα που βρίσκονται στην πρώτη γραμμή, και ευάλωτοι τομείς της οικονομίας, παραμένουν ιδιαίτερα εκτεθειμένα στις συνέπειες του επιθετικού πολέμου της Ρωσίας κατά της Ουκρανίας και αξίζουν στήριξη σε τομείς όπως η </w:t>
      </w:r>
      <w:r w:rsidR="00956A6B" w:rsidRPr="00204E90">
        <w:lastRenderedPageBreak/>
        <w:t>γεωργία ή οι υποδομές, αλλά και η στρατιωτική κινητικότητα στο πνεύμα της αλληλεγγύης της ΕΕ·</w:t>
      </w:r>
    </w:p>
    <w:p w:rsidR="00956A6B" w:rsidRPr="00204E90" w:rsidRDefault="00204E90" w:rsidP="00204E90">
      <w:pPr>
        <w:pStyle w:val="NormalHanging12a"/>
        <w:widowControl/>
        <w:ind w:left="570" w:hanging="570"/>
      </w:pPr>
      <w:r w:rsidRPr="00204E90">
        <w:t>38.</w:t>
      </w:r>
      <w:r w:rsidRPr="00204E90">
        <w:tab/>
      </w:r>
      <w:r w:rsidR="00956A6B" w:rsidRPr="00204E90">
        <w:t xml:space="preserve">παραμένει αποφασισμένο να βοηθήσει και να στηρίξει την Ουκρανία μέσω της προτεινόμενης διευκόλυνσης για την Ουκρανία, που θα παρέχει στήριξη με τη μορφή επιχορηγήσεων και δανείων για την επισκευή, την ανάκαμψη και την ανασυγκρότηση της Ουκρανίας, για την μακροοικονομική χρηματοδοτική συνδρομή, την κοινωνική, οικονομική και περιβαλλοντική ανοδική σύγκλιση και δημόσιες επενδύσεις, καθώς και για την πορεία προσχώρησής της στην ΕΕ· τονίζει την επείγουσα ανάγκη και την ευκαιρία να συνδυαστούν η στήριξη προς την Ουκρανία και οι προσπάθειες ανασυγκρότησης με μια εποικοδομητική </w:t>
      </w:r>
      <w:proofErr w:type="spellStart"/>
      <w:r w:rsidR="00956A6B" w:rsidRPr="00204E90">
        <w:t>προενταξιακή</w:t>
      </w:r>
      <w:proofErr w:type="spellEnd"/>
      <w:r w:rsidR="00956A6B" w:rsidRPr="00204E90">
        <w:t xml:space="preserve"> διαδικασία που προωθεί τις μεταρρυθμίσεις και τη σταδιακή μετάβαση προς το κεκτημένο της ΕΕ· </w:t>
      </w:r>
      <w:r w:rsidR="00956A6B" w:rsidRPr="00204E90">
        <w:rPr>
          <w:color w:val="000000"/>
        </w:rPr>
        <w:t>υπενθυμίζει ότι η ανθρωπιστική βοήθεια για την Ουκρανία δεν θα καλυφθεί από τη διευκόλυνση και, ως εκ τούτου, υπογραμμίζει ότι, στο πλαίσιο αυτό, θα πρέπει να παρασχεθούν επαρκείς πόροι για ανθρωπιστική βοήθεια και στον προϋπολογισμό του 2025·</w:t>
      </w:r>
    </w:p>
    <w:p w:rsidR="00956A6B" w:rsidRPr="00204E90" w:rsidRDefault="00204E90" w:rsidP="00204E90">
      <w:pPr>
        <w:pStyle w:val="NormalHanging12a"/>
        <w:widowControl/>
        <w:ind w:left="570" w:hanging="570"/>
      </w:pPr>
      <w:r w:rsidRPr="00204E90">
        <w:t>39.</w:t>
      </w:r>
      <w:r w:rsidRPr="00204E90">
        <w:tab/>
      </w:r>
      <w:r w:rsidR="00956A6B" w:rsidRPr="00204E90">
        <w:t xml:space="preserve">θεωρεί ότι η στήριξη προς τις χώρες των Δυτικών Βαλκανίων παραμένει σημαντική ενόψει της διεύρυνσης της ΕΕ και χαιρετίζει το νέο σχέδιο ανάπτυξης της Επιτροπής για τα Δυτικά Βαλκάνια ως ένα θετικό βήμα για την περαιτέρω στήριξη των χωρών των Δυτικών Βαλκανίων στην οικονομική σύγκλιση με την ενιαία αγορά της ΕΕ· υπογραμμίζει τη σημασία της συνεχούς στήριξης προς τις υποψήφιες χώρες για την εφαρμογή των αναγκαίων μεταρρυθμίσεων που σχετίζονται με την προσχώρηση, ιδίως όσον αφορά το κράτος δικαίου, την καταπολέμηση της διαφθοράς και τη δημοκρατία, και για την ενίσχυση της ανθεκτικότητάς τους, καθώς και για την πρόληψη και την αντιμετώπιση υβριδικών απειλών· </w:t>
      </w:r>
    </w:p>
    <w:p w:rsidR="00956A6B" w:rsidRPr="00204E90" w:rsidRDefault="00204E90" w:rsidP="00204E90">
      <w:pPr>
        <w:widowControl/>
        <w:pBdr>
          <w:top w:val="nil"/>
          <w:left w:val="nil"/>
          <w:bottom w:val="nil"/>
          <w:right w:val="nil"/>
          <w:between w:val="nil"/>
        </w:pBdr>
        <w:spacing w:after="240"/>
        <w:ind w:left="570" w:hanging="570"/>
      </w:pPr>
      <w:r w:rsidRPr="00204E90">
        <w:t>40.</w:t>
      </w:r>
      <w:r w:rsidRPr="00204E90">
        <w:tab/>
      </w:r>
      <w:r w:rsidR="00956A6B" w:rsidRPr="00204E90">
        <w:rPr>
          <w:color w:val="000000"/>
        </w:rPr>
        <w:t xml:space="preserve">χαιρετίζει την απόφαση να χορηγηθεί στη Δημοκρατία της Μολδαβίας καθεστώς υποψήφιας χώρας και επιμένει στην ανάγκη να διατεθούν τα αναγκαία κονδύλια για τη στήριξη της διαδικασίας προσχώρησής της· τονίζει ότι τα κονδύλια για τον Μηχανισμό Προενταξιακής Βοήθειας (ΜΠΒ ΙΙΙ) και τις σχετικές γραμμές του προϋπολογισμού στο πλαίσιο του NDICI – </w:t>
      </w:r>
      <w:proofErr w:type="spellStart"/>
      <w:r w:rsidR="00956A6B" w:rsidRPr="00204E90">
        <w:rPr>
          <w:color w:val="000000"/>
        </w:rPr>
        <w:t>Global</w:t>
      </w:r>
      <w:proofErr w:type="spellEnd"/>
      <w:r w:rsidR="00956A6B" w:rsidRPr="00204E90">
        <w:rPr>
          <w:color w:val="000000"/>
        </w:rPr>
        <w:t xml:space="preserve"> Europe το 2025 θα πρέπει να λειτουργήσουν ως καταλύτης για τη συνεργασία με τη Μολδαβία, καθώς και με τη Γεωργία, σύμφωνα με τη συμφωνία για την αναθεώρηση του ΠΔΠ·</w:t>
      </w:r>
    </w:p>
    <w:p w:rsidR="00956A6B" w:rsidRPr="00204E90" w:rsidRDefault="00204E90" w:rsidP="00204E90">
      <w:pPr>
        <w:pStyle w:val="NormalHanging12a"/>
        <w:widowControl/>
        <w:ind w:left="570" w:hanging="570"/>
      </w:pPr>
      <w:r w:rsidRPr="00204E90">
        <w:t>41.</w:t>
      </w:r>
      <w:r w:rsidRPr="00204E90">
        <w:tab/>
      </w:r>
      <w:r w:rsidR="00956A6B" w:rsidRPr="00204E90">
        <w:t xml:space="preserve">υπογραμμίζει ότι ο Μηχανισμός Γειτονίας, Ανάπτυξης και Διεθνούς Συνεργασίας (NDICI) – </w:t>
      </w:r>
      <w:proofErr w:type="spellStart"/>
      <w:r w:rsidR="00956A6B" w:rsidRPr="00204E90">
        <w:t>Global</w:t>
      </w:r>
      <w:proofErr w:type="spellEnd"/>
      <w:r w:rsidR="00956A6B" w:rsidRPr="00204E90">
        <w:t xml:space="preserve"> Europe είναι ένα ζωτικής σημασίας μέσο για τη θέση της Ευρωπαϊκής Ένωσης ως ηγετικής δύναμης παγκοσμίως και για να εκπληρώσει τον ρόλο της ως ειρηνικής σταθεροποιητικής δύναμης σε ολόκληρο τον κόσμο, ενισχύοντας με αυτόν τον τρόπο τα γεωπολιτικά συμφέροντα της Ένωσης στον κόσμο·</w:t>
      </w:r>
      <w:r w:rsidR="00956A6B" w:rsidRPr="00204E90">
        <w:rPr>
          <w:color w:val="000000"/>
        </w:rPr>
        <w:t xml:space="preserve"> </w:t>
      </w:r>
      <w:r w:rsidR="00956A6B" w:rsidRPr="00204E90">
        <w:t>προειδοποιεί ότι το χρηματοπιστωτικό του αποθεματικό έχει εξαντληθεί και θα πρέπει να επωφεληθεί από επείγουσες ενισχύσεις·</w:t>
      </w:r>
    </w:p>
    <w:p w:rsidR="00956A6B" w:rsidRPr="00204E90" w:rsidRDefault="00204E90" w:rsidP="00204E90">
      <w:pPr>
        <w:widowControl/>
        <w:pBdr>
          <w:top w:val="nil"/>
          <w:left w:val="nil"/>
          <w:bottom w:val="nil"/>
          <w:right w:val="nil"/>
          <w:between w:val="nil"/>
        </w:pBdr>
        <w:spacing w:after="240"/>
        <w:ind w:left="570" w:hanging="570"/>
      </w:pPr>
      <w:r w:rsidRPr="00204E90">
        <w:t>42.</w:t>
      </w:r>
      <w:r w:rsidRPr="00204E90">
        <w:tab/>
      </w:r>
      <w:r w:rsidR="00956A6B" w:rsidRPr="00204E90">
        <w:rPr>
          <w:color w:val="000000"/>
        </w:rPr>
        <w:t>τονίζει, επιπλέον, τη σημασία του προγράμματος NDICI για τη στήριξη των παγκόσμιων προκλήσεων, την προώθηση των ανθρωπίνων δικαιωμάτων, των ελευθεριών και της δημοκρατίας, καθώς και για την ανάπτυξη ικανοτήτων των οργανώσεων της κοινωνίας των πολιτών και για την υλοποίηση των διεθνών δεσμεύσεων της Ένωσης για το κλίμα και τη βιοποικιλότητα, στο πλαίσιο ενός ολοκληρωμένου συστήματος παρακολούθησης και ελέγχου·</w:t>
      </w:r>
    </w:p>
    <w:p w:rsidR="001C6414" w:rsidRPr="00204E90" w:rsidRDefault="00204E90" w:rsidP="00204E90">
      <w:pPr>
        <w:widowControl/>
        <w:pBdr>
          <w:top w:val="nil"/>
          <w:left w:val="nil"/>
          <w:bottom w:val="nil"/>
          <w:right w:val="nil"/>
          <w:between w:val="nil"/>
        </w:pBdr>
        <w:spacing w:after="240"/>
        <w:ind w:left="570" w:hanging="570"/>
      </w:pPr>
      <w:r w:rsidRPr="00204E90">
        <w:t>43.</w:t>
      </w:r>
      <w:r w:rsidRPr="00204E90">
        <w:tab/>
      </w:r>
      <w:r w:rsidR="001C6414" w:rsidRPr="00204E90">
        <w:t xml:space="preserve">εκφράζει τη λύπη της για το γεγονός ότι η Επιτροπή δεν έχει επιβάλει αποτελεσματικότερους όρους για τις πληρωμές σε τρίτες χώρες ως μέσο επιβολής των </w:t>
      </w:r>
      <w:r w:rsidR="001C6414" w:rsidRPr="00204E90">
        <w:lastRenderedPageBreak/>
        <w:t>γεωπολιτικών συμφερόντων της Ένωσης, ιδίως σε σχέση με τις μεταναστευτικές πολιτικές της Ένωσης, τις αμυντικές ανησυχίες, καθώς και σε σχέση με τα ανθρώπινα δικαιώματα· καλεί την Επιτροπή να θέσει ειδικούς όρους και ορόσημα για τις πληρωμές της σε τρίτες χώρες σύμφωνα με τα ιδιαίτερα πολιτικά συμφέροντα της Ένωσης και να αναστείλει αμελλητί ένα σημαντικό τμήμα των πληρωμών εάν μια τρίτη χώρα δεν πληροί τους καθορισμένους όρους· αναμένει από όλους τους αρμόδιους ορισθέντες Επιτρόπους στις ακροάσεις τους να δεσμευτούν όσον αφορά την επιβολή των εν λόγω αυστηρότερων όρων βάσει συμφερόντων στον προϋπολογισμό της ΕΕ προς τρίτες χώρες·</w:t>
      </w:r>
    </w:p>
    <w:p w:rsidR="00956A6B" w:rsidRPr="00204E90" w:rsidRDefault="00204E90" w:rsidP="00204E90">
      <w:pPr>
        <w:widowControl/>
        <w:pBdr>
          <w:top w:val="nil"/>
          <w:left w:val="nil"/>
          <w:bottom w:val="nil"/>
          <w:right w:val="nil"/>
          <w:between w:val="nil"/>
        </w:pBdr>
        <w:spacing w:after="240"/>
        <w:ind w:left="570" w:hanging="570"/>
      </w:pPr>
      <w:r w:rsidRPr="00204E90">
        <w:t>44.</w:t>
      </w:r>
      <w:r w:rsidRPr="00204E90">
        <w:tab/>
      </w:r>
      <w:r w:rsidR="00956A6B" w:rsidRPr="00204E90">
        <w:rPr>
          <w:color w:val="000000"/>
        </w:rPr>
        <w:t>τονίζει ότι είναι σημαντικό να ενισχυθούν οι γραμμές για τη Νότια και την Ανατολική Γειτονίας προκειμένου να στηριχθούν οι πολιτικές, οικονομικές και κοινωνικές μεταρρυθμίσεις στις περιφέρειες, να παρασχεθεί βοήθεια στους πρόσφυγες, ιδίως με την εξασφάλιση συνεχούς, ενισχυμένης και προβλέψιμης χρηματοδότησης για τους σχετικούς φορείς και οργανισμούς, ανάλογης με το επίπεδο των αναγκών ώστε να καταλήγει στους ανθρώπους επιτόπου, μέσω ενός συνετού μηχανισμού κατανομής πλήρως σύμφωνου με τους κανόνες της ΕΕ προκειμένου να προλαμβάνεται η παράνομη χρήση των ευρωπαϊκών κονδυλίων·</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45.</w:t>
      </w:r>
      <w:r w:rsidRPr="00204E90">
        <w:rPr>
          <w:color w:val="000000"/>
        </w:rPr>
        <w:tab/>
      </w:r>
      <w:r w:rsidR="00956A6B" w:rsidRPr="00204E90">
        <w:t>υπενθυμίζει ότι η ανθρωπιστική βοήθεια της ΕΕ προς αμάχους που βρίσκονται σε δεινή ανάγκη είναι απαραίτητη και συμβάλλει στην οικοδόμηση σταθερότητας και ειρήνης στις πληγείσες περιοχές και ότι η παροχή βασικών υπηρεσιών και ανθρωπιστικής βοήθειας που απαιτούνται επειγόντως πρέπει να διασφαλίζεται και να μην παρεμποδίζεται σύμφωνα με τις διεθνείς αποφάσεις, σε συνδυασμό με τις συνήθεις διαδικασίες ελέγχου και παρακολούθησης·</w:t>
      </w:r>
      <w:r w:rsidR="00956A6B" w:rsidRPr="00204E90">
        <w:rPr>
          <w:color w:val="000000"/>
        </w:rPr>
        <w:t xml:space="preserve"> αναμένει ότι οι χρηματοδοτικές ανάγκες για ανθρωπιστική βοήθεια θα αυξηθούν περαιτέρω λόγω των πολέμων, της αυξανόμενης γεωπολιτικής αστάθειας, της επίμονης ακραίας φτώχειας και των συχνότερων φυσικών καταστροφών· θεωρεί, με βάση αυτές τις παραδοχές, ότι η ΕΕ θα πρέπει να ενισχύσει σημαντικά την ανθρωπιστική βοήθεια για να ανταποκριθεί στις αυξημένες επιτόπιες ανάγκες, ιδίως στους πληθυσμούς που έχουν ανάγκη στην περιοχή της Μέσης Ανατολής·</w:t>
      </w:r>
    </w:p>
    <w:p w:rsidR="00956A6B" w:rsidRPr="00204E90" w:rsidRDefault="00204E90" w:rsidP="00204E90">
      <w:pPr>
        <w:widowControl/>
        <w:pBdr>
          <w:top w:val="nil"/>
          <w:left w:val="nil"/>
          <w:bottom w:val="nil"/>
          <w:right w:val="nil"/>
          <w:between w:val="nil"/>
        </w:pBdr>
        <w:spacing w:after="240"/>
        <w:ind w:left="570" w:hanging="570"/>
        <w:rPr>
          <w:color w:val="000000"/>
        </w:rPr>
      </w:pPr>
      <w:r w:rsidRPr="00204E90">
        <w:rPr>
          <w:color w:val="000000"/>
        </w:rPr>
        <w:t>46.</w:t>
      </w:r>
      <w:r w:rsidRPr="00204E90">
        <w:rPr>
          <w:color w:val="000000"/>
        </w:rPr>
        <w:tab/>
      </w:r>
      <w:r w:rsidR="00956A6B" w:rsidRPr="00204E90">
        <w:rPr>
          <w:color w:val="000000"/>
        </w:rPr>
        <w:t xml:space="preserve">επαναλαμβάνει ότι καταδικάζει απερίφραστα τις βάναυσες τρομοκρατικές επιθέσεις της </w:t>
      </w:r>
      <w:proofErr w:type="spellStart"/>
      <w:r w:rsidR="00956A6B" w:rsidRPr="00204E90">
        <w:rPr>
          <w:color w:val="000000"/>
        </w:rPr>
        <w:t>Χαμάς</w:t>
      </w:r>
      <w:proofErr w:type="spellEnd"/>
      <w:r w:rsidR="00956A6B" w:rsidRPr="00204E90">
        <w:rPr>
          <w:color w:val="000000"/>
        </w:rPr>
        <w:t xml:space="preserve"> κατά του Ισραήλ και του λαού του στις 7 Οκτωβρίου</w:t>
      </w:r>
      <w:r w:rsidRPr="00204E90">
        <w:rPr>
          <w:color w:val="000000"/>
        </w:rPr>
        <w:t xml:space="preserve"> 2023</w:t>
      </w:r>
      <w:r w:rsidR="00956A6B" w:rsidRPr="00204E90">
        <w:rPr>
          <w:color w:val="000000"/>
        </w:rPr>
        <w:t xml:space="preserve"> και εκφράζει τη βαθύτατη θλίψη του για τα αθώα θύματα και στις δύο πλευρές· υπογραμμίζει ότι ο προϋπολογισμός της Ένωσης πρέπει να συνεχίσει να παρέχει στήριξη για την επικράτηση της ειρήνης και της σταθερότητας στην περιοχή, την καταπολέμηση του μίσους, του πολιτικού εξτρεμισμού και του φονταμενταλισμού και την προώθηση των ανθρωπίνων δικαιωμάτων·</w:t>
      </w:r>
    </w:p>
    <w:p w:rsidR="00956A6B" w:rsidRPr="00204E90" w:rsidRDefault="00204E90" w:rsidP="00204E90">
      <w:pPr>
        <w:pStyle w:val="NormalHanging12a"/>
        <w:widowControl/>
        <w:ind w:left="570" w:hanging="570"/>
      </w:pPr>
      <w:r w:rsidRPr="00204E90">
        <w:t>47.</w:t>
      </w:r>
      <w:r w:rsidRPr="00204E90">
        <w:tab/>
      </w:r>
      <w:r w:rsidR="00956A6B" w:rsidRPr="00204E90">
        <w:t>υπενθυμίζει το ψήφισμά του που εγκρίθηκε στις 18 Ιανουαρίου 2024 με το οποίο αναγνωρίζεται ο ρόλος της Υπηρεσίας Αρωγής και Έργων των Ηνωμένων Εθνών για τους Παλαιστίνιους Πρόσφυγες στην Εγγύς Ανατολή (UNRWA), η οποία παρέχει επί του παρόντος καταφύγιο σε πάνω από ένα εκατομμύριο εσωτερικά εκτοπισμένων ατόμων και αποτελεί τη μεγαλύτερη πλατφόρμα για την παροχή ανθρωπιστικής βοήθειας στον πληθυσμό της Λωρίδας της Γάζας, όπου ολόκληρος ο πληθυσμός αντιμετωπίζει επιδεινούμενες ανθρωπιστικές συνθήκες, συμπεριλαμβανομένων των ελλείψεων στέγης, καθαρού νερού, τροφίμων και ιατρικής βοήθειας·</w:t>
      </w:r>
      <w:r w:rsidR="00956A6B" w:rsidRPr="00204E90">
        <w:rPr>
          <w:color w:val="000000"/>
        </w:rPr>
        <w:t xml:space="preserve"> επαναλαμβάνει, ως εκ τούτου, τη σημασία της συνεχιζόμενης και προβλέψιμης χρηματοδότησης της ΕΕ· εκφράζει την ικανοποίησή του για το γεγονός ότι ο ΟΗΕ κίνησε έρευνα χωρίς καθυστέρηση, μετά τις σοβαρές καταγγελίες σχετικά με άτομα που ανήκαν στο </w:t>
      </w:r>
      <w:r w:rsidR="00956A6B" w:rsidRPr="00204E90">
        <w:rPr>
          <w:color w:val="000000"/>
        </w:rPr>
        <w:lastRenderedPageBreak/>
        <w:t>προσωπικό της UNRWA τα οποία φέρεται να ενεπλάκησαν στις τρομοκρατικές επιθέσεις κατά του Ισραήλ στις 7 Οκτωβρίου</w:t>
      </w:r>
      <w:r w:rsidRPr="00204E90">
        <w:rPr>
          <w:color w:val="000000"/>
        </w:rPr>
        <w:t xml:space="preserve"> 2023</w:t>
      </w:r>
      <w:r w:rsidR="00956A6B" w:rsidRPr="00204E90">
        <w:rPr>
          <w:color w:val="000000"/>
        </w:rPr>
        <w:t>, καθώς και τις πληροφορίες που παρασχέθηκαν και τις άμεσες ενέργειες στις οποίες προέβη η υπηρεσία, ιδίως για την άμεση καταγγελία των υφιστάμενων συμβάσεων· σημειώνει την έκκληση της Επιτροπής για εξωτερικό έλεγχο προκειμένου να επανεξεταστεί κατ’ αυτόν τον τρόπο η αξιολόγηση κατά πυλώνες των συστημάτων ελέγχου των Ηνωμένων Εθνών, όπως συμφωνήθηκε από την UNRWA· υποστηρίζει τα συστήματα ελέγχου, παρακολούθησης και εξέτασης που εφαρμόζει η Επιτροπή υπενθυμίζοντας ότι η χρήση των κονδυλίων της ΕΕ από τους δικαιούχους πρέπει να σέβεται τους κανόνες και τις διασφαλίσεις της ΕΕ και το διεθνές δίκαιο· εκφράζει, στο πλαίσιο αυτό, την ικανοποίησή του για το γεγονός ότι μετά την επανεξέταση της βοήθειας της ΕΕ προς την Παλαιστίνη, η Επιτροπή κατέληξε στο συμπέρασμα ότι οι έλεγχοι και οι υφιστάμενες και αποτελεσματικές διασφαλίσεις, καθώς και η εκτίμηση κινδύνου και τα σχετικά πρόσθετα μέτρα, λειτουργούν ικανοποιητικά και ότι μέχρι σήμερα δεν έχουν βρεθεί στοιχεία που να αποδεικνύουν ότι έχουν εκτραπεί χρήματα για μη προβλεπόμενους σκοπούς·</w:t>
      </w:r>
    </w:p>
    <w:p w:rsidR="00956A6B" w:rsidRPr="00204E90" w:rsidRDefault="00956A6B" w:rsidP="00012622">
      <w:pPr>
        <w:pStyle w:val="NormalHanging12a"/>
        <w:widowControl/>
        <w:ind w:left="0" w:firstLine="0"/>
        <w:rPr>
          <w:b/>
          <w:i/>
        </w:rPr>
      </w:pPr>
      <w:r w:rsidRPr="00204E90">
        <w:rPr>
          <w:b/>
          <w:i/>
        </w:rPr>
        <w:t>Ενίσχυση της υλοποίησης των προγραμμάτων</w:t>
      </w:r>
    </w:p>
    <w:p w:rsidR="00956A6B" w:rsidRPr="00204E90" w:rsidRDefault="00204E90" w:rsidP="00204E90">
      <w:pPr>
        <w:widowControl/>
        <w:spacing w:after="240"/>
        <w:ind w:left="570" w:hanging="570"/>
      </w:pPr>
      <w:r w:rsidRPr="00204E90">
        <w:t>48.</w:t>
      </w:r>
      <w:r w:rsidRPr="00204E90">
        <w:tab/>
      </w:r>
      <w:r w:rsidR="00956A6B" w:rsidRPr="00204E90">
        <w:t>υπενθυμίζει την πλήρη στήριξη του Κοινοβουλίου προς την πολιτική συνοχής για την υλοποίηση των προτεραιοτήτων πολιτικής της ΕΕ και στην τόνωση της οικονομίας της ΕΕ, συμβάλλοντας στη δίκαιη, χωρίς αποκλεισμούς και βιώσιμη μεγέθυνση και ανάπτυξη, προωθώντας την οικονομική και κοινωνική σύγκλιση μεταξύ των κρατών μελών και των περιφερειών τους, στηρίζοντας την πράσινη και την ψηφιακή μετάβαση και προωθώντας την καινοτομία και την απασχόληση· επαναλαμβάνει την πεποίθησή του ότι οι στόχοι της πολιτικής συνοχής μπορούν να επιτευχθούν μόνο εάν αντιμετωπιστούν δυναμικά και επειγόντως οι καθυστερήσεις στην εκτέλεση των προγραμμάτων· θεωρεί ότι μια τέτοια προσέγγιση για την επιτάχυνση της απορρόφησης και της υλοποίησης θα ήταν επίσης ο αποτελεσματικότερος τρόπος για να καταστεί η προστιθέμενη αξία των δαπανών της ΕΕ ορατή και απτή για τους πολίτες της ΕΕ· υπενθυμίζει την ανάγκη για αυξημένη τεχνική βοήθεια ώστε να προωθηθούν περαιτέρω οι ικανότητες απορρόφησης των κρατών μελών·</w:t>
      </w:r>
    </w:p>
    <w:p w:rsidR="00956A6B" w:rsidRPr="00204E90" w:rsidRDefault="00204E90" w:rsidP="00204E90">
      <w:pPr>
        <w:widowControl/>
        <w:spacing w:after="240"/>
        <w:ind w:left="570" w:hanging="570"/>
      </w:pPr>
      <w:r w:rsidRPr="00204E90">
        <w:t>49.</w:t>
      </w:r>
      <w:r w:rsidRPr="00204E90">
        <w:tab/>
      </w:r>
      <w:r w:rsidR="00956A6B" w:rsidRPr="00204E90">
        <w:t xml:space="preserve">τονίζει ότι τα κονδύλια του προϋπολογισμού της ΕΕ πρέπει να φτάνουν στους πολίτες της ΕΕ και τις ΜΜΕ· υπενθυμίζει ότι η απλούστευση των διοικητικών διαδικασιών, οι φιλικοί προς τον χρήστη και πλήρεις </w:t>
      </w:r>
      <w:proofErr w:type="spellStart"/>
      <w:r w:rsidR="00956A6B" w:rsidRPr="00204E90">
        <w:t>ιστότοποι</w:t>
      </w:r>
      <w:proofErr w:type="spellEnd"/>
      <w:r w:rsidR="00956A6B" w:rsidRPr="00204E90">
        <w:t xml:space="preserve"> και δικτυακές πύλες, η μείωση της γραφειοκρατίας και η δημιουργία υπηρεσιών μίας στάσης είναι ουσιαστικής σημασίας προκειμένου να καταστούν τα προγράμματα της ΕΕ πιο προσιτά στις τοπικές και περιφερειακές αρχές, τις οργανώσεις της κοινωνίας των πολιτών, τους νέους επιχειρηματίες και τις ΜΜΕ·</w:t>
      </w:r>
    </w:p>
    <w:p w:rsidR="00956A6B" w:rsidRPr="00204E90" w:rsidRDefault="00204E90" w:rsidP="00204E90">
      <w:pPr>
        <w:pStyle w:val="NormalHanging12a"/>
        <w:widowControl/>
        <w:ind w:left="570" w:hanging="570"/>
      </w:pPr>
      <w:r w:rsidRPr="00204E90">
        <w:t>50.</w:t>
      </w:r>
      <w:r w:rsidRPr="00204E90">
        <w:tab/>
      </w:r>
      <w:r w:rsidR="00956A6B" w:rsidRPr="00204E90">
        <w:t xml:space="preserve">παροτρύνει τα κράτη μέλη και την Επιτροπή να επιταχύνουν την υλοποίηση των επιχειρησιακών προγραμμάτων στο πλαίσιο των ταμείων επιμερισμένης διαχείρισης και να διασφαλίσουν την ταχεία εκτέλεση του προϋπολογισμού, ιδίως των ταμείων συνοχής· σημειώνει ότι το μερίδιο των κονδυλίων στο πλαίσιο των προγραμμάτων της περιόδου 2014-2020 που παρέμεινε αχρησιμοποίητο θα πρέπει να ανακατανεμηθεί στα κράτη μέλη προκειμένου να συνεχιστεί περαιτέρω η μείωση των περιφερειακών ανισοτήτων· ζητεί την ταχεία υλοποίηση των σχεδίων ανάκαμψης και ανθεκτικότητας, συμπεριλαμβανομένης αξιολόγησης από την Επιτροπή όσον αφορά τη διαδικασία υλοποίησης, τα εμπόδια και τα αποτελέσματα· εκφράζει την ανησυχία του για το γεγονός ότι η υστέρηση στην εκτέλεση, εάν δεν μετριαστεί γρήγορα, θα οδηγήσει σε </w:t>
      </w:r>
      <w:r w:rsidR="00956A6B" w:rsidRPr="00204E90">
        <w:lastRenderedPageBreak/>
        <w:t>κρίση πληρωμών, δηλαδή σε αναντιστοιχία των αναγκών πληρωμών και του διαθέσιμου περιθωρίου κάτω από το ανώτατο όριο πληρωμών του ΠΔΠ το 2026 και το 2027·</w:t>
      </w:r>
    </w:p>
    <w:p w:rsidR="00956A6B" w:rsidRPr="00204E90" w:rsidRDefault="00204E90" w:rsidP="00204E90">
      <w:pPr>
        <w:widowControl/>
        <w:spacing w:after="240"/>
        <w:ind w:left="570" w:hanging="570"/>
      </w:pPr>
      <w:r w:rsidRPr="00204E90">
        <w:t>51.</w:t>
      </w:r>
      <w:r w:rsidRPr="00204E90">
        <w:tab/>
      </w:r>
      <w:r w:rsidR="00956A6B" w:rsidRPr="00204E90">
        <w:t>πιστεύει ότι η δέουσα επιμέλεια, η λογοδοσία και ο σεβασμός των αξιών της Ένωσης θα πρέπει να ισχύουν για όλους τους δικαιούχους κονδυλίων της ΕΕ και τους εταίρους υλοποίησης, προκειμένου να προστατεύονται τα οικονομικά συμφέροντα της ΕΕ και να αποφεύγονται αδικαιολόγητες παρεμβάσεις, επαναλαμβάνει τη σημασία των αποτελεσματικών και διεξοδικών φορέων παρακολούθησης και ελέγχου που αποκαλύπτουν, διερευνούν, διώκουν και προσάγουν στη δικαιοσύνη εγκλήματα εις βάρος των οικονομικών συμφερόντων της ΕΕ, καθώς τα χρήματα που δαπανώνται για την καταπολέμηση της διαφθοράς αποφέρουν τεράστια καθαρή απόδοση στην ΕΕ· θεωρεί, συνεπώς, ότι οι εν λόγω φορείς θα πρέπει να διαθέτουν επαρκείς πόρους και να στελεχώνονται κατάλληλα ώστε να εκτελούν τα καθήκοντά τους με τον πιο αποτελεσματικό τρόπο· υπογραμμίζει, ομοίως, ότι είναι απαραίτητη η επαρκής εποπτεία της ΕΕ προκειμένου να διασφαλιστεί ότι ο χρηματοπιστωτικός τομέας λειτουργεί προς όφελος των πολιτών και των καταναλωτών· απαιτεί, ενόψει ενός υγιούς, χωρίς αποκλεισμούς και ανθεκτικού χρηματοπιστωτικού τομέα, να προσαρμοστούν πλήρως οι πόροι για τις ευρωπαϊκές αρχές και οργανισμούς χρηματοπιστωτικής εποπτείας, που θα επιφορτιστούν με εποπτικά καθήκοντα ή την εκπόνηση τεχνικών κανονιστικών προτύπων όσον αφορά το θέμα αυτό, ώστε να ληφθούν υπόψη όλα τα νέα ρυθμιστικά καθήκοντα που συνεπάγεται η ολοκλήρωση των εν λόγω στόχων πολιτικής·</w:t>
      </w:r>
    </w:p>
    <w:p w:rsidR="00956A6B" w:rsidRPr="00204E90" w:rsidRDefault="00204E90" w:rsidP="00204E90">
      <w:pPr>
        <w:pStyle w:val="NormalHanging12a"/>
        <w:widowControl/>
        <w:ind w:left="570" w:hanging="570"/>
      </w:pPr>
      <w:r w:rsidRPr="00204E90">
        <w:t>52.</w:t>
      </w:r>
      <w:r w:rsidRPr="00204E90">
        <w:tab/>
      </w:r>
      <w:r w:rsidR="00956A6B" w:rsidRPr="00204E90">
        <w:t>ζητεί να καταβληθούν πρόσθετες προσπάθειες από όλους τους εμπλεκόμενους φορείς για να ενισχυθεί η υλοποίηση των έργων και η απορρόφηση της επιλέξιμης χρηματοδότησης και, ως εκ τούτου, να μειωθούν τα μη φυσιολογικά υπόλοιπα προς εκκαθάριση (RAL)· θεωρεί ότι το 2024 και το 2025 θα πρέπει να χρησιμοποιηθούν για τον εντοπισμό και την αποκατάσταση τυχόν σημείων συμφόρησης που εμποδίζουν την αποδοτικότερη υλοποίηση· ζητεί επαρκείς πόρους του προϋπολογισμού για την επιτάχυνση της υλοποίησης των προγραμμάτων μέσω πρόσθετης ανάπτυξης ικανοτήτων και τεχνικής βοήθειας για τα κράτη μέλη, ιδίως για εκείνα που αντιμετωπίζουν αυξημένες δυσκολίες απορρόφησης μεταξύ άλλων όσον αφορά τα κονδύλια του ΜΑΑ, καθώς και μέτρων για την επιτάχυνση δίκαιων, ανταγωνιστικών και αποδοτικών διαδικασιών σύναψης συμβάσεων και διαγωνισμών για την ενίσχυση των προσπαθειών υλοποίησης·</w:t>
      </w:r>
    </w:p>
    <w:p w:rsidR="00956A6B" w:rsidRPr="00204E90" w:rsidRDefault="00204E90" w:rsidP="00204E90">
      <w:pPr>
        <w:widowControl/>
        <w:spacing w:after="240"/>
        <w:ind w:left="570" w:hanging="570"/>
      </w:pPr>
      <w:r w:rsidRPr="00204E90">
        <w:t>53.</w:t>
      </w:r>
      <w:r w:rsidRPr="00204E90">
        <w:tab/>
      </w:r>
      <w:r w:rsidR="00956A6B" w:rsidRPr="00204E90">
        <w:t>υπογραμμίζει τη σημασία της αποτελεσματικής επικοινωνίας και της προβολής των πολιτικών και των προγραμμάτων της ΕΕ με σκοπό την αύξηση της ευαισθητοποίησης σχετικά με την προστιθέμενη αξία που προσφέρει η ΕΕ στους πολίτες, τις επιχειρήσεις και τους εταίρους· ζητεί τη διασφάλιση επαρκών κονδυλίων για τον σκοπό αυτόν·</w:t>
      </w:r>
    </w:p>
    <w:p w:rsidR="00956A6B" w:rsidRPr="00204E90" w:rsidRDefault="00204E90" w:rsidP="00204E90">
      <w:pPr>
        <w:pStyle w:val="NormalHanging12a"/>
        <w:widowControl/>
        <w:ind w:left="570" w:hanging="570"/>
      </w:pPr>
      <w:r w:rsidRPr="00204E90">
        <w:t>54.</w:t>
      </w:r>
      <w:r w:rsidRPr="00204E90">
        <w:tab/>
      </w:r>
      <w:r w:rsidR="00956A6B" w:rsidRPr="00204E90">
        <w:t>υπενθυμίζει ότι η ορθή υλοποίηση καλά σχεδιασμένων προγραμμάτων είναι δυνατή μόνο με την υποστήριξη ειδικής διοίκησης· τονίζει το ουσιαστικό έργο που επιτελούν οι φορείς και οι αποκεντρωμένοι οργανισμοί και θεωρεί ότι πρέπει να είναι κατάλληλα στελεχωμένοι και να διαθέτουν επαρκείς πόρους ώστε να μπορούν να εκτελούν τα καθήκοντά τους· τονίζει ότι τα καθήκοντά τους εξελίσσονται σύμφωνα με τις προτεραιότητες πολιτικής, όπως η πράσινη και η ψηφιακή μετάβαση, και τονίζει ότι οι νέες αρμοδιότητες, καθώς και η επέκταση των εντολών τους, πρέπει να συνοδεύονται αναλογικά από νέους πόρους·</w:t>
      </w:r>
    </w:p>
    <w:p w:rsidR="00956A6B" w:rsidRPr="00204E90" w:rsidRDefault="00956A6B" w:rsidP="00012622">
      <w:pPr>
        <w:pStyle w:val="NormalHanging12a"/>
        <w:widowControl/>
        <w:ind w:left="0" w:firstLine="0"/>
        <w:jc w:val="center"/>
      </w:pPr>
      <w:r w:rsidRPr="00204E90">
        <w:lastRenderedPageBreak/>
        <w:t>°</w:t>
      </w:r>
    </w:p>
    <w:p w:rsidR="00956A6B" w:rsidRPr="00204E90" w:rsidRDefault="00956A6B" w:rsidP="00012622">
      <w:pPr>
        <w:pStyle w:val="NormalHanging12a"/>
        <w:widowControl/>
        <w:ind w:left="0" w:firstLine="0"/>
        <w:jc w:val="center"/>
      </w:pPr>
      <w:r w:rsidRPr="00204E90">
        <w:t>°</w:t>
      </w:r>
      <w:r w:rsidRPr="00204E90">
        <w:tab/>
        <w:t>°</w:t>
      </w:r>
    </w:p>
    <w:p w:rsidR="00E365E1" w:rsidRPr="00204E90" w:rsidRDefault="00204E90" w:rsidP="00204E90">
      <w:pPr>
        <w:widowControl/>
        <w:spacing w:after="240"/>
        <w:ind w:left="570" w:hanging="570"/>
      </w:pPr>
      <w:r w:rsidRPr="00204E90">
        <w:t>55.</w:t>
      </w:r>
      <w:r w:rsidRPr="00204E90">
        <w:tab/>
      </w:r>
      <w:r w:rsidR="00956A6B" w:rsidRPr="00204E90">
        <w:t>αναθέτει στην Πρόεδρό του να διαβιβάσει το παρόν ψήφισμα στο Συμβούλιο, στην Επιτροπή και στο Ευρωπαϊκό Ελεγκτικό Συνέδριο.</w:t>
      </w:r>
      <w:bookmarkStart w:id="9" w:name="TextBodyEnd"/>
      <w:bookmarkEnd w:id="9"/>
    </w:p>
    <w:sectPr w:rsidR="00E365E1" w:rsidRPr="00204E90" w:rsidSect="00DA7F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680" w:rsidRPr="00512680" w:rsidRDefault="00512680">
      <w:r w:rsidRPr="00512680">
        <w:separator/>
      </w:r>
    </w:p>
  </w:endnote>
  <w:endnote w:type="continuationSeparator" w:id="0">
    <w:p w:rsidR="00512680" w:rsidRPr="00512680" w:rsidRDefault="00512680">
      <w:r w:rsidRPr="005126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680" w:rsidRPr="00512680" w:rsidRDefault="00512680">
      <w:r w:rsidRPr="00512680">
        <w:separator/>
      </w:r>
    </w:p>
  </w:footnote>
  <w:footnote w:type="continuationSeparator" w:id="0">
    <w:p w:rsidR="00512680" w:rsidRPr="00512680" w:rsidRDefault="00512680">
      <w:r w:rsidRPr="00512680">
        <w:continuationSeparator/>
      </w:r>
    </w:p>
  </w:footnote>
  <w:footnote w:id="1">
    <w:p w:rsidR="00372236" w:rsidRPr="00372236" w:rsidRDefault="00372236" w:rsidP="00372236">
      <w:pPr>
        <w:pStyle w:val="FootnoteText"/>
        <w:spacing w:line="240" w:lineRule="auto"/>
        <w:ind w:left="567" w:hanging="567"/>
        <w:rPr>
          <w:sz w:val="24"/>
          <w:szCs w:val="24"/>
          <w:lang w:val="fi-FI"/>
        </w:rPr>
      </w:pPr>
      <w:r w:rsidRPr="000B50CC">
        <w:rPr>
          <w:rStyle w:val="FootnoteReference"/>
          <w:sz w:val="24"/>
          <w:szCs w:val="24"/>
        </w:rPr>
        <w:footnoteRef/>
      </w:r>
      <w:r w:rsidRPr="00372236">
        <w:rPr>
          <w:sz w:val="24"/>
          <w:szCs w:val="24"/>
          <w:lang w:val="fi-FI"/>
        </w:rPr>
        <w:t xml:space="preserve"> </w:t>
      </w:r>
      <w:r w:rsidRPr="00372236">
        <w:rPr>
          <w:sz w:val="24"/>
          <w:szCs w:val="24"/>
          <w:lang w:val="fi-FI"/>
        </w:rPr>
        <w:tab/>
      </w:r>
      <w:r w:rsidRPr="00372236">
        <w:rPr>
          <w:color w:val="000000"/>
          <w:sz w:val="24"/>
          <w:szCs w:val="24"/>
          <w:lang w:val="el-GR"/>
        </w:rPr>
        <w:t>ΕΕ</w:t>
      </w:r>
      <w:r w:rsidRPr="00372236">
        <w:rPr>
          <w:color w:val="000000"/>
          <w:sz w:val="24"/>
          <w:szCs w:val="24"/>
          <w:lang w:val="fi-FI"/>
        </w:rPr>
        <w:t xml:space="preserve"> L, 2024/765, 29.2.2024, ELI: </w:t>
      </w:r>
      <w:hyperlink r:id="rId1" w:history="1">
        <w:r w:rsidRPr="00372236">
          <w:rPr>
            <w:rStyle w:val="Hyperlink"/>
            <w:sz w:val="24"/>
            <w:szCs w:val="24"/>
            <w:lang w:val="fi-FI"/>
          </w:rPr>
          <w:t>http://data.europa.eu/eli/reg/2024/765/oj</w:t>
        </w:r>
      </w:hyperlink>
    </w:p>
  </w:footnote>
  <w:footnote w:id="2">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325 της 20.12.2022, σ. 11.</w:t>
      </w:r>
    </w:p>
  </w:footnote>
  <w:footnote w:id="3">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sz w:val="24"/>
          <w:szCs w:val="24"/>
          <w:lang w:val="el-GR"/>
        </w:rPr>
        <w:t xml:space="preserve"> </w:t>
      </w:r>
      <w:r w:rsidR="00012622" w:rsidRPr="000B50CC">
        <w:rPr>
          <w:sz w:val="24"/>
          <w:szCs w:val="24"/>
          <w:lang w:val="el-GR"/>
        </w:rPr>
        <w:tab/>
      </w:r>
      <w:r w:rsidRPr="000B50CC">
        <w:rPr>
          <w:color w:val="000000"/>
          <w:sz w:val="24"/>
          <w:szCs w:val="24"/>
          <w:lang w:val="el-GR"/>
        </w:rPr>
        <w:t xml:space="preserve">ΕΕ </w:t>
      </w:r>
      <w:r w:rsidRPr="000B50CC">
        <w:rPr>
          <w:color w:val="000000"/>
          <w:sz w:val="24"/>
          <w:szCs w:val="24"/>
        </w:rPr>
        <w:t>C</w:t>
      </w:r>
      <w:r w:rsidRPr="000B50CC">
        <w:rPr>
          <w:color w:val="000000"/>
          <w:sz w:val="24"/>
          <w:szCs w:val="24"/>
          <w:lang w:val="el-GR"/>
        </w:rPr>
        <w:t xml:space="preserve"> 445 της 29.10.2021, σ. 240.</w:t>
      </w:r>
    </w:p>
  </w:footnote>
  <w:footnote w:id="4">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433 </w:t>
      </w:r>
      <w:r w:rsidRPr="000B50CC">
        <w:rPr>
          <w:sz w:val="24"/>
          <w:szCs w:val="24"/>
        </w:rPr>
        <w:t>I</w:t>
      </w:r>
      <w:r w:rsidRPr="000B50CC">
        <w:rPr>
          <w:sz w:val="24"/>
          <w:szCs w:val="24"/>
          <w:lang w:val="el-GR"/>
        </w:rPr>
        <w:t xml:space="preserve"> της 22.12.2020, σ. 11.</w:t>
      </w:r>
    </w:p>
  </w:footnote>
  <w:footnote w:id="5">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C</w:t>
      </w:r>
      <w:r w:rsidRPr="000B50CC">
        <w:rPr>
          <w:sz w:val="24"/>
          <w:szCs w:val="24"/>
          <w:lang w:val="el-GR"/>
        </w:rPr>
        <w:t xml:space="preserve"> 444 </w:t>
      </w:r>
      <w:r w:rsidRPr="000B50CC">
        <w:rPr>
          <w:sz w:val="24"/>
          <w:szCs w:val="24"/>
        </w:rPr>
        <w:t>I</w:t>
      </w:r>
      <w:r w:rsidRPr="000B50CC">
        <w:rPr>
          <w:sz w:val="24"/>
          <w:szCs w:val="24"/>
          <w:lang w:val="el-GR"/>
        </w:rPr>
        <w:t xml:space="preserve"> της 22.12.2020, σ. 4.</w:t>
      </w:r>
    </w:p>
  </w:footnote>
  <w:footnote w:id="6">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000B50CC" w:rsidRPr="000B50CC">
        <w:rPr>
          <w:sz w:val="24"/>
          <w:szCs w:val="24"/>
          <w:lang w:val="el-GR"/>
        </w:rPr>
        <w:t>ΕΕ C 445 της 29.10.2021, σ. 252.</w:t>
      </w:r>
    </w:p>
  </w:footnote>
  <w:footnote w:id="7">
    <w:p w:rsidR="00956A6B" w:rsidRPr="001C6414"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1C6414">
        <w:rPr>
          <w:rStyle w:val="FootnoteReference"/>
          <w:sz w:val="24"/>
          <w:szCs w:val="24"/>
          <w:lang w:val="el-GR"/>
        </w:rPr>
        <w:t xml:space="preserve"> </w:t>
      </w:r>
      <w:r w:rsidR="000B50CC" w:rsidRPr="001C6414">
        <w:rPr>
          <w:rStyle w:val="FootnoteReference"/>
          <w:sz w:val="24"/>
          <w:szCs w:val="24"/>
          <w:lang w:val="el-GR"/>
        </w:rPr>
        <w:tab/>
      </w:r>
      <w:r w:rsidR="000B50CC" w:rsidRPr="000B50CC">
        <w:rPr>
          <w:rStyle w:val="ui-provider"/>
          <w:rFonts w:eastAsiaTheme="majorEastAsia"/>
          <w:sz w:val="24"/>
          <w:szCs w:val="24"/>
          <w:lang w:val="el-GR"/>
        </w:rPr>
        <w:t>ΕΕ</w:t>
      </w:r>
      <w:r w:rsidR="000B50CC" w:rsidRPr="001C6414">
        <w:rPr>
          <w:rStyle w:val="ui-provider"/>
          <w:rFonts w:eastAsiaTheme="majorEastAsia"/>
          <w:sz w:val="24"/>
          <w:szCs w:val="24"/>
          <w:lang w:val="el-GR"/>
        </w:rPr>
        <w:t xml:space="preserve"> </w:t>
      </w:r>
      <w:r w:rsidR="000B50CC" w:rsidRPr="000B50CC">
        <w:rPr>
          <w:rStyle w:val="ui-provider"/>
          <w:rFonts w:eastAsiaTheme="majorEastAsia"/>
          <w:sz w:val="24"/>
          <w:szCs w:val="24"/>
          <w:lang w:val="fi-FI"/>
        </w:rPr>
        <w:t>C</w:t>
      </w:r>
      <w:r w:rsidR="000B50CC" w:rsidRPr="001C6414">
        <w:rPr>
          <w:rStyle w:val="ui-provider"/>
          <w:rFonts w:eastAsiaTheme="majorEastAsia"/>
          <w:sz w:val="24"/>
          <w:szCs w:val="24"/>
          <w:lang w:val="el-GR"/>
        </w:rPr>
        <w:t xml:space="preserve">, </w:t>
      </w:r>
      <w:r w:rsidR="000B50CC" w:rsidRPr="000B50CC">
        <w:rPr>
          <w:rStyle w:val="ui-provider"/>
          <w:rFonts w:eastAsiaTheme="majorEastAsia"/>
          <w:sz w:val="24"/>
          <w:szCs w:val="24"/>
          <w:lang w:val="fi-FI"/>
        </w:rPr>
        <w:t>C</w:t>
      </w:r>
      <w:r w:rsidR="000B50CC" w:rsidRPr="001C6414">
        <w:rPr>
          <w:rStyle w:val="ui-provider"/>
          <w:rFonts w:eastAsiaTheme="majorEastAsia"/>
          <w:sz w:val="24"/>
          <w:szCs w:val="24"/>
          <w:lang w:val="el-GR"/>
        </w:rPr>
        <w:t xml:space="preserve">/2024/1195, 23.2.2024, </w:t>
      </w:r>
      <w:r w:rsidR="000B50CC" w:rsidRPr="000B50CC">
        <w:rPr>
          <w:rStyle w:val="ui-provider"/>
          <w:rFonts w:eastAsiaTheme="majorEastAsia"/>
          <w:sz w:val="24"/>
          <w:szCs w:val="24"/>
          <w:lang w:val="fi-FI"/>
        </w:rPr>
        <w:t>ELI</w:t>
      </w:r>
      <w:r w:rsidR="000B50CC" w:rsidRPr="001C6414">
        <w:rPr>
          <w:rStyle w:val="ui-provider"/>
          <w:rFonts w:eastAsiaTheme="majorEastAsia"/>
          <w:sz w:val="24"/>
          <w:szCs w:val="24"/>
          <w:lang w:val="el-GR"/>
        </w:rPr>
        <w:t xml:space="preserve">: </w:t>
      </w:r>
      <w:hyperlink r:id="rId2" w:history="1">
        <w:r w:rsidR="000B50CC" w:rsidRPr="000B50CC">
          <w:rPr>
            <w:rStyle w:val="Hyperlink"/>
            <w:rFonts w:eastAsiaTheme="majorEastAsia"/>
            <w:sz w:val="24"/>
            <w:szCs w:val="24"/>
            <w:lang w:val="fi-FI"/>
          </w:rPr>
          <w:t>http</w:t>
        </w:r>
        <w:r w:rsidR="000B50CC" w:rsidRPr="001C6414">
          <w:rPr>
            <w:rStyle w:val="Hyperlink"/>
            <w:rFonts w:eastAsiaTheme="majorEastAsia"/>
            <w:sz w:val="24"/>
            <w:szCs w:val="24"/>
            <w:lang w:val="el-GR"/>
          </w:rPr>
          <w:t>://</w:t>
        </w:r>
        <w:r w:rsidR="000B50CC" w:rsidRPr="000B50CC">
          <w:rPr>
            <w:rStyle w:val="Hyperlink"/>
            <w:rFonts w:eastAsiaTheme="majorEastAsia"/>
            <w:sz w:val="24"/>
            <w:szCs w:val="24"/>
            <w:lang w:val="fi-FI"/>
          </w:rPr>
          <w:t>data</w:t>
        </w:r>
        <w:r w:rsidR="000B50CC" w:rsidRPr="001C6414">
          <w:rPr>
            <w:rStyle w:val="Hyperlink"/>
            <w:rFonts w:eastAsiaTheme="majorEastAsia"/>
            <w:sz w:val="24"/>
            <w:szCs w:val="24"/>
            <w:lang w:val="el-GR"/>
          </w:rPr>
          <w:t>.</w:t>
        </w:r>
        <w:r w:rsidR="000B50CC" w:rsidRPr="000B50CC">
          <w:rPr>
            <w:rStyle w:val="Hyperlink"/>
            <w:rFonts w:eastAsiaTheme="majorEastAsia"/>
            <w:sz w:val="24"/>
            <w:szCs w:val="24"/>
            <w:lang w:val="fi-FI"/>
          </w:rPr>
          <w:t>europa</w:t>
        </w:r>
        <w:r w:rsidR="000B50CC" w:rsidRPr="001C6414">
          <w:rPr>
            <w:rStyle w:val="Hyperlink"/>
            <w:rFonts w:eastAsiaTheme="majorEastAsia"/>
            <w:sz w:val="24"/>
            <w:szCs w:val="24"/>
            <w:lang w:val="el-GR"/>
          </w:rPr>
          <w:t>.</w:t>
        </w:r>
        <w:proofErr w:type="spellStart"/>
        <w:r w:rsidR="000B50CC" w:rsidRPr="000B50CC">
          <w:rPr>
            <w:rStyle w:val="Hyperlink"/>
            <w:rFonts w:eastAsiaTheme="majorEastAsia"/>
            <w:sz w:val="24"/>
            <w:szCs w:val="24"/>
            <w:lang w:val="fi-FI"/>
          </w:rPr>
          <w:t>eu</w:t>
        </w:r>
        <w:proofErr w:type="spellEnd"/>
        <w:r w:rsidR="000B50CC" w:rsidRPr="001C6414">
          <w:rPr>
            <w:rStyle w:val="Hyperlink"/>
            <w:rFonts w:eastAsiaTheme="majorEastAsia"/>
            <w:sz w:val="24"/>
            <w:szCs w:val="24"/>
            <w:lang w:val="el-GR"/>
          </w:rPr>
          <w:t>/</w:t>
        </w:r>
        <w:r w:rsidR="000B50CC" w:rsidRPr="000B50CC">
          <w:rPr>
            <w:rStyle w:val="Hyperlink"/>
            <w:rFonts w:eastAsiaTheme="majorEastAsia"/>
            <w:sz w:val="24"/>
            <w:szCs w:val="24"/>
            <w:lang w:val="fi-FI"/>
          </w:rPr>
          <w:t>eli</w:t>
        </w:r>
        <w:r w:rsidR="000B50CC" w:rsidRPr="001C6414">
          <w:rPr>
            <w:rStyle w:val="Hyperlink"/>
            <w:rFonts w:eastAsiaTheme="majorEastAsia"/>
            <w:sz w:val="24"/>
            <w:szCs w:val="24"/>
            <w:lang w:val="el-GR"/>
          </w:rPr>
          <w:t>/</w:t>
        </w:r>
        <w:r w:rsidR="000B50CC" w:rsidRPr="000B50CC">
          <w:rPr>
            <w:rStyle w:val="Hyperlink"/>
            <w:rFonts w:eastAsiaTheme="majorEastAsia"/>
            <w:sz w:val="24"/>
            <w:szCs w:val="24"/>
            <w:lang w:val="fi-FI"/>
          </w:rPr>
          <w:t>C</w:t>
        </w:r>
        <w:r w:rsidR="000B50CC" w:rsidRPr="001C6414">
          <w:rPr>
            <w:rStyle w:val="Hyperlink"/>
            <w:rFonts w:eastAsiaTheme="majorEastAsia"/>
            <w:sz w:val="24"/>
            <w:szCs w:val="24"/>
            <w:lang w:val="el-GR"/>
          </w:rPr>
          <w:t>/2024/1195/</w:t>
        </w:r>
        <w:proofErr w:type="spellStart"/>
        <w:r w:rsidR="000B50CC" w:rsidRPr="000B50CC">
          <w:rPr>
            <w:rStyle w:val="Hyperlink"/>
            <w:rFonts w:eastAsiaTheme="majorEastAsia"/>
            <w:sz w:val="24"/>
            <w:szCs w:val="24"/>
            <w:lang w:val="fi-FI"/>
          </w:rPr>
          <w:t>oj</w:t>
        </w:r>
        <w:proofErr w:type="spellEnd"/>
      </w:hyperlink>
      <w:r w:rsidR="000B50CC" w:rsidRPr="001C6414">
        <w:rPr>
          <w:rStyle w:val="ui-provider"/>
          <w:rFonts w:eastAsiaTheme="majorEastAsia"/>
          <w:sz w:val="24"/>
          <w:szCs w:val="24"/>
          <w:lang w:val="el-GR"/>
        </w:rPr>
        <w:t>.</w:t>
      </w:r>
    </w:p>
  </w:footnote>
  <w:footnote w:id="8">
    <w:p w:rsidR="00956A6B" w:rsidRPr="000B50CC" w:rsidRDefault="00956A6B" w:rsidP="000B50CC">
      <w:pPr>
        <w:pBdr>
          <w:top w:val="nil"/>
          <w:left w:val="nil"/>
          <w:bottom w:val="nil"/>
          <w:right w:val="nil"/>
          <w:between w:val="nil"/>
        </w:pBdr>
        <w:ind w:left="567" w:hanging="567"/>
        <w:rPr>
          <w:color w:val="000000"/>
          <w:szCs w:val="24"/>
        </w:rPr>
      </w:pPr>
      <w:r w:rsidRPr="000B50CC">
        <w:rPr>
          <w:szCs w:val="24"/>
          <w:vertAlign w:val="superscript"/>
        </w:rPr>
        <w:footnoteRef/>
      </w:r>
      <w:r w:rsidRPr="000B50CC">
        <w:rPr>
          <w:color w:val="000000"/>
          <w:szCs w:val="24"/>
          <w:vertAlign w:val="superscript"/>
        </w:rPr>
        <w:t xml:space="preserve"> </w:t>
      </w:r>
      <w:r w:rsidR="00012622" w:rsidRPr="000B50CC">
        <w:rPr>
          <w:color w:val="000000"/>
          <w:szCs w:val="24"/>
          <w:vertAlign w:val="superscript"/>
        </w:rPr>
        <w:tab/>
      </w:r>
      <w:r w:rsidRPr="000B50CC">
        <w:rPr>
          <w:color w:val="000000"/>
          <w:szCs w:val="24"/>
        </w:rPr>
        <w:t>Κείμενα που εγκρίθηκαν, P9_TA(2024)0082.</w:t>
      </w:r>
    </w:p>
  </w:footnote>
  <w:footnote w:id="9">
    <w:p w:rsidR="00956A6B" w:rsidRPr="000B50CC" w:rsidRDefault="00956A6B" w:rsidP="000B50CC">
      <w:pPr>
        <w:pStyle w:val="FootnoteText"/>
        <w:spacing w:line="240" w:lineRule="auto"/>
        <w:ind w:left="567" w:hanging="567"/>
        <w:rPr>
          <w:sz w:val="24"/>
          <w:szCs w:val="24"/>
          <w:lang w:val="fi-FI"/>
        </w:rPr>
      </w:pPr>
      <w:r w:rsidRPr="000B50CC">
        <w:rPr>
          <w:rStyle w:val="FootnoteReference"/>
          <w:sz w:val="24"/>
          <w:szCs w:val="24"/>
        </w:rPr>
        <w:footnoteRef/>
      </w:r>
      <w:r w:rsidRPr="000B50CC">
        <w:rPr>
          <w:rStyle w:val="FootnoteReference"/>
          <w:sz w:val="24"/>
          <w:szCs w:val="24"/>
          <w:lang w:val="fi-FI"/>
        </w:rPr>
        <w:t xml:space="preserve"> </w:t>
      </w:r>
      <w:r w:rsidR="00012622" w:rsidRPr="000B50CC">
        <w:rPr>
          <w:rStyle w:val="FootnoteReference"/>
          <w:sz w:val="24"/>
          <w:szCs w:val="24"/>
          <w:lang w:val="fi-FI"/>
        </w:rPr>
        <w:tab/>
      </w:r>
      <w:r w:rsidR="000B50CC" w:rsidRPr="000B50CC">
        <w:rPr>
          <w:sz w:val="24"/>
          <w:szCs w:val="24"/>
          <w:lang w:val="el-GR"/>
        </w:rPr>
        <w:t>ΕΕ</w:t>
      </w:r>
      <w:r w:rsidR="000B50CC" w:rsidRPr="000B50CC">
        <w:rPr>
          <w:sz w:val="24"/>
          <w:szCs w:val="24"/>
          <w:lang w:val="fi-FI"/>
        </w:rPr>
        <w:t xml:space="preserve"> C, C/2023/1084, 15.12.2023, ELI: </w:t>
      </w:r>
      <w:hyperlink r:id="rId3" w:history="1">
        <w:r w:rsidR="000B50CC" w:rsidRPr="000B50CC">
          <w:rPr>
            <w:rStyle w:val="Hyperlink"/>
            <w:sz w:val="24"/>
            <w:szCs w:val="24"/>
            <w:lang w:val="fi-FI"/>
          </w:rPr>
          <w:t>http://data.europa.eu/eli/C/2023/1084/oj</w:t>
        </w:r>
      </w:hyperlink>
      <w:r w:rsidR="000B50CC" w:rsidRPr="000B50CC">
        <w:rPr>
          <w:sz w:val="24"/>
          <w:szCs w:val="24"/>
          <w:lang w:val="fi-FI"/>
        </w:rPr>
        <w:t>.</w:t>
      </w:r>
    </w:p>
  </w:footnote>
  <w:footnote w:id="10">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C</w:t>
      </w:r>
      <w:r w:rsidRPr="000B50CC">
        <w:rPr>
          <w:sz w:val="24"/>
          <w:szCs w:val="24"/>
          <w:lang w:val="el-GR"/>
        </w:rPr>
        <w:t xml:space="preserve"> 177 της 17.5.2023, σ.</w:t>
      </w:r>
      <w:r w:rsidRPr="000B50CC">
        <w:rPr>
          <w:sz w:val="24"/>
          <w:szCs w:val="24"/>
        </w:rPr>
        <w:t> </w:t>
      </w:r>
      <w:r w:rsidRPr="000B50CC">
        <w:rPr>
          <w:sz w:val="24"/>
          <w:szCs w:val="24"/>
          <w:lang w:val="el-GR"/>
        </w:rPr>
        <w:t>115.</w:t>
      </w:r>
    </w:p>
  </w:footnote>
  <w:footnote w:id="11">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433</w:t>
      </w:r>
      <w:r w:rsidRPr="000B50CC">
        <w:rPr>
          <w:sz w:val="24"/>
          <w:szCs w:val="24"/>
        </w:rPr>
        <w:t> I</w:t>
      </w:r>
      <w:r w:rsidRPr="000B50CC">
        <w:rPr>
          <w:sz w:val="24"/>
          <w:szCs w:val="24"/>
          <w:lang w:val="el-GR"/>
        </w:rPr>
        <w:t xml:space="preserve"> της 22.12.2020, σ. 28.</w:t>
      </w:r>
    </w:p>
  </w:footnote>
  <w:footnote w:id="12">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424 της 15.12.2020, σ. 1.</w:t>
      </w:r>
    </w:p>
  </w:footnote>
  <w:footnote w:id="13">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C</w:t>
      </w:r>
      <w:r w:rsidRPr="000B50CC">
        <w:rPr>
          <w:sz w:val="24"/>
          <w:szCs w:val="24"/>
          <w:lang w:val="el-GR"/>
        </w:rPr>
        <w:t xml:space="preserve"> 167 της 11.5.2023, σ.</w:t>
      </w:r>
      <w:r w:rsidRPr="000B50CC">
        <w:rPr>
          <w:sz w:val="24"/>
          <w:szCs w:val="24"/>
        </w:rPr>
        <w:t> </w:t>
      </w:r>
      <w:r w:rsidRPr="000B50CC">
        <w:rPr>
          <w:sz w:val="24"/>
          <w:szCs w:val="24"/>
          <w:lang w:val="el-GR"/>
        </w:rPr>
        <w:t>162.</w:t>
      </w:r>
    </w:p>
  </w:footnote>
  <w:footnote w:id="14">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433</w:t>
      </w:r>
      <w:r w:rsidRPr="000B50CC">
        <w:rPr>
          <w:sz w:val="24"/>
          <w:szCs w:val="24"/>
        </w:rPr>
        <w:t> I</w:t>
      </w:r>
      <w:r w:rsidRPr="000B50CC">
        <w:rPr>
          <w:sz w:val="24"/>
          <w:szCs w:val="24"/>
          <w:lang w:val="el-GR"/>
        </w:rPr>
        <w:t xml:space="preserve"> της 22.12.2020, σ. 23.</w:t>
      </w:r>
    </w:p>
  </w:footnote>
  <w:footnote w:id="15">
    <w:p w:rsidR="00956A6B" w:rsidRPr="000B50CC" w:rsidRDefault="00956A6B">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L</w:t>
      </w:r>
      <w:r w:rsidRPr="000B50CC">
        <w:rPr>
          <w:sz w:val="24"/>
          <w:szCs w:val="24"/>
          <w:lang w:val="el-GR"/>
        </w:rPr>
        <w:t xml:space="preserve"> 433</w:t>
      </w:r>
      <w:r w:rsidRPr="000B50CC">
        <w:rPr>
          <w:sz w:val="24"/>
          <w:szCs w:val="24"/>
        </w:rPr>
        <w:t> I</w:t>
      </w:r>
      <w:r w:rsidRPr="000B50CC">
        <w:rPr>
          <w:sz w:val="24"/>
          <w:szCs w:val="24"/>
          <w:lang w:val="el-GR"/>
        </w:rPr>
        <w:t xml:space="preserve"> της 22.12.2020, σ. 1.</w:t>
      </w:r>
    </w:p>
  </w:footnote>
  <w:footnote w:id="16">
    <w:p w:rsidR="00956A6B" w:rsidRPr="000B50CC" w:rsidRDefault="00956A6B">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rStyle w:val="FootnoteReference"/>
          <w:sz w:val="24"/>
          <w:szCs w:val="24"/>
          <w:lang w:val="el-GR"/>
        </w:rPr>
        <w:tab/>
      </w:r>
      <w:r w:rsidRPr="000B50CC">
        <w:rPr>
          <w:sz w:val="24"/>
          <w:szCs w:val="24"/>
          <w:lang w:val="el-GR"/>
        </w:rPr>
        <w:t xml:space="preserve">ΕΕ </w:t>
      </w:r>
      <w:r w:rsidRPr="000B50CC">
        <w:rPr>
          <w:sz w:val="24"/>
          <w:szCs w:val="24"/>
        </w:rPr>
        <w:t>C</w:t>
      </w:r>
      <w:r w:rsidRPr="000B50CC">
        <w:rPr>
          <w:sz w:val="24"/>
          <w:szCs w:val="24"/>
          <w:lang w:val="el-GR"/>
        </w:rPr>
        <w:t xml:space="preserve"> 270 της 7.7.2021, σ. 2.</w:t>
      </w:r>
    </w:p>
  </w:footnote>
  <w:footnote w:id="17">
    <w:p w:rsidR="00012622" w:rsidRPr="000B50CC" w:rsidRDefault="00012622"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sz w:val="24"/>
          <w:szCs w:val="24"/>
          <w:lang w:val="el-GR"/>
        </w:rPr>
        <w:t xml:space="preserve"> </w:t>
      </w:r>
      <w:r w:rsidRPr="000B50CC">
        <w:rPr>
          <w:sz w:val="24"/>
          <w:szCs w:val="24"/>
          <w:lang w:val="el-GR"/>
        </w:rPr>
        <w:tab/>
        <w:t xml:space="preserve">ΕΕ </w:t>
      </w:r>
      <w:r w:rsidRPr="000B50CC">
        <w:rPr>
          <w:sz w:val="24"/>
          <w:szCs w:val="24"/>
        </w:rPr>
        <w:t>C </w:t>
      </w:r>
      <w:r w:rsidRPr="000B50CC">
        <w:rPr>
          <w:sz w:val="24"/>
          <w:szCs w:val="24"/>
          <w:lang w:val="el-GR"/>
        </w:rPr>
        <w:t>428 της 13.12.2017, σ.</w:t>
      </w:r>
      <w:r w:rsidRPr="000B50CC">
        <w:rPr>
          <w:sz w:val="24"/>
          <w:szCs w:val="24"/>
        </w:rPr>
        <w:t> </w:t>
      </w:r>
      <w:r w:rsidRPr="000B50CC">
        <w:rPr>
          <w:sz w:val="24"/>
          <w:szCs w:val="24"/>
          <w:lang w:val="el-GR"/>
        </w:rPr>
        <w:t>10.</w:t>
      </w:r>
    </w:p>
  </w:footnote>
  <w:footnote w:id="18">
    <w:p w:rsidR="00012622" w:rsidRPr="000B50CC" w:rsidRDefault="00012622"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sz w:val="24"/>
          <w:szCs w:val="24"/>
          <w:lang w:val="el-GR"/>
        </w:rPr>
        <w:t xml:space="preserve"> </w:t>
      </w:r>
      <w:r w:rsidRPr="000B50CC">
        <w:rPr>
          <w:sz w:val="24"/>
          <w:szCs w:val="24"/>
          <w:lang w:val="el-GR"/>
        </w:rPr>
        <w:tab/>
        <w:t xml:space="preserve">ΕΕ </w:t>
      </w:r>
      <w:r w:rsidRPr="000B50CC">
        <w:rPr>
          <w:sz w:val="24"/>
          <w:szCs w:val="24"/>
        </w:rPr>
        <w:t>C</w:t>
      </w:r>
      <w:r w:rsidRPr="000B50CC">
        <w:rPr>
          <w:sz w:val="24"/>
          <w:szCs w:val="24"/>
          <w:lang w:val="el-GR"/>
        </w:rPr>
        <w:t xml:space="preserve"> 242 της 10.7.2018, σ. 24.</w:t>
      </w:r>
    </w:p>
  </w:footnote>
  <w:footnote w:id="19">
    <w:p w:rsidR="000B50CC" w:rsidRPr="00204E90" w:rsidRDefault="000B50CC" w:rsidP="000B50CC">
      <w:pPr>
        <w:pStyle w:val="FootnoteText"/>
        <w:spacing w:line="240" w:lineRule="auto"/>
        <w:ind w:left="567" w:hanging="567"/>
        <w:rPr>
          <w:sz w:val="24"/>
          <w:szCs w:val="24"/>
          <w:lang w:val="el-GR"/>
        </w:rPr>
      </w:pPr>
      <w:r w:rsidRPr="000B50CC">
        <w:rPr>
          <w:rStyle w:val="FootnoteReference"/>
          <w:sz w:val="24"/>
          <w:szCs w:val="24"/>
        </w:rPr>
        <w:footnoteRef/>
      </w:r>
      <w:r w:rsidRPr="00204E90">
        <w:rPr>
          <w:sz w:val="24"/>
          <w:szCs w:val="24"/>
          <w:lang w:val="el-GR"/>
        </w:rPr>
        <w:t xml:space="preserve"> </w:t>
      </w:r>
      <w:r w:rsidRPr="00204E90">
        <w:rPr>
          <w:sz w:val="24"/>
          <w:szCs w:val="24"/>
          <w:lang w:val="el-GR"/>
        </w:rPr>
        <w:tab/>
      </w:r>
      <w:r w:rsidRPr="000B50CC">
        <w:rPr>
          <w:sz w:val="24"/>
          <w:szCs w:val="24"/>
          <w:lang w:val="el-GR"/>
        </w:rPr>
        <w:t>ΕΕ</w:t>
      </w:r>
      <w:r w:rsidRPr="00204E90">
        <w:rPr>
          <w:sz w:val="24"/>
          <w:szCs w:val="24"/>
          <w:lang w:val="el-GR"/>
        </w:rPr>
        <w:t xml:space="preserve"> </w:t>
      </w:r>
      <w:r w:rsidRPr="000B50CC">
        <w:rPr>
          <w:sz w:val="24"/>
          <w:szCs w:val="24"/>
          <w:lang w:val="fi-FI"/>
        </w:rPr>
        <w:t>L</w:t>
      </w:r>
      <w:r w:rsidRPr="00204E90">
        <w:rPr>
          <w:sz w:val="24"/>
          <w:szCs w:val="24"/>
          <w:lang w:val="el-GR"/>
        </w:rPr>
        <w:t xml:space="preserve">, 2024/795, 29.2.2024, </w:t>
      </w:r>
      <w:r w:rsidRPr="000B50CC">
        <w:rPr>
          <w:sz w:val="24"/>
          <w:szCs w:val="24"/>
          <w:lang w:val="fi-FI"/>
        </w:rPr>
        <w:t>ELI</w:t>
      </w:r>
      <w:r w:rsidRPr="00204E90">
        <w:rPr>
          <w:sz w:val="24"/>
          <w:szCs w:val="24"/>
          <w:lang w:val="el-GR"/>
        </w:rPr>
        <w:t xml:space="preserve">: </w:t>
      </w:r>
      <w:hyperlink r:id="rId4" w:history="1">
        <w:r w:rsidRPr="000B50CC">
          <w:rPr>
            <w:rStyle w:val="Hyperlink"/>
            <w:sz w:val="24"/>
            <w:szCs w:val="24"/>
            <w:lang w:val="fi-FI"/>
          </w:rPr>
          <w:t>http</w:t>
        </w:r>
        <w:r w:rsidRPr="00204E90">
          <w:rPr>
            <w:rStyle w:val="Hyperlink"/>
            <w:sz w:val="24"/>
            <w:szCs w:val="24"/>
            <w:lang w:val="el-GR"/>
          </w:rPr>
          <w:t>://</w:t>
        </w:r>
        <w:r w:rsidRPr="000B50CC">
          <w:rPr>
            <w:rStyle w:val="Hyperlink"/>
            <w:sz w:val="24"/>
            <w:szCs w:val="24"/>
            <w:lang w:val="fi-FI"/>
          </w:rPr>
          <w:t>data</w:t>
        </w:r>
        <w:r w:rsidRPr="00204E90">
          <w:rPr>
            <w:rStyle w:val="Hyperlink"/>
            <w:sz w:val="24"/>
            <w:szCs w:val="24"/>
            <w:lang w:val="el-GR"/>
          </w:rPr>
          <w:t>.</w:t>
        </w:r>
        <w:r w:rsidRPr="000B50CC">
          <w:rPr>
            <w:rStyle w:val="Hyperlink"/>
            <w:sz w:val="24"/>
            <w:szCs w:val="24"/>
            <w:lang w:val="fi-FI"/>
          </w:rPr>
          <w:t>europa</w:t>
        </w:r>
        <w:r w:rsidRPr="00204E90">
          <w:rPr>
            <w:rStyle w:val="Hyperlink"/>
            <w:sz w:val="24"/>
            <w:szCs w:val="24"/>
            <w:lang w:val="el-GR"/>
          </w:rPr>
          <w:t>.</w:t>
        </w:r>
        <w:proofErr w:type="spellStart"/>
        <w:r w:rsidRPr="000B50CC">
          <w:rPr>
            <w:rStyle w:val="Hyperlink"/>
            <w:sz w:val="24"/>
            <w:szCs w:val="24"/>
            <w:lang w:val="fi-FI"/>
          </w:rPr>
          <w:t>eu</w:t>
        </w:r>
        <w:proofErr w:type="spellEnd"/>
        <w:r w:rsidRPr="00204E90">
          <w:rPr>
            <w:rStyle w:val="Hyperlink"/>
            <w:sz w:val="24"/>
            <w:szCs w:val="24"/>
            <w:lang w:val="el-GR"/>
          </w:rPr>
          <w:t>/</w:t>
        </w:r>
        <w:r w:rsidRPr="000B50CC">
          <w:rPr>
            <w:rStyle w:val="Hyperlink"/>
            <w:sz w:val="24"/>
            <w:szCs w:val="24"/>
            <w:lang w:val="fi-FI"/>
          </w:rPr>
          <w:t>eli</w:t>
        </w:r>
        <w:r w:rsidRPr="00204E90">
          <w:rPr>
            <w:rStyle w:val="Hyperlink"/>
            <w:sz w:val="24"/>
            <w:szCs w:val="24"/>
            <w:lang w:val="el-GR"/>
          </w:rPr>
          <w:t>/</w:t>
        </w:r>
        <w:proofErr w:type="spellStart"/>
        <w:r w:rsidRPr="000B50CC">
          <w:rPr>
            <w:rStyle w:val="Hyperlink"/>
            <w:sz w:val="24"/>
            <w:szCs w:val="24"/>
            <w:lang w:val="fi-FI"/>
          </w:rPr>
          <w:t>reg</w:t>
        </w:r>
        <w:proofErr w:type="spellEnd"/>
        <w:r w:rsidRPr="00204E90">
          <w:rPr>
            <w:rStyle w:val="Hyperlink"/>
            <w:sz w:val="24"/>
            <w:szCs w:val="24"/>
            <w:lang w:val="el-GR"/>
          </w:rPr>
          <w:t>/2024/795/</w:t>
        </w:r>
        <w:proofErr w:type="spellStart"/>
        <w:r w:rsidRPr="000B50CC">
          <w:rPr>
            <w:rStyle w:val="Hyperlink"/>
            <w:sz w:val="24"/>
            <w:szCs w:val="24"/>
            <w:lang w:val="fi-FI"/>
          </w:rPr>
          <w:t>oj</w:t>
        </w:r>
        <w:proofErr w:type="spellEnd"/>
      </w:hyperlink>
      <w:r w:rsidRPr="00204E90">
        <w:rPr>
          <w:sz w:val="24"/>
          <w:szCs w:val="24"/>
          <w:lang w:val="el-GR"/>
        </w:rPr>
        <w:t>.</w:t>
      </w:r>
    </w:p>
  </w:footnote>
  <w:footnote w:id="20">
    <w:p w:rsidR="000B50CC" w:rsidRPr="000B50CC" w:rsidRDefault="000B50CC" w:rsidP="000B50CC">
      <w:pPr>
        <w:pStyle w:val="FootnoteText"/>
        <w:spacing w:line="240" w:lineRule="auto"/>
        <w:ind w:left="567" w:hanging="567"/>
        <w:rPr>
          <w:sz w:val="24"/>
          <w:szCs w:val="24"/>
          <w:lang w:val="fi-FI"/>
        </w:rPr>
      </w:pPr>
      <w:r w:rsidRPr="000B50CC">
        <w:rPr>
          <w:rStyle w:val="FootnoteReference"/>
          <w:sz w:val="24"/>
          <w:szCs w:val="24"/>
        </w:rPr>
        <w:footnoteRef/>
      </w:r>
      <w:r w:rsidRPr="000B50CC">
        <w:rPr>
          <w:sz w:val="24"/>
          <w:szCs w:val="24"/>
          <w:lang w:val="fi-FI"/>
        </w:rPr>
        <w:t xml:space="preserve"> </w:t>
      </w:r>
      <w:r w:rsidRPr="000B50CC">
        <w:rPr>
          <w:sz w:val="24"/>
          <w:szCs w:val="24"/>
          <w:lang w:val="fi-FI"/>
        </w:rPr>
        <w:tab/>
      </w:r>
      <w:r w:rsidRPr="000B50CC">
        <w:rPr>
          <w:iCs/>
          <w:color w:val="333333"/>
          <w:sz w:val="24"/>
          <w:szCs w:val="24"/>
          <w:shd w:val="clear" w:color="auto" w:fill="FFFFFF"/>
        </w:rPr>
        <w:t>ΕΕ</w:t>
      </w:r>
      <w:r w:rsidRPr="000B50CC">
        <w:rPr>
          <w:iCs/>
          <w:color w:val="333333"/>
          <w:sz w:val="24"/>
          <w:szCs w:val="24"/>
          <w:shd w:val="clear" w:color="auto" w:fill="FFFFFF"/>
          <w:lang w:val="fi-FI"/>
        </w:rPr>
        <w:t xml:space="preserve"> L, 2024/792, 29.2.2024, ELI: </w:t>
      </w:r>
      <w:hyperlink r:id="rId5" w:history="1">
        <w:r w:rsidRPr="000B50CC">
          <w:rPr>
            <w:rStyle w:val="Hyperlink"/>
            <w:iCs/>
            <w:sz w:val="24"/>
            <w:szCs w:val="24"/>
            <w:shd w:val="clear" w:color="auto" w:fill="FFFFFF"/>
            <w:lang w:val="fi-FI"/>
          </w:rPr>
          <w:t>http://data.europa.eu/eli/reg/2024/792/oj</w:t>
        </w:r>
      </w:hyperlink>
      <w:r w:rsidRPr="000B50CC">
        <w:rPr>
          <w:iCs/>
          <w:color w:val="333333"/>
          <w:sz w:val="24"/>
          <w:szCs w:val="24"/>
          <w:shd w:val="clear" w:color="auto" w:fill="FFFFFF"/>
          <w:lang w:val="fi-FI"/>
        </w:rPr>
        <w:t>.</w:t>
      </w:r>
    </w:p>
  </w:footnote>
  <w:footnote w:id="21">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sz w:val="24"/>
          <w:szCs w:val="24"/>
          <w:lang w:val="el-GR"/>
        </w:rPr>
        <w:tab/>
        <w:t>ΕΕ</w:t>
      </w:r>
      <w:r w:rsidRPr="000B50CC">
        <w:rPr>
          <w:sz w:val="24"/>
          <w:szCs w:val="24"/>
          <w:lang w:val="el-GR"/>
        </w:rPr>
        <w:t xml:space="preserve"> </w:t>
      </w:r>
      <w:r w:rsidRPr="000B50CC">
        <w:rPr>
          <w:sz w:val="24"/>
          <w:szCs w:val="24"/>
        </w:rPr>
        <w:t>L</w:t>
      </w:r>
      <w:r w:rsidRPr="000B50CC">
        <w:rPr>
          <w:sz w:val="24"/>
          <w:szCs w:val="24"/>
          <w:lang w:val="el-GR"/>
        </w:rPr>
        <w:t xml:space="preserve"> 207</w:t>
      </w:r>
      <w:r w:rsidR="00012622" w:rsidRPr="000B50CC">
        <w:rPr>
          <w:sz w:val="24"/>
          <w:szCs w:val="24"/>
          <w:lang w:val="el-GR"/>
        </w:rPr>
        <w:t xml:space="preserve"> της</w:t>
      </w:r>
      <w:r w:rsidRPr="000B50CC">
        <w:rPr>
          <w:sz w:val="24"/>
          <w:szCs w:val="24"/>
          <w:lang w:val="el-GR"/>
        </w:rPr>
        <w:t xml:space="preserve"> 22.2.2024, σ. 1.</w:t>
      </w:r>
    </w:p>
  </w:footnote>
  <w:footnote w:id="22">
    <w:p w:rsidR="00956A6B" w:rsidRPr="000B50CC" w:rsidRDefault="00956A6B" w:rsidP="000B50CC">
      <w:pPr>
        <w:pStyle w:val="FootnoteText"/>
        <w:spacing w:line="240" w:lineRule="auto"/>
        <w:ind w:left="567" w:hanging="567"/>
        <w:rPr>
          <w:sz w:val="24"/>
          <w:szCs w:val="24"/>
          <w:lang w:val="el-GR"/>
        </w:rPr>
      </w:pPr>
      <w:r w:rsidRPr="000B50CC">
        <w:rPr>
          <w:rStyle w:val="FootnoteReference"/>
          <w:sz w:val="24"/>
          <w:szCs w:val="24"/>
        </w:rPr>
        <w:footnoteRef/>
      </w:r>
      <w:r w:rsidRPr="000B50CC">
        <w:rPr>
          <w:rStyle w:val="FootnoteReference"/>
          <w:sz w:val="24"/>
          <w:szCs w:val="24"/>
          <w:lang w:val="el-GR"/>
        </w:rPr>
        <w:t xml:space="preserve"> </w:t>
      </w:r>
      <w:r w:rsidR="00012622" w:rsidRPr="000B50CC">
        <w:rPr>
          <w:sz w:val="24"/>
          <w:szCs w:val="24"/>
          <w:lang w:val="el-GR"/>
        </w:rPr>
        <w:tab/>
      </w:r>
      <w:r w:rsidRPr="000B50CC">
        <w:rPr>
          <w:sz w:val="24"/>
          <w:szCs w:val="24"/>
          <w:lang w:val="el-GR"/>
        </w:rPr>
        <w:t>Ευρωπαϊκή Επιτροπή, «</w:t>
      </w:r>
      <w:r w:rsidRPr="000B50CC">
        <w:rPr>
          <w:rStyle w:val="Hyperlink"/>
          <w:sz w:val="24"/>
          <w:szCs w:val="24"/>
          <w:lang w:val="el-GR"/>
        </w:rPr>
        <w:t>Χειμερινές οικονομικές προβλέψεις 2024: Καθυστερημένη ανάκαμψη της ανάπτυξης εν μέσω ταχύτερης χαλάρωσης του πληθωρισμού</w:t>
      </w:r>
      <w:r w:rsidRPr="000B50CC">
        <w:rPr>
          <w:sz w:val="24"/>
          <w:szCs w:val="24"/>
          <w:lang w:val="el-GR"/>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6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E555405"/>
    <w:multiLevelType w:val="hybridMultilevel"/>
    <w:tmpl w:val="F5184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A75A2E"/>
    <w:multiLevelType w:val="hybridMultilevel"/>
    <w:tmpl w:val="E11801E6"/>
    <w:lvl w:ilvl="0" w:tplc="9A147D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Εισηγητής: "/>
  </w:docVars>
  <w:rsids>
    <w:rsidRoot w:val="00512680"/>
    <w:rsid w:val="00002272"/>
    <w:rsid w:val="00012622"/>
    <w:rsid w:val="00045198"/>
    <w:rsid w:val="00064002"/>
    <w:rsid w:val="000677B9"/>
    <w:rsid w:val="000831BA"/>
    <w:rsid w:val="000A42CC"/>
    <w:rsid w:val="000B50CC"/>
    <w:rsid w:val="000E7DD9"/>
    <w:rsid w:val="0010095E"/>
    <w:rsid w:val="00125B37"/>
    <w:rsid w:val="00187494"/>
    <w:rsid w:val="001C6414"/>
    <w:rsid w:val="001F32AE"/>
    <w:rsid w:val="00204E90"/>
    <w:rsid w:val="002244A2"/>
    <w:rsid w:val="002369A7"/>
    <w:rsid w:val="002767FF"/>
    <w:rsid w:val="002B18FE"/>
    <w:rsid w:val="002B5493"/>
    <w:rsid w:val="00343214"/>
    <w:rsid w:val="00361C00"/>
    <w:rsid w:val="00372236"/>
    <w:rsid w:val="00395FA1"/>
    <w:rsid w:val="003E15D4"/>
    <w:rsid w:val="00411CCE"/>
    <w:rsid w:val="0041666E"/>
    <w:rsid w:val="00421060"/>
    <w:rsid w:val="00471C19"/>
    <w:rsid w:val="004867E3"/>
    <w:rsid w:val="00494A28"/>
    <w:rsid w:val="004C0004"/>
    <w:rsid w:val="004C5D52"/>
    <w:rsid w:val="0050519A"/>
    <w:rsid w:val="005072A1"/>
    <w:rsid w:val="00512680"/>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6967"/>
    <w:rsid w:val="007D1690"/>
    <w:rsid w:val="007E22AD"/>
    <w:rsid w:val="00817416"/>
    <w:rsid w:val="00842779"/>
    <w:rsid w:val="00865F67"/>
    <w:rsid w:val="00881A7B"/>
    <w:rsid w:val="008840E5"/>
    <w:rsid w:val="00887B3E"/>
    <w:rsid w:val="008C2AC6"/>
    <w:rsid w:val="00930C23"/>
    <w:rsid w:val="0093193B"/>
    <w:rsid w:val="009509D8"/>
    <w:rsid w:val="00950B64"/>
    <w:rsid w:val="00956A6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79E29F"/>
  <w15:chartTrackingRefBased/>
  <w15:docId w15:val="{A4B2DB1B-37B1-4963-B28E-1B6AA676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6A6B"/>
    <w:pPr>
      <w:spacing w:before="480" w:after="240"/>
    </w:pPr>
  </w:style>
  <w:style w:type="paragraph" w:customStyle="1" w:styleId="NormalBold">
    <w:name w:val="NormalBold"/>
    <w:basedOn w:val="Normal"/>
    <w:rsid w:val="00956A6B"/>
    <w:rPr>
      <w:b/>
    </w:rPr>
  </w:style>
  <w:style w:type="paragraph" w:customStyle="1" w:styleId="NormalHanging12a">
    <w:name w:val="NormalHanging12a"/>
    <w:basedOn w:val="Normal"/>
    <w:link w:val="NormalHanging12aChar"/>
    <w:rsid w:val="00956A6B"/>
    <w:pPr>
      <w:spacing w:after="240"/>
      <w:ind w:left="567" w:hanging="567"/>
    </w:pPr>
  </w:style>
  <w:style w:type="character" w:customStyle="1" w:styleId="NormalHanging12aChar">
    <w:name w:val="NormalHanging12a Char"/>
    <w:basedOn w:val="DefaultParagraphFont"/>
    <w:link w:val="NormalHanging12a"/>
    <w:locked/>
    <w:rsid w:val="00956A6B"/>
    <w:rPr>
      <w:sz w:val="24"/>
      <w:lang w:val="el-GR"/>
    </w:rPr>
  </w:style>
  <w:style w:type="paragraph" w:customStyle="1" w:styleId="FootnoteReference1">
    <w:name w:val="Footnote Reference1"/>
    <w:basedOn w:val="Normal"/>
    <w:link w:val="FootnoteReference"/>
    <w:rsid w:val="00956A6B"/>
    <w:pPr>
      <w:widowControl/>
      <w:spacing w:after="160" w:line="240" w:lineRule="exact"/>
    </w:pPr>
    <w:rPr>
      <w:b/>
      <w:sz w:val="20"/>
      <w:vertAlign w:val="superscript"/>
      <w:lang w:val="en-GB"/>
    </w:rPr>
  </w:style>
  <w:style w:type="character" w:customStyle="1" w:styleId="ui-provider">
    <w:name w:val="ui-provider"/>
    <w:basedOn w:val="DefaultParagraphFont"/>
    <w:rsid w:val="00956A6B"/>
  </w:style>
  <w:style w:type="character" w:styleId="Hyperlink">
    <w:name w:val="Hyperlink"/>
    <w:basedOn w:val="DefaultParagraphFont"/>
    <w:rsid w:val="00956A6B"/>
    <w:rPr>
      <w:color w:val="0563C1" w:themeColor="hyperlink"/>
      <w:u w:val="single"/>
    </w:rPr>
  </w:style>
  <w:style w:type="paragraph" w:styleId="BalloonText">
    <w:name w:val="Balloon Text"/>
    <w:basedOn w:val="Normal"/>
    <w:link w:val="BalloonTextChar"/>
    <w:rsid w:val="00012622"/>
    <w:rPr>
      <w:rFonts w:ascii="Segoe UI" w:hAnsi="Segoe UI" w:cs="Segoe UI"/>
      <w:sz w:val="18"/>
      <w:szCs w:val="18"/>
    </w:rPr>
  </w:style>
  <w:style w:type="character" w:customStyle="1" w:styleId="BalloonTextChar">
    <w:name w:val="Balloon Text Char"/>
    <w:basedOn w:val="DefaultParagraphFont"/>
    <w:link w:val="BalloonText"/>
    <w:rsid w:val="00012622"/>
    <w:rPr>
      <w:rFonts w:ascii="Segoe UI" w:hAnsi="Segoe UI" w:cs="Segoe UI"/>
      <w:sz w:val="18"/>
      <w:szCs w:val="18"/>
      <w:lang w:val="el-GR"/>
    </w:rPr>
  </w:style>
  <w:style w:type="paragraph" w:styleId="ListParagraph">
    <w:name w:val="List Paragraph"/>
    <w:basedOn w:val="Normal"/>
    <w:uiPriority w:val="34"/>
    <w:qFormat/>
    <w:rsid w:val="000126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OLOK~1\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AE67E-2AAB-4122-A3B8-75C0CA2FF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20</Pages>
  <Words>8736</Words>
  <Characters>52478</Characters>
  <Application>Microsoft Office Word</Application>
  <DocSecurity>4</DocSecurity>
  <Lines>437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GOROPECNIK Tina</cp:lastModifiedBy>
  <cp:revision>2</cp:revision>
  <cp:lastPrinted>2004-11-19T15:42:00Z</cp:lastPrinted>
  <dcterms:created xsi:type="dcterms:W3CDTF">2024-09-10T14:00:00Z</dcterms:created>
  <dcterms:modified xsi:type="dcterms:W3CDTF">2024-09-10T14:00:00Z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A9-0068/2024</vt:lpwstr>
  </property>
  <property fmtid="{D5CDD505-2E9C-101B-9397-08002B2CF9AE}" pid="4" name="&lt;Type&gt;">
    <vt:lpwstr>RR</vt:lpwstr>
  </property>
</Properties>
</file>