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9339A" w14:paraId="0F816B42" w14:textId="77777777" w:rsidTr="0010095E">
        <w:trPr>
          <w:trHeight w:hRule="exact" w:val="1418"/>
        </w:trPr>
        <w:tc>
          <w:tcPr>
            <w:tcW w:w="6804" w:type="dxa"/>
            <w:shd w:val="clear" w:color="auto" w:fill="auto"/>
            <w:vAlign w:val="center"/>
          </w:tcPr>
          <w:p w14:paraId="52F97588" w14:textId="77777777" w:rsidR="00751A4A" w:rsidRPr="00F9339A" w:rsidRDefault="006C4628" w:rsidP="0010095E">
            <w:pPr>
              <w:pStyle w:val="EPName"/>
            </w:pPr>
            <w:bookmarkStart w:id="0" w:name="_GoBack"/>
            <w:bookmarkEnd w:id="0"/>
            <w:r w:rsidRPr="00F9339A">
              <w:t>Parlamento Europeo</w:t>
            </w:r>
          </w:p>
          <w:p w14:paraId="471ECB61" w14:textId="77777777" w:rsidR="00751A4A" w:rsidRPr="00F9339A" w:rsidRDefault="00817416" w:rsidP="00756632">
            <w:pPr>
              <w:pStyle w:val="EPTerm"/>
              <w:rPr>
                <w:rStyle w:val="HideTWBExt"/>
                <w:noProof w:val="0"/>
                <w:vanish w:val="0"/>
                <w:color w:val="auto"/>
              </w:rPr>
            </w:pPr>
            <w:r w:rsidRPr="00F9339A">
              <w:t>2019-2024</w:t>
            </w:r>
          </w:p>
        </w:tc>
        <w:tc>
          <w:tcPr>
            <w:tcW w:w="2268" w:type="dxa"/>
            <w:shd w:val="clear" w:color="auto" w:fill="auto"/>
          </w:tcPr>
          <w:p w14:paraId="036D3470" w14:textId="77777777" w:rsidR="00751A4A" w:rsidRPr="00F9339A" w:rsidRDefault="00187494" w:rsidP="0010095E">
            <w:pPr>
              <w:pStyle w:val="EPLogo"/>
            </w:pPr>
            <w:r w:rsidRPr="00F9339A">
              <w:rPr>
                <w:noProof/>
                <w:lang w:val="en-GB"/>
              </w:rPr>
              <w:drawing>
                <wp:inline distT="0" distB="0" distL="0" distR="0" wp14:anchorId="4013883B" wp14:editId="485E08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2FC69C9" w14:textId="77777777" w:rsidR="00D058B8" w:rsidRPr="00F9339A" w:rsidRDefault="00D058B8" w:rsidP="004C5D52">
      <w:pPr>
        <w:pStyle w:val="LineTop"/>
      </w:pPr>
    </w:p>
    <w:p w14:paraId="587347AB" w14:textId="77777777" w:rsidR="00680577" w:rsidRPr="00F9339A" w:rsidRDefault="006C4628" w:rsidP="00680577">
      <w:pPr>
        <w:pStyle w:val="EPBodyTA1"/>
      </w:pPr>
      <w:r w:rsidRPr="00F9339A">
        <w:t>TEXTOS APROBADOS</w:t>
      </w:r>
    </w:p>
    <w:p w14:paraId="59914A81" w14:textId="77777777" w:rsidR="00D058B8" w:rsidRPr="00F9339A" w:rsidRDefault="00D058B8" w:rsidP="00D058B8">
      <w:pPr>
        <w:pStyle w:val="LineBottom"/>
      </w:pPr>
    </w:p>
    <w:p w14:paraId="35E41978" w14:textId="77777777" w:rsidR="006C4628" w:rsidRPr="00F9339A" w:rsidRDefault="006C4628" w:rsidP="006C4628">
      <w:pPr>
        <w:pStyle w:val="ATHeading1"/>
      </w:pPr>
      <w:bookmarkStart w:id="1" w:name="TANumber"/>
      <w:r w:rsidRPr="00F9339A">
        <w:t>P9_</w:t>
      </w:r>
      <w:proofErr w:type="gramStart"/>
      <w:r w:rsidRPr="00F9339A">
        <w:t>TA(</w:t>
      </w:r>
      <w:proofErr w:type="gramEnd"/>
      <w:r w:rsidRPr="00F9339A">
        <w:t>2024)0</w:t>
      </w:r>
      <w:r w:rsidR="009B0BD2" w:rsidRPr="00F9339A">
        <w:t>15</w:t>
      </w:r>
      <w:r w:rsidR="00654202" w:rsidRPr="00F9339A">
        <w:t>7</w:t>
      </w:r>
      <w:bookmarkEnd w:id="1"/>
    </w:p>
    <w:p w14:paraId="0AB1EBEF" w14:textId="77777777" w:rsidR="006C4628" w:rsidRPr="00F9339A" w:rsidRDefault="006C4628" w:rsidP="006C4628">
      <w:pPr>
        <w:pStyle w:val="ATHeading2"/>
      </w:pPr>
      <w:bookmarkStart w:id="2" w:name="title"/>
      <w:r w:rsidRPr="00F9339A">
        <w:t>Orientaciones para el presupuesto 2025: sección III</w:t>
      </w:r>
      <w:bookmarkEnd w:id="2"/>
    </w:p>
    <w:p w14:paraId="66B4F368" w14:textId="77777777" w:rsidR="006C4628" w:rsidRPr="00F9339A" w:rsidRDefault="006C4628" w:rsidP="006C4628">
      <w:pPr>
        <w:rPr>
          <w:i/>
          <w:vanish/>
        </w:rPr>
      </w:pPr>
      <w:r w:rsidRPr="00F9339A">
        <w:rPr>
          <w:i/>
        </w:rPr>
        <w:fldChar w:fldCharType="begin"/>
      </w:r>
      <w:r w:rsidRPr="00F9339A">
        <w:rPr>
          <w:i/>
        </w:rPr>
        <w:instrText xml:space="preserve"> TC"(</w:instrText>
      </w:r>
      <w:bookmarkStart w:id="3" w:name="DocNumber"/>
      <w:r w:rsidRPr="00F9339A">
        <w:rPr>
          <w:i/>
        </w:rPr>
        <w:instrText>A9-0068/2024</w:instrText>
      </w:r>
      <w:bookmarkEnd w:id="3"/>
      <w:r w:rsidRPr="00F9339A">
        <w:rPr>
          <w:i/>
        </w:rPr>
        <w:instrText xml:space="preserve"> - Ponente: Victor Negrescu)"\l3 \n&gt; \* MERGEFORMAT </w:instrText>
      </w:r>
      <w:r w:rsidRPr="00F9339A">
        <w:rPr>
          <w:i/>
        </w:rPr>
        <w:fldChar w:fldCharType="end"/>
      </w:r>
    </w:p>
    <w:p w14:paraId="46EAD6D7" w14:textId="77777777" w:rsidR="006C4628" w:rsidRPr="00F9339A" w:rsidRDefault="006C4628" w:rsidP="006C4628">
      <w:pPr>
        <w:rPr>
          <w:vanish/>
        </w:rPr>
      </w:pPr>
      <w:bookmarkStart w:id="4" w:name="Commission"/>
      <w:r w:rsidRPr="00F9339A">
        <w:rPr>
          <w:vanish/>
        </w:rPr>
        <w:t>Comisión de Presupuestos</w:t>
      </w:r>
      <w:bookmarkEnd w:id="4"/>
    </w:p>
    <w:p w14:paraId="3A40CBD3" w14:textId="77777777" w:rsidR="006C4628" w:rsidRPr="00F9339A" w:rsidRDefault="006C4628" w:rsidP="006C4628">
      <w:pPr>
        <w:rPr>
          <w:vanish/>
        </w:rPr>
      </w:pPr>
      <w:bookmarkStart w:id="5" w:name="PE"/>
      <w:r w:rsidRPr="00F9339A">
        <w:rPr>
          <w:vanish/>
        </w:rPr>
        <w:t>PE758.108</w:t>
      </w:r>
      <w:bookmarkEnd w:id="5"/>
    </w:p>
    <w:p w14:paraId="62D82FB2" w14:textId="77777777" w:rsidR="006C4628" w:rsidRPr="00F9339A" w:rsidRDefault="006C4628" w:rsidP="006C4628">
      <w:pPr>
        <w:pStyle w:val="ATHeading3"/>
      </w:pPr>
      <w:bookmarkStart w:id="6" w:name="Sujet"/>
      <w:r w:rsidRPr="00F9339A">
        <w:t xml:space="preserve">Resolución del Parlamento Europeo, de </w:t>
      </w:r>
      <w:r w:rsidR="00D4015F" w:rsidRPr="00F9339A">
        <w:t>13</w:t>
      </w:r>
      <w:r w:rsidRPr="00F9339A">
        <w:t xml:space="preserve"> de marzo de 2024, sobre las orientaciones generales para la preparación del presupuesto 2025, sección III – Comisión</w:t>
      </w:r>
      <w:bookmarkEnd w:id="6"/>
      <w:r w:rsidRPr="00F9339A">
        <w:t xml:space="preserve"> </w:t>
      </w:r>
      <w:bookmarkStart w:id="7" w:name="References"/>
      <w:r w:rsidRPr="00F9339A">
        <w:t>(2023/2220(BUI))</w:t>
      </w:r>
      <w:bookmarkEnd w:id="7"/>
    </w:p>
    <w:p w14:paraId="1AAABBE6" w14:textId="77777777" w:rsidR="006C4628" w:rsidRPr="00F9339A" w:rsidRDefault="006C4628" w:rsidP="006C4628"/>
    <w:p w14:paraId="22F7202D" w14:textId="77777777" w:rsidR="001C3FEA" w:rsidRPr="00F9339A" w:rsidRDefault="001C3FEA" w:rsidP="007D6D1B">
      <w:pPr>
        <w:pStyle w:val="EPComma"/>
        <w:spacing w:before="0"/>
      </w:pPr>
      <w:bookmarkStart w:id="8" w:name="TextBodyBegin"/>
      <w:bookmarkEnd w:id="8"/>
      <w:r w:rsidRPr="00F9339A">
        <w:rPr>
          <w:i/>
        </w:rPr>
        <w:t>El Parlamento Europeo</w:t>
      </w:r>
      <w:r w:rsidRPr="00F9339A">
        <w:t>,</w:t>
      </w:r>
    </w:p>
    <w:p w14:paraId="7D9A2BF8" w14:textId="77777777" w:rsidR="001C3FEA" w:rsidRPr="00F9339A" w:rsidRDefault="001C3FEA" w:rsidP="00D4015F">
      <w:pPr>
        <w:pStyle w:val="NormalHanging12a"/>
      </w:pPr>
      <w:r w:rsidRPr="00F9339A">
        <w:t>–</w:t>
      </w:r>
      <w:r w:rsidRPr="00F9339A">
        <w:tab/>
        <w:t>Visto el artículo 314 del Tratado de Funcionamiento de la Unión Europea,</w:t>
      </w:r>
    </w:p>
    <w:p w14:paraId="1E95D031" w14:textId="77777777" w:rsidR="001C3FEA" w:rsidRPr="00F9339A" w:rsidRDefault="001C3FEA">
      <w:pPr>
        <w:pStyle w:val="NormalHanging12a"/>
      </w:pPr>
      <w:r w:rsidRPr="00F9339A">
        <w:t>–</w:t>
      </w:r>
      <w:r w:rsidRPr="00F9339A">
        <w:tab/>
        <w:t>Visto el artículo 106 bis del Tratado constitutivo de la Comunidad Europea de la Energía Atómica,</w:t>
      </w:r>
    </w:p>
    <w:p w14:paraId="7460AE75" w14:textId="67570AE5" w:rsidR="001C3FEA" w:rsidRPr="00F9339A" w:rsidRDefault="001C3FEA">
      <w:pPr>
        <w:pBdr>
          <w:top w:val="nil"/>
          <w:left w:val="nil"/>
          <w:bottom w:val="nil"/>
          <w:right w:val="nil"/>
          <w:between w:val="nil"/>
        </w:pBdr>
        <w:spacing w:after="240"/>
        <w:ind w:left="567" w:hanging="567"/>
        <w:rPr>
          <w:color w:val="000000"/>
        </w:rPr>
      </w:pPr>
      <w:r w:rsidRPr="00F9339A">
        <w:rPr>
          <w:color w:val="000000"/>
        </w:rPr>
        <w:t>–</w:t>
      </w:r>
      <w:r w:rsidRPr="00F9339A">
        <w:rPr>
          <w:color w:val="000000"/>
        </w:rPr>
        <w:tab/>
        <w:t xml:space="preserve">Visto el </w:t>
      </w:r>
      <w:r w:rsidR="00381890" w:rsidRPr="00F9339A">
        <w:rPr>
          <w:color w:val="000000"/>
        </w:rPr>
        <w:t xml:space="preserve">Reglamento (UE, </w:t>
      </w:r>
      <w:proofErr w:type="spellStart"/>
      <w:r w:rsidR="00381890" w:rsidRPr="00F9339A">
        <w:rPr>
          <w:color w:val="000000"/>
        </w:rPr>
        <w:t>Euratom</w:t>
      </w:r>
      <w:proofErr w:type="spellEnd"/>
      <w:r w:rsidR="00381890" w:rsidRPr="00F9339A">
        <w:rPr>
          <w:color w:val="000000"/>
        </w:rPr>
        <w:t xml:space="preserve">) 2024/765 del Consejo, de 29 de febrero de 2024, por el que se modifica el Reglamento (UE, </w:t>
      </w:r>
      <w:proofErr w:type="spellStart"/>
      <w:r w:rsidR="00381890" w:rsidRPr="00F9339A">
        <w:rPr>
          <w:color w:val="000000"/>
        </w:rPr>
        <w:t>Euratom</w:t>
      </w:r>
      <w:proofErr w:type="spellEnd"/>
      <w:r w:rsidR="00381890" w:rsidRPr="00F9339A">
        <w:rPr>
          <w:color w:val="000000"/>
        </w:rPr>
        <w:t>) 2020/2093, por el que se establece el marco financiero plurianual para el período 2021-2027</w:t>
      </w:r>
      <w:r w:rsidR="00AB2B83" w:rsidRPr="00F9339A">
        <w:rPr>
          <w:rStyle w:val="FootnoteReference"/>
          <w:color w:val="000000"/>
        </w:rPr>
        <w:footnoteReference w:id="1"/>
      </w:r>
      <w:r w:rsidRPr="00F9339A">
        <w:rPr>
          <w:color w:val="000000"/>
        </w:rPr>
        <w:t xml:space="preserve"> (revisión del MFP),</w:t>
      </w:r>
    </w:p>
    <w:p w14:paraId="3C11A35C"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w:t>
      </w:r>
      <w:r w:rsidRPr="00F9339A">
        <w:rPr>
          <w:color w:val="000000"/>
        </w:rPr>
        <w:tab/>
        <w:t>Visto el Reglamento (UE, Euratom) 2022/2496 del Consejo, de 15 de diciembre de 2022, que modifica el Reglamento (UE, Euratom) 2020/2093 por el que se establece el marco financiero plurianual para el período 2021</w:t>
      </w:r>
      <w:r w:rsidRPr="00F9339A">
        <w:rPr>
          <w:color w:val="000000"/>
        </w:rPr>
        <w:noBreakHyphen/>
        <w:t>2027</w:t>
      </w:r>
      <w:r w:rsidRPr="00F9339A">
        <w:rPr>
          <w:color w:val="000000"/>
          <w:vertAlign w:val="superscript"/>
        </w:rPr>
        <w:footnoteReference w:id="2"/>
      </w:r>
      <w:r w:rsidRPr="00F9339A">
        <w:rPr>
          <w:color w:val="000000"/>
        </w:rPr>
        <w:t>,</w:t>
      </w:r>
    </w:p>
    <w:p w14:paraId="0BB4C6C8" w14:textId="77777777" w:rsidR="001C3FEA" w:rsidRPr="00F9339A" w:rsidRDefault="001C3FEA">
      <w:pPr>
        <w:pStyle w:val="NormalHanging12a"/>
      </w:pPr>
      <w:r w:rsidRPr="00F9339A">
        <w:t>–</w:t>
      </w:r>
      <w:r w:rsidRPr="00F9339A">
        <w:tab/>
        <w:t>Vista su Posición, de 16 de diciembre de 2020, sobre el proyecto de Reglamento del Consejo por el que se establece el marco financiero plurianual para el período 2021</w:t>
      </w:r>
      <w:r w:rsidRPr="00F9339A">
        <w:noBreakHyphen/>
        <w:t>2027</w:t>
      </w:r>
      <w:r w:rsidRPr="00F9339A">
        <w:rPr>
          <w:rStyle w:val="FootnoteReference"/>
        </w:rPr>
        <w:footnoteReference w:id="3"/>
      </w:r>
      <w:r w:rsidRPr="00F9339A">
        <w:t>,</w:t>
      </w:r>
    </w:p>
    <w:p w14:paraId="313AAFA3" w14:textId="77777777" w:rsidR="001C3FEA" w:rsidRPr="00F9339A" w:rsidRDefault="001C3FEA">
      <w:pPr>
        <w:pStyle w:val="NormalHanging12a"/>
      </w:pPr>
      <w:r w:rsidRPr="00F9339A">
        <w:t>–</w:t>
      </w:r>
      <w:r w:rsidRPr="00F9339A">
        <w:tab/>
        <w:t>Vistos el Reglamento (UE, Euratom) 2020/2093 del Consejo, de 17 de diciembre de 2020, por el que se establece el marco financiero plurianual para el período 2021</w:t>
      </w:r>
      <w:r w:rsidRPr="00F9339A">
        <w:noBreakHyphen/>
        <w:t>2027</w:t>
      </w:r>
      <w:r w:rsidRPr="00F9339A">
        <w:rPr>
          <w:rStyle w:val="FootnoteReference"/>
        </w:rPr>
        <w:footnoteReference w:id="4"/>
      </w:r>
      <w:r w:rsidRPr="00F9339A">
        <w:t xml:space="preserve"> </w:t>
      </w:r>
      <w:r w:rsidRPr="00F9339A">
        <w:rPr>
          <w:color w:val="000000"/>
        </w:rPr>
        <w:t>y las declaraciones conjuntas acordadas en este contexto entre el Parlamento, el Consejo y la Comisión</w:t>
      </w:r>
      <w:r w:rsidRPr="00F9339A">
        <w:rPr>
          <w:color w:val="000000"/>
          <w:vertAlign w:val="superscript"/>
        </w:rPr>
        <w:footnoteReference w:id="5"/>
      </w:r>
      <w:r w:rsidRPr="00F9339A">
        <w:rPr>
          <w:color w:val="000000"/>
        </w:rPr>
        <w:t>, así como las declaraciones unilaterales correspondientes</w:t>
      </w:r>
      <w:r w:rsidRPr="00F9339A">
        <w:rPr>
          <w:color w:val="000000"/>
          <w:vertAlign w:val="superscript"/>
        </w:rPr>
        <w:footnoteReference w:id="6"/>
      </w:r>
      <w:r w:rsidRPr="00F9339A">
        <w:rPr>
          <w:color w:val="000000"/>
        </w:rPr>
        <w:t>,</w:t>
      </w:r>
    </w:p>
    <w:p w14:paraId="3370D6E8" w14:textId="77777777" w:rsidR="001C3FEA" w:rsidRPr="00F9339A" w:rsidRDefault="001C3FEA">
      <w:pPr>
        <w:pBdr>
          <w:top w:val="nil"/>
          <w:left w:val="nil"/>
          <w:bottom w:val="nil"/>
          <w:right w:val="nil"/>
          <w:between w:val="nil"/>
        </w:pBdr>
        <w:spacing w:after="240"/>
        <w:ind w:left="567" w:hanging="567"/>
        <w:rPr>
          <w:szCs w:val="24"/>
        </w:rPr>
      </w:pPr>
      <w:r w:rsidRPr="00F9339A">
        <w:t>–</w:t>
      </w:r>
      <w:r w:rsidRPr="00F9339A">
        <w:tab/>
        <w:t>Visto su informe provisional sobre la propuesta de revisión intermedia del marco financiero plurianual 2021</w:t>
      </w:r>
      <w:r w:rsidRPr="00F9339A">
        <w:noBreakHyphen/>
        <w:t>2027</w:t>
      </w:r>
      <w:r w:rsidRPr="00F9339A">
        <w:rPr>
          <w:rStyle w:val="FootnoteReference"/>
          <w:szCs w:val="24"/>
        </w:rPr>
        <w:footnoteReference w:id="7"/>
      </w:r>
      <w:r w:rsidRPr="00F9339A">
        <w:t>,</w:t>
      </w:r>
    </w:p>
    <w:p w14:paraId="0AF16231" w14:textId="77777777" w:rsidR="001C3FEA" w:rsidRPr="00F9339A" w:rsidRDefault="001C3FEA">
      <w:pPr>
        <w:pBdr>
          <w:top w:val="nil"/>
          <w:left w:val="nil"/>
          <w:bottom w:val="nil"/>
          <w:right w:val="nil"/>
          <w:between w:val="nil"/>
        </w:pBdr>
        <w:spacing w:after="240"/>
        <w:ind w:left="567" w:hanging="567"/>
        <w:rPr>
          <w:color w:val="000000"/>
        </w:rPr>
      </w:pPr>
      <w:r w:rsidRPr="00F9339A">
        <w:lastRenderedPageBreak/>
        <w:t>–</w:t>
      </w:r>
      <w:r w:rsidRPr="00F9339A">
        <w:tab/>
        <w:t>Vista su Resolución, de 27 de febrero de 2024, sobre el proyecto de Reglamento del Consejo por el que se modifica el Reglamento (UE, Euratom) 2020/2093, por el que se establece el marco financiero plurianual para el período 2021-2027</w:t>
      </w:r>
      <w:r w:rsidRPr="00F9339A">
        <w:rPr>
          <w:vertAlign w:val="superscript"/>
        </w:rPr>
        <w:footnoteReference w:id="8"/>
      </w:r>
      <w:r w:rsidRPr="00F9339A">
        <w:t>,</w:t>
      </w:r>
      <w:r w:rsidRPr="00F9339A">
        <w:rPr>
          <w:color w:val="000000"/>
        </w:rPr>
        <w:t xml:space="preserve"> </w:t>
      </w:r>
    </w:p>
    <w:p w14:paraId="6950B875" w14:textId="77777777" w:rsidR="001C3FEA" w:rsidRPr="00F9339A" w:rsidRDefault="001C3FEA">
      <w:pPr>
        <w:pStyle w:val="NormalHanging12a"/>
        <w:jc w:val="both"/>
        <w:rPr>
          <w:bCs/>
        </w:rPr>
      </w:pPr>
      <w:r w:rsidRPr="00F9339A">
        <w:t>–</w:t>
      </w:r>
      <w:r w:rsidRPr="00F9339A">
        <w:tab/>
        <w:t>Vista su Resolución, de 10 de mayo de 2023, sobre el impacto sobre el presupuesto 2024 de la UE de los crecientes costes de endeudamiento del Instrumento de Recuperación de la Unión Europea</w:t>
      </w:r>
      <w:r w:rsidRPr="00F9339A">
        <w:rPr>
          <w:bCs/>
          <w:vertAlign w:val="superscript"/>
        </w:rPr>
        <w:footnoteReference w:id="9"/>
      </w:r>
      <w:r w:rsidRPr="00F9339A">
        <w:t>,</w:t>
      </w:r>
    </w:p>
    <w:p w14:paraId="58C1455B" w14:textId="77777777" w:rsidR="001C3FEA" w:rsidRPr="00F9339A" w:rsidRDefault="001C3FEA">
      <w:pPr>
        <w:pStyle w:val="NormalHanging12a"/>
        <w:rPr>
          <w:szCs w:val="24"/>
        </w:rPr>
      </w:pPr>
      <w:r w:rsidRPr="00F9339A">
        <w:t>–</w:t>
      </w:r>
      <w:r w:rsidRPr="00F9339A">
        <w:tab/>
        <w:t>Vista su Resolución, de 15 de diciembre de 2022, sobre la mejora del marco financiero plurianual 2021</w:t>
      </w:r>
      <w:r w:rsidRPr="00F9339A">
        <w:noBreakHyphen/>
        <w:t>2027: un presupuesto de la Unión resiliente y adaptado a los nuevos retos</w:t>
      </w:r>
      <w:r w:rsidRPr="00F9339A">
        <w:rPr>
          <w:rStyle w:val="FootnoteReference"/>
          <w:color w:val="000000"/>
          <w:szCs w:val="24"/>
        </w:rPr>
        <w:footnoteReference w:id="10"/>
      </w:r>
      <w:r w:rsidRPr="00F9339A">
        <w:t>,</w:t>
      </w:r>
    </w:p>
    <w:p w14:paraId="098EA0A2" w14:textId="77777777" w:rsidR="001C3FEA" w:rsidRPr="00F9339A" w:rsidRDefault="001C3FEA">
      <w:pPr>
        <w:pStyle w:val="NormalHanging12a"/>
      </w:pPr>
      <w:r w:rsidRPr="00F9339A">
        <w:t>–</w:t>
      </w:r>
      <w:r w:rsidRPr="00F9339A">
        <w:tab/>
        <w:t>Vista la propuesta de la Comisión de Reglamento del Parlamento Europeo y del Consejo, de 16 de mayo de 2022, sobre las normas financieras aplicables al presupuesto general de la Unión (</w:t>
      </w:r>
      <w:proofErr w:type="gramStart"/>
      <w:r w:rsidRPr="00F9339A">
        <w:t>COM(</w:t>
      </w:r>
      <w:proofErr w:type="gramEnd"/>
      <w:r w:rsidRPr="00F9339A">
        <w:t>2022)0223),</w:t>
      </w:r>
    </w:p>
    <w:p w14:paraId="3FB521E5" w14:textId="77777777" w:rsidR="001C3FEA" w:rsidRPr="00F9339A" w:rsidRDefault="001C3FEA">
      <w:pPr>
        <w:pStyle w:val="NormalHanging12a"/>
      </w:pPr>
      <w:r w:rsidRPr="00F9339A">
        <w:t>–</w:t>
      </w:r>
      <w:r w:rsidRPr="00F9339A">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F9339A">
        <w:rPr>
          <w:rStyle w:val="FootnoteReference"/>
        </w:rPr>
        <w:footnoteReference w:id="11"/>
      </w:r>
      <w:r w:rsidRPr="00F9339A">
        <w:t>,</w:t>
      </w:r>
    </w:p>
    <w:p w14:paraId="22E22D21" w14:textId="77777777" w:rsidR="001C3FEA" w:rsidRPr="00F9339A" w:rsidRDefault="001C3FEA">
      <w:pPr>
        <w:pStyle w:val="NormalHanging12a"/>
      </w:pPr>
      <w:r w:rsidRPr="00F9339A">
        <w:t>–</w:t>
      </w:r>
      <w:r w:rsidRPr="00F9339A">
        <w:tab/>
        <w:t>Vista la Decisión (UE, Euratom) 2020/2053 del Consejo, de 14 de diciembre de 2020, sobre el sistema de recursos propios de la Unión Europea</w:t>
      </w:r>
      <w:r w:rsidRPr="00F9339A">
        <w:rPr>
          <w:rStyle w:val="FootnoteReference"/>
        </w:rPr>
        <w:footnoteReference w:id="12"/>
      </w:r>
      <w:r w:rsidRPr="00F9339A">
        <w:t>,</w:t>
      </w:r>
    </w:p>
    <w:p w14:paraId="59EA03C8"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w:t>
      </w:r>
      <w:r w:rsidRPr="00F9339A">
        <w:rPr>
          <w:color w:val="000000"/>
        </w:rPr>
        <w:tab/>
        <w:t>Vistas la propuesta de la Comisión, de 22 de diciembre de 2021, de Decisión del Consejo por la que se modifica la Decisión (UE, Euratom) 2020/2053 sobre el sistema de recursos propios de la Unión Europea (COM(2021)0570) y su Posición, de 23 de noviembre de 2022, sobre la propuesta</w:t>
      </w:r>
      <w:r w:rsidRPr="00F9339A">
        <w:rPr>
          <w:color w:val="000000"/>
          <w:vertAlign w:val="superscript"/>
        </w:rPr>
        <w:footnoteReference w:id="13"/>
      </w:r>
      <w:r w:rsidRPr="00F9339A">
        <w:rPr>
          <w:color w:val="000000"/>
        </w:rPr>
        <w:t>,</w:t>
      </w:r>
    </w:p>
    <w:p w14:paraId="01A003B9"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w:t>
      </w:r>
      <w:r w:rsidRPr="00F9339A">
        <w:rPr>
          <w:color w:val="000000"/>
        </w:rPr>
        <w:tab/>
        <w:t>Visto el Reglamento (UE) 2020/2094 del Consejo, de 14 de diciembre de 2020, por el que se establece un Instrumento de Recuperación de la Unión Europea para apoyar la recuperación tras la crisis de la COVID-19</w:t>
      </w:r>
      <w:r w:rsidRPr="00F9339A">
        <w:rPr>
          <w:rStyle w:val="FootnoteReference"/>
          <w:color w:val="000000"/>
        </w:rPr>
        <w:footnoteReference w:id="14"/>
      </w:r>
      <w:r w:rsidRPr="00F9339A">
        <w:rPr>
          <w:color w:val="000000"/>
        </w:rPr>
        <w:t>,</w:t>
      </w:r>
    </w:p>
    <w:p w14:paraId="72BB918B"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w:t>
      </w:r>
      <w:r w:rsidRPr="00F9339A">
        <w:rPr>
          <w:color w:val="000000"/>
        </w:rPr>
        <w:tab/>
        <w:t>Visto el Reglamento (UE, Euratom) 2020/2092 del Parlamento Europeo y del Consejo, de 16 de diciembre de 2020, sobre un régimen general de condicionalidad para la protección del presupuesto de la Unión</w:t>
      </w:r>
      <w:r w:rsidRPr="00F9339A">
        <w:rPr>
          <w:color w:val="000000"/>
          <w:vertAlign w:val="superscript"/>
        </w:rPr>
        <w:footnoteReference w:id="15"/>
      </w:r>
      <w:r w:rsidRPr="00F9339A">
        <w:rPr>
          <w:color w:val="000000"/>
        </w:rPr>
        <w:t>,</w:t>
      </w:r>
    </w:p>
    <w:p w14:paraId="20CB6A53"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w:t>
      </w:r>
      <w:r w:rsidRPr="00F9339A">
        <w:rPr>
          <w:color w:val="000000"/>
        </w:rPr>
        <w:tab/>
        <w:t>Vista la Comunicación de la Comisión, de 11 de diciembre de 2019, titulada «El Pacto Verde Europeo» (COM(2019)0640), y su Resolución, de 15 de enero de 2020, en respuesta a la misma</w:t>
      </w:r>
      <w:r w:rsidRPr="00F9339A">
        <w:rPr>
          <w:rStyle w:val="FootnoteReference"/>
          <w:color w:val="000000"/>
        </w:rPr>
        <w:footnoteReference w:id="16"/>
      </w:r>
      <w:r w:rsidRPr="00F9339A">
        <w:rPr>
          <w:color w:val="000000"/>
        </w:rPr>
        <w:t>,</w:t>
      </w:r>
    </w:p>
    <w:p w14:paraId="36BAB5AA" w14:textId="77777777" w:rsidR="001C3FEA" w:rsidRPr="00F9339A" w:rsidRDefault="001C3FEA">
      <w:pPr>
        <w:pStyle w:val="NormalHanging12a"/>
        <w:rPr>
          <w:szCs w:val="24"/>
        </w:rPr>
      </w:pPr>
      <w:r w:rsidRPr="00F9339A">
        <w:t>–</w:t>
      </w:r>
      <w:r w:rsidRPr="00F9339A">
        <w:tab/>
        <w:t xml:space="preserve">Visto el Reglamento (UE) 2021/1119 del Parlamento Europeo y del Consejo, de 30 de </w:t>
      </w:r>
      <w:r w:rsidRPr="00F9339A">
        <w:lastRenderedPageBreak/>
        <w:t>junio de 2021, por el que se establece el marco para lograr la neutralidad climática y se modifican los Reglamentos (CE) n.º 401/2009 y (UE) 2018/1999 (Legislación Europea sobre el Clima),</w:t>
      </w:r>
    </w:p>
    <w:p w14:paraId="33D8077C" w14:textId="77777777" w:rsidR="001C3FEA" w:rsidRPr="00F9339A" w:rsidRDefault="001C3FEA">
      <w:pPr>
        <w:pStyle w:val="NormalHanging12a"/>
        <w:rPr>
          <w:szCs w:val="24"/>
        </w:rPr>
      </w:pPr>
      <w:r w:rsidRPr="00F9339A">
        <w:t>–</w:t>
      </w:r>
      <w:r w:rsidRPr="00F9339A">
        <w:tab/>
        <w:t>Visto el Acuerdo adoptado, el 12 de diciembre de 2015, en la 21.ª Conferencia de las Partes en la CMNUCC (COP21) en París (en lo sucesivo, «Acuerdo de París»),</w:t>
      </w:r>
    </w:p>
    <w:p w14:paraId="01A3F9E4"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w:t>
      </w:r>
      <w:r w:rsidRPr="00F9339A">
        <w:rPr>
          <w:color w:val="000000"/>
        </w:rPr>
        <w:tab/>
      </w:r>
      <w:r w:rsidRPr="00F9339A">
        <w:t>Vistos la Proclamación interinstitucional sobre el pilar europeo de derechos sociales, de 13 de diciembre de 2017</w:t>
      </w:r>
      <w:r w:rsidRPr="00F9339A">
        <w:rPr>
          <w:rStyle w:val="FootnoteReference"/>
        </w:rPr>
        <w:footnoteReference w:id="17"/>
      </w:r>
      <w:r w:rsidRPr="00F9339A">
        <w:t xml:space="preserve"> y su Resolución de 19 de enero de 2017 al respecto</w:t>
      </w:r>
      <w:r w:rsidRPr="00F9339A">
        <w:rPr>
          <w:rStyle w:val="FootnoteReference"/>
        </w:rPr>
        <w:footnoteReference w:id="18"/>
      </w:r>
      <w:r w:rsidRPr="00F9339A">
        <w:t>, el Plan de acción de la Comisión para la aplicación del pilar europeo de derechos sociales, de 4 de marzo de 2021, y la Declaración de Oporto sobre asuntos sociales, adoptada por los miembros del Consejo Europeo en mayo de 2021,</w:t>
      </w:r>
    </w:p>
    <w:p w14:paraId="0AB64B24" w14:textId="77777777" w:rsidR="001C3FEA" w:rsidRPr="00F9339A" w:rsidRDefault="001C3FEA">
      <w:pPr>
        <w:pStyle w:val="NormalHanging12a"/>
        <w:rPr>
          <w:szCs w:val="24"/>
        </w:rPr>
      </w:pPr>
      <w:r w:rsidRPr="00F9339A">
        <w:t>–</w:t>
      </w:r>
      <w:r w:rsidRPr="00F9339A">
        <w:tab/>
        <w:t>Vista la Estrategia para la Igualdad de Género 2020-2025,</w:t>
      </w:r>
    </w:p>
    <w:p w14:paraId="0E6D571C" w14:textId="77777777" w:rsidR="001C3FEA" w:rsidRPr="00F9339A" w:rsidRDefault="001C3FEA">
      <w:pPr>
        <w:pStyle w:val="NormalHanging12a"/>
        <w:rPr>
          <w:szCs w:val="24"/>
        </w:rPr>
      </w:pPr>
      <w:r w:rsidRPr="00F9339A">
        <w:t>–</w:t>
      </w:r>
      <w:r w:rsidRPr="00F9339A">
        <w:tab/>
        <w:t>Visto el Informe Especial del Tribunal de Cuentas Europeo titulado «Integración de la perspectiva de género en el presupuesto de la UE: Es el momento de pasar a la acción» de 2021,</w:t>
      </w:r>
    </w:p>
    <w:p w14:paraId="13B3808A" w14:textId="77777777" w:rsidR="001C3FEA" w:rsidRPr="00F9339A" w:rsidRDefault="001C3FEA">
      <w:pPr>
        <w:pStyle w:val="NormalHanging12a"/>
        <w:rPr>
          <w:szCs w:val="24"/>
        </w:rPr>
      </w:pPr>
      <w:r w:rsidRPr="00F9339A">
        <w:t>–</w:t>
      </w:r>
      <w:r w:rsidRPr="00F9339A">
        <w:tab/>
        <w:t>Vistos los Objetivos de Desarrollo Sostenible de las Naciones Unidas,</w:t>
      </w:r>
    </w:p>
    <w:p w14:paraId="6856E22B" w14:textId="77777777" w:rsidR="001C3FEA" w:rsidRPr="00F9339A" w:rsidRDefault="001C3FEA">
      <w:pPr>
        <w:pBdr>
          <w:top w:val="nil"/>
          <w:left w:val="nil"/>
          <w:bottom w:val="nil"/>
          <w:right w:val="nil"/>
          <w:between w:val="nil"/>
        </w:pBdr>
        <w:spacing w:after="240"/>
        <w:ind w:left="567" w:hanging="567"/>
      </w:pPr>
      <w:r w:rsidRPr="00F9339A">
        <w:t>–</w:t>
      </w:r>
      <w:r w:rsidRPr="00F9339A">
        <w:tab/>
        <w:t>Vista la Comunicación de la Comisión, de 1 de febrero de 2023, titulada «Un Plan Industrial del Pacto Verde para la era de cero emisiones netas» (</w:t>
      </w:r>
      <w:proofErr w:type="gramStart"/>
      <w:r w:rsidRPr="00F9339A">
        <w:t>COM(</w:t>
      </w:r>
      <w:proofErr w:type="gramEnd"/>
      <w:r w:rsidRPr="00F9339A">
        <w:t>2023)0062),</w:t>
      </w:r>
    </w:p>
    <w:p w14:paraId="682F7E5F" w14:textId="77777777" w:rsidR="001C3FEA" w:rsidRPr="00F9339A" w:rsidRDefault="001C3FEA">
      <w:pPr>
        <w:pBdr>
          <w:top w:val="nil"/>
          <w:left w:val="nil"/>
          <w:bottom w:val="nil"/>
          <w:right w:val="nil"/>
          <w:between w:val="nil"/>
        </w:pBdr>
        <w:spacing w:after="240"/>
        <w:ind w:left="567" w:hanging="567"/>
      </w:pPr>
      <w:r w:rsidRPr="00F9339A">
        <w:t>–</w:t>
      </w:r>
      <w:r w:rsidRPr="00F9339A">
        <w:tab/>
        <w:t>Vist</w:t>
      </w:r>
      <w:r w:rsidR="0090223B" w:rsidRPr="00F9339A">
        <w:t>o</w:t>
      </w:r>
      <w:r w:rsidRPr="00F9339A">
        <w:t xml:space="preserve"> </w:t>
      </w:r>
      <w:r w:rsidR="0090223B" w:rsidRPr="00F9339A">
        <w:t>el Reglamento (UE) 2024/795 del Parlamento Europeo y del Consejo, de 29 de febrero de 2024, por el que se crea la Plataforma de Tecnologías Estratégicas para Europa (STEP) y se modifican la Directiva 2003/87/CE y los Reglamentos (UE) 2021/1058, (UE) 2021/1056, (UE) 2021/1057, (UE) n.º 1303/2013, (UE) n.º 223/2014, (UE) 2021/1060, (UE) 2021/523, (UE) 2021/695, (UE) 2021/697 y (UE) 2021/241</w:t>
      </w:r>
      <w:r w:rsidR="0090223B" w:rsidRPr="00F9339A">
        <w:rPr>
          <w:rStyle w:val="FootnoteReference"/>
        </w:rPr>
        <w:footnoteReference w:id="19"/>
      </w:r>
      <w:r w:rsidRPr="00F9339A">
        <w:t>,</w:t>
      </w:r>
    </w:p>
    <w:p w14:paraId="010FF681" w14:textId="77777777" w:rsidR="001C3FEA" w:rsidRPr="00F9339A" w:rsidRDefault="001C3FEA">
      <w:pPr>
        <w:pBdr>
          <w:top w:val="nil"/>
          <w:left w:val="nil"/>
          <w:bottom w:val="nil"/>
          <w:right w:val="nil"/>
          <w:between w:val="nil"/>
        </w:pBdr>
        <w:spacing w:after="240"/>
        <w:ind w:left="567" w:hanging="567"/>
      </w:pPr>
      <w:r w:rsidRPr="00F9339A">
        <w:t>–</w:t>
      </w:r>
      <w:r w:rsidRPr="00F9339A">
        <w:tab/>
        <w:t>Vist</w:t>
      </w:r>
      <w:r w:rsidR="0090223B" w:rsidRPr="00F9339A">
        <w:t>o el</w:t>
      </w:r>
      <w:r w:rsidRPr="00F9339A">
        <w:t xml:space="preserve"> </w:t>
      </w:r>
      <w:r w:rsidR="0090223B" w:rsidRPr="00F9339A">
        <w:t>Reglamento (UE) 2024/792 del Parlamento Europeo y del Consejo, de 29 de febrero de 2024, por el que se establece el Mecanismo para Ucrania</w:t>
      </w:r>
      <w:r w:rsidR="0090223B" w:rsidRPr="00F9339A">
        <w:rPr>
          <w:rStyle w:val="FootnoteReference"/>
        </w:rPr>
        <w:footnoteReference w:id="20"/>
      </w:r>
      <w:r w:rsidRPr="00F9339A">
        <w:t>,</w:t>
      </w:r>
    </w:p>
    <w:p w14:paraId="5C706D3B" w14:textId="77777777" w:rsidR="001C3FEA" w:rsidRPr="00F9339A" w:rsidRDefault="001C3FEA">
      <w:pPr>
        <w:pStyle w:val="NormalHanging12a"/>
      </w:pPr>
      <w:r w:rsidRPr="00F9339A">
        <w:t>–</w:t>
      </w:r>
      <w:r w:rsidRPr="00F9339A">
        <w:tab/>
        <w:t>Vistos el presupuesto general de la Unión Europea para el ejercicio 2024</w:t>
      </w:r>
      <w:r w:rsidRPr="00F9339A">
        <w:rPr>
          <w:rStyle w:val="FootnoteReference"/>
        </w:rPr>
        <w:footnoteReference w:id="21"/>
      </w:r>
      <w:r w:rsidRPr="00F9339A">
        <w:t xml:space="preserve"> y las declaraciones conjuntas acordadas entre el Parlamento, el Consejo y la Comisión que lo acompañan,</w:t>
      </w:r>
    </w:p>
    <w:p w14:paraId="601B5D61" w14:textId="468CD91A" w:rsidR="001C3FEA" w:rsidRPr="00F9339A" w:rsidRDefault="001C3FEA">
      <w:pPr>
        <w:pStyle w:val="NormalHanging12a"/>
      </w:pPr>
      <w:r w:rsidRPr="00F9339A">
        <w:t>–</w:t>
      </w:r>
      <w:r w:rsidRPr="00F9339A">
        <w:tab/>
        <w:t xml:space="preserve">Vistas las Conclusiones del Consejo, de </w:t>
      </w:r>
      <w:r w:rsidR="00890CE3" w:rsidRPr="00F9339A">
        <w:t>12 de marzo de 2024</w:t>
      </w:r>
      <w:r w:rsidRPr="00F9339A">
        <w:t>, sobre las orientaciones presupuestarias para el ejercicio 2025 (</w:t>
      </w:r>
      <w:r w:rsidR="00890CE3" w:rsidRPr="00F9339A">
        <w:t>6195</w:t>
      </w:r>
      <w:r w:rsidRPr="00F9339A">
        <w:t>/2024),</w:t>
      </w:r>
    </w:p>
    <w:p w14:paraId="14DA3B97" w14:textId="77777777" w:rsidR="001C3FEA" w:rsidRPr="00F9339A" w:rsidRDefault="001C3FEA">
      <w:pPr>
        <w:pStyle w:val="NormalHanging12a"/>
      </w:pPr>
      <w:r w:rsidRPr="00F9339A">
        <w:t>–</w:t>
      </w:r>
      <w:r w:rsidRPr="00F9339A">
        <w:tab/>
        <w:t>Visto el artículo 93 de su Reglamento interno,</w:t>
      </w:r>
    </w:p>
    <w:p w14:paraId="132CD22C" w14:textId="77777777" w:rsidR="001C3FEA" w:rsidRPr="00F9339A" w:rsidRDefault="001C3FEA">
      <w:pPr>
        <w:pStyle w:val="NormalHanging12a"/>
      </w:pPr>
      <w:r w:rsidRPr="00F9339A">
        <w:t>–</w:t>
      </w:r>
      <w:r w:rsidRPr="00F9339A">
        <w:tab/>
        <w:t xml:space="preserve">Vistas las cartas de la Comisión de Asuntos Exteriores, la Comisión de Desarrollo, la Comisión de Control Presupuestario, la Comisión de Empleo y Asuntos Sociales, la Comisión de Medio Ambiente, Salud Pública y Seguridad Alimentaria, la Comisión de Industria, Investigación y Energía, la Comisión de Transportes y Turismo, la Comisión </w:t>
      </w:r>
      <w:r w:rsidRPr="00F9339A">
        <w:lastRenderedPageBreak/>
        <w:t>de Agricultura y Desarrollo Rural, la Comisión de Cultura y Educación, la Comisión de Asuntos Constitucionales y la Comisión de Derechos de las Mujeres e Igualdad de Género,</w:t>
      </w:r>
    </w:p>
    <w:p w14:paraId="39878BF2" w14:textId="77777777" w:rsidR="001C3FEA" w:rsidRPr="00F9339A" w:rsidRDefault="001C3FEA">
      <w:pPr>
        <w:pStyle w:val="NormalHanging12a"/>
      </w:pPr>
      <w:r w:rsidRPr="00F9339A">
        <w:t>–</w:t>
      </w:r>
      <w:r w:rsidRPr="00F9339A">
        <w:tab/>
        <w:t>Visto el informe de la Comisión de Presupuestos (A9</w:t>
      </w:r>
      <w:r w:rsidRPr="00F9339A">
        <w:noBreakHyphen/>
        <w:t>0068/2024),</w:t>
      </w:r>
    </w:p>
    <w:p w14:paraId="201091F7" w14:textId="77777777" w:rsidR="001C3FEA" w:rsidRPr="00F9339A" w:rsidRDefault="001C3FEA">
      <w:pPr>
        <w:pStyle w:val="NormalHanging12a"/>
        <w:ind w:left="0" w:firstLine="0"/>
        <w:rPr>
          <w:b/>
          <w:i/>
        </w:rPr>
      </w:pPr>
      <w:r w:rsidRPr="00F9339A">
        <w:rPr>
          <w:b/>
          <w:i/>
        </w:rPr>
        <w:t>Un presupuesto de la Unión para 2025 centrado en las personas: inversiones adaptadas a la mejora de la vida de las personas y al impulso de la competitividad de la Unión</w:t>
      </w:r>
    </w:p>
    <w:p w14:paraId="36BC7C69" w14:textId="77777777" w:rsidR="001C3FEA" w:rsidRPr="00F9339A" w:rsidRDefault="001C3FEA">
      <w:pPr>
        <w:spacing w:after="240"/>
        <w:ind w:left="567" w:hanging="567"/>
      </w:pPr>
      <w:r w:rsidRPr="00F9339A">
        <w:t>1.</w:t>
      </w:r>
      <w:r w:rsidRPr="00F9339A">
        <w:tab/>
        <w:t>Insiste en que, en tiempos de cambio geopolítico e institucional, presión financiera, cambio climático y retos sociales, un presupuesto de la Unión fiable, sólido y flexible orientado a las inversiones sigue siendo fundamental para la aplicación de las políticas de la Unión y desempeñando un papel central a la hora de responder a las necesidades cada vez mayores de la ciudadanía sin dejar a nadie atrás en las transiciones ecológica y digital, proporcionar prosperidad y seguridad a las personas e impulsar la competitividad de la economía de la Unión;</w:t>
      </w:r>
    </w:p>
    <w:p w14:paraId="77FD8D27" w14:textId="77777777" w:rsidR="001C3FEA" w:rsidRPr="00F9339A" w:rsidRDefault="001C3FEA">
      <w:pPr>
        <w:pStyle w:val="NormalHanging12a"/>
      </w:pPr>
      <w:r w:rsidRPr="00F9339A">
        <w:t>2.</w:t>
      </w:r>
      <w:r w:rsidRPr="00F9339A">
        <w:tab/>
        <w:t>Destaca las difíciles circunstancias del procedimiento presupuestario de 2025, que se desarrolla en un momento de grandes tensiones e incertidumbres internacionales, y en un año electoral en el que el Parlamento y la Comisión tendrán que gestionar la transición de la legislatura; es plenamente consciente de las graves e inevitables limitaciones de calendario y pide a todos los agentes que las tengan debidamente en cuenta con una mentalidad constructiva;</w:t>
      </w:r>
    </w:p>
    <w:p w14:paraId="551CF62C" w14:textId="77777777" w:rsidR="001C3FEA" w:rsidRPr="00F9339A" w:rsidRDefault="001C3FEA">
      <w:pPr>
        <w:pStyle w:val="NormalHanging12a"/>
      </w:pPr>
      <w:r w:rsidRPr="00F9339A">
        <w:t>3.</w:t>
      </w:r>
      <w:r w:rsidRPr="00F9339A">
        <w:tab/>
        <w:t>Lamenta profundamente que el Consejo no lograse alcanzar un acuerdo sobre la revisión del marco financiero plurianual (MFP) antes de que terminara 2023; observa, por tanto, que tuvo que poner en marcha el procedimiento presupuestario sin tener certeza sobre varios elementos cruciales de la programación financiera para 2025, y es muy consciente de los márgenes muy ajustados y, en algunos casos, negativos, por debajo de los límites máximos del MFP;</w:t>
      </w:r>
    </w:p>
    <w:p w14:paraId="531CCA21" w14:textId="77777777" w:rsidR="001C3FEA" w:rsidRPr="00F9339A" w:rsidRDefault="001C3FEA">
      <w:pPr>
        <w:spacing w:after="240"/>
        <w:ind w:left="567" w:hanging="567"/>
      </w:pPr>
      <w:r w:rsidRPr="00F9339A">
        <w:t>4.</w:t>
      </w:r>
      <w:r w:rsidRPr="00F9339A">
        <w:tab/>
        <w:t>Considera que el resultado de la revisión del MFP está por debajo de las aspiraciones iniciales del Parlamento Europeo; subraya que una revisión del Reglamento del MFP es una condición previa esencial para garantizar el apoyo financiero a medio plazo a Ucrania, permitir una mayor financiación para prioridades estratégicas específicas —entre ellas, la promoción de la autonomía estratégica de la Unión— y proteger los programas de la Unión y la flexibilidad presupuestaria a la luz de unos tipos de interés superiores a los previstos y, por tanto, de unos costes de endeudamiento de la Unión superiores a los programados; observa que el procedimiento presupuestario anual de 2025 será el primer ejercicio basado íntegramente en el Reglamento del MFP revisado;</w:t>
      </w:r>
    </w:p>
    <w:p w14:paraId="12832D28" w14:textId="77777777" w:rsidR="001C3FEA" w:rsidRPr="00F9339A" w:rsidRDefault="001C3FEA">
      <w:pPr>
        <w:spacing w:after="240"/>
        <w:ind w:left="567" w:hanging="567"/>
        <w:rPr>
          <w:color w:val="000000"/>
        </w:rPr>
      </w:pPr>
      <w:r w:rsidRPr="00F9339A">
        <w:t>5.</w:t>
      </w:r>
      <w:r w:rsidRPr="00F9339A">
        <w:tab/>
        <w:t>Recuerda que la Declaración conjunta acordada por las tres instituciones como parte del acuerdo sobre el MFP de 2020, según la cual los gastos que se destinen a sufragar los costes de financiación de NextGenerationEU «tendrán el objetivo de no menguar programas ni fondos», sigue siendo aplicable y sirve como punto de referencia para la autoridad presupuestaria, en particular en lo que respecta a movilizar el instrumento para el IRUE para cubrir al menos una parte del déficit de los costes de empréstito de NextGenerationEU;</w:t>
      </w:r>
      <w:r w:rsidRPr="00F9339A">
        <w:rPr>
          <w:snapToGrid w:val="0"/>
          <w:color w:val="000000" w:themeColor="text1"/>
          <w:shd w:val="clear" w:color="auto" w:fill="FFFFFF"/>
        </w:rPr>
        <w:t xml:space="preserve"> </w:t>
      </w:r>
      <w:r w:rsidRPr="00F9339A">
        <w:rPr>
          <w:color w:val="000000"/>
        </w:rPr>
        <w:t xml:space="preserve">se propone, por tanto, garantizar que todos los programas dispongan de los recursos adecuados y que la flexibilidad y la capacidad de respuesta del presupuesto se mantengan a través del procedimiento presupuestario anual; insiste en la necesidad de que la Comisión proporcione información fiable, oportuna y exacta </w:t>
      </w:r>
      <w:r w:rsidRPr="00F9339A">
        <w:rPr>
          <w:color w:val="000000"/>
        </w:rPr>
        <w:lastRenderedPageBreak/>
        <w:t>sobre los costes de endeudamiento de NextGenerationEU y sobre los desembolsos previstos del Mecanismo de Recuperación y Resiliencia a lo largo del procedimiento presupuestario;</w:t>
      </w:r>
    </w:p>
    <w:p w14:paraId="4D6810DA" w14:textId="77777777" w:rsidR="001C3FEA" w:rsidRPr="00F9339A" w:rsidRDefault="001C3FEA">
      <w:pPr>
        <w:spacing w:after="240"/>
        <w:ind w:left="567" w:hanging="567"/>
      </w:pPr>
      <w:r w:rsidRPr="00F9339A">
        <w:t>6.</w:t>
      </w:r>
      <w:r w:rsidRPr="00F9339A">
        <w:tab/>
        <w:t>Pide al Consejo y a la Comisión que apliquen plenamente el Reglamento (UE, Euratom) 2020/2092 sobre un régimen general de condicionalidad para la protección del presupuesto de la Unión; destaca, en particular, que la observancia del Estado de Derecho es un requisito previo fundamental para acceder a los fondos de la Unión; destaca que no se pueden desembolsar los fondos si los Estados miembros no cumplen todos los requisitos pertinentes; reitera que los problemas sistémicos relativos al Estado de Derecho, como la violación del principio de separación de poderes o los intentos recientes en algunos Estados miembros de atacar la independencia del poder judicial, representan un claro riesgo para los intereses financieros de la Unión y la protección de su presupuesto, y pide a la Comisión que no permita retrocesos respecto a los logros ya alcanzados en el ámbito del Estado de Derecho; reitera su llamamiento a la Comisión para que garantice con urgencia que los fondos de la Unión suspendidos lleguen a los ciudadanos, las empresas, las autoridades regionales y locales, las organizaciones no gubernamentales y cualesquiera otras partes interesadas pertinentes a través de los gobiernos locales y las organizaciones de la sociedad civil, con arreglo al mecanismo de condicionalidad del Estado de Derecho;</w:t>
      </w:r>
    </w:p>
    <w:p w14:paraId="2C5B5350" w14:textId="77777777" w:rsidR="001C3FEA" w:rsidRPr="00F9339A" w:rsidRDefault="001C3FEA">
      <w:pPr>
        <w:pBdr>
          <w:top w:val="nil"/>
          <w:left w:val="nil"/>
          <w:bottom w:val="nil"/>
          <w:right w:val="nil"/>
          <w:between w:val="nil"/>
        </w:pBdr>
        <w:spacing w:after="240"/>
        <w:ind w:left="567" w:hanging="567"/>
      </w:pPr>
      <w:r w:rsidRPr="00F9339A">
        <w:t>7.</w:t>
      </w:r>
      <w:r w:rsidRPr="00F9339A">
        <w:tab/>
        <w:t>Subraya que el reembolso de los costes de endeudamiento del Instrumento de Recuperación de la Unión Europea (IRUE) constituye una obligación legal para la Unión y supone una partida de gasto no discrecional en el presupuesto de la Unión; observa que los costes de endeudamiento dependen del ritmo de los desembolsos en el marco del Mecanismo de Recuperación y Resiliencia (MRR), así como de las fluctuaciones del mercado en la rentabilidad de los bonos, por lo que son intrínsecamente impredecibles y volátiles; reitera su posición de que los costes de endeudamiento del IRUE deberían haberse integrado plenamente en un instrumento especial del IRUE por encima de los límites máximos del MFP con vistas a recuperar cierto margen dentro de la subrúbrica 2b y proteger el espacio presupuestario del Instrumento de Flexibilidad y el Instrumento de Margen Único; se esforzará por garantizar que la aplicación del mecanismo en cascada del IRUE en el MFP revisado no dé lugar a disposiciones que causen perjuicios colaterales indebidos a los gastos programados o a las disponibilidades en el marco de los instrumentos especiales no temáticos;</w:t>
      </w:r>
    </w:p>
    <w:p w14:paraId="4697EEEA" w14:textId="77777777" w:rsidR="001C3FEA" w:rsidRPr="00F9339A" w:rsidRDefault="001C3FEA">
      <w:pPr>
        <w:pBdr>
          <w:top w:val="nil"/>
          <w:left w:val="nil"/>
          <w:bottom w:val="nil"/>
          <w:right w:val="nil"/>
          <w:between w:val="nil"/>
        </w:pBdr>
        <w:spacing w:after="240"/>
        <w:ind w:left="567" w:hanging="567"/>
      </w:pPr>
      <w:r w:rsidRPr="00F9339A">
        <w:t>8.</w:t>
      </w:r>
      <w:r w:rsidRPr="00F9339A">
        <w:tab/>
        <w:t>Recuerda que se prevé</w:t>
      </w:r>
      <w:r w:rsidRPr="00F9339A">
        <w:rPr>
          <w:rStyle w:val="FootnoteReference"/>
          <w:color w:val="000000"/>
        </w:rPr>
        <w:footnoteReference w:id="22"/>
      </w:r>
      <w:r w:rsidRPr="00F9339A">
        <w:t xml:space="preserve"> que la economía europea crezca muy modestamente (0,9 % en 2024 y 1,7 % en 2025), mientras que se espera que la inflación se mantenga sustancialmente por encima del 2 % utilizado como deflactor automático para el MFP (3,0 % en 2024 y 2,5 % en 2025); reconoce que esto implica una pérdida continua de poder adquisitivo para un presupuesto que debe mantenerse en equilibrio y que está limitado por importes absolutos; destaca el muy bajo tipo de referencia para el recurso propio basado en la renta nacional bruta (RNB) en los últimos años (0,46 % en el proyecto de presupuesto de 2024), como consecuencia del efecto combinado de la inflación, los bajos niveles de créditos de pago y el aumento de los ingresos procedentes de otros recursos propios; recuerda su posición de que las rebajas y otros mecanismos </w:t>
      </w:r>
      <w:r w:rsidRPr="00F9339A">
        <w:lastRenderedPageBreak/>
        <w:t xml:space="preserve">de corrección deben abolirse de forma permanente y de que, hasta que así se haga, las reducciones importantes de las contribuciones nacionales basadas en la RNB deben estar sujetas a un deflactor fijo de hasta el 2 % anual; </w:t>
      </w:r>
    </w:p>
    <w:p w14:paraId="4DB57274" w14:textId="77777777" w:rsidR="001C3FEA" w:rsidRPr="00F9339A" w:rsidRDefault="001C3FEA">
      <w:pPr>
        <w:pStyle w:val="NormalHanging12a"/>
      </w:pPr>
      <w:r w:rsidRPr="00F9339A">
        <w:t>9.</w:t>
      </w:r>
      <w:r w:rsidRPr="00F9339A">
        <w:tab/>
        <w:t>Lamenta la ausencia de avances en el Consejo con respecto a la reforma del sistema de recursos propios; recuerda su posición sobre las propuestas modificadas de la Comisión, que respalda la introducción de nuevos recursos propios; considera que la introducción de nuevas fuentes de ingresos auténticas, en consonancia con la hoja de ruta del acuerdo interinstitucional, serviría para cubrir la carga presupuestaria adicional derivada del endeudamiento de NextGenerationEU y protegería así los mecanismos sobre márgenes y flexibilidad, lo que, a su vez, facilitaría la toma de decisiones presupuestarias sobre necesidades imprevistas, así como nuevas iniciativas de prospectiva estratégica; insta, además, a la Comisión a que siga esforzándose por identificar recursos propios nuevos, novedosos y preferiblemente genuinos, además de otras fuentes de ingresos para el presupuesto de la Unión más allá del AII;</w:t>
      </w:r>
    </w:p>
    <w:p w14:paraId="44F4B81D" w14:textId="77777777" w:rsidR="001C3FEA" w:rsidRPr="00F9339A" w:rsidRDefault="001C3FEA">
      <w:pPr>
        <w:pStyle w:val="NormalHanging12a"/>
      </w:pPr>
      <w:r w:rsidRPr="00F9339A">
        <w:t>10.</w:t>
      </w:r>
      <w:r w:rsidRPr="00F9339A">
        <w:tab/>
        <w:t>Lamenta que la capacidad de responder a acontecimientos imprevistos o de poner en marcha nuevas iniciativas se vea gravemente afectada por la escasez presupuestaria y tiene la intención de corregir esta situación en la medida de lo posible, teniendo también en cuenta las mayores expectativas de los ciudadanos de la Unión; recuerda que es necesario establecer un instrumento especial adicional por encima de los límites máximos del MFP, de modo que el presupuesto de la Unión pueda adaptarse mejor y reaccionar rápidamente a las crisis y a sus efectos sociales y económicos;</w:t>
      </w:r>
    </w:p>
    <w:p w14:paraId="7B48008E" w14:textId="77777777" w:rsidR="001C3FEA" w:rsidRPr="00F9339A" w:rsidRDefault="001C3FEA">
      <w:pPr>
        <w:spacing w:after="240"/>
        <w:ind w:left="567" w:hanging="567"/>
      </w:pPr>
      <w:r w:rsidRPr="00F9339A">
        <w:t>11.</w:t>
      </w:r>
      <w:r w:rsidRPr="00F9339A">
        <w:tab/>
        <w:t xml:space="preserve">Manifiesta su determinación, a pesar de estas numerosas limitaciones, de mantener una posición coherente y unificada que refleje sus prioridades políticas e intereses institucionales establecidos, incluidos el impulso de la competitividad de la Unión, la reducción de las dependencias estratégicas, la aceleración del despliegue de la energía limpia, la </w:t>
      </w:r>
      <w:proofErr w:type="spellStart"/>
      <w:r w:rsidRPr="00F9339A">
        <w:t>garantización</w:t>
      </w:r>
      <w:proofErr w:type="spellEnd"/>
      <w:r w:rsidRPr="00F9339A">
        <w:t xml:space="preserve"> del logro de los objetivos de la Unión en materia de integración del clima y la biodiversidad, la mejora de sus capacidades de seguridad y defensa y la contribución a las transiciones ecológica y digital, al tiempo que se minimizan las repercusiones negativas en los programas emblemáticos y se maximizan los beneficios indirectos del crecimiento económico para todas las personas de la Unión Europea;</w:t>
      </w:r>
    </w:p>
    <w:p w14:paraId="144A477E" w14:textId="77777777" w:rsidR="001C3FEA" w:rsidRPr="00F9339A" w:rsidRDefault="001C3FEA">
      <w:pPr>
        <w:pStyle w:val="NormalHanging12a"/>
        <w:ind w:left="0" w:firstLine="0"/>
        <w:rPr>
          <w:b/>
          <w:i/>
        </w:rPr>
      </w:pPr>
      <w:r w:rsidRPr="00F9339A">
        <w:rPr>
          <w:b/>
          <w:i/>
        </w:rPr>
        <w:t>Un presupuesto equitativo, justo e inclusivo que ofrezca mejores oportunidades a todos los ciudadanos de la Unión y garantice el crecimiento económico</w:t>
      </w:r>
    </w:p>
    <w:p w14:paraId="00A562A7" w14:textId="77777777" w:rsidR="001C3FEA" w:rsidRPr="00F9339A" w:rsidRDefault="001C3FEA">
      <w:pPr>
        <w:pStyle w:val="NormalHanging12a"/>
      </w:pPr>
      <w:r w:rsidRPr="00F9339A">
        <w:t>12.</w:t>
      </w:r>
      <w:r w:rsidRPr="00F9339A">
        <w:tab/>
        <w:t xml:space="preserve">Observa que las condiciones de vida asequibles y la cohesión social siguen siendo retos persistentes en todos los Estados miembros de la Unión y sus regiones, y recuerda el papel de unos servicios públicos de alta calidad y accesibles a este respecto; desea acentuar la inclusividad y la accesibilidad de la financiación siempre que proceda y de conformidad con los criterios de admisibilidad pertinentes y maximizar las posibilidades de financiación aprovechando los fondos existentes; considera que la dimensión social del gasto de la Unión, como característica necesaria para su legitimidad, debe seguir siendo un criterio transversal en todos los ámbitos políticos; </w:t>
      </w:r>
    </w:p>
    <w:p w14:paraId="63C644C8" w14:textId="77777777" w:rsidR="001C3FEA" w:rsidRPr="00F9339A" w:rsidRDefault="001C3FEA">
      <w:pPr>
        <w:pStyle w:val="NormalHanging12a"/>
      </w:pPr>
      <w:r w:rsidRPr="00F9339A">
        <w:t>13.</w:t>
      </w:r>
      <w:r w:rsidRPr="00F9339A">
        <w:tab/>
        <w:t xml:space="preserve">Subraya que el presupuesto de la Unión es, ante todo, un presupuesto de inversión con efecto multiplicador, capaz de impulsar los objetivos y la elaboración de políticas de la Unión complementando las políticas nacionales y respondiendo así a las necesidades de todas las personas en la Unión; recuerda la importancia del Mecanismo de Recuperación y Resiliencia para aumentar la resiliencia de la Unión y mitigar los efectos socioeconómicos de las crisis pasadas y en curso; considera que no deben </w:t>
      </w:r>
      <w:r w:rsidRPr="00F9339A">
        <w:lastRenderedPageBreak/>
        <w:t>escatimarse esfuerzos para garantizar que estas dos principales fuentes de financiación de la Unión se desembolsen de manera eficaz y sin más demora;</w:t>
      </w:r>
    </w:p>
    <w:p w14:paraId="48499BA0" w14:textId="77777777" w:rsidR="001C3FEA" w:rsidRPr="00F9339A" w:rsidRDefault="001C3FEA">
      <w:pPr>
        <w:spacing w:after="240"/>
        <w:ind w:left="567" w:hanging="567"/>
      </w:pPr>
      <w:r w:rsidRPr="00F9339A">
        <w:t>14.</w:t>
      </w:r>
      <w:r w:rsidRPr="00F9339A">
        <w:tab/>
        <w:t xml:space="preserve">Manifiesta su firme determinación de emplear el presupuesto de la UE para marcar una diferencia tangible y visible para las personas y para la economía del mercado único y alcanzar los objetivos del Pacto Verde respaldando la creación de empleo de calidad en sectores de vanguardia, preparando el mercado de trabajo para el futuro mediante programas de desarrollo de capacidades y refuerzo del talento, combatiendo el desempleo, mejorando la competitividad europea y aumentando la preparación de la Unión en materia de defensa; considera que la autonomía tecnológica y el crecimiento sostenible son clave para alcanzar los objetivos energéticos y climáticos a largo plazo de la Unión; reitera su llamamiento a mantener una financiación adecuada para apoyar a las pymes como columna vertebral de la economía europea, a las empresas emergentes y a los jóvenes, a los agricultores, al personal docente y a los trabajadores del transporte; subraya la necesidad de seguir mejorando las infraestructuras de energía y transporte y de invertir para mejorar los servicios públicos de salud y bienestar, así como la cohesión e inclusión sociales y territoriales, y para apoyar a las comunidades vulnerables, remotas y rurales, en particular los pueblos inteligentes; señala que el presupuesto debe garantizar la transición ecológica —apoyando al mismo tiempo la agricultura de calidad— y el acceso a una salud y una educación de calidad; </w:t>
      </w:r>
    </w:p>
    <w:p w14:paraId="4AE42ECD" w14:textId="77777777" w:rsidR="001C3FEA" w:rsidRPr="00F9339A" w:rsidRDefault="001C3FEA">
      <w:pPr>
        <w:spacing w:after="240"/>
        <w:ind w:left="567" w:hanging="567"/>
      </w:pPr>
      <w:r w:rsidRPr="00F9339A">
        <w:t>15.</w:t>
      </w:r>
      <w:r w:rsidRPr="00F9339A">
        <w:tab/>
        <w:t>Resalta la importante repercusión de la investigación y la innovación en la competitividad, el crecimiento a largo plazo y el empleo en la Unión; recuerda la iniciativa de larga data de impulsar la intensidad de inversión en investigación y desarrollo en la Unión hasta el 3 % del PIB; reconoce la brecha existente entre ese objetivo y la financiación real; subraya que el liderazgo tecnológico europeo resulta esencial para aplicar el Pacto Verde Europeo y la Unión Europea de la Salud, ya que crea puestos de trabajo altamente cualificados en la Unión a lo largo de toda la cadena de valor y refuerza la excelencia de la investigación e innovación dentro de la Unión; manifiesta su honda preocupación por que los fondos disponibles solo cubran una pequeña parte de las solicitudes presentadas, lo que conduce a un elevado exceso de demanda en los programas y a que los investigadores abandonen la Unión para dirigirse a regiones competidoras;</w:t>
      </w:r>
    </w:p>
    <w:p w14:paraId="2EE45AF8" w14:textId="77777777" w:rsidR="001C3FEA" w:rsidRPr="00F9339A" w:rsidRDefault="001C3FEA">
      <w:pPr>
        <w:pStyle w:val="NormalHanging12a"/>
        <w:rPr>
          <w:szCs w:val="24"/>
        </w:rPr>
      </w:pPr>
      <w:r w:rsidRPr="00F9339A">
        <w:t>16.</w:t>
      </w:r>
      <w:r w:rsidRPr="00F9339A">
        <w:tab/>
        <w:t>Hace hincapié en que deben aportarse soluciones sostenibles y a largo plazo para luchar con éxito contra los retos demográficos estructurales, así como para mitigar la fuga de cerebros en las regiones y ciudades menos desarrolladas de la Unión; destaca la necesidad de recursos financieros para revitalizar las regiones en las que se registra un descenso de la población a través de inversiones en políticas sociales y demográficas que apoyen a las familias y proporcionar a la población europea, que envejece cada vez más, un apoyo adecuado en términos de acceso a la atención sanitaria, la movilidad y los servicios públicos;</w:t>
      </w:r>
    </w:p>
    <w:p w14:paraId="0982B689" w14:textId="77777777" w:rsidR="001C3FEA" w:rsidRPr="00F9339A" w:rsidRDefault="001C3FEA">
      <w:pPr>
        <w:pStyle w:val="NormalHanging12a"/>
      </w:pPr>
      <w:r w:rsidRPr="00F9339A">
        <w:t>17.</w:t>
      </w:r>
      <w:r w:rsidRPr="00F9339A">
        <w:tab/>
        <w:t xml:space="preserve">Insiste en que debe movilizarse la mayor financiación posible a través de Erasmus+ y del Cuerpo Europeo de Solidaridad para promover el aprendizaje y el emprendimiento y mejorar las capacidades, la educación (formal, no formal e informal) y la empleabilidad de los jóvenes, así como promover la inclusión social; reitera la necesidad de garantizar que ambos programas brinden igualdad de oportunidades, centrándose especialmente en las personas procedentes de entornos desfavorecidos en toda la Unión y los países asociados; mantiene su opinión de que las becas de movilidad en Erasmus+ deben recibir un apoyo adicional para cubrir el aumento del coste de la vida y garantizar la accesibilidad, la igualdad de oportunidades y una participación inclusiva, en particular </w:t>
      </w:r>
      <w:r w:rsidRPr="00F9339A">
        <w:lastRenderedPageBreak/>
        <w:t>incrementando la beca mínima por participante hasta un nivel adecuado;</w:t>
      </w:r>
    </w:p>
    <w:p w14:paraId="76A16275" w14:textId="77777777" w:rsidR="001C3FEA" w:rsidRPr="00F9339A" w:rsidRDefault="001C3FEA">
      <w:pPr>
        <w:pStyle w:val="NormalHanging12a"/>
      </w:pPr>
      <w:r w:rsidRPr="00F9339A">
        <w:t>18.</w:t>
      </w:r>
      <w:r w:rsidRPr="00F9339A">
        <w:tab/>
        <w:t>Subraya la importancia de aplicar el pilar europeo de derechos sociales y pide a la Comisión que inicie reflexiones sobre una metodología para el seguimiento del gasto social en el presupuesto de la Unión en el próximo período de programación; destaca el papel fundamental del presupuesto de la UE a la hora de contribuir a iniciativas que fortalezcan el diálogo social, refuercen las acciones sociales locales y regionales y faciliten el acceso de todos a servicios esenciales; reitera la necesidad de una estrategia europea para las personas de edad avanzada con acciones específicas para luchar contra la marginación, la soledad y el aislamiento; recuerda además la necesidad de una aplicación plena de la Estrategia sobre los Derechos de las Personas con Discapacidad para 2021-2030 para mejorar las condiciones de vida en la Unión; destaca el caso de los transportistas por carretera europeos que se enfrentan a diferentes retos en cada Estado miembro, desde el aumento de los costes hasta la escasez de capacidad y la necesidad de flexibilidad y mejores condiciones de trabajo; resalta la necesidad de reforzar las normas existentes para su protección y asignar recursos adicionales para el seguimiento de sus condiciones de trabajo en todos los Estados miembros; destaca a este respecto los beneficios del desarrollo a escala de la Unión de herramientas informáticas que ayuden a mejorar la aplicación de los requisitos burocráticos y la normalización de los certificados;</w:t>
      </w:r>
    </w:p>
    <w:p w14:paraId="284B27A7" w14:textId="77777777" w:rsidR="001C3FEA" w:rsidRPr="00F9339A" w:rsidRDefault="001C3FEA">
      <w:pPr>
        <w:pStyle w:val="NormalHanging12a"/>
      </w:pPr>
      <w:r w:rsidRPr="00F9339A">
        <w:t>19.</w:t>
      </w:r>
      <w:r w:rsidRPr="00F9339A">
        <w:tab/>
        <w:t xml:space="preserve">Pide a la Comisión y a los Estados miembros que asignen recursos adecuados para la aplicación efectiva de la normativa de la Unión en materia de coordinación de la seguridad social a fin de facilitar la movilidad laboral y la transferencia de prestaciones de seguridad social; pide que se utilicen fondos de la Unión para desarrollar el sistema de intercambio electrónico de información sobre seguridad social y apoyar una mayor digitalización de los sistemas de seguridad social en aras de una movilidad laboral justa; </w:t>
      </w:r>
    </w:p>
    <w:p w14:paraId="663D02F7" w14:textId="77777777" w:rsidR="001C3FEA" w:rsidRPr="00F9339A" w:rsidRDefault="001C3FEA">
      <w:pPr>
        <w:spacing w:after="240"/>
        <w:ind w:left="567" w:hanging="567"/>
      </w:pPr>
      <w:r w:rsidRPr="00F9339A">
        <w:t>20.</w:t>
      </w:r>
      <w:r w:rsidRPr="00F9339A">
        <w:tab/>
        <w:t>Reconoce que la tecnología y la inteligencia artificial (IA) están cambiando rápidamente el panorama del empleo; destaca el potencial económico que las tecnologías de IA fiables y centradas en las personas pueden aportar al crecimiento económico de Europa al tiempo que mejoran las vidas de los ciudadanos en una serie de ámbitos como la salud, la agricultura, la energía, el transporte y la seguridad;</w:t>
      </w:r>
      <w:r w:rsidRPr="00F9339A">
        <w:rPr>
          <w:color w:val="00B0F0"/>
        </w:rPr>
        <w:t xml:space="preserve"> </w:t>
      </w:r>
      <w:r w:rsidRPr="00F9339A">
        <w:t>pide que esto se refleje en los programas y las políticas de la Unión mediante la asignación de recursos financieros adecuados; destaca la necesidad de mejorar las capacidades digitales básicas de los ciudadanos para adaptarse a las necesidades de las empresas y equipar a las personas contra la desinformación; apoya las medidas de la Unión que complementan las estrategias nacionales de empleo en favor de la reconversión y la movilidad profesionales a escala de la Unión de manera coordinada y aprovechar el potencial de estos cambios para lograr una mano de obra dinámica y adaptable, también mediante el fomento del reciclaje y la movilidad profesionales, de modo que se garantice una transición fluida hacia sectores laborales nuevos y emergentes;</w:t>
      </w:r>
    </w:p>
    <w:p w14:paraId="4DA79AA4" w14:textId="77777777" w:rsidR="001C3FEA" w:rsidRPr="00F9339A" w:rsidRDefault="001C3FEA">
      <w:pPr>
        <w:spacing w:after="240"/>
        <w:ind w:left="567" w:hanging="567"/>
      </w:pPr>
      <w:r w:rsidRPr="00F9339A">
        <w:t>21.</w:t>
      </w:r>
      <w:r w:rsidRPr="00F9339A">
        <w:tab/>
        <w:t>Manifiesta su alarma por el creciente número de fenómenos meteorológicos extremos, como incendios e inundaciones graves y otras catástrofes naturales relacionadas con el empeoramiento del cambio climático en toda Europa; destaca por ello la necesidad de garantizar una financiación suficiente para el Mecanismo de Protección Civil de la Unión y pide una mejor consolidación de las capacidades de la Unión en materia de respuesta a emergencias mediante el refuerzo de los equipos conjuntos de intervención médica y de emergencia; pide a la Comisión que vele por que también puedan ponerse a disposición recursos de manera rápida a través del Fondo de Solidaridad de la Unión Europea y de la Reserva para Ayudas de Emergencia;</w:t>
      </w:r>
    </w:p>
    <w:p w14:paraId="31E46869" w14:textId="77777777" w:rsidR="001C3FEA" w:rsidRPr="00F9339A" w:rsidRDefault="001C3FEA">
      <w:pPr>
        <w:pStyle w:val="NormalHanging12a"/>
      </w:pPr>
      <w:r w:rsidRPr="00F9339A">
        <w:lastRenderedPageBreak/>
        <w:t>22.</w:t>
      </w:r>
      <w:r w:rsidRPr="00F9339A">
        <w:tab/>
        <w:t>Subraya la importancia de asignar una financiación adecuada a las actividades contempladas en el Reglamento UEproSalud; reconoce que el precio de los medicamentos y las tecnologías sanitarias tiene un gran impacto en la capacidad de los pacientes de acceder a ellos; destaca que los costes inasequibles de los medicamentos representan un verdadero obstáculo para el tratamiento y pide la aplicación de medidas específicas para hacer frente a estos retos; pide, a este respecto, una mejor coordinación a escala de la Unión y una adquisición conjunta de medicamentos para reducir los costes; resalta la importancia de combatir las enfermedades infantiles, haciendo especial hincapié en las enfermedades raras; destaca, en particular, la importancia del Plan Europeo de Lucha contra el Cáncer; pide un presupuesto ambicioso para el bloque «Salud» de Horizonte Europa a fin de garantizar que la Unión pueda responder con eficacia a futuras crisis sanitarias, contribuir a reforzar los sistemas sanitarios y mejorar la salud física y mental de las personas haciendo la asistencia sanitaria más asequible y accesible; reconoce que las enfermedades cardiovasculares siguen siendo la principal causa de muerte en la Unión; considera que es fundamental abordar las enfermedades cardiovasculares invirtiendo en acciones dirigidas a la medicina personalizada y la sanidad electrónica, ya que esto mejorará la calidad de la prevención y el tratamiento y permitirá a todos los ciudadanos la igualdad de acceso a la asistencia sanitaria; resalta la necesidad de evitar las situaciones de escasez de medicamentos a que se han enfrentado algunos Estados miembros en los últimos años; reconoce que se deben reducir las desigualdades sanitarias para garantizar una sanidad equitativa para todas las mujeres, incluido el acceso a los servicios de salud sexual y reproductiva, y recuerda que es esencial que la salud de las mujeres siga siendo una prioridad de las políticas y la investigación;</w:t>
      </w:r>
    </w:p>
    <w:p w14:paraId="22864E07" w14:textId="77777777" w:rsidR="001C3FEA" w:rsidRPr="00F9339A" w:rsidRDefault="001C3FEA">
      <w:pPr>
        <w:pStyle w:val="NormalHanging12a"/>
      </w:pPr>
      <w:r w:rsidRPr="00F9339A">
        <w:t>23.</w:t>
      </w:r>
      <w:r w:rsidRPr="00F9339A">
        <w:tab/>
        <w:t>Recuerda la necesidad de abordar el déficit de capacidades, el problema de la fuga de cerebros y la correlación entre las necesidades del mercado y las capacidades, también desde la perspectiva de la situación en las distintas regiones de la Unión; considera que, para que la mano de obra de la Unión siga siendo competitiva en el futuro, es necesario definir ámbitos clave de formación y reciclaje profesional, en especial para fomentar las capacidades ecológicas y digitales; destaca que se requieren más inversiones para modernizar los sistemas educativos de la Unión, crear programas de refuerzo del talento e incentivar a los jóvenes emprendedores; pide que se acelere la aplicación del Año Europeo de las Competencias y del Espacio Europeo de Educación; pide a la Comisión que aplique rápidamente las soluciones señaladas como fundamentales durante el Año Europeo de las Competencias y resalta la necesidad de una mejor cooperación con las empresas, también en lo que se refiere a la «evaluación de la UE desde el punto de vista de los jóvenes» y a la prohibición de las prácticas no remuneradas; siguiendo las recomendaciones adoptadas en la Conferencia sobre el Futuro de Europa, recuerda la importancia de establecer un plan educativo europeo dotado de recursos financieros para apoyar una educación de calidad y la formación del profesorado, así como para reducir las tasas de abandono escolar prematuro;</w:t>
      </w:r>
    </w:p>
    <w:p w14:paraId="156C19C5" w14:textId="77777777" w:rsidR="001C3FEA" w:rsidRPr="00F9339A" w:rsidRDefault="001C3FEA" w:rsidP="009B0BD2">
      <w:pPr>
        <w:pBdr>
          <w:top w:val="nil"/>
          <w:left w:val="nil"/>
          <w:bottom w:val="nil"/>
          <w:right w:val="nil"/>
          <w:between w:val="nil"/>
        </w:pBdr>
        <w:spacing w:after="240"/>
        <w:ind w:left="567" w:hanging="567"/>
        <w:rPr>
          <w:color w:val="000000"/>
        </w:rPr>
      </w:pPr>
      <w:r w:rsidRPr="00F9339A">
        <w:rPr>
          <w:color w:val="000000"/>
        </w:rPr>
        <w:t>24.</w:t>
      </w:r>
      <w:r w:rsidRPr="00F9339A">
        <w:rPr>
          <w:color w:val="000000"/>
        </w:rPr>
        <w:tab/>
        <w:t xml:space="preserve">Subraya el valor añadido de los programas de financiación en los ámbitos de la democracia y los derechos y valores; recuerda la importancia del papel que desempeña el presupuesto de la Unión en la promoción de los valores europeos consagrados en el artículo 2 del TUE y de la cultura y los derechos de los ciudadanos, en la construcción de sociedades resilientes y en el respaldo de los principios fundamentales de la democracia, el Estado de Derecho, la solidaridad, la inclusividad, la justicia, la no discriminación y la igualdad, incluida la de género; desea que se refuercen las líneas presupuestarias y los organismos pertinentes para abordar la polarización, el ascenso del extremismo político y la baja confianza institucional, fomentar la democracia </w:t>
      </w:r>
      <w:r w:rsidRPr="00F9339A">
        <w:rPr>
          <w:color w:val="000000"/>
        </w:rPr>
        <w:lastRenderedPageBreak/>
        <w:t xml:space="preserve">participativa, promover los derechos fundamentales e impedir el retroceso democrático, la erosión del Estado de Derecho, la reducción del espacio de acción de las organizaciones de la sociedad civil que trabajan en este ámbito —a escala local, nacional y de la Unión— y la instrumentalización del euroescepticismo; pide que se garanticen suficientes fondos de la Unión para el programa Ciudadanos, Igualdad, Derechos y Valores (CERV) y destaca la valiosa labor realizada en el marco de su pilar «Valores de la Unión», que proporciona financiación directa a las organizaciones de la sociedad civil, así como de los pilares «Daphne» e «Igualdad y derechos»; reitera que deben dedicarse los recursos necesarios a luchar contra la violencia de género y a prestar apoyo a los derechos de salud sexual y reproductiva y al acceso a servicios seguros en este ámbito, así como a las organizaciones de defensa de los derechos de las mujeres y a las iniciativas y los órganos de la Unión que combaten la discriminación contra las mujeres; pide a la Comisión que facilite el acceso al programa CERV y garantice la flexibilidad en el proceso de reasignación de subvenciones a organizaciones locales y de base por parte de los operadores de los Estados miembros, a fin de garantizar que la financiación llegue a quienes trabajan más cerca de la ciudadanía; </w:t>
      </w:r>
    </w:p>
    <w:p w14:paraId="6F254905" w14:textId="77777777" w:rsidR="001C3FEA" w:rsidRPr="00F9339A" w:rsidRDefault="001C3FEA" w:rsidP="009B0BD2">
      <w:pPr>
        <w:pBdr>
          <w:top w:val="nil"/>
          <w:left w:val="nil"/>
          <w:bottom w:val="nil"/>
          <w:right w:val="nil"/>
          <w:between w:val="nil"/>
        </w:pBdr>
        <w:spacing w:after="240"/>
        <w:ind w:left="567" w:hanging="567"/>
        <w:rPr>
          <w:color w:val="000000"/>
        </w:rPr>
      </w:pPr>
      <w:r w:rsidRPr="00F9339A">
        <w:rPr>
          <w:color w:val="000000"/>
        </w:rPr>
        <w:t>25.</w:t>
      </w:r>
      <w:r w:rsidRPr="00F9339A">
        <w:rPr>
          <w:color w:val="000000"/>
        </w:rPr>
        <w:tab/>
        <w:t>Pide a la Comisión que aumente el apoyo de la Unión para dar protección a los ciudadanos, las minorías, las comunidades religiosas y los espacios públicos frente a las amenazas terroristas, combatir la radicalización y los contenidos terroristas en línea y contrarrestar el aumento de la incitación al odio, el antisemitismo, el odio antimusulmán y el racismo en Europa y en todo el mundo;</w:t>
      </w:r>
    </w:p>
    <w:p w14:paraId="046F3656" w14:textId="77777777" w:rsidR="001C3FEA" w:rsidRPr="00F9339A" w:rsidRDefault="001C3FEA" w:rsidP="00D4015F">
      <w:pPr>
        <w:pStyle w:val="NormalHanging12a"/>
      </w:pPr>
      <w:r w:rsidRPr="00F9339A">
        <w:t>26.</w:t>
      </w:r>
      <w:r w:rsidRPr="00F9339A">
        <w:tab/>
        <w:t>Destaca las amenazas y los peligros cada vez mayores que suponen las campañas de desinformación organizadas dirigidas contra la Unión Europea por partes interesadas extranjeras; solicita financiación para Horizonte Europa y las actividades gestionadas por la Comisión y el SEAE con el fin de combatir la difusión de desinformación a gran escala y desarrollar contramedidas más eficaces; pide a la Unión y a los Estados miembros que utilicen los fondos de la Unión para actividades dedicadas a mejorar la alfabetización mediática de los ciudadanos; pide una mayor financiación para combatir la incitación al odio y los contenidos terroristas en línea; subraya la necesidad de reforzar la libertad periodística y el pluralismo de los medios de comunicación mediante recursos adecuados, en consonancia con la normativa pertinente, y de apoyar a los periodistas (incluidos los periodistas de investigación), los defensores de los derechos humanos y los miembros de la sociedad civil que se enfrentan a represalias, entre ellas demandas estratégicas contra la participación pública; pide un apoyo adecuado al sector cultural, también para la promoción de la circulación transfronteriza de películas, música y videojuegos europeos; aboga por tanto por una mayor financiación del programa Europa Creativa;</w:t>
      </w:r>
    </w:p>
    <w:p w14:paraId="39843BE9" w14:textId="77777777" w:rsidR="001C3FEA" w:rsidRPr="00F9339A" w:rsidRDefault="001C3FEA">
      <w:pPr>
        <w:pStyle w:val="NormalHanging12a"/>
        <w:rPr>
          <w:b/>
          <w:i/>
        </w:rPr>
      </w:pPr>
      <w:r w:rsidRPr="00F9339A">
        <w:rPr>
          <w:b/>
          <w:i/>
        </w:rPr>
        <w:t>Un presupuesto que responda a las prioridades estratégicas</w:t>
      </w:r>
    </w:p>
    <w:p w14:paraId="20FB3C1A"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27.</w:t>
      </w:r>
      <w:r w:rsidRPr="00F9339A">
        <w:rPr>
          <w:color w:val="000000"/>
        </w:rPr>
        <w:tab/>
        <w:t xml:space="preserve">Resalta la importancia de reducir las dependencias estratégicas de la Unión en sectores clave; celebra el nuevo Reglamento STEP, pero señala la necesidad de una respuesta estructural a las necesidades de inversión de los sectores estratégicos que facilite la identificación y el desarrollo de tecnologías transformadoras y su aplicación a gran escala; lamenta que el nivel actual de financiación de Horizonte Europa sea insuficiente en ese sentido y pide aumentar su financiación, así como la de otros programas clave de la Unión en este ámbito, entre ellos InvestEU, para alcanzar el objetivo de autonomía estratégica abierta; considera que la dependencia de la Unión con respecto al suministro de recursos representa una preocupación cada vez mayor; </w:t>
      </w:r>
      <w:r w:rsidRPr="00F9339A">
        <w:t xml:space="preserve">pide una mayor inversión de la Unión para fomentar su autonomía estratégica abierta garantizando la aceleración de </w:t>
      </w:r>
      <w:r w:rsidRPr="00F9339A">
        <w:lastRenderedPageBreak/>
        <w:t>las energías renovables, unos procesos de concesión de permisos más rápidos, la descarbonización de los edificios y el acceso a materias primas fundamentales y desarrollando cadenas de valor resilientes para los ecosistemas industriales de la Unión, especialmente en ámbitos clave como la salud y la defensa;</w:t>
      </w:r>
      <w:r w:rsidRPr="00F9339A">
        <w:rPr>
          <w:color w:val="000000"/>
        </w:rPr>
        <w:t xml:space="preserve"> </w:t>
      </w:r>
      <w:r w:rsidRPr="00F9339A">
        <w:t>solicita una financiación adecuada para garantizar el desarrollo continuo de los actuales programas emblemáticos europeos en el sector espacial, en particular Copernicus, Galileo/EGNOS y las iniciativas europeas en materia de comunicación por satélite (Govsatcom) y conocimiento del medio espacial (SSA);</w:t>
      </w:r>
    </w:p>
    <w:p w14:paraId="613D7ED8" w14:textId="77777777" w:rsidR="001C3FEA" w:rsidRPr="00F9339A" w:rsidRDefault="001C3FEA">
      <w:pPr>
        <w:pStyle w:val="NormalHanging12a"/>
      </w:pPr>
      <w:r w:rsidRPr="00F9339A">
        <w:t>28.</w:t>
      </w:r>
      <w:r w:rsidRPr="00F9339A">
        <w:tab/>
        <w:t>Sostiene que la transición digital ofrece numerosas oportunidades para mejorar la infraestructura digital y la conectividad, así como para desarrollar las capacidades digitales; señala la importancia a este respecto del programa Europa Digital y del Mecanismo «Conectar Europa» (MCE digital), así como del Plan de Acción de Educación Digital; reitera la necesidad de un programa educativo en materia de IA, programación y robótica diseñado para profesores y alumnos y financiado a través de los programas pertinentes; subraya que el presupuesto de la Unión debe apoyar adecuadamente el uso ético y no discriminatorio de la IA, en particular en los sectores educativo y cultural; recuerda la necesidad de que la Unión financie programas para invertir más en la mejora de la alfabetización digital de la sociedad y colmar la brecha digital, incluida la brecha digital de género, en la educación y el aprendizaje permanente;</w:t>
      </w:r>
    </w:p>
    <w:p w14:paraId="0F3816AA" w14:textId="77777777" w:rsidR="001C3FEA" w:rsidRPr="00F9339A" w:rsidRDefault="001C3FEA">
      <w:pPr>
        <w:pStyle w:val="NormalHanging12a"/>
      </w:pPr>
      <w:r w:rsidRPr="00F9339A">
        <w:t>29.</w:t>
      </w:r>
      <w:r w:rsidRPr="00F9339A">
        <w:tab/>
        <w:t>Subraya el papel central del presupuesto de la Unión en el cumplimiento del Pacto Verde Europeo y la lucha contra el cambio climático mediante la reducción de las emisiones, el aumento del uso de energías renovables, la creación de una economía circular, la protección de los ecosistemas y la inversión de la preocupante tendencia de pérdida de biodiversidad, al tiempo que se protege la competitividad y se crea empleo verde y crecimiento en la Unión; subraya el papel central que desempeña el programa LIFE en el cumplimiento del Pacto Verde Europeo y en la consecución del objetivo de neutralidad climática de la Unión, en consonancia con la Legislación Europea sobre el Clima y con el Acuerdo de París; expresa su profunda preocupación por los graves efectos del cambio climático, en particular la escasez de agua;</w:t>
      </w:r>
    </w:p>
    <w:p w14:paraId="75CA2456"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30.</w:t>
      </w:r>
      <w:r w:rsidRPr="00F9339A">
        <w:rPr>
          <w:color w:val="000000"/>
        </w:rPr>
        <w:tab/>
        <w:t>Resalta que las preocupaciones relativas a la seguridad del suministro energético y los altos precios de la energía hacen que la cuestión de la pobreza energética resulte crucial y plantee retos para la industria europea, en particular para las pymes; destaca, a este respecto, la necesidad de impulsar las inversiones de la Unión para la actual transición de la Unión hacia la neutralidad climática, en particular para la eficiencia energética, la investigación y la innovación en tecnologías con baja o nula emisión de carbono que sean sostenibles, y especialmente en ámbitos con un impacto positivo en la reducción de los costes de vida para los hogares, como la mejora de la eficiencia energética de los edificios y el despliegue de fuentes de energía renovables; toma nota de las enormes necesidades de inversión para la descarbonización del transporte y del constante aumento de los precios de los materiales de construcción y las materias primas; reconoce el valor estratégico de la ampliación de la RTE-T hacia la vecindad oriental y de una mayor conectividad con los socios estratégicos de la Unión; destaca la importancia del programa MCE-Transporte y su papel positivo en la consecución de los objetivos del Pacto Verde Europeo y la transición hacia una energía limpia;</w:t>
      </w:r>
    </w:p>
    <w:p w14:paraId="66E0FA5D"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t>31.</w:t>
      </w:r>
      <w:r w:rsidRPr="00F9339A">
        <w:rPr>
          <w:color w:val="000000"/>
        </w:rPr>
        <w:tab/>
        <w:t xml:space="preserve">Hace hincapié en que el presupuesto para 2025 debe ajustarse a los objetivos políticos y los compromisos internacionales de la Unión; destaca la necesidad de seguir trabajando para alcanzar los objetivos de integración del clima y la biodiversidad en el gasto del </w:t>
      </w:r>
      <w:r w:rsidRPr="00F9339A">
        <w:rPr>
          <w:color w:val="000000"/>
        </w:rPr>
        <w:lastRenderedPageBreak/>
        <w:t xml:space="preserve">presupuesto de la Unión establecidos en el Acuerdo Interinstitucional, como parte de la meta más amplia de lograr que la Unión sea climáticamente neutra de aquí a 2050 a más tardar; recuerda que el Acuerdo Institucional prevé que se determinen las medidas pertinentes que deben adoptarse en caso de que el balance periódico indique un avance insuficiente en la consecución de los objetivos fijados; expresa su preocupación por el análisis de la Comisión según el cual es muy probable que no se cumpla el objetivo del 10 % para el gasto relacionado con la biodiversidad en 2026 y 2027, así como por la ausencia de una vía clara para alcanzar los objetivos acordados; pide a la Comisión que haga seguimiento de la aplicación del principio de «no causar un perjuicio significativo» y que adopte las medidas correctoras necesarias cuando sea necesario; </w:t>
      </w:r>
    </w:p>
    <w:p w14:paraId="5FF1BD31" w14:textId="77777777" w:rsidR="001C3FEA" w:rsidRPr="00F9339A" w:rsidRDefault="001C3FEA">
      <w:pPr>
        <w:pStyle w:val="NormalHanging12a"/>
        <w:rPr>
          <w:color w:val="000000"/>
        </w:rPr>
      </w:pPr>
      <w:r w:rsidRPr="00F9339A">
        <w:rPr>
          <w:color w:val="000000"/>
        </w:rPr>
        <w:t>32.</w:t>
      </w:r>
      <w:r w:rsidRPr="00F9339A">
        <w:rPr>
          <w:color w:val="000000"/>
        </w:rPr>
        <w:tab/>
      </w:r>
      <w:r w:rsidRPr="00F9339A">
        <w:t>Destaca la importancia de la Iniciativa Urbana Europea y de su adecuada financiación para que cumpla todos sus objetivos;</w:t>
      </w:r>
      <w:r w:rsidRPr="00F9339A">
        <w:rPr>
          <w:color w:val="000000"/>
        </w:rPr>
        <w:t xml:space="preserve"> pide más financiación directa para las autoridades locales con el fin de reforzar el desarrollo de sus capacidades, el apoyo técnico y el intercambio de mejores prácticas; pide que se refuercen los recursos para las agencias pertinentes, que deben corresponderse con la carga de trabajo derivada de la agenda del Pacto Verde Europeo, en particular del paquete de medidas «Objetivo 55»;</w:t>
      </w:r>
    </w:p>
    <w:p w14:paraId="57F3E0DC" w14:textId="77777777" w:rsidR="001C3FEA" w:rsidRPr="00F9339A" w:rsidRDefault="001C3FEA">
      <w:pPr>
        <w:pStyle w:val="NormalHanging12a"/>
      </w:pPr>
      <w:r w:rsidRPr="00F9339A">
        <w:t>33.</w:t>
      </w:r>
      <w:r w:rsidRPr="00F9339A">
        <w:tab/>
        <w:t xml:space="preserve">Destaca la contribución esencial de los agricultores y los pescadores a la sociedad y subraya por ello la importancia fundamental de la política agrícola común (PAC) y de la política pesquera común para la seguridad alimentaria y para una mayor autonomía de la Unión en la producción de alimentos de alta calidad; subraya el papel de la PAC a la hora de garantizar unos ingresos sostenibles y dignos para los agricultores de la Unión, en particular los pequeños agricultores y los agricultores jóvenes; pide medidas concretas para abordar las causas profundas del descontento de los agricultores en toda la Unión y, en particular, pide recursos y medidas inmediatos para ayudar a los agricultores a hacer frente a los efectos de la inflación, los costes del combustible, las nuevas normas de producción y los cambios en el mercado alimentario mundial; hace hincapié en la necesidad de ayudar a los nuevos agricultores y a los agricultores jóvenes y garantizar así el relevo generacional a la vez que se aborda la escasez de mano de obra y de capacidades en el sector agroalimentario; señala que los agricultores europeos se enfrentan a numerosos retos, en particular la burocracia y la carga administrativa excesivas, el creciente solapamiento normativo, las situaciones de escasez y las difíciles condiciones de trabajo; </w:t>
      </w:r>
      <w:r w:rsidRPr="00F9339A">
        <w:rPr>
          <w:color w:val="000000"/>
        </w:rPr>
        <w:t xml:space="preserve">destaca la necesidad de abordar mejor el impacto en estos sectores del aumento de la frecuencia e intensidad de las inundaciones, las sequías y los incendios forestales a través de medidas de apoyo específicas; </w:t>
      </w:r>
      <w:r w:rsidRPr="00F9339A">
        <w:t>pide unos ingresos adecuados para todos en los sectores agrícolas; subraya la necesidad de un apoyo adecuado a la investigación y la innovación, del respeto de las normas laborales y de inversiones adecuadas para ofrecer fuentes de ingresos alternativas y facilitar la transición hacia un sistema alimentario más sostenible y asequible, en particular mediante la innovación, de modo que se preserven los ingresos de los agricultores evitando al mismo tiempo que los agricultores europeos se enfrenten a la competencia desleal de importaciones que no cumplen nuestras normas;</w:t>
      </w:r>
      <w:r w:rsidRPr="00F9339A">
        <w:rPr>
          <w:color w:val="000000"/>
        </w:rPr>
        <w:t xml:space="preserve"> </w:t>
      </w:r>
      <w:r w:rsidRPr="00F9339A">
        <w:t>espera que el diálogo estratégico sobre el futuro de la agricultura aborde todas las cuestiones pertinentes, incluidos los aspectos preventivos;</w:t>
      </w:r>
    </w:p>
    <w:p w14:paraId="42062C84" w14:textId="77777777" w:rsidR="001C3FEA" w:rsidRPr="00F9339A" w:rsidRDefault="001C3FEA">
      <w:pPr>
        <w:pBdr>
          <w:top w:val="nil"/>
          <w:left w:val="nil"/>
          <w:bottom w:val="nil"/>
          <w:right w:val="nil"/>
          <w:between w:val="nil"/>
        </w:pBdr>
        <w:spacing w:after="240"/>
        <w:ind w:left="567" w:hanging="567"/>
        <w:rPr>
          <w:color w:val="000000"/>
        </w:rPr>
      </w:pPr>
      <w:r w:rsidRPr="00F9339A">
        <w:t>34.</w:t>
      </w:r>
      <w:r w:rsidRPr="00F9339A">
        <w:tab/>
        <w:t xml:space="preserve">Reitera que todos los programas, políticas y actividades de la Unión deben ejecutarse de manera que se promueva la igualdad de género en la consecución de sus objetivos; acoge con satisfacción, a este respecto, el trabajo de la Comisión relativo a la presupuestación con perspectiva de género y destaca la necesidad de que siga desarrollando su metodología de seguimiento en materia de género para medir el impacto de género del gasto de la Unión, según se establece en el Acuerdo </w:t>
      </w:r>
      <w:r w:rsidRPr="00F9339A">
        <w:lastRenderedPageBreak/>
        <w:t>Interinstitucional;</w:t>
      </w:r>
      <w:r w:rsidRPr="00F9339A">
        <w:rPr>
          <w:color w:val="000000"/>
        </w:rPr>
        <w:t xml:space="preserve"> pide a la Comisión que demuestre los resultados de esta metodología para el presupuesto de 2025 y que recopile, notifique y evalúe sistemáticamente datos desglosados por género;</w:t>
      </w:r>
    </w:p>
    <w:p w14:paraId="01E6A092" w14:textId="77777777" w:rsidR="001C3FEA" w:rsidRPr="00F9339A" w:rsidRDefault="001C3FEA">
      <w:pPr>
        <w:pStyle w:val="NormalHanging12a"/>
        <w:rPr>
          <w:b/>
          <w:i/>
        </w:rPr>
      </w:pPr>
      <w:r w:rsidRPr="00F9339A">
        <w:rPr>
          <w:b/>
          <w:i/>
        </w:rPr>
        <w:t>Un presupuesto adaptado al futuro para un mundo en evolución</w:t>
      </w:r>
    </w:p>
    <w:p w14:paraId="07AAA1A3" w14:textId="77777777" w:rsidR="001C3FEA" w:rsidRPr="00F9339A" w:rsidRDefault="001C3FEA">
      <w:pPr>
        <w:spacing w:after="240"/>
        <w:ind w:left="567" w:hanging="567"/>
      </w:pPr>
      <w:r w:rsidRPr="00F9339A">
        <w:t>35.</w:t>
      </w:r>
      <w:r w:rsidRPr="00F9339A">
        <w:tab/>
        <w:t>Reitera la necesidad de aplicar una política de migración y asilo basada en la solidaridad, la responsabilidad compartida y el respeto de los derechos humanos, en consonancia con los valores y compromisos internacionales de la Unión; subraya que una gestión y protección eficaces, humanas y justas de las fronteras exteriores de la Unión son esenciales para velar por la seguridad de la Unión y garantizar la aplicación fluida y eficaz de la política de migración y asilo de la Unión, en particular para preparar el comienzo de la aplicación del Nuevo Pacto sobre Migración y Asilo, también en lo relativo a unos procedimientos de acogida, integración, retorno y readmisión eficaces, seguros y dignos;</w:t>
      </w:r>
      <w:r w:rsidRPr="00F9339A">
        <w:rPr>
          <w:color w:val="000000"/>
        </w:rPr>
        <w:t xml:space="preserve"> pone de relieve el papel vital que desempeñan a este respecto el Fondo de Asilo, Migración e Integración (FAMI) y el Instrumento de Gestión de las Fronteras y Visados (IGFV); </w:t>
      </w:r>
      <w:r w:rsidRPr="00F9339A">
        <w:t>recuerda la necesidad de salvaguardar la libre circulación de las personas en la Unión; recuerda que Rumanía y Bulgaria se han incorporado al espacio Schengen sin fronteras de Europa a más tardar en marzo de 2024, y reitera la importancia de concluir y poner en práctica urgentemente una adhesión completa que incluya las conexiones terrestres y ferroviarias; se esforzará por maximizar la dotación del presupuesto 2025 para estos fines; considera que la Unión debe colaborar estrechamente con sus vecinos y con terceros países de origen y tránsito a fin de impulsar un desarrollo estable, sostenible e inclusivo y abordar las causas profundas de la migración de modo que se evite la migración irregular y se proteja a las personas vulnerables de las redes de tráfico ilícito y trata, así como de la muerte en el mar; destaca, en particular, el aumento de las responsabilidades de las agencias encargadas de la vigilancia y la gestión de las fronteras, el apoyo a los Estados miembros en el desempeño de sus funciones en el marco del Sistema Europeo Común de Asilo y el cumplimiento de los derechos fundamentales;</w:t>
      </w:r>
      <w:r w:rsidRPr="00F9339A">
        <w:rPr>
          <w:color w:val="000000"/>
        </w:rPr>
        <w:t xml:space="preserve"> subraya la necesidad de una financiación, una dotación de recursos humanos y una formación del personal adecuadas para todas las agencias activas en los ámbitos de la seguridad, la justicia, la actividad policial, el asilo y la migración, así como la gestión de las fronteras, con el fin de que puedan cumplir su mandato; pide hacer especial hincapié en la implantación y la gestión precisas de los sistemas informáticos de gran magnitud de la UE, que contribuyen al panorama de seguridad de la Unión;</w:t>
      </w:r>
    </w:p>
    <w:p w14:paraId="38079E38" w14:textId="77777777" w:rsidR="001C3FEA" w:rsidRPr="00F9339A" w:rsidRDefault="001C3FEA">
      <w:pPr>
        <w:pBdr>
          <w:top w:val="nil"/>
          <w:left w:val="nil"/>
          <w:bottom w:val="nil"/>
          <w:right w:val="nil"/>
          <w:between w:val="nil"/>
        </w:pBdr>
        <w:spacing w:after="240"/>
        <w:ind w:left="567" w:hanging="567"/>
      </w:pPr>
      <w:r w:rsidRPr="00F9339A">
        <w:rPr>
          <w:color w:val="000000"/>
        </w:rPr>
        <w:t>36.</w:t>
      </w:r>
      <w:r w:rsidRPr="00F9339A">
        <w:rPr>
          <w:color w:val="000000"/>
        </w:rPr>
        <w:tab/>
      </w:r>
      <w:r w:rsidRPr="00F9339A">
        <w:t>Subraya que el entorno de seguridad que rodea a la Unión sigue siendo muy volátil;</w:t>
      </w:r>
      <w:r w:rsidRPr="00F9339A">
        <w:rPr>
          <w:color w:val="000000"/>
        </w:rPr>
        <w:t xml:space="preserve"> continúa haciendo especial hincapié en las capacidades de seguridad y defensa europeas para responder mejor a los actuales retos geopolíticos sin precedentes; considera que el presupuesto de la Unión es fundamental en el contexto de una estrategia común de defensa de la Unión y una coordinación reforzada en materia de seguridad y defensa entre los Estados miembros; desea reforzar sus programas y organismos más eficaces y pertinentes en este contexto, como el Fondo Europeo de Defensa y sus agencias, para fortalecer la soberanía de la Unión; subraya las sinergias y la eficiencia de las inversiones a escala de la Unión en el ámbito de la defensa, especialmente en lo referido a la movilidad militar, la protección y la interoperabilidad de las infraestructuras; hace hincapié en la necesidad de abordar cuestiones como la desinformación (que constituye un reto político y de seguridad cada vez mayor, en particular tras la guerra rusa contra Ucrania), la ciberdelincuencia o la delincuencia organizada con dimensión transfronteriza; </w:t>
      </w:r>
    </w:p>
    <w:p w14:paraId="174D9710" w14:textId="77777777" w:rsidR="001C3FEA" w:rsidRPr="00F9339A" w:rsidRDefault="001C3FEA">
      <w:pPr>
        <w:pStyle w:val="NormalHanging12a"/>
      </w:pPr>
      <w:r w:rsidRPr="00F9339A">
        <w:lastRenderedPageBreak/>
        <w:t>37.</w:t>
      </w:r>
      <w:r w:rsidRPr="00F9339A">
        <w:tab/>
        <w:t xml:space="preserve">Reitera su condena de la guerra de Rusia contra Ucrania y destaca que este conflicto ha traído de nuevo la guerra a la vecindad de la Unión Europea y ha afectado a las cadenas de suministro y a las relaciones comerciales y económicas; </w:t>
      </w:r>
      <w:r w:rsidRPr="00F9339A">
        <w:rPr>
          <w:color w:val="000000"/>
        </w:rPr>
        <w:t xml:space="preserve">reitera su pleno apoyo a Ucrania en la lucha por su libertad y democracia; </w:t>
      </w:r>
      <w:r w:rsidRPr="00F9339A">
        <w:t>lamenta el terrible impacto en las vidas, el sufrimiento del pueblo ucraniano y las importantes consecuencias económicas y sociales para los habitantes de Europa que ha causado la guerra de agresión rusa, no provocada e injustificable; considera que el presupuesto 2025 debe contribuir a mitigar el impacto de la crisis del coste de la vida y la inflación; recuerda que determinados Estados miembros, en particular los situados en primera línea, y los sectores vulnerables de la economía siguen estando especialmente expuestos a las consecuencias de la guerra de agresión de Rusia contra Ucrania y merecen apoyo en ámbitos como la agricultura o las infraestructuras, pero también en lo relativo a la movilidad militar, en un espíritu de solidaridad de la Unión;</w:t>
      </w:r>
    </w:p>
    <w:p w14:paraId="16A90B5E" w14:textId="77777777" w:rsidR="001C3FEA" w:rsidRPr="00F9339A" w:rsidRDefault="001C3FEA">
      <w:pPr>
        <w:pStyle w:val="NormalHanging12a"/>
      </w:pPr>
      <w:r w:rsidRPr="00F9339A">
        <w:t>38.</w:t>
      </w:r>
      <w:r w:rsidRPr="00F9339A">
        <w:tab/>
        <w:t xml:space="preserve">Mantiene su determinación de ayudar y apoyar a Ucrania a través del Mecanismo para Ucrania propuesto, que proporcionará apoyo en forma de subvenciones y préstamos para la reparación, recuperación y reconstrucción de Ucrania, la ayuda macrofinanciera, la convergencia institucional, social, económica y medioambiental al alza y las inversiones públicas, así como para la senda de adhesión de ese país a la UE; destaca la urgencia y la oportunidad de combinar el apoyo a Ucrania y los esfuerzos de reconstrucción con un proceso de preadhesión constructivo que fomente las reformas y un avance progresivo hacia el acervo de la Unión; </w:t>
      </w:r>
      <w:r w:rsidRPr="00F9339A">
        <w:rPr>
          <w:color w:val="000000"/>
        </w:rPr>
        <w:t>recuerda que el Mecanismo no cubrirá la ayuda humanitaria a Ucrania, por lo que subraya que también en el presupuesto de 2025 será necesario prever recursos suficientes para la ayuda humanitaria en este contexto;</w:t>
      </w:r>
    </w:p>
    <w:p w14:paraId="6E25E4B8" w14:textId="77777777" w:rsidR="001C3FEA" w:rsidRPr="00F9339A" w:rsidRDefault="001C3FEA">
      <w:pPr>
        <w:pStyle w:val="NormalHanging12a"/>
      </w:pPr>
      <w:r w:rsidRPr="00F9339A">
        <w:t>39.</w:t>
      </w:r>
      <w:r w:rsidRPr="00F9339A">
        <w:tab/>
        <w:t xml:space="preserve">Considera que el apoyo a los países de los Balcanes Occidentales sigue siendo importante a la vista de la ampliación de la Unión y acoge favorablemente el nuevo Plan de crecimiento para los Balcanes Occidentales de la Comisión como un buen paso para incrementar el apoyo a los países de los Balcanes Occidentales en su convergencia económica con el mercado único de la Unión; destaca la importancia de un apoyo continuado a los países candidatos para aplicar las reformas necesarias relacionadas con la adhesión —en particular las referidas al Estado de Derecho, la democracia y la lucha contra la corrupción—, mejorar su resiliencia y prevenir y combatir las amenazas híbridas; </w:t>
      </w:r>
    </w:p>
    <w:p w14:paraId="3EC4634D" w14:textId="77777777" w:rsidR="001C3FEA" w:rsidRPr="00F9339A" w:rsidRDefault="001C3FEA">
      <w:pPr>
        <w:pBdr>
          <w:top w:val="nil"/>
          <w:left w:val="nil"/>
          <w:bottom w:val="nil"/>
          <w:right w:val="nil"/>
          <w:between w:val="nil"/>
        </w:pBdr>
        <w:spacing w:after="240"/>
        <w:ind w:left="567" w:hanging="567"/>
      </w:pPr>
      <w:r w:rsidRPr="00F9339A">
        <w:rPr>
          <w:color w:val="000000"/>
        </w:rPr>
        <w:t>40.</w:t>
      </w:r>
      <w:r w:rsidRPr="00F9339A">
        <w:rPr>
          <w:color w:val="000000"/>
        </w:rPr>
        <w:tab/>
        <w:t>Acoge con satisfacción la decisión de conceder a Ucrania y a la República de Moldavia el estatuto de países candidatos e insiste en la necesidad de movilizar los fondos necesarios para apoyar su proceso de adhesión; destaca que la asignación para el Instrumento de Ayuda Preadhesión (IAP III) y las líneas presupuestarias pertinentes en el marco del Instrumento de Vecindad, Cooperación al Desarrollo y Cooperación Internacional – Europa Global (IVDCI – Europa Global) en 2025 deben catalizar la cooperación con Moldavia y con Georgia, en consonancia con el acuerdo sobre la revisión del MFP;</w:t>
      </w:r>
    </w:p>
    <w:p w14:paraId="0F224F93" w14:textId="77777777" w:rsidR="001C3FEA" w:rsidRPr="00F9339A" w:rsidRDefault="001C3FEA">
      <w:pPr>
        <w:pStyle w:val="NormalHanging12a"/>
      </w:pPr>
      <w:r w:rsidRPr="00F9339A">
        <w:t>41.</w:t>
      </w:r>
      <w:r w:rsidRPr="00F9339A">
        <w:tab/>
        <w:t>Resalta que el IVDCI – Europa Global es un instrumento de vital importancia para promover la posición de la Unión Europea como destacada potencia mundial y para que esta cumpla su papel de fuerza estabilizadora y promotora de la paz en todo el planeta, por lo que refuerza los intereses geopolíticos de la Unión a escala mundial;</w:t>
      </w:r>
      <w:r w:rsidRPr="00F9339A">
        <w:rPr>
          <w:color w:val="000000"/>
        </w:rPr>
        <w:t xml:space="preserve"> </w:t>
      </w:r>
      <w:r w:rsidRPr="00F9339A">
        <w:t>advierte de que la reserva financiera de dicho instrumento se ha agotado e insta a reforzarla urgentemente;</w:t>
      </w:r>
    </w:p>
    <w:p w14:paraId="325382A2" w14:textId="77777777" w:rsidR="001C3FEA" w:rsidRPr="00F9339A" w:rsidRDefault="001C3FEA">
      <w:pPr>
        <w:pBdr>
          <w:top w:val="nil"/>
          <w:left w:val="nil"/>
          <w:bottom w:val="nil"/>
          <w:right w:val="nil"/>
          <w:between w:val="nil"/>
        </w:pBdr>
        <w:spacing w:after="240"/>
        <w:ind w:left="567" w:hanging="567"/>
        <w:rPr>
          <w:color w:val="000000"/>
        </w:rPr>
      </w:pPr>
      <w:r w:rsidRPr="00F9339A">
        <w:rPr>
          <w:color w:val="000000"/>
        </w:rPr>
        <w:lastRenderedPageBreak/>
        <w:t>42.</w:t>
      </w:r>
      <w:r w:rsidRPr="00F9339A">
        <w:rPr>
          <w:color w:val="000000"/>
        </w:rPr>
        <w:tab/>
        <w:t>Destaca, además, la importancia del programa IVDCI para el abordaje de los retos mundiales, la promoción de los derechos humanos, las libertades y la democracia, el desarrollo de capacidades en las organizaciones de la sociedad civil y el cumplimiento de los compromisos internacionales de la Unión en materia de clima y biodiversidad, en el marco de un sistema integral de seguimiento y control;</w:t>
      </w:r>
    </w:p>
    <w:p w14:paraId="48C75E96" w14:textId="0A954F24" w:rsidR="00654202" w:rsidRPr="00F9339A" w:rsidRDefault="001836F0">
      <w:pPr>
        <w:pBdr>
          <w:top w:val="nil"/>
          <w:left w:val="nil"/>
          <w:bottom w:val="nil"/>
          <w:right w:val="nil"/>
          <w:between w:val="nil"/>
        </w:pBdr>
        <w:spacing w:after="240"/>
        <w:ind w:left="567" w:hanging="567"/>
      </w:pPr>
      <w:r w:rsidRPr="00F9339A">
        <w:rPr>
          <w:color w:val="000000"/>
        </w:rPr>
        <w:t>43.</w:t>
      </w:r>
      <w:r w:rsidR="00654202" w:rsidRPr="00F9339A">
        <w:rPr>
          <w:color w:val="000000"/>
        </w:rPr>
        <w:tab/>
      </w:r>
      <w:r w:rsidR="00654202" w:rsidRPr="00F9339A">
        <w:t>Lamenta que la Comisión no haya condicionado los pagos a terceros países con más eficacia, como medio de imponer los intereses geopolíticos de la Unión, en particular por lo que respecta a las políticas de migración y las inquietudes de la Unión en materia de defensa, así como en lo relativo a los derechos humanos; pide a la Comisión que establezca condiciones y metas específicas para sus pagos a terceros países acordes con los intereses políticos concretos de la Unión, y que suspenda sin demora injustificada una parte importante de los pagos si un tercer país incumple dichas condiciones; espera que todos los comisarios propuestos responsables se comprometan en sus audiencias a aplicar un condicionamiento del presupuesto de la Unión hacia terceros países más estricto y basado en los intereses de la Unión;</w:t>
      </w:r>
    </w:p>
    <w:p w14:paraId="23848340" w14:textId="320B3E87" w:rsidR="001C3FEA" w:rsidRPr="00F9339A" w:rsidRDefault="001836F0">
      <w:pPr>
        <w:pBdr>
          <w:top w:val="nil"/>
          <w:left w:val="nil"/>
          <w:bottom w:val="nil"/>
          <w:right w:val="nil"/>
          <w:between w:val="nil"/>
        </w:pBdr>
        <w:spacing w:after="240"/>
        <w:ind w:left="567" w:hanging="567"/>
      </w:pPr>
      <w:r w:rsidRPr="00F9339A">
        <w:rPr>
          <w:color w:val="000000"/>
        </w:rPr>
        <w:t>44</w:t>
      </w:r>
      <w:r w:rsidR="001C3FEA" w:rsidRPr="00F9339A">
        <w:rPr>
          <w:color w:val="000000"/>
        </w:rPr>
        <w:t>.</w:t>
      </w:r>
      <w:r w:rsidR="001C3FEA" w:rsidRPr="00F9339A">
        <w:rPr>
          <w:color w:val="000000"/>
        </w:rPr>
        <w:tab/>
        <w:t>Destaca la importancia de reforzar las líneas de la vecindad meridional y oriental con el fin de apoyar las reformas políticas, económicas y sociales en esas regiones, prestar asistencia a los refugiados, en particular garantizando una financiación continuada, reforzada y previsible para las partes interesadas y agencias pertinentes que esté en consonancia con el nivel de las necesidades a fin de llegar a las personas sobre el terreno mediante un mecanismo de distribución prudente que cumpla plenamente las normas de la Unión para evitar el uso ilegal de fondos europeos;</w:t>
      </w:r>
    </w:p>
    <w:p w14:paraId="2DABF12A" w14:textId="746A909D" w:rsidR="001C3FEA" w:rsidRPr="00F9339A" w:rsidRDefault="001836F0">
      <w:pPr>
        <w:pBdr>
          <w:top w:val="nil"/>
          <w:left w:val="nil"/>
          <w:bottom w:val="nil"/>
          <w:right w:val="nil"/>
          <w:between w:val="nil"/>
        </w:pBdr>
        <w:spacing w:after="240"/>
        <w:ind w:left="567" w:hanging="567"/>
        <w:rPr>
          <w:color w:val="000000"/>
        </w:rPr>
      </w:pPr>
      <w:r w:rsidRPr="00F9339A">
        <w:rPr>
          <w:color w:val="000000"/>
        </w:rPr>
        <w:t>45</w:t>
      </w:r>
      <w:r w:rsidR="001C3FEA" w:rsidRPr="00F9339A">
        <w:rPr>
          <w:color w:val="000000"/>
        </w:rPr>
        <w:t>.</w:t>
      </w:r>
      <w:r w:rsidR="001C3FEA" w:rsidRPr="00F9339A">
        <w:rPr>
          <w:color w:val="000000"/>
        </w:rPr>
        <w:tab/>
      </w:r>
      <w:r w:rsidR="001C3FEA" w:rsidRPr="00F9339A">
        <w:t>Recuerda que la ayuda humanitaria de la UE a los civiles en situación de extrema necesidad es indispensable y contribuye a generar estabilidad y paz en las regiones afectadas, y que la prestación de servicios básicos y asistencia humanitaria que se necesitan con urgencia debe garantizarse y no obstaculizarse, en consonancia con las resoluciones internacionales, a la vez que se acompaña de los procedimientos habituales de control y seguimiento;</w:t>
      </w:r>
      <w:r w:rsidR="001C3FEA" w:rsidRPr="00F9339A">
        <w:rPr>
          <w:color w:val="000000"/>
        </w:rPr>
        <w:t xml:space="preserve"> prevé que las necesidades financieras de ayuda humanitaria sigan aumentando como consecuencia de las guerras, la creciente inestabilidad geopolítica, la pobreza extrema persistente y la mayor frecuencia de las catástrofes naturales; considera, sobre la base de estos supuestos, que la Unión tendrá que reforzar significativamente la ayuda humanitaria para responder al aumento de las necesidades sobre el terreno, en particular para las personas necesitadas en la región de Oriente Próximo;</w:t>
      </w:r>
    </w:p>
    <w:p w14:paraId="384F939A" w14:textId="49B044B1" w:rsidR="001C3FEA" w:rsidRPr="00F9339A" w:rsidRDefault="001836F0">
      <w:pPr>
        <w:pBdr>
          <w:top w:val="nil"/>
          <w:left w:val="nil"/>
          <w:bottom w:val="nil"/>
          <w:right w:val="nil"/>
          <w:between w:val="nil"/>
        </w:pBdr>
        <w:spacing w:after="240"/>
        <w:ind w:left="567" w:hanging="567"/>
        <w:rPr>
          <w:color w:val="000000"/>
        </w:rPr>
      </w:pPr>
      <w:r w:rsidRPr="00F9339A">
        <w:rPr>
          <w:color w:val="000000"/>
        </w:rPr>
        <w:t>46</w:t>
      </w:r>
      <w:r w:rsidR="001C3FEA" w:rsidRPr="00F9339A">
        <w:rPr>
          <w:color w:val="000000"/>
        </w:rPr>
        <w:t>.</w:t>
      </w:r>
      <w:r w:rsidR="001C3FEA" w:rsidRPr="00F9339A">
        <w:rPr>
          <w:color w:val="000000"/>
        </w:rPr>
        <w:tab/>
        <w:t>Reitera su condena inequívoca de los brutales atentados terroristas perpetrados por Hamás contra Israel y su pueblo el 7 de octubre</w:t>
      </w:r>
      <w:r w:rsidR="007640DC" w:rsidRPr="00F9339A">
        <w:rPr>
          <w:color w:val="000000"/>
        </w:rPr>
        <w:t xml:space="preserve"> de 2023</w:t>
      </w:r>
      <w:r w:rsidR="001C3FEA" w:rsidRPr="00F9339A">
        <w:rPr>
          <w:color w:val="000000"/>
        </w:rPr>
        <w:t xml:space="preserve"> y expresa su más profundo pesar por las víctimas inocentes de ambas partes; subraya que el presupuesto de la Unión debe seguir prestando apoyo para consolidar la paz y la estabilidad en la región, luchar contra el odio, el extremismo político y el fundamentalismo y promover los derechos humanos;</w:t>
      </w:r>
    </w:p>
    <w:p w14:paraId="5FDE4F63" w14:textId="355F3C4B" w:rsidR="001C3FEA" w:rsidRPr="00F9339A" w:rsidRDefault="001836F0">
      <w:pPr>
        <w:pStyle w:val="NormalHanging12a"/>
      </w:pPr>
      <w:r w:rsidRPr="00F9339A">
        <w:rPr>
          <w:color w:val="000000"/>
        </w:rPr>
        <w:t>47</w:t>
      </w:r>
      <w:r w:rsidR="001C3FEA" w:rsidRPr="00F9339A">
        <w:rPr>
          <w:color w:val="000000"/>
        </w:rPr>
        <w:t>.</w:t>
      </w:r>
      <w:r w:rsidR="001C3FEA" w:rsidRPr="00F9339A">
        <w:rPr>
          <w:color w:val="000000"/>
        </w:rPr>
        <w:tab/>
      </w:r>
      <w:r w:rsidR="001C3FEA" w:rsidRPr="00F9339A">
        <w:t>Recuerda su Resolución, aprobada el 18 de enero de 2024, en la que se reconoce el papel del Organismo de Obras Públicas y Socorro de las Naciones Unidas para los Refugiados de Palestina en el Cercano Oriente (OOPS), que actualmente proporciona refugio a más de un millón de desplazados internos y es la mayor plataforma para prestar asistencia humanitaria a los habitantes de la Franja de Gaza, donde toda la población se enfrenta al deterioro de las condiciones humanitarias, en particular a la falta de techo, agua limpia, alimentos y asistencia médica;</w:t>
      </w:r>
      <w:r w:rsidR="001C3FEA" w:rsidRPr="00F9339A">
        <w:rPr>
          <w:color w:val="000000"/>
        </w:rPr>
        <w:t xml:space="preserve"> reitera, por tanto, la </w:t>
      </w:r>
      <w:r w:rsidR="001C3FEA" w:rsidRPr="00F9339A">
        <w:rPr>
          <w:color w:val="000000"/>
        </w:rPr>
        <w:lastRenderedPageBreak/>
        <w:t>importancia de una financiación continua y previsible por parte de la Unión; celebra que las Naciones Unidas hayan iniciado sin demora una investigación a raíz de las graves acusaciones relativas a miembros del personal del OOPS supuestamente implicados en los atentados terroristas del 7 de octubre</w:t>
      </w:r>
      <w:r w:rsidR="007640DC" w:rsidRPr="00F9339A">
        <w:rPr>
          <w:color w:val="000000"/>
        </w:rPr>
        <w:t xml:space="preserve"> de 2023</w:t>
      </w:r>
      <w:r w:rsidR="001C3FEA" w:rsidRPr="00F9339A">
        <w:rPr>
          <w:color w:val="000000"/>
        </w:rPr>
        <w:t xml:space="preserve"> contra Israel, y acoge positivamente la información facilitada y las medidas rápidas adoptadas por el OOPS, en particular la rescisión inmediata de los contratos vigentes; toma nota del llamamiento de la Comisión en favor de una auditoría externa que revise la evaluación por pilares de los sistemas de control de las Naciones Unidas, acordada por el OOPS; apoya los sistemas de control, seguimiento y supervisión aplicados por la Comisión y recuerda que el uso de fondos de la UE por parte de los beneficiarios debe respetar las normas y salvaguardias de la Unión y el Derecho internacional; celebra, a este respecto, que la revisión por parte de la Comisión de la ayuda de la Unión a Palestina haya concluido que los controles y las salvaguardias efectivas en vigor funcionan bien y que hasta la fecha no se han encontrado pruebas de que se haya desviado dinero para fines no deseados, y acoge con satisfacción la evaluación de riesgos y las medidas adicionales conexas;</w:t>
      </w:r>
    </w:p>
    <w:p w14:paraId="6E987E00" w14:textId="77777777" w:rsidR="001C3FEA" w:rsidRPr="00F9339A" w:rsidRDefault="001C3FEA">
      <w:pPr>
        <w:pStyle w:val="NormalHanging12a"/>
        <w:rPr>
          <w:b/>
          <w:i/>
        </w:rPr>
      </w:pPr>
      <w:r w:rsidRPr="00F9339A">
        <w:rPr>
          <w:b/>
          <w:i/>
        </w:rPr>
        <w:t>Fomento de la ejecución de los programas</w:t>
      </w:r>
    </w:p>
    <w:p w14:paraId="6B26BB8F" w14:textId="61B4C61B" w:rsidR="001C3FEA" w:rsidRPr="00F9339A" w:rsidRDefault="001836F0">
      <w:pPr>
        <w:spacing w:after="240"/>
        <w:ind w:left="567" w:hanging="567"/>
      </w:pPr>
      <w:r w:rsidRPr="00F9339A">
        <w:t>48</w:t>
      </w:r>
      <w:r w:rsidR="001C3FEA" w:rsidRPr="00F9339A">
        <w:t>.</w:t>
      </w:r>
      <w:r w:rsidR="001C3FEA" w:rsidRPr="00F9339A">
        <w:tab/>
        <w:t>Recuerda su firme respaldo a la política de cohesión para cumplir las prioridades políticas de la Unión e impulsar la economía de la Unión en la medida en que contribuye a un crecimiento y un desarrollo justos, inclusivos y sostenibles, promueve la convergencia económica y social entre los Estados miembros y sus regiones, apoya las transiciones ecológica y digital y fomenta la innovación y el empleo; reitera su convicción de que los objetivos de la política de cohesión solo pueden alcanzarse si se abordan urgentemente y sin ambages los retrasos en la ejecución de los programas; considera que un enfoque que acelere la absorción y la ejecución también sería la forma más eficaz de hacer visible y tangible el valor añadido del gasto de la Unión para las personas en la Unión; recuerda la necesidad de aumentar la asistencia técnica para seguir promoviendo las capacidades de absorción de los Estados miembros;</w:t>
      </w:r>
    </w:p>
    <w:p w14:paraId="47F65D00" w14:textId="6F20D78B" w:rsidR="001C3FEA" w:rsidRPr="00F9339A" w:rsidRDefault="001836F0">
      <w:pPr>
        <w:spacing w:after="240"/>
        <w:ind w:left="567" w:hanging="567"/>
      </w:pPr>
      <w:r w:rsidRPr="00F9339A">
        <w:t>49</w:t>
      </w:r>
      <w:r w:rsidR="001C3FEA" w:rsidRPr="00F9339A">
        <w:t>.</w:t>
      </w:r>
      <w:r w:rsidR="001C3FEA" w:rsidRPr="00F9339A">
        <w:tab/>
        <w:t>Resalta que los fondos del presupuesto de la Unión deben llegar a los ciudadanos y a las pymes de la UE; recuerda que la simplificación de los procedimientos administrativos, unos sitios web y portales fáciles de usar y completos, la reducción de la burocracia y la creación de ventanillas únicas resultan esenciales para hacer más accesibles los programas de la Unión a las autoridades locales y regionales, las organizaciones de la sociedad civil, los emprendedores jóvenes y las pymes;</w:t>
      </w:r>
    </w:p>
    <w:p w14:paraId="515AB32C" w14:textId="59F9D240" w:rsidR="001C3FEA" w:rsidRPr="00F9339A" w:rsidRDefault="001836F0">
      <w:pPr>
        <w:pStyle w:val="NormalHanging12a"/>
      </w:pPr>
      <w:r w:rsidRPr="00F9339A">
        <w:t>50</w:t>
      </w:r>
      <w:r w:rsidR="001C3FEA" w:rsidRPr="00F9339A">
        <w:t>.</w:t>
      </w:r>
      <w:r w:rsidR="001C3FEA" w:rsidRPr="00F9339A">
        <w:tab/>
        <w:t>Insta a los Estados miembros y a la Comisión a que aceleren la aplicación de los programas operativos en el marco de los fondos de gestión compartida y a que garanticen una ejecución presupuestaria rápida, en particular de los fondos de cohesión; señala que la parte de los fondos en el marco de los programas del período 2014-2020 que permaneció sin utilizar debe reasignarse a los Estados miembros con el fin de seguir reduciendo las disparidades regionales; pide una ejecución rápida de los planes de recuperación y resiliencia, en particular una evaluación por parte de la Comisión en relación con el proceso de ejecución, los obstáculos y los resultados; expresa su preocupación por que la infrautilización, a menos que se mitigue rápidamente, dará lugar a una crisis de pagos, es decir, un desajuste entre las necesidades de pago y el margen disponible dentro del límite máximo de pagos del MFP en 2026 y 2027;</w:t>
      </w:r>
    </w:p>
    <w:p w14:paraId="1F988796" w14:textId="6003CAAC" w:rsidR="001C3FEA" w:rsidRPr="00F9339A" w:rsidRDefault="001836F0">
      <w:pPr>
        <w:spacing w:after="240"/>
        <w:ind w:left="567" w:hanging="567"/>
      </w:pPr>
      <w:r w:rsidRPr="00F9339A">
        <w:t>51</w:t>
      </w:r>
      <w:r w:rsidR="001C3FEA" w:rsidRPr="00F9339A">
        <w:t>.</w:t>
      </w:r>
      <w:r w:rsidR="001C3FEA" w:rsidRPr="00F9339A">
        <w:tab/>
        <w:t xml:space="preserve">Considera que la diligencia debida, la rendición de cuentas y el respeto de los valores de la Unión deben aplicarse a todos los beneficiarios de los fondos de la Unión y a los socios ejecutantes a fin de proteger los intereses financieros de la Unión y evitar </w:t>
      </w:r>
      <w:r w:rsidR="001C3FEA" w:rsidRPr="00F9339A">
        <w:lastRenderedPageBreak/>
        <w:t>injerencias indebidas; reitera la importancia de unos organismos de seguimiento y control eficaces y exhaustivos, que desvelen, investiguen, persigan y lleven ante la justicia los delitos contra los intereses financieros de la Unión, ya que el dinero empleado en la lucha contra la corrupción aporta un enorme rendimiento neto para la Unión; considera, por tanto, que esos organismos deben disponer de los recursos y el personal adecuados para desempeñar sus tareas del modo más eficaz; resalta, en esa misma línea, que es necesario un control adecuado de la Unión para garantizar que el sector financiero trabaje en beneficio de los ciudadanos y los consumidores; pide que, con vistas a un sector financiero sano, inclusivo y resiliente, los recursos destinados a las autoridades y agencias europeas de supervisión financiera, encargadas de tareas de supervisión o de la elaboración de las normas técnicas reguladoras a este respecto, se ajusten plenamente para tener en cuenta toda las nuevas tareas de regulación que conlleva la realización de estos objetivos de política;</w:t>
      </w:r>
    </w:p>
    <w:p w14:paraId="39964ED9" w14:textId="0C831822" w:rsidR="001C3FEA" w:rsidRPr="00F9339A" w:rsidRDefault="001836F0">
      <w:pPr>
        <w:pStyle w:val="NormalHanging12a"/>
      </w:pPr>
      <w:r w:rsidRPr="00F9339A">
        <w:t>52</w:t>
      </w:r>
      <w:r w:rsidR="001C3FEA" w:rsidRPr="00F9339A">
        <w:t>.</w:t>
      </w:r>
      <w:r w:rsidR="001C3FEA" w:rsidRPr="00F9339A">
        <w:tab/>
        <w:t>Pide esfuerzos adicionales por parte de todos los agentes participantes para impulsar la ejecución de los proyectos y la absorción de la financiación subvencionable y, de este modo, reducir el importe pendiente de liquidación (RAL); considera que los años 2024 y 2025 deben utilizarse para detectar y corregir los cuellos de botella que impidan una ejecución más eficaz; pide unos recursos presupuestarios adecuados para acelerar la ejecución de los programas mediante el desarrollo de capacidades y asistencia técnica adicionales para los Estados miembros, en especial para los que se enfrentan a mayores dificultades de absorción, también en relación con los fondos del MRR, así como medidas para acelerar unos procedimientos de contratación y licitación justos, competitivos y eficientes a fin de impulsar los esfuerzos de ejecución;</w:t>
      </w:r>
    </w:p>
    <w:p w14:paraId="565BAE00" w14:textId="1C417631" w:rsidR="001C3FEA" w:rsidRPr="00F9339A" w:rsidRDefault="001836F0">
      <w:pPr>
        <w:spacing w:after="240"/>
        <w:ind w:left="567" w:hanging="567"/>
      </w:pPr>
      <w:r w:rsidRPr="00F9339A">
        <w:t>53</w:t>
      </w:r>
      <w:r w:rsidR="001C3FEA" w:rsidRPr="00F9339A">
        <w:t>.</w:t>
      </w:r>
      <w:r w:rsidR="001C3FEA" w:rsidRPr="00F9339A">
        <w:tab/>
        <w:t>Destaca la importancia de una comunicación y una visibilidad eficaces de las políticas y los programas de la Unión para sensibilizar sobre el valor añadido que aporta la Unión a ciudadanos, empresas y socios; pide que se garanticen dotaciones adecuadas en este sentido;</w:t>
      </w:r>
    </w:p>
    <w:p w14:paraId="162F27AB" w14:textId="1660053A" w:rsidR="001C3FEA" w:rsidRPr="00F9339A" w:rsidRDefault="001836F0">
      <w:pPr>
        <w:pStyle w:val="NormalHanging12a"/>
      </w:pPr>
      <w:r w:rsidRPr="00F9339A">
        <w:t>54</w:t>
      </w:r>
      <w:r w:rsidR="001C3FEA" w:rsidRPr="00F9339A">
        <w:t>.</w:t>
      </w:r>
      <w:r w:rsidR="001C3FEA" w:rsidRPr="00F9339A">
        <w:tab/>
        <w:t>Recuerda que la ejecución adecuada de programas bien diseñados solo es posible con la ayuda de una administración específica; hace hincapié en el trabajo esencial que llevan a cabo los organismos y las agencias descentralizadas y considera que deben contar con el personal y los recursos adecuados para que puedan desempeñar sus funciones; hace hincapié en que dichas funciones evolucionan en consonancia con las prioridades políticas, como las transiciones ecológica y digital, y subraya que sus nuevas responsabilidades, así como la ampliación de sus mandatos, deben ir acompañadas de nuevos recursos de manera proporcional;</w:t>
      </w:r>
    </w:p>
    <w:p w14:paraId="2A1193A7" w14:textId="77777777" w:rsidR="001C3FEA" w:rsidRPr="00F9339A" w:rsidRDefault="001C3FEA" w:rsidP="001C3FEA">
      <w:pPr>
        <w:pStyle w:val="NormalHanging12a"/>
        <w:jc w:val="center"/>
      </w:pPr>
      <w:r w:rsidRPr="00F9339A">
        <w:t>°</w:t>
      </w:r>
    </w:p>
    <w:p w14:paraId="7F5A40E9" w14:textId="77777777" w:rsidR="001C3FEA" w:rsidRPr="00F9339A" w:rsidRDefault="001C3FEA" w:rsidP="001C3FEA">
      <w:pPr>
        <w:pStyle w:val="NormalHanging12a"/>
        <w:jc w:val="center"/>
      </w:pPr>
      <w:r w:rsidRPr="00F9339A">
        <w:t>°</w:t>
      </w:r>
      <w:r w:rsidRPr="00F9339A">
        <w:tab/>
        <w:t>°</w:t>
      </w:r>
    </w:p>
    <w:p w14:paraId="44792347" w14:textId="7CB54A39" w:rsidR="00E365E1" w:rsidRPr="00654202" w:rsidRDefault="001836F0" w:rsidP="007D6D1B">
      <w:pPr>
        <w:pStyle w:val="NormalHanging12a"/>
      </w:pPr>
      <w:r w:rsidRPr="00F9339A">
        <w:t>55</w:t>
      </w:r>
      <w:r w:rsidR="001C3FEA" w:rsidRPr="00F9339A">
        <w:t>.</w:t>
      </w:r>
      <w:r w:rsidR="001C3FEA" w:rsidRPr="00F9339A">
        <w:tab/>
        <w:t>Encarga a su presidenta que transmita la presente Resolución al Consejo, a la Comisión y al Tribunal de Cuentas.</w:t>
      </w:r>
      <w:bookmarkStart w:id="9" w:name="TextBodyEnd"/>
      <w:bookmarkEnd w:id="9"/>
    </w:p>
    <w:sectPr w:rsidR="00E365E1" w:rsidRPr="00654202" w:rsidSect="00D666FC">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67468" w14:textId="77777777" w:rsidR="006C4628" w:rsidRPr="00D666FC" w:rsidRDefault="006C4628">
      <w:r w:rsidRPr="00D666FC">
        <w:separator/>
      </w:r>
    </w:p>
  </w:endnote>
  <w:endnote w:type="continuationSeparator" w:id="0">
    <w:p w14:paraId="4A3C0005" w14:textId="77777777" w:rsidR="006C4628" w:rsidRPr="00D666FC" w:rsidRDefault="006C4628">
      <w:r w:rsidRPr="00D66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FA8CC1" w14:textId="77777777" w:rsidR="006C4628" w:rsidRPr="00D666FC" w:rsidRDefault="006C4628">
      <w:r w:rsidRPr="00D666FC">
        <w:separator/>
      </w:r>
    </w:p>
  </w:footnote>
  <w:footnote w:type="continuationSeparator" w:id="0">
    <w:p w14:paraId="59887AAC" w14:textId="77777777" w:rsidR="006C4628" w:rsidRPr="00D666FC" w:rsidRDefault="006C4628">
      <w:r w:rsidRPr="00D666FC">
        <w:continuationSeparator/>
      </w:r>
    </w:p>
  </w:footnote>
  <w:footnote w:id="1">
    <w:p w14:paraId="3EDC0027" w14:textId="7F6508AB" w:rsidR="00AB2B83" w:rsidRPr="00AB2B83" w:rsidRDefault="00AB2B83" w:rsidP="00AB2B83">
      <w:pPr>
        <w:pStyle w:val="FootnoteText"/>
        <w:ind w:left="567" w:hanging="567"/>
        <w:rPr>
          <w:lang w:val="es-ES_tradnl"/>
        </w:rPr>
      </w:pPr>
      <w:r w:rsidRPr="00F9339A">
        <w:rPr>
          <w:rStyle w:val="FootnoteReference"/>
        </w:rPr>
        <w:footnoteRef/>
      </w:r>
      <w:r w:rsidRPr="00F9339A">
        <w:t xml:space="preserve"> </w:t>
      </w:r>
      <w:r w:rsidRPr="00F9339A">
        <w:tab/>
        <w:t>DO L</w:t>
      </w:r>
      <w:r w:rsidR="00381890" w:rsidRPr="00F9339A">
        <w:t>,</w:t>
      </w:r>
      <w:r w:rsidRPr="00F9339A">
        <w:t xml:space="preserve"> 2024/765</w:t>
      </w:r>
      <w:r w:rsidR="00381890" w:rsidRPr="00F9339A">
        <w:t>,</w:t>
      </w:r>
      <w:r w:rsidRPr="00F9339A">
        <w:t xml:space="preserve"> 29.2.2024, ELI: </w:t>
      </w:r>
      <w:hyperlink r:id="rId1" w:history="1">
        <w:r w:rsidR="00381890" w:rsidRPr="00F9339A">
          <w:rPr>
            <w:rStyle w:val="Hyperlink"/>
          </w:rPr>
          <w:t>https://eur-lex.europa.eu/eli/reg/2024/765/oj</w:t>
        </w:r>
      </w:hyperlink>
      <w:r w:rsidRPr="00F9339A">
        <w:t>.</w:t>
      </w:r>
    </w:p>
  </w:footnote>
  <w:footnote w:id="2">
    <w:p w14:paraId="4A309BA8" w14:textId="77777777" w:rsidR="001C3FEA" w:rsidRPr="00654202" w:rsidRDefault="001C3FEA" w:rsidP="0090223B">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L 325 de 20.12.2022, p. 11.</w:t>
      </w:r>
    </w:p>
  </w:footnote>
  <w:footnote w:id="3">
    <w:p w14:paraId="45D04E61" w14:textId="77777777" w:rsidR="001C3FEA" w:rsidRPr="00654202" w:rsidRDefault="001C3FEA" w:rsidP="0090223B">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color w:val="000000"/>
          <w:sz w:val="24"/>
          <w:szCs w:val="24"/>
          <w:lang w:val="pt-PT"/>
        </w:rPr>
        <w:t>DO C 445 de 29.10.2021, p. 240.</w:t>
      </w:r>
    </w:p>
  </w:footnote>
  <w:footnote w:id="4">
    <w:p w14:paraId="635BAA9D" w14:textId="77777777" w:rsidR="001C3FEA" w:rsidRPr="00654202" w:rsidRDefault="001C3FEA" w:rsidP="0090223B">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L 433 I de 22.12.2020, p. 11.</w:t>
      </w:r>
    </w:p>
  </w:footnote>
  <w:footnote w:id="5">
    <w:p w14:paraId="4EAD3EE6" w14:textId="77777777" w:rsidR="001C3FEA" w:rsidRPr="00654202" w:rsidRDefault="001C3FEA" w:rsidP="0090223B">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C 444 I de 22.12.2020, p. 4.</w:t>
      </w:r>
    </w:p>
  </w:footnote>
  <w:footnote w:id="6">
    <w:p w14:paraId="6752CCAD" w14:textId="77777777" w:rsidR="001C3FEA" w:rsidRPr="00654202" w:rsidRDefault="001C3FEA" w:rsidP="0090223B">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0090223B" w:rsidRPr="00654202">
        <w:rPr>
          <w:sz w:val="24"/>
          <w:szCs w:val="24"/>
          <w:lang w:val="pt-PT"/>
        </w:rPr>
        <w:t>DO C 445 de 29.10.2021, p. 252</w:t>
      </w:r>
      <w:r w:rsidRPr="00654202">
        <w:rPr>
          <w:sz w:val="24"/>
          <w:szCs w:val="24"/>
          <w:lang w:val="pt-PT"/>
        </w:rPr>
        <w:t>.</w:t>
      </w:r>
    </w:p>
  </w:footnote>
  <w:footnote w:id="7">
    <w:p w14:paraId="6E8301DB" w14:textId="77777777" w:rsidR="001C3FEA" w:rsidRPr="00654202" w:rsidRDefault="001C3FEA" w:rsidP="0090223B">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0090223B" w:rsidRPr="00654202">
        <w:rPr>
          <w:sz w:val="24"/>
          <w:szCs w:val="24"/>
          <w:lang w:val="pt-PT"/>
        </w:rPr>
        <w:t>D</w:t>
      </w:r>
      <w:r w:rsidR="0090223B" w:rsidRPr="00654202">
        <w:rPr>
          <w:rStyle w:val="ui-provider"/>
          <w:rFonts w:eastAsiaTheme="majorEastAsia"/>
          <w:sz w:val="24"/>
          <w:szCs w:val="24"/>
          <w:lang w:val="pt-PT"/>
        </w:rPr>
        <w:t xml:space="preserve">O C, C/2024/1195, 23.02.2024, ELI: </w:t>
      </w:r>
      <w:hyperlink r:id="rId2" w:history="1">
        <w:r w:rsidR="0090223B" w:rsidRPr="00654202">
          <w:rPr>
            <w:rStyle w:val="Hyperlink"/>
            <w:rFonts w:eastAsiaTheme="majorEastAsia"/>
            <w:sz w:val="24"/>
            <w:szCs w:val="24"/>
            <w:lang w:val="pt-PT"/>
          </w:rPr>
          <w:t>http://data.europa.eu/eli/C/2024/1195/oj</w:t>
        </w:r>
      </w:hyperlink>
      <w:r w:rsidRPr="00654202">
        <w:rPr>
          <w:rStyle w:val="ui-provider"/>
          <w:sz w:val="24"/>
          <w:szCs w:val="24"/>
          <w:lang w:val="pt-PT"/>
        </w:rPr>
        <w:t>.</w:t>
      </w:r>
    </w:p>
  </w:footnote>
  <w:footnote w:id="8">
    <w:p w14:paraId="32EB15D0" w14:textId="77777777" w:rsidR="001C3FEA" w:rsidRPr="00654202" w:rsidRDefault="001C3FEA">
      <w:pPr>
        <w:pBdr>
          <w:top w:val="nil"/>
          <w:left w:val="nil"/>
          <w:bottom w:val="nil"/>
          <w:right w:val="nil"/>
          <w:between w:val="nil"/>
        </w:pBdr>
        <w:ind w:left="567" w:hanging="567"/>
        <w:rPr>
          <w:color w:val="000000"/>
          <w:szCs w:val="24"/>
          <w:lang w:val="pt-PT"/>
        </w:rPr>
      </w:pPr>
      <w:r w:rsidRPr="0090223B">
        <w:rPr>
          <w:szCs w:val="24"/>
          <w:vertAlign w:val="superscript"/>
        </w:rPr>
        <w:footnoteRef/>
      </w:r>
      <w:r w:rsidR="00D666FC" w:rsidRPr="00654202">
        <w:rPr>
          <w:szCs w:val="24"/>
          <w:lang w:val="pt-PT"/>
        </w:rPr>
        <w:t xml:space="preserve"> </w:t>
      </w:r>
      <w:r w:rsidR="00D666FC" w:rsidRPr="00654202">
        <w:rPr>
          <w:szCs w:val="24"/>
          <w:lang w:val="pt-PT"/>
        </w:rPr>
        <w:tab/>
      </w:r>
      <w:r w:rsidRPr="00654202">
        <w:rPr>
          <w:color w:val="000000"/>
          <w:szCs w:val="24"/>
          <w:lang w:val="pt-PT"/>
        </w:rPr>
        <w:t>Textos Aprobados, P9_TA(2024)0082.</w:t>
      </w:r>
    </w:p>
  </w:footnote>
  <w:footnote w:id="9">
    <w:p w14:paraId="7FB08BB9"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0090223B" w:rsidRPr="00654202">
        <w:rPr>
          <w:sz w:val="24"/>
          <w:szCs w:val="24"/>
          <w:lang w:val="pt-PT"/>
        </w:rPr>
        <w:t xml:space="preserve">DO C, C/2023/1084, 15.12.2023, ELI: </w:t>
      </w:r>
      <w:hyperlink r:id="rId3" w:history="1">
        <w:r w:rsidR="0090223B" w:rsidRPr="00654202">
          <w:rPr>
            <w:rStyle w:val="Hyperlink"/>
            <w:sz w:val="24"/>
            <w:szCs w:val="24"/>
            <w:lang w:val="pt-PT"/>
          </w:rPr>
          <w:t>http://data.europa.eu/eli/C/2023/1084/oj</w:t>
        </w:r>
      </w:hyperlink>
      <w:r w:rsidRPr="00654202">
        <w:rPr>
          <w:sz w:val="24"/>
          <w:szCs w:val="24"/>
          <w:lang w:val="pt-PT"/>
        </w:rPr>
        <w:t>.</w:t>
      </w:r>
    </w:p>
  </w:footnote>
  <w:footnote w:id="10">
    <w:p w14:paraId="32ED3D22"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C 177 de 17.5.2023, p. 115</w:t>
      </w:r>
      <w:r w:rsidRPr="00654202">
        <w:rPr>
          <w:sz w:val="24"/>
          <w:szCs w:val="24"/>
          <w:shd w:val="clear" w:color="auto" w:fill="FFFFFF"/>
          <w:lang w:val="pt-PT"/>
        </w:rPr>
        <w:t>.</w:t>
      </w:r>
    </w:p>
  </w:footnote>
  <w:footnote w:id="11">
    <w:p w14:paraId="524EFDD1" w14:textId="41A86425" w:rsidR="001C3FEA" w:rsidRPr="00654202" w:rsidRDefault="001C3FEA">
      <w:pPr>
        <w:pStyle w:val="FootnoteText"/>
        <w:ind w:left="567" w:hanging="567"/>
        <w:rPr>
          <w:sz w:val="24"/>
          <w:szCs w:val="24"/>
          <w:lang w:val="pt-PT"/>
        </w:rPr>
      </w:pPr>
      <w:r w:rsidRPr="006A4159">
        <w:rPr>
          <w:rStyle w:val="FootnoteReference"/>
          <w:sz w:val="24"/>
          <w:szCs w:val="24"/>
          <w:lang w:val="es-ES_tradnl"/>
        </w:rPr>
        <w:footnoteRef/>
      </w:r>
      <w:r w:rsidR="00D666FC" w:rsidRPr="006A4159">
        <w:rPr>
          <w:sz w:val="24"/>
          <w:szCs w:val="24"/>
          <w:lang w:val="pt-PT"/>
        </w:rPr>
        <w:t xml:space="preserve"> </w:t>
      </w:r>
      <w:r w:rsidR="00D666FC" w:rsidRPr="006A4159">
        <w:rPr>
          <w:sz w:val="24"/>
          <w:szCs w:val="24"/>
          <w:lang w:val="pt-PT"/>
        </w:rPr>
        <w:tab/>
      </w:r>
      <w:r w:rsidRPr="006A4159">
        <w:rPr>
          <w:sz w:val="24"/>
          <w:szCs w:val="24"/>
          <w:lang w:val="pt-PT"/>
        </w:rPr>
        <w:t>DO L 433 I de 22.12.2020</w:t>
      </w:r>
      <w:r w:rsidR="006A4159" w:rsidRPr="006A4159">
        <w:rPr>
          <w:sz w:val="24"/>
          <w:szCs w:val="24"/>
          <w:lang w:val="pt-PT"/>
        </w:rPr>
        <w:t>,</w:t>
      </w:r>
      <w:r w:rsidRPr="006A4159">
        <w:rPr>
          <w:sz w:val="24"/>
          <w:szCs w:val="24"/>
          <w:lang w:val="pt-PT"/>
        </w:rPr>
        <w:t xml:space="preserve"> p. 28.</w:t>
      </w:r>
    </w:p>
  </w:footnote>
  <w:footnote w:id="12">
    <w:p w14:paraId="3B6C2B2B"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L 424 de 15.12.2020, p. 1.</w:t>
      </w:r>
    </w:p>
  </w:footnote>
  <w:footnote w:id="13">
    <w:p w14:paraId="3FC0EE35"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C 167 de 11.5.2023, p. 162.</w:t>
      </w:r>
    </w:p>
  </w:footnote>
  <w:footnote w:id="14">
    <w:p w14:paraId="677F3C12"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L 433 I de 22.12.2020, p. 23.</w:t>
      </w:r>
    </w:p>
  </w:footnote>
  <w:footnote w:id="15">
    <w:p w14:paraId="1730700F"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L 433 I de 22.12.2020, p. 1.</w:t>
      </w:r>
    </w:p>
  </w:footnote>
  <w:footnote w:id="16">
    <w:p w14:paraId="3847AA0B"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C 270 de 7.7.2021, p. 2.</w:t>
      </w:r>
    </w:p>
  </w:footnote>
  <w:footnote w:id="17">
    <w:p w14:paraId="3053437C"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C 428 de 13.12.2017, p. 10.</w:t>
      </w:r>
    </w:p>
  </w:footnote>
  <w:footnote w:id="18">
    <w:p w14:paraId="0550BD93" w14:textId="77777777" w:rsidR="001C3FEA" w:rsidRPr="00654202" w:rsidRDefault="001C3FEA">
      <w:pPr>
        <w:pStyle w:val="FootnoteText"/>
        <w:ind w:left="567" w:hanging="567"/>
        <w:rPr>
          <w:sz w:val="24"/>
          <w:szCs w:val="24"/>
          <w:lang w:val="pt-PT"/>
        </w:rPr>
      </w:pPr>
      <w:r w:rsidRPr="0090223B">
        <w:rPr>
          <w:rStyle w:val="FootnoteReference"/>
          <w:sz w:val="24"/>
          <w:szCs w:val="24"/>
          <w:lang w:val="es-ES_tradnl"/>
        </w:rPr>
        <w:footnoteRef/>
      </w:r>
      <w:r w:rsidR="00D666FC" w:rsidRPr="00654202">
        <w:rPr>
          <w:sz w:val="24"/>
          <w:szCs w:val="24"/>
          <w:lang w:val="pt-PT"/>
        </w:rPr>
        <w:t xml:space="preserve"> </w:t>
      </w:r>
      <w:r w:rsidR="00D666FC" w:rsidRPr="00654202">
        <w:rPr>
          <w:sz w:val="24"/>
          <w:szCs w:val="24"/>
          <w:lang w:val="pt-PT"/>
        </w:rPr>
        <w:tab/>
      </w:r>
      <w:r w:rsidRPr="00654202">
        <w:rPr>
          <w:sz w:val="24"/>
          <w:szCs w:val="24"/>
          <w:lang w:val="pt-PT"/>
        </w:rPr>
        <w:t>DO C 242 de 10.7.2018, p. 24.</w:t>
      </w:r>
    </w:p>
  </w:footnote>
  <w:footnote w:id="19">
    <w:p w14:paraId="0585557F" w14:textId="77777777" w:rsidR="0090223B" w:rsidRPr="00654202" w:rsidRDefault="0090223B" w:rsidP="009B0BD2">
      <w:pPr>
        <w:pStyle w:val="FootnoteText"/>
        <w:ind w:left="567" w:hanging="567"/>
        <w:rPr>
          <w:sz w:val="24"/>
          <w:szCs w:val="24"/>
          <w:lang w:val="pt-PT"/>
        </w:rPr>
      </w:pPr>
      <w:r w:rsidRPr="009B0BD2">
        <w:rPr>
          <w:rStyle w:val="FootnoteReference"/>
          <w:sz w:val="24"/>
          <w:szCs w:val="24"/>
        </w:rPr>
        <w:footnoteRef/>
      </w:r>
      <w:r w:rsidRPr="00654202">
        <w:rPr>
          <w:sz w:val="24"/>
          <w:szCs w:val="24"/>
          <w:lang w:val="pt-PT"/>
        </w:rPr>
        <w:t xml:space="preserve"> </w:t>
      </w:r>
      <w:r w:rsidRPr="00654202">
        <w:rPr>
          <w:sz w:val="24"/>
          <w:szCs w:val="24"/>
          <w:lang w:val="pt-PT"/>
        </w:rPr>
        <w:tab/>
        <w:t xml:space="preserve">DO L, 2024/795, 29.02.2024, ELI: </w:t>
      </w:r>
      <w:hyperlink r:id="rId4" w:history="1">
        <w:r w:rsidRPr="00654202">
          <w:rPr>
            <w:rStyle w:val="Hyperlink"/>
            <w:sz w:val="24"/>
            <w:szCs w:val="24"/>
            <w:lang w:val="pt-PT"/>
          </w:rPr>
          <w:t>http://data.europa.eu/eli/reg/2024/795/oj</w:t>
        </w:r>
      </w:hyperlink>
      <w:r w:rsidRPr="00654202">
        <w:rPr>
          <w:sz w:val="24"/>
          <w:szCs w:val="24"/>
          <w:lang w:val="pt-PT"/>
        </w:rPr>
        <w:t>.</w:t>
      </w:r>
    </w:p>
  </w:footnote>
  <w:footnote w:id="20">
    <w:p w14:paraId="672D993D" w14:textId="77777777" w:rsidR="0090223B" w:rsidRPr="00654202" w:rsidRDefault="0090223B" w:rsidP="009B0BD2">
      <w:pPr>
        <w:pStyle w:val="FootnoteText"/>
        <w:ind w:left="567" w:hanging="567"/>
        <w:rPr>
          <w:sz w:val="24"/>
          <w:szCs w:val="24"/>
          <w:lang w:val="pt-PT"/>
        </w:rPr>
      </w:pPr>
      <w:r w:rsidRPr="009B0BD2">
        <w:rPr>
          <w:rStyle w:val="FootnoteReference"/>
          <w:sz w:val="24"/>
          <w:szCs w:val="24"/>
        </w:rPr>
        <w:footnoteRef/>
      </w:r>
      <w:r w:rsidRPr="00654202">
        <w:rPr>
          <w:sz w:val="24"/>
          <w:szCs w:val="24"/>
          <w:lang w:val="pt-PT"/>
        </w:rPr>
        <w:t xml:space="preserve"> </w:t>
      </w:r>
      <w:r w:rsidRPr="00654202">
        <w:rPr>
          <w:sz w:val="24"/>
          <w:szCs w:val="24"/>
          <w:lang w:val="pt-PT"/>
        </w:rPr>
        <w:tab/>
        <w:t xml:space="preserve">DO L, 2024/792, 29.02.2024, ELI: </w:t>
      </w:r>
      <w:hyperlink r:id="rId5" w:history="1">
        <w:r w:rsidRPr="00654202">
          <w:rPr>
            <w:rStyle w:val="Hyperlink"/>
            <w:sz w:val="24"/>
            <w:szCs w:val="24"/>
            <w:lang w:val="pt-PT"/>
          </w:rPr>
          <w:t>http://data.europa.eu/eli/reg/2024/792/oj</w:t>
        </w:r>
      </w:hyperlink>
      <w:r w:rsidRPr="00654202">
        <w:rPr>
          <w:sz w:val="24"/>
          <w:szCs w:val="24"/>
          <w:lang w:val="pt-PT"/>
        </w:rPr>
        <w:t>.</w:t>
      </w:r>
    </w:p>
  </w:footnote>
  <w:footnote w:id="21">
    <w:p w14:paraId="5B5CAA86" w14:textId="77777777" w:rsidR="001C3FEA" w:rsidRPr="009B0BD2" w:rsidRDefault="001C3FEA" w:rsidP="0090223B">
      <w:pPr>
        <w:pStyle w:val="FootnoteText"/>
        <w:ind w:left="567" w:hanging="567"/>
        <w:rPr>
          <w:sz w:val="24"/>
          <w:szCs w:val="24"/>
          <w:lang w:val="es-ES_tradnl"/>
        </w:rPr>
      </w:pPr>
      <w:r w:rsidRPr="0090223B">
        <w:rPr>
          <w:rStyle w:val="FootnoteReference"/>
          <w:sz w:val="24"/>
          <w:szCs w:val="24"/>
          <w:lang w:val="es-ES_tradnl"/>
        </w:rPr>
        <w:footnoteRef/>
      </w:r>
      <w:r w:rsidR="00D666FC" w:rsidRPr="0090223B">
        <w:rPr>
          <w:sz w:val="24"/>
          <w:szCs w:val="24"/>
          <w:lang w:val="es-ES_tradnl"/>
        </w:rPr>
        <w:t xml:space="preserve"> </w:t>
      </w:r>
      <w:r w:rsidR="00D666FC" w:rsidRPr="0090223B">
        <w:rPr>
          <w:sz w:val="24"/>
          <w:szCs w:val="24"/>
          <w:lang w:val="es-ES_tradnl"/>
        </w:rPr>
        <w:tab/>
      </w:r>
      <w:r w:rsidRPr="0090223B">
        <w:rPr>
          <w:sz w:val="24"/>
          <w:szCs w:val="24"/>
          <w:lang w:val="es-ES_tradnl"/>
        </w:rPr>
        <w:t>DO L 207 de 22.2.2024, p. 1.</w:t>
      </w:r>
    </w:p>
  </w:footnote>
  <w:footnote w:id="22">
    <w:p w14:paraId="0D06D011" w14:textId="77777777" w:rsidR="001C3FEA" w:rsidRPr="009B0BD2" w:rsidRDefault="001C3FEA" w:rsidP="0090223B">
      <w:pPr>
        <w:pStyle w:val="FootnoteText"/>
        <w:ind w:left="567" w:hanging="567"/>
        <w:rPr>
          <w:sz w:val="24"/>
          <w:szCs w:val="24"/>
          <w:lang w:val="es-ES_tradnl"/>
        </w:rPr>
      </w:pPr>
      <w:r w:rsidRPr="0090223B">
        <w:rPr>
          <w:rStyle w:val="FootnoteReference"/>
          <w:sz w:val="24"/>
          <w:szCs w:val="24"/>
          <w:lang w:val="es-ES_tradnl"/>
        </w:rPr>
        <w:footnoteRef/>
      </w:r>
      <w:r w:rsidR="00D666FC" w:rsidRPr="0090223B">
        <w:rPr>
          <w:sz w:val="24"/>
          <w:szCs w:val="24"/>
          <w:lang w:val="es-ES_tradnl"/>
        </w:rPr>
        <w:t xml:space="preserve"> </w:t>
      </w:r>
      <w:r w:rsidR="00D666FC" w:rsidRPr="0090223B">
        <w:rPr>
          <w:sz w:val="24"/>
          <w:szCs w:val="24"/>
          <w:lang w:val="es-ES_tradnl"/>
        </w:rPr>
        <w:tab/>
      </w:r>
      <w:r w:rsidRPr="0090223B">
        <w:rPr>
          <w:sz w:val="24"/>
          <w:szCs w:val="24"/>
          <w:lang w:val="es-ES_tradnl"/>
        </w:rPr>
        <w:t>Comisión Europea, «</w:t>
      </w:r>
      <w:r w:rsidRPr="009B0BD2">
        <w:rPr>
          <w:rStyle w:val="Hyperlink"/>
          <w:color w:val="auto"/>
          <w:sz w:val="24"/>
          <w:szCs w:val="24"/>
          <w:u w:val="none"/>
          <w:lang w:val="es-ES_tradnl"/>
        </w:rPr>
        <w:t xml:space="preserve">Winter 2024 </w:t>
      </w:r>
      <w:proofErr w:type="spellStart"/>
      <w:r w:rsidRPr="009B0BD2">
        <w:rPr>
          <w:rStyle w:val="Hyperlink"/>
          <w:color w:val="auto"/>
          <w:sz w:val="24"/>
          <w:szCs w:val="24"/>
          <w:u w:val="none"/>
          <w:lang w:val="es-ES_tradnl"/>
        </w:rPr>
        <w:t>Economic</w:t>
      </w:r>
      <w:proofErr w:type="spellEnd"/>
      <w:r w:rsidRPr="009B0BD2">
        <w:rPr>
          <w:rStyle w:val="Hyperlink"/>
          <w:color w:val="auto"/>
          <w:sz w:val="24"/>
          <w:szCs w:val="24"/>
          <w:u w:val="none"/>
          <w:lang w:val="es-ES_tradnl"/>
        </w:rPr>
        <w:t xml:space="preserve"> </w:t>
      </w:r>
      <w:proofErr w:type="spellStart"/>
      <w:r w:rsidRPr="009B0BD2">
        <w:rPr>
          <w:rStyle w:val="Hyperlink"/>
          <w:color w:val="auto"/>
          <w:sz w:val="24"/>
          <w:szCs w:val="24"/>
          <w:u w:val="none"/>
          <w:lang w:val="es-ES_tradnl"/>
        </w:rPr>
        <w:t>Forecast</w:t>
      </w:r>
      <w:proofErr w:type="spellEnd"/>
      <w:r w:rsidRPr="009B0BD2">
        <w:rPr>
          <w:rStyle w:val="Hyperlink"/>
          <w:color w:val="auto"/>
          <w:sz w:val="24"/>
          <w:szCs w:val="24"/>
          <w:u w:val="none"/>
          <w:lang w:val="es-ES_tradnl"/>
        </w:rPr>
        <w:t xml:space="preserve">: A </w:t>
      </w:r>
      <w:proofErr w:type="spellStart"/>
      <w:r w:rsidRPr="009B0BD2">
        <w:rPr>
          <w:rStyle w:val="Hyperlink"/>
          <w:color w:val="auto"/>
          <w:sz w:val="24"/>
          <w:szCs w:val="24"/>
          <w:u w:val="none"/>
          <w:lang w:val="es-ES_tradnl"/>
        </w:rPr>
        <w:t>delayed</w:t>
      </w:r>
      <w:proofErr w:type="spellEnd"/>
      <w:r w:rsidRPr="009B0BD2">
        <w:rPr>
          <w:rStyle w:val="Hyperlink"/>
          <w:color w:val="auto"/>
          <w:sz w:val="24"/>
          <w:szCs w:val="24"/>
          <w:u w:val="none"/>
          <w:lang w:val="es-ES_tradnl"/>
        </w:rPr>
        <w:t xml:space="preserve"> </w:t>
      </w:r>
      <w:proofErr w:type="spellStart"/>
      <w:r w:rsidRPr="009B0BD2">
        <w:rPr>
          <w:rStyle w:val="Hyperlink"/>
          <w:color w:val="auto"/>
          <w:sz w:val="24"/>
          <w:szCs w:val="24"/>
          <w:u w:val="none"/>
          <w:lang w:val="es-ES_tradnl"/>
        </w:rPr>
        <w:t>rebound</w:t>
      </w:r>
      <w:proofErr w:type="spellEnd"/>
      <w:r w:rsidRPr="009B0BD2">
        <w:rPr>
          <w:rStyle w:val="Hyperlink"/>
          <w:color w:val="auto"/>
          <w:sz w:val="24"/>
          <w:szCs w:val="24"/>
          <w:u w:val="none"/>
          <w:lang w:val="es-ES_tradnl"/>
        </w:rPr>
        <w:t xml:space="preserve"> in </w:t>
      </w:r>
      <w:proofErr w:type="spellStart"/>
      <w:r w:rsidRPr="009B0BD2">
        <w:rPr>
          <w:rStyle w:val="Hyperlink"/>
          <w:color w:val="auto"/>
          <w:sz w:val="24"/>
          <w:szCs w:val="24"/>
          <w:u w:val="none"/>
          <w:lang w:val="es-ES_tradnl"/>
        </w:rPr>
        <w:t>growth</w:t>
      </w:r>
      <w:proofErr w:type="spellEnd"/>
      <w:r w:rsidRPr="009B0BD2">
        <w:rPr>
          <w:rStyle w:val="Hyperlink"/>
          <w:color w:val="auto"/>
          <w:sz w:val="24"/>
          <w:szCs w:val="24"/>
          <w:u w:val="none"/>
          <w:lang w:val="es-ES_tradnl"/>
        </w:rPr>
        <w:t xml:space="preserve"> </w:t>
      </w:r>
      <w:proofErr w:type="spellStart"/>
      <w:r w:rsidRPr="009B0BD2">
        <w:rPr>
          <w:rStyle w:val="Hyperlink"/>
          <w:color w:val="auto"/>
          <w:sz w:val="24"/>
          <w:szCs w:val="24"/>
          <w:u w:val="none"/>
          <w:lang w:val="es-ES_tradnl"/>
        </w:rPr>
        <w:t>amid</w:t>
      </w:r>
      <w:proofErr w:type="spellEnd"/>
      <w:r w:rsidRPr="009B0BD2">
        <w:rPr>
          <w:rStyle w:val="Hyperlink"/>
          <w:color w:val="auto"/>
          <w:sz w:val="24"/>
          <w:szCs w:val="24"/>
          <w:u w:val="none"/>
          <w:lang w:val="es-ES_tradnl"/>
        </w:rPr>
        <w:t xml:space="preserve"> </w:t>
      </w:r>
      <w:proofErr w:type="spellStart"/>
      <w:r w:rsidRPr="009B0BD2">
        <w:rPr>
          <w:rStyle w:val="Hyperlink"/>
          <w:color w:val="auto"/>
          <w:sz w:val="24"/>
          <w:szCs w:val="24"/>
          <w:u w:val="none"/>
          <w:lang w:val="es-ES_tradnl"/>
        </w:rPr>
        <w:t>faster</w:t>
      </w:r>
      <w:proofErr w:type="spellEnd"/>
      <w:r w:rsidRPr="009B0BD2">
        <w:rPr>
          <w:rStyle w:val="Hyperlink"/>
          <w:color w:val="auto"/>
          <w:sz w:val="24"/>
          <w:szCs w:val="24"/>
          <w:u w:val="none"/>
          <w:lang w:val="es-ES_tradnl"/>
        </w:rPr>
        <w:t xml:space="preserve"> </w:t>
      </w:r>
      <w:proofErr w:type="spellStart"/>
      <w:r w:rsidRPr="009B0BD2">
        <w:rPr>
          <w:rStyle w:val="Hyperlink"/>
          <w:color w:val="auto"/>
          <w:sz w:val="24"/>
          <w:szCs w:val="24"/>
          <w:u w:val="none"/>
          <w:lang w:val="es-ES_tradnl"/>
        </w:rPr>
        <w:t>easing</w:t>
      </w:r>
      <w:proofErr w:type="spellEnd"/>
      <w:r w:rsidRPr="009B0BD2">
        <w:rPr>
          <w:rStyle w:val="Hyperlink"/>
          <w:color w:val="auto"/>
          <w:sz w:val="24"/>
          <w:szCs w:val="24"/>
          <w:u w:val="none"/>
          <w:lang w:val="es-ES_tradnl"/>
        </w:rPr>
        <w:t xml:space="preserve"> of </w:t>
      </w:r>
      <w:proofErr w:type="spellStart"/>
      <w:r w:rsidRPr="009B0BD2">
        <w:rPr>
          <w:rStyle w:val="Hyperlink"/>
          <w:color w:val="auto"/>
          <w:sz w:val="24"/>
          <w:szCs w:val="24"/>
          <w:u w:val="none"/>
          <w:lang w:val="es-ES_tradnl"/>
        </w:rPr>
        <w:t>inflation</w:t>
      </w:r>
      <w:proofErr w:type="spellEnd"/>
      <w:r w:rsidRPr="0090223B">
        <w:rPr>
          <w:sz w:val="24"/>
          <w:szCs w:val="24"/>
          <w:lang w:val="es-ES_tradnl"/>
        </w:rPr>
        <w:t xml:space="preserve">» (Previsiones económicas de invierno de 2024: la </w:t>
      </w:r>
      <w:r w:rsidRPr="009B0BD2">
        <w:rPr>
          <w:sz w:val="24"/>
          <w:szCs w:val="24"/>
          <w:lang w:val="es-ES_tradnl"/>
        </w:rPr>
        <w:t>recuperación del crecimiento se retrasa mientras la inflación se suaviza con más rapidez),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8/2024"/>
    <w:docVar w:name="dvlangue" w:val="ES"/>
    <w:docVar w:name="dvnumam" w:val="0"/>
    <w:docVar w:name="dvpe" w:val="758.108"/>
    <w:docVar w:name="dvrapporteur" w:val="Ponente: "/>
    <w:docVar w:name="dvtitre" w:val="Resolución del Parlamento Europeo, de x de marzo de 2024,  sobre las orientaciones generales para la preparación del presupuesto 2025, sección III – Comisión(2023/2220(BUI))"/>
  </w:docVars>
  <w:rsids>
    <w:rsidRoot w:val="006C4628"/>
    <w:rsid w:val="00002272"/>
    <w:rsid w:val="00064002"/>
    <w:rsid w:val="000677B9"/>
    <w:rsid w:val="000831BA"/>
    <w:rsid w:val="000A42CC"/>
    <w:rsid w:val="000E7DD9"/>
    <w:rsid w:val="0010095E"/>
    <w:rsid w:val="00125B37"/>
    <w:rsid w:val="001836F0"/>
    <w:rsid w:val="00187494"/>
    <w:rsid w:val="001C3FEA"/>
    <w:rsid w:val="001F32AE"/>
    <w:rsid w:val="00207E16"/>
    <w:rsid w:val="002767FF"/>
    <w:rsid w:val="002B18FE"/>
    <w:rsid w:val="002B5493"/>
    <w:rsid w:val="00343214"/>
    <w:rsid w:val="00361C00"/>
    <w:rsid w:val="0038189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4202"/>
    <w:rsid w:val="006631B6"/>
    <w:rsid w:val="00680577"/>
    <w:rsid w:val="006A4159"/>
    <w:rsid w:val="006C4628"/>
    <w:rsid w:val="006F74FA"/>
    <w:rsid w:val="00731ADD"/>
    <w:rsid w:val="00734777"/>
    <w:rsid w:val="00747932"/>
    <w:rsid w:val="00751A4A"/>
    <w:rsid w:val="00756632"/>
    <w:rsid w:val="00762C74"/>
    <w:rsid w:val="007640DC"/>
    <w:rsid w:val="00786EC0"/>
    <w:rsid w:val="007D1690"/>
    <w:rsid w:val="007D6D1B"/>
    <w:rsid w:val="007E22AD"/>
    <w:rsid w:val="00817416"/>
    <w:rsid w:val="00842779"/>
    <w:rsid w:val="00865F67"/>
    <w:rsid w:val="00881A7B"/>
    <w:rsid w:val="008840E5"/>
    <w:rsid w:val="00887B3E"/>
    <w:rsid w:val="00890CE3"/>
    <w:rsid w:val="008C2AC6"/>
    <w:rsid w:val="0090223B"/>
    <w:rsid w:val="00930C23"/>
    <w:rsid w:val="0093193B"/>
    <w:rsid w:val="009509D8"/>
    <w:rsid w:val="00950B64"/>
    <w:rsid w:val="00981893"/>
    <w:rsid w:val="009B0BD2"/>
    <w:rsid w:val="00A1687D"/>
    <w:rsid w:val="00A43E52"/>
    <w:rsid w:val="00A4678D"/>
    <w:rsid w:val="00A778C7"/>
    <w:rsid w:val="00AB2B83"/>
    <w:rsid w:val="00AB441E"/>
    <w:rsid w:val="00AB6293"/>
    <w:rsid w:val="00AE0928"/>
    <w:rsid w:val="00AF3B82"/>
    <w:rsid w:val="00B12E95"/>
    <w:rsid w:val="00B22876"/>
    <w:rsid w:val="00B558F0"/>
    <w:rsid w:val="00BD48FE"/>
    <w:rsid w:val="00BD7BD8"/>
    <w:rsid w:val="00BE6ADC"/>
    <w:rsid w:val="00C05BFE"/>
    <w:rsid w:val="00C23CD4"/>
    <w:rsid w:val="00C61C0C"/>
    <w:rsid w:val="00C836C2"/>
    <w:rsid w:val="00C941CB"/>
    <w:rsid w:val="00CA2DC0"/>
    <w:rsid w:val="00CC2357"/>
    <w:rsid w:val="00CF071A"/>
    <w:rsid w:val="00D058B8"/>
    <w:rsid w:val="00D4015F"/>
    <w:rsid w:val="00D56C11"/>
    <w:rsid w:val="00D666F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339A"/>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12FAF3"/>
  <w15:chartTrackingRefBased/>
  <w15:docId w15:val="{30EBB2D9-3878-4EA9-ABEF-FAD2A0C8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C3FEA"/>
    <w:pPr>
      <w:spacing w:before="480" w:after="240"/>
    </w:pPr>
  </w:style>
  <w:style w:type="paragraph" w:customStyle="1" w:styleId="NormalHanging12a">
    <w:name w:val="NormalHanging12a"/>
    <w:basedOn w:val="Normal"/>
    <w:link w:val="NormalHanging12aChar"/>
    <w:rsid w:val="001C3FEA"/>
    <w:pPr>
      <w:spacing w:after="240"/>
      <w:ind w:left="567" w:hanging="567"/>
    </w:pPr>
  </w:style>
  <w:style w:type="character" w:customStyle="1" w:styleId="NormalHanging12aChar">
    <w:name w:val="NormalHanging12a Char"/>
    <w:basedOn w:val="DefaultParagraphFont"/>
    <w:link w:val="NormalHanging12a"/>
    <w:locked/>
    <w:rsid w:val="001C3FEA"/>
    <w:rPr>
      <w:sz w:val="24"/>
      <w:lang w:val="es-ES_tradnl"/>
    </w:rPr>
  </w:style>
  <w:style w:type="paragraph" w:customStyle="1" w:styleId="FootnoteReference1">
    <w:name w:val="Footnote Reference1"/>
    <w:basedOn w:val="Normal"/>
    <w:link w:val="FootnoteReference"/>
    <w:rsid w:val="001C3FEA"/>
    <w:pPr>
      <w:widowControl/>
      <w:spacing w:after="160" w:line="240" w:lineRule="exact"/>
    </w:pPr>
    <w:rPr>
      <w:sz w:val="20"/>
      <w:vertAlign w:val="superscript"/>
      <w:lang w:val="en-GB"/>
    </w:rPr>
  </w:style>
  <w:style w:type="character" w:customStyle="1" w:styleId="ui-provider">
    <w:name w:val="ui-provider"/>
    <w:basedOn w:val="DefaultParagraphFont"/>
    <w:rsid w:val="001C3FEA"/>
  </w:style>
  <w:style w:type="character" w:styleId="Hyperlink">
    <w:name w:val="Hyperlink"/>
    <w:basedOn w:val="DefaultParagraphFont"/>
    <w:rsid w:val="001C3FEA"/>
    <w:rPr>
      <w:color w:val="0563C1" w:themeColor="hyperlink"/>
      <w:u w:val="single"/>
    </w:rPr>
  </w:style>
  <w:style w:type="paragraph" w:styleId="BalloonText">
    <w:name w:val="Balloon Text"/>
    <w:basedOn w:val="Normal"/>
    <w:link w:val="BalloonTextChar"/>
    <w:rsid w:val="00D4015F"/>
    <w:rPr>
      <w:rFonts w:ascii="Segoe UI" w:hAnsi="Segoe UI" w:cs="Segoe UI"/>
      <w:sz w:val="18"/>
      <w:szCs w:val="18"/>
    </w:rPr>
  </w:style>
  <w:style w:type="character" w:customStyle="1" w:styleId="BalloonTextChar">
    <w:name w:val="Balloon Text Char"/>
    <w:basedOn w:val="DefaultParagraphFont"/>
    <w:link w:val="BalloonText"/>
    <w:rsid w:val="00D4015F"/>
    <w:rPr>
      <w:rFonts w:ascii="Segoe UI" w:hAnsi="Segoe UI" w:cs="Segoe UI"/>
      <w:sz w:val="18"/>
      <w:szCs w:val="18"/>
      <w:lang w:val="es-ES_tradnl"/>
    </w:rPr>
  </w:style>
  <w:style w:type="character" w:styleId="CommentReference">
    <w:name w:val="annotation reference"/>
    <w:basedOn w:val="DefaultParagraphFont"/>
    <w:rsid w:val="00654202"/>
    <w:rPr>
      <w:sz w:val="16"/>
      <w:szCs w:val="16"/>
    </w:rPr>
  </w:style>
  <w:style w:type="paragraph" w:styleId="CommentText">
    <w:name w:val="annotation text"/>
    <w:basedOn w:val="Normal"/>
    <w:link w:val="CommentTextChar"/>
    <w:rsid w:val="00654202"/>
    <w:rPr>
      <w:sz w:val="20"/>
    </w:rPr>
  </w:style>
  <w:style w:type="character" w:customStyle="1" w:styleId="CommentTextChar">
    <w:name w:val="Comment Text Char"/>
    <w:basedOn w:val="DefaultParagraphFont"/>
    <w:link w:val="CommentText"/>
    <w:rsid w:val="00654202"/>
    <w:rPr>
      <w:lang w:val="es-ES_tradnl"/>
    </w:rPr>
  </w:style>
  <w:style w:type="paragraph" w:styleId="CommentSubject">
    <w:name w:val="annotation subject"/>
    <w:basedOn w:val="CommentText"/>
    <w:next w:val="CommentText"/>
    <w:link w:val="CommentSubjectChar"/>
    <w:rsid w:val="00654202"/>
    <w:rPr>
      <w:b/>
      <w:bCs/>
    </w:rPr>
  </w:style>
  <w:style w:type="character" w:customStyle="1" w:styleId="CommentSubjectChar">
    <w:name w:val="Comment Subject Char"/>
    <w:basedOn w:val="CommentTextChar"/>
    <w:link w:val="CommentSubject"/>
    <w:rsid w:val="00654202"/>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3/1084/oj" TargetMode="External"/><Relationship Id="rId2" Type="http://schemas.openxmlformats.org/officeDocument/2006/relationships/hyperlink" Target="http://data.europa.eu/eli/C/2024/1195/oj" TargetMode="External"/><Relationship Id="rId1" Type="http://schemas.openxmlformats.org/officeDocument/2006/relationships/hyperlink" Target="https://eur-lex.europa.eu/eli/reg/2024/765/oj?locale=es" TargetMode="External"/><Relationship Id="rId5" Type="http://schemas.openxmlformats.org/officeDocument/2006/relationships/hyperlink" Target="http://data.europa.eu/eli/reg/2024/792/oj" TargetMode="External"/><Relationship Id="rId4" Type="http://schemas.openxmlformats.org/officeDocument/2006/relationships/hyperlink" Target="http://data.europa.eu/eli/reg/2024/7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F59B9-40CC-4A56-B29C-FB92832DC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9446</Words>
  <Characters>50042</Characters>
  <Application>Microsoft Office Word</Application>
  <DocSecurity>0</DocSecurity>
  <Lines>417</Lines>
  <Paragraphs>118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CUBRIA ROMERO Maria Elisabeth</cp:lastModifiedBy>
  <cp:revision>2</cp:revision>
  <cp:lastPrinted>2004-11-19T15:42:00Z</cp:lastPrinted>
  <dcterms:created xsi:type="dcterms:W3CDTF">2024-04-18T12:33:00Z</dcterms:created>
  <dcterms:modified xsi:type="dcterms:W3CDTF">2024-04-18T12:33:00Z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P9_TA(2024)0157_</vt:lpwstr>
  </property>
  <property fmtid="{D5CDD505-2E9C-101B-9397-08002B2CF9AE}" pid="4" name="&lt;Type&gt;">
    <vt:lpwstr>RR</vt:lpwstr>
  </property>
</Properties>
</file>