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42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4257" w:rsidRDefault="008D4257" w:rsidP="0010095E">
            <w:pPr>
              <w:pStyle w:val="EPName"/>
            </w:pPr>
            <w:r>
              <w:t>Europski parlament</w:t>
            </w:r>
          </w:p>
          <w:p w:rsidR="00751A4A" w:rsidRPr="008D42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425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4257" w:rsidRDefault="00187494" w:rsidP="0010095E">
            <w:pPr>
              <w:pStyle w:val="EPLogo"/>
            </w:pPr>
            <w:r w:rsidRPr="008D42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4257" w:rsidRDefault="00D058B8" w:rsidP="004C5D52">
      <w:pPr>
        <w:pStyle w:val="LineTop"/>
      </w:pPr>
    </w:p>
    <w:p w:rsidR="00680577" w:rsidRPr="008D4257" w:rsidRDefault="008D4257" w:rsidP="00680577">
      <w:pPr>
        <w:pStyle w:val="EPBodyTA1"/>
      </w:pPr>
      <w:r>
        <w:t>USVOJENI TEKSTOVI</w:t>
      </w:r>
    </w:p>
    <w:p w:rsidR="00D058B8" w:rsidRPr="008D4257" w:rsidRDefault="00D058B8" w:rsidP="00D058B8">
      <w:pPr>
        <w:pStyle w:val="LineBottom"/>
      </w:pPr>
    </w:p>
    <w:p w:rsidR="008D4257" w:rsidRDefault="008D4257" w:rsidP="008D4257">
      <w:pPr>
        <w:pStyle w:val="ATHeading1"/>
      </w:pPr>
      <w:bookmarkStart w:id="0" w:name="TANumber"/>
      <w:r>
        <w:t>P9_TA(2024)0</w:t>
      </w:r>
      <w:r w:rsidR="00A26129">
        <w:t>157</w:t>
      </w:r>
      <w:bookmarkEnd w:id="0"/>
    </w:p>
    <w:p w:rsidR="008D4257" w:rsidRDefault="008D4257" w:rsidP="008D4257">
      <w:pPr>
        <w:pStyle w:val="ATHeading2"/>
      </w:pPr>
      <w:bookmarkStart w:id="1" w:name="title"/>
      <w:r>
        <w:t>Smjernice za proračun za 2025. - dio III.</w:t>
      </w:r>
      <w:bookmarkEnd w:id="1"/>
    </w:p>
    <w:p w:rsidR="008D4257" w:rsidRDefault="008D4257" w:rsidP="008D4257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A9-0068/2024</w:instrText>
      </w:r>
      <w:bookmarkEnd w:id="2"/>
      <w:r>
        <w:rPr>
          <w:i/>
        </w:rPr>
        <w:instrText xml:space="preserve"> - Izvjestitelj: </w:instrText>
      </w:r>
      <w:proofErr w:type="spellStart"/>
      <w:r>
        <w:rPr>
          <w:i/>
        </w:rPr>
        <w:instrText>Victor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Negrescu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D4257" w:rsidRDefault="008D4257" w:rsidP="008D4257">
      <w:pPr>
        <w:rPr>
          <w:vanish/>
        </w:rPr>
      </w:pPr>
      <w:bookmarkStart w:id="3" w:name="Commission"/>
      <w:r w:rsidRPr="008D4257">
        <w:rPr>
          <w:vanish/>
        </w:rPr>
        <w:t>Odbor za proračune</w:t>
      </w:r>
      <w:bookmarkEnd w:id="3"/>
    </w:p>
    <w:p w:rsidR="008D4257" w:rsidRDefault="008D4257" w:rsidP="008D4257">
      <w:pPr>
        <w:rPr>
          <w:vanish/>
        </w:rPr>
      </w:pPr>
      <w:bookmarkStart w:id="4" w:name="PE"/>
      <w:r w:rsidRPr="008D4257">
        <w:rPr>
          <w:vanish/>
        </w:rPr>
        <w:t>PE758.108</w:t>
      </w:r>
      <w:bookmarkEnd w:id="4"/>
    </w:p>
    <w:p w:rsidR="008D4257" w:rsidRDefault="008D4257" w:rsidP="008D4257">
      <w:pPr>
        <w:pStyle w:val="ATHeading3"/>
      </w:pPr>
      <w:bookmarkStart w:id="5" w:name="Sujet"/>
      <w:r>
        <w:t xml:space="preserve">Rezolucija Europskog parlamenta od </w:t>
      </w:r>
      <w:r w:rsidR="0043586E">
        <w:t>13. ožujka</w:t>
      </w:r>
      <w:r>
        <w:t xml:space="preserve"> 2024. o općim smjernicama za pripremu proračuna za 2025., dio III. – Komisija</w:t>
      </w:r>
      <w:bookmarkEnd w:id="5"/>
      <w:r>
        <w:t xml:space="preserve"> </w:t>
      </w:r>
      <w:bookmarkStart w:id="6" w:name="References"/>
      <w:r>
        <w:t>(2023/2220(BUI))</w:t>
      </w:r>
      <w:bookmarkEnd w:id="6"/>
    </w:p>
    <w:p w:rsidR="00BB232A" w:rsidRPr="003562CA" w:rsidRDefault="00BB232A" w:rsidP="00BB232A">
      <w:pPr>
        <w:pStyle w:val="EPComma"/>
      </w:pPr>
      <w:bookmarkStart w:id="7" w:name="TextBodyBegin"/>
      <w:bookmarkEnd w:id="7"/>
      <w:r>
        <w:rPr>
          <w:i/>
        </w:rPr>
        <w:t>Europski parlament</w:t>
      </w:r>
      <w:r>
        <w:t>,</w:t>
      </w:r>
    </w:p>
    <w:p w:rsidR="00BB232A" w:rsidRPr="003562CA" w:rsidRDefault="00BB232A" w:rsidP="00BB232A">
      <w:pPr>
        <w:pStyle w:val="NormalHanging12a"/>
      </w:pPr>
      <w:r>
        <w:t>–</w:t>
      </w:r>
      <w:r>
        <w:tab/>
        <w:t>uzimajući u obzir članak 314. Ugovora o funkcioniranju Europske unije,</w:t>
      </w:r>
    </w:p>
    <w:p w:rsidR="00BB232A" w:rsidRDefault="00BB232A" w:rsidP="00BB232A">
      <w:pPr>
        <w:pStyle w:val="NormalHanging12a"/>
      </w:pPr>
      <w:r>
        <w:t>–</w:t>
      </w:r>
      <w:r>
        <w:tab/>
        <w:t>uzimajući u obzir članak 106.a Ugovora o osnivanju Europske zajednice za atomsku energiju,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 xml:space="preserve">uzimajući u obzir revidiranu Uredbu Vijeća (EU, Euratom) </w:t>
      </w:r>
      <w:r w:rsidR="007503DE" w:rsidRPr="007503DE">
        <w:rPr>
          <w:color w:val="000000"/>
        </w:rPr>
        <w:t>2024/765</w:t>
      </w:r>
      <w:r w:rsidR="00D74AC1">
        <w:rPr>
          <w:color w:val="000000"/>
        </w:rPr>
        <w:t xml:space="preserve"> od 29. veljače 2024. </w:t>
      </w:r>
      <w:r w:rsidR="00D74AC1" w:rsidRPr="00D74AC1">
        <w:rPr>
          <w:color w:val="000000"/>
        </w:rPr>
        <w:t>o izmjeni Uredbe (EU, Euratom) 2020/2093</w:t>
      </w:r>
      <w:r w:rsidR="007503DE" w:rsidRPr="007503DE">
        <w:rPr>
          <w:color w:val="000000"/>
        </w:rPr>
        <w:t xml:space="preserve"> </w:t>
      </w:r>
      <w:r>
        <w:rPr>
          <w:color w:val="000000"/>
        </w:rPr>
        <w:t>kojom se utvrđuje višegodišnji financijski okvir za razdoblje 2021. – 2027.</w:t>
      </w:r>
      <w:r w:rsidR="00D74AC1">
        <w:rPr>
          <w:rStyle w:val="FootnoteReference"/>
          <w:color w:val="000000"/>
        </w:rPr>
        <w:footnoteReference w:id="1"/>
      </w:r>
      <w:r>
        <w:rPr>
          <w:color w:val="000000"/>
        </w:rPr>
        <w:t xml:space="preserve"> (revizija VFO-a),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Uredbu Vijeća (EU, Euratom) 2022/2496 od 15. prosinca 2022. o izmjeni Uredbe (EU, Euratom) 2020/2093 kojom se utvrđuje višegodišnji financijski okvir za razdoblje 2021. – 2027.</w:t>
      </w:r>
      <w:r w:rsidRPr="00827126">
        <w:rPr>
          <w:color w:val="000000"/>
          <w:vertAlign w:val="superscript"/>
        </w:rPr>
        <w:footnoteReference w:id="2"/>
      </w:r>
      <w:r>
        <w:rPr>
          <w:color w:val="000000"/>
        </w:rPr>
        <w:t>,</w:t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u obzir svoje stajalište od 16. prosinca 2020. o Nacrtu uredbe Vijeća kojom se utvrđuje višegodišnji financijski okvir za razdoblje 2021. – 2027.</w:t>
      </w:r>
      <w:r w:rsidRPr="00827126">
        <w:rPr>
          <w:rStyle w:val="FootnoteReference"/>
        </w:rPr>
        <w:footnoteReference w:id="3"/>
      </w:r>
      <w:r>
        <w:t>,</w:t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obzir Uredbu Vijeća (EU, Euratom) 2020/2093 od 17. prosinca 2020. kojom se utvrđuje višegodišnji financijski okvir za razdoblje 2021. – 2027.</w:t>
      </w:r>
      <w:r w:rsidRPr="00827126">
        <w:rPr>
          <w:rStyle w:val="FootnoteReference"/>
        </w:rPr>
        <w:footnoteReference w:id="4"/>
      </w:r>
      <w:r>
        <w:t xml:space="preserve"> </w:t>
      </w:r>
      <w:r>
        <w:rPr>
          <w:color w:val="000000"/>
        </w:rPr>
        <w:t>i zajedničke izjave koje su Parlament, Vijeće i Komisija donijeli u tom kontekstu</w:t>
      </w:r>
      <w:r w:rsidRPr="00827126">
        <w:rPr>
          <w:color w:val="000000"/>
          <w:vertAlign w:val="superscript"/>
        </w:rPr>
        <w:footnoteReference w:id="5"/>
      </w:r>
      <w:r>
        <w:rPr>
          <w:color w:val="000000"/>
        </w:rPr>
        <w:t xml:space="preserve"> te povezane jednostrane izjave</w:t>
      </w:r>
      <w:r w:rsidRPr="00827126">
        <w:rPr>
          <w:color w:val="000000"/>
          <w:vertAlign w:val="superscript"/>
        </w:rPr>
        <w:footnoteReference w:id="6"/>
      </w:r>
      <w:r>
        <w:t>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>
        <w:t>–</w:t>
      </w:r>
      <w:r>
        <w:tab/>
        <w:t xml:space="preserve">uzimajući u obzir privremeno izvješće o prijedlogu revizije višegodišnjeg financijskog </w:t>
      </w:r>
      <w:r>
        <w:lastRenderedPageBreak/>
        <w:t>okvira za razdoblje 2021. – 2027. u sredini programskog razdoblja</w:t>
      </w:r>
      <w:r w:rsidRPr="00827126">
        <w:rPr>
          <w:rStyle w:val="FootnoteReference"/>
          <w:szCs w:val="24"/>
        </w:rPr>
        <w:footnoteReference w:id="7"/>
      </w:r>
      <w:r>
        <w:t>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–</w:t>
      </w:r>
      <w:r>
        <w:tab/>
        <w:t>uzimajući u obzir svoju Rezoluciju od 27. veljače 2024. o Nacrtu uredbe Vijeća o izmjeni Uredbe (EU, Euratom) 2020/2093 kojom se utvrđuje višegodišnji financijski okvir za razdoblje 2021. – 2027.</w:t>
      </w:r>
      <w:r w:rsidRPr="00827126">
        <w:rPr>
          <w:vertAlign w:val="superscript"/>
        </w:rPr>
        <w:footnoteReference w:id="8"/>
      </w:r>
      <w:r>
        <w:t>,</w:t>
      </w:r>
      <w:r>
        <w:rPr>
          <w:color w:val="000000"/>
        </w:rPr>
        <w:t xml:space="preserve"> </w:t>
      </w:r>
    </w:p>
    <w:p w:rsidR="00BB232A" w:rsidRPr="00827126" w:rsidRDefault="00BB232A" w:rsidP="00BB232A">
      <w:pPr>
        <w:pStyle w:val="NormalHanging12a"/>
        <w:jc w:val="both"/>
        <w:rPr>
          <w:bCs/>
        </w:rPr>
      </w:pPr>
      <w:r>
        <w:t>–</w:t>
      </w:r>
      <w:r>
        <w:tab/>
        <w:t>uzimajući u obzir svoju Rezoluciju od 10. svibnja 2023. o učinku povećanja troškova zaduživanja za Instrument Europske unije za oporavak na proračun EU-a za 2024.</w:t>
      </w:r>
      <w:r w:rsidRPr="00827126">
        <w:rPr>
          <w:bCs/>
          <w:vertAlign w:val="superscript"/>
        </w:rPr>
        <w:footnoteReference w:id="9"/>
      </w:r>
      <w:r>
        <w:t>,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–</w:t>
      </w:r>
      <w:r>
        <w:tab/>
        <w:t>uzimajući u obzir svoju Rezoluciju od 15. prosinca 2022. o jačanju višegodišnjeg financijskog okvira 2021. – 2027.: otporan proračun EU-a prilagođen novim izazovima</w:t>
      </w:r>
      <w:r w:rsidRPr="00827126">
        <w:rPr>
          <w:rStyle w:val="FootnoteReference"/>
          <w:color w:val="000000"/>
          <w:szCs w:val="24"/>
        </w:rPr>
        <w:footnoteReference w:id="10"/>
      </w:r>
      <w:r>
        <w:t>,</w:t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u obzir Komisijin Prijedlog uredbe Europskog parlamenta i Vijeća od 16. svibnja 2022. o financijskim pravilima koja se primjenjuju na opći proračun Unije (COM(2022)0223),</w:t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u obzir Međuinstitucijski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827126">
        <w:rPr>
          <w:rStyle w:val="FootnoteReference"/>
        </w:rPr>
        <w:footnoteReference w:id="11"/>
      </w:r>
      <w:r>
        <w:t>,</w:t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u obzir Odluku Vijeća (EU, Euratom) 2020/2053 od 14. prosinca 2020. o sustavu vlastitih sredstava Europske unije</w:t>
      </w:r>
      <w:r w:rsidRPr="00827126">
        <w:rPr>
          <w:rStyle w:val="FootnoteReference"/>
        </w:rPr>
        <w:footnoteReference w:id="12"/>
      </w:r>
      <w:r>
        <w:t>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Komisijin Prijedlog odluke Vijeća od 22. prosinca 2021. o izmjeni Odluke (EU, Euratom) 2020/2053 o sustavu vlastitih sredstava Europske unije (COM(2021)0570) i stajalište Parlamenta o tom prijedlogu od 23. studenoga 2022.</w:t>
      </w:r>
      <w:r w:rsidRPr="00827126">
        <w:rPr>
          <w:color w:val="000000"/>
          <w:vertAlign w:val="superscript"/>
        </w:rPr>
        <w:footnoteReference w:id="13"/>
      </w:r>
      <w:r>
        <w:rPr>
          <w:color w:val="000000"/>
        </w:rPr>
        <w:t>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Uredbu Vijeća (EU) 2020/2094 od 14. prosinca 2020. o uspostavi Instrumenta Europske unije za oporavak radi potpore oporavku nakon krize uzrokovane bolešću COVID-19</w:t>
      </w:r>
      <w:r w:rsidRPr="00827126">
        <w:rPr>
          <w:rStyle w:val="FootnoteReference"/>
          <w:color w:val="000000"/>
        </w:rPr>
        <w:footnoteReference w:id="14"/>
      </w:r>
      <w:r>
        <w:rPr>
          <w:color w:val="000000"/>
        </w:rPr>
        <w:t>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Uredbu (EU, Euratom) 2020/2092 Europskog parlamenta i Vijeća od 16. prosinca 2020. o općem režimu uvjetovanosti za zaštitu proračuna Unije</w:t>
      </w:r>
      <w:r w:rsidRPr="00827126">
        <w:rPr>
          <w:color w:val="000000"/>
          <w:vertAlign w:val="superscript"/>
        </w:rPr>
        <w:footnoteReference w:id="15"/>
      </w:r>
      <w:r>
        <w:rPr>
          <w:color w:val="000000"/>
        </w:rPr>
        <w:t>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  <w:t>uzimajući u obzir komunikaciju Komisije od 11. prosinca 2019. naslovljenu „Europski zeleni plan” (COM(2019)0640) i svoju rezoluciju od 15. siječnja 2020. kao odgovor na nju</w:t>
      </w:r>
      <w:r w:rsidRPr="00827126">
        <w:rPr>
          <w:rStyle w:val="FootnoteReference"/>
          <w:color w:val="000000"/>
        </w:rPr>
        <w:footnoteReference w:id="16"/>
      </w:r>
      <w:r>
        <w:rPr>
          <w:color w:val="000000"/>
        </w:rPr>
        <w:t>,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–</w:t>
      </w:r>
      <w:r>
        <w:tab/>
        <w:t xml:space="preserve">uzimajući u obzir Uredbu (EU) 2021/1119 Europskog parlamenta i Vijeća od 30. lipnja 2021. o uspostavi okvira za postizanje klimatske neutralnosti i o izmjeni </w:t>
      </w:r>
      <w:r>
        <w:lastRenderedPageBreak/>
        <w:t>uredaba (EZ) br. 401/2009 i (EU) 2018/1999 („Europski zakon o klimi”),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–</w:t>
      </w:r>
      <w:r>
        <w:tab/>
        <w:t>uzimajući u obzir sporazum usvojen 12. prosinca 2015. na 21. konferenciji stranaka UNFCCC-a (COP21), održanoj u Parizu (Pariški sporazum),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–</w:t>
      </w:r>
      <w:r>
        <w:rPr>
          <w:color w:val="000000"/>
        </w:rPr>
        <w:tab/>
      </w:r>
      <w:r>
        <w:t>uzimajući u obzir Međuinstitucijski proglas o europskom stupu socijalnih prava od 13. prosinca 2017.</w:t>
      </w:r>
      <w:r w:rsidRPr="00827126">
        <w:rPr>
          <w:vertAlign w:val="superscript"/>
        </w:rPr>
        <w:footnoteReference w:id="17"/>
      </w:r>
      <w:r>
        <w:t xml:space="preserve"> i svoju Rezoluciju od 19. siječnja 2017. o njemu</w:t>
      </w:r>
      <w:r w:rsidRPr="00827126">
        <w:rPr>
          <w:vertAlign w:val="superscript"/>
        </w:rPr>
        <w:footnoteReference w:id="18"/>
      </w:r>
      <w:r>
        <w:t xml:space="preserve">, </w:t>
      </w:r>
      <w:r>
        <w:rPr>
          <w:color w:val="000000"/>
        </w:rPr>
        <w:t>akcijski plan Komisije za provedbu europskog stupa socijalnih prava od 4. ožujka 2021. i Deklaraciju iz Porta o socijalnim pitanjima koju su članovi Europskog vijeća usvojili u svibnju 2021.,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–</w:t>
      </w:r>
      <w:r>
        <w:tab/>
        <w:t>uzimajući u obzir strategiju EU-a za rodnu ravnopravnost za razdoblje 2020. – 2025.,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–</w:t>
      </w:r>
      <w:r>
        <w:tab/>
        <w:t>uzimajući u obzir tematsko izvješće Europskog revizorskog suda o naslovljeno „Uključivanje rodno osviještene politike u proračun EU-a: vrijeme je da se riječi pretoče u djela” iz 2021.,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–</w:t>
      </w:r>
      <w:r>
        <w:tab/>
        <w:t>uzimajući u obzir ciljeve održivog razvoja Ujedinjenih naroda,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–</w:t>
      </w:r>
      <w:r>
        <w:tab/>
        <w:t>uzimajući u obzir komunikaciju Komisije od 1. veljače 2023. naslovljenu „Industrijski plan u okviru zelenog plana za doba nulte neto stope emisija” (COM(2023)0062),</w:t>
      </w:r>
    </w:p>
    <w:p w:rsidR="00CB5C38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–</w:t>
      </w:r>
      <w:r>
        <w:tab/>
        <w:t xml:space="preserve">uzimajući u obzir </w:t>
      </w:r>
      <w:r w:rsidR="0043586E">
        <w:t>U</w:t>
      </w:r>
      <w:r>
        <w:t>redb</w:t>
      </w:r>
      <w:r w:rsidR="0043586E">
        <w:t>u</w:t>
      </w:r>
      <w:r>
        <w:t xml:space="preserve"> </w:t>
      </w:r>
      <w:r w:rsidR="0043586E" w:rsidRPr="0043586E">
        <w:rPr>
          <w:lang w:val="en-GB"/>
        </w:rPr>
        <w:t xml:space="preserve">(EU) 2024/795 </w:t>
      </w:r>
      <w:r>
        <w:t>Europskog parlamenta i Vijeća</w:t>
      </w:r>
      <w:r w:rsidR="0043586E">
        <w:t xml:space="preserve"> od 29. veljače 2024.</w:t>
      </w:r>
      <w:r>
        <w:t xml:space="preserve"> o uspostavi Platforme za strateške tehnologije za Europu (STEP) i o izmjeni </w:t>
      </w:r>
      <w:r w:rsidRPr="00CB5C38">
        <w:t xml:space="preserve">Direktive </w:t>
      </w:r>
      <w:r w:rsidR="00CB5C38" w:rsidRPr="00CB5C38">
        <w:rPr>
          <w:rFonts w:eastAsia="Calibri"/>
          <w:szCs w:val="24"/>
          <w:lang w:val="en-GB" w:eastAsia="en-US"/>
        </w:rPr>
        <w:t>2003/87/EZ</w:t>
      </w:r>
      <w:r w:rsidR="00CB5C38" w:rsidRPr="00A26129">
        <w:rPr>
          <w:rFonts w:eastAsia="Calibri"/>
          <w:szCs w:val="24"/>
          <w:lang w:val="en-GB" w:eastAsia="en-US"/>
        </w:rPr>
        <w:t xml:space="preserve"> </w:t>
      </w:r>
      <w:proofErr w:type="spellStart"/>
      <w:r w:rsidR="00CB5C38">
        <w:rPr>
          <w:rFonts w:eastAsia="Calibri"/>
          <w:szCs w:val="24"/>
          <w:lang w:val="en-GB" w:eastAsia="en-US"/>
        </w:rPr>
        <w:t>i</w:t>
      </w:r>
      <w:proofErr w:type="spellEnd"/>
      <w:r w:rsidR="00CB5C38">
        <w:rPr>
          <w:rFonts w:eastAsia="Calibri"/>
          <w:szCs w:val="24"/>
          <w:lang w:val="en-GB" w:eastAsia="en-US"/>
        </w:rPr>
        <w:t xml:space="preserve"> </w:t>
      </w:r>
      <w:proofErr w:type="spellStart"/>
      <w:r w:rsidR="00CB5C38">
        <w:rPr>
          <w:rFonts w:eastAsia="Calibri"/>
          <w:szCs w:val="24"/>
          <w:lang w:val="en-GB" w:eastAsia="en-US"/>
        </w:rPr>
        <w:t>Uredbi</w:t>
      </w:r>
      <w:proofErr w:type="spellEnd"/>
      <w:r w:rsidR="00CB5C38" w:rsidRPr="00A26129">
        <w:rPr>
          <w:rFonts w:eastAsia="Calibri"/>
          <w:szCs w:val="24"/>
          <w:lang w:val="en-GB" w:eastAsia="en-US"/>
        </w:rPr>
        <w:t xml:space="preserve"> (EU) 2021/1058, (EU) 20</w:t>
      </w:r>
      <w:r w:rsidR="00CB5C38" w:rsidRPr="00CB5C38">
        <w:rPr>
          <w:rFonts w:eastAsia="Calibri"/>
          <w:szCs w:val="24"/>
          <w:lang w:val="en-GB" w:eastAsia="en-US"/>
        </w:rPr>
        <w:t>21/1056, (EU) 2021/1057, (EU) br. 1303/2013, (EU) br.</w:t>
      </w:r>
      <w:r w:rsidR="00CB5C38" w:rsidRPr="00A26129">
        <w:rPr>
          <w:rFonts w:eastAsia="Calibri"/>
          <w:szCs w:val="24"/>
          <w:lang w:val="en-GB" w:eastAsia="en-US"/>
        </w:rPr>
        <w:t xml:space="preserve"> 223/2014, (EU) 2021/1060, (EU) 2021/523, </w:t>
      </w:r>
      <w:r w:rsidR="00CB5C38" w:rsidRPr="00CB5C38">
        <w:rPr>
          <w:rFonts w:eastAsia="Calibri"/>
          <w:szCs w:val="24"/>
          <w:lang w:val="en-GB" w:eastAsia="en-US"/>
        </w:rPr>
        <w:t xml:space="preserve">(EU) 2021/695, (EU) 2021/697 </w:t>
      </w:r>
      <w:proofErr w:type="spellStart"/>
      <w:r w:rsidR="00CB5C38" w:rsidRPr="00CB5C38">
        <w:rPr>
          <w:rFonts w:eastAsia="Calibri"/>
          <w:szCs w:val="24"/>
          <w:lang w:val="en-GB" w:eastAsia="en-US"/>
        </w:rPr>
        <w:t>i</w:t>
      </w:r>
      <w:proofErr w:type="spellEnd"/>
      <w:r w:rsidR="00CB5C38" w:rsidRPr="00A26129">
        <w:rPr>
          <w:rFonts w:eastAsia="Calibri"/>
          <w:szCs w:val="24"/>
          <w:lang w:val="en-GB" w:eastAsia="en-US"/>
        </w:rPr>
        <w:t xml:space="preserve"> (EU) 2021/</w:t>
      </w:r>
      <w:r w:rsidR="00CB5C38" w:rsidRPr="00CB5C38">
        <w:rPr>
          <w:rFonts w:eastAsia="Calibri"/>
          <w:szCs w:val="24"/>
          <w:lang w:val="en-GB" w:eastAsia="en-US"/>
        </w:rPr>
        <w:t>241</w:t>
      </w:r>
      <w:r w:rsidR="00CB5C38">
        <w:t>,</w:t>
      </w:r>
      <w:r w:rsidR="00CB5C38">
        <w:rPr>
          <w:rStyle w:val="FootnoteReference"/>
        </w:rPr>
        <w:footnoteReference w:id="19"/>
      </w:r>
      <w:r w:rsidR="00CB5C38">
        <w:t xml:space="preserve"> 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–</w:t>
      </w:r>
      <w:r>
        <w:tab/>
        <w:t xml:space="preserve">uzimajući u obzir </w:t>
      </w:r>
      <w:r w:rsidR="00CB5C38" w:rsidRPr="00CB5C38">
        <w:t xml:space="preserve">Uredbu </w:t>
      </w:r>
      <w:r w:rsidR="00CB5C38" w:rsidRPr="00CB5C38">
        <w:rPr>
          <w:lang w:val="en-GB"/>
        </w:rPr>
        <w:t>(EU) 2024/79</w:t>
      </w:r>
      <w:r w:rsidR="00CB5C38">
        <w:rPr>
          <w:lang w:val="en-GB"/>
        </w:rPr>
        <w:t>2</w:t>
      </w:r>
      <w:r w:rsidR="00CB5C38" w:rsidRPr="00CB5C38">
        <w:rPr>
          <w:lang w:val="en-GB"/>
        </w:rPr>
        <w:t xml:space="preserve"> </w:t>
      </w:r>
      <w:r w:rsidR="00CB5C38" w:rsidRPr="00CB5C38">
        <w:t xml:space="preserve">Europskog parlamenta i Vijeća od 29. veljače 2024. o uspostavi </w:t>
      </w:r>
      <w:r>
        <w:t xml:space="preserve"> Instrumenta za Ukrajinu,</w:t>
      </w:r>
      <w:r w:rsidR="00CB5C38">
        <w:rPr>
          <w:rStyle w:val="FootnoteReference"/>
        </w:rPr>
        <w:footnoteReference w:id="20"/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u obzir opći proračun Europske unije za financijsku godinu 2024.</w:t>
      </w:r>
      <w:r w:rsidRPr="00827126">
        <w:rPr>
          <w:rStyle w:val="FootnoteReference"/>
        </w:rPr>
        <w:footnoteReference w:id="21"/>
      </w:r>
      <w:r>
        <w:t xml:space="preserve"> i zajedničke izjave Parlamenta, Vijeća i Komisije koje su mu priložene,</w:t>
      </w:r>
    </w:p>
    <w:p w:rsidR="00BB232A" w:rsidRPr="00097A6D" w:rsidRDefault="00BB232A" w:rsidP="00BB232A">
      <w:pPr>
        <w:pStyle w:val="NormalHanging12a"/>
      </w:pPr>
      <w:r>
        <w:t>–</w:t>
      </w:r>
      <w:r>
        <w:tab/>
        <w:t>uzimajući u ob</w:t>
      </w:r>
      <w:r w:rsidR="00FA6356">
        <w:t>zir zaključke Vijeća od 12</w:t>
      </w:r>
      <w:r w:rsidR="00D74AC1">
        <w:t>.</w:t>
      </w:r>
      <w:r w:rsidR="00FA6356">
        <w:t xml:space="preserve"> ožujka 2024.</w:t>
      </w:r>
      <w:r>
        <w:t xml:space="preserve"> o proračunskim smjernicama za 2025. (</w:t>
      </w:r>
      <w:r w:rsidR="00FA6356" w:rsidRPr="00FA6356">
        <w:t>6195/2024</w:t>
      </w:r>
      <w:r>
        <w:t>),</w:t>
      </w:r>
    </w:p>
    <w:p w:rsidR="00BB232A" w:rsidRPr="003562CA" w:rsidRDefault="00BB232A" w:rsidP="00BB232A">
      <w:pPr>
        <w:pStyle w:val="NormalHanging12a"/>
      </w:pPr>
      <w:r>
        <w:t>–</w:t>
      </w:r>
      <w:r>
        <w:tab/>
        <w:t>uzimajući u obzir članak 93. Poslovnika,</w:t>
      </w:r>
    </w:p>
    <w:p w:rsidR="00BB232A" w:rsidRPr="00827126" w:rsidRDefault="00BB232A" w:rsidP="00BB232A">
      <w:pPr>
        <w:pStyle w:val="NormalHanging12a"/>
      </w:pPr>
      <w:r>
        <w:t>–</w:t>
      </w:r>
      <w:r>
        <w:tab/>
        <w:t>uzimajući u obzir pisma Odbora za vanjske poslove, Odbora za razvoj, Odbora za proračunski nadzor, Odbora za zapošljavanje i socijalna pitanja, Odbora za okoliš, javno zdravlje i sigurnost hrane, Odbora za industriju, istraživanje i energetiku, Odbora za promet i turizam, Odbora za poljoprivredu i ruralni razvoj, Odbora za kulturu i obrazovanje, Odbora za upravna pitanja i Odbora za prava žena i rodnu ravnopravnost,</w:t>
      </w:r>
    </w:p>
    <w:p w:rsidR="00BB232A" w:rsidRPr="003562CA" w:rsidRDefault="00BB232A" w:rsidP="00BB232A">
      <w:pPr>
        <w:pStyle w:val="NormalHanging12a"/>
      </w:pPr>
      <w:r>
        <w:t>–</w:t>
      </w:r>
      <w:r>
        <w:tab/>
        <w:t>uzimajući u obzir izvješće Odbora za proračune (A9</w:t>
      </w:r>
      <w:r>
        <w:noBreakHyphen/>
        <w:t>0068/2024),</w:t>
      </w:r>
    </w:p>
    <w:p w:rsidR="00BB232A" w:rsidRPr="00827126" w:rsidRDefault="00BB232A" w:rsidP="00BB232A">
      <w:pPr>
        <w:pStyle w:val="NormalHanging12a"/>
        <w:ind w:left="0" w:firstLine="0"/>
        <w:rPr>
          <w:b/>
          <w:i/>
        </w:rPr>
      </w:pPr>
      <w:r>
        <w:rPr>
          <w:b/>
          <w:i/>
        </w:rPr>
        <w:lastRenderedPageBreak/>
        <w:t xml:space="preserve">Proračun EU-a za 2025. usmjeren na ljude: ulaganja prilagođena poboljšanju života ljudi </w:t>
      </w:r>
      <w:r>
        <w:rPr>
          <w:b/>
          <w:i/>
          <w:color w:val="000000"/>
        </w:rPr>
        <w:t>i poticanju konkurentnosti Unije</w:t>
      </w:r>
    </w:p>
    <w:p w:rsidR="00BB232A" w:rsidRPr="00827126" w:rsidRDefault="00BB232A" w:rsidP="00BB232A">
      <w:pPr>
        <w:spacing w:after="240"/>
        <w:ind w:left="567" w:hanging="567"/>
      </w:pPr>
      <w:r>
        <w:t>1.</w:t>
      </w:r>
      <w:r>
        <w:tab/>
        <w:t>čvrsto vjeruje da je u vrijeme geopolitičkih i institucijskih promjena, financijskog pritiska, klimatskih promjena i društvenih izazova pouzdan, snažan i fleksibilan proračun EU-a usmjeren na ulaganja i dalje ključan za provedbu politika Unije i od središnje važnosti za odgovaranje na sve veće potrebe ljudi, a da pritom nitko nije zapostavljen zbog zelene i digitalne tranzicije, pri ostvarivanju blagostanja i sigurnosti za ljude i poticanju konkurentnosti gospodarstva EU-a;</w:t>
      </w:r>
    </w:p>
    <w:p w:rsidR="00BB232A" w:rsidRPr="00827126" w:rsidRDefault="00BB232A" w:rsidP="00BB232A">
      <w:pPr>
        <w:pStyle w:val="NormalHanging12a"/>
      </w:pPr>
      <w:r>
        <w:t>2.</w:t>
      </w:r>
      <w:r>
        <w:tab/>
        <w:t>ističe teške okolnosti proračunskog postupka za 2025., koji se odvija u trenutku velikih međunarodnih napetosti i nesigurnosti te u izbornoj godini u kojoj će Parlament i Komisija morati upravljati tranzicijom parlamentarnog saziva; u potpunosti je svjestan ozbiljnih, ali neizbježnih kalendarskih ograničenja i poziva sve aktere da ih uzmu u obzir razmišljajući pritom na konstruktivan način;</w:t>
      </w:r>
    </w:p>
    <w:p w:rsidR="00BB232A" w:rsidRPr="00827126" w:rsidRDefault="00BB232A" w:rsidP="00BB232A">
      <w:pPr>
        <w:pStyle w:val="NormalHanging12a"/>
      </w:pPr>
      <w:r>
        <w:t>3.</w:t>
      </w:r>
      <w:r>
        <w:tab/>
        <w:t>duboko žali zbog činjenice da Vijeće nije uspjelo postići dogovor o reviziji višegodišnjeg financijskog okvira (VFO) prije kraja 2023.; stoga napominje da je morao pokrenuti proračunski postupak u stanju nedostatka sigurnosti u pogledu nekoliko ključnih elemenata financijskog programiranja za 2025. te je izrazito svjestan nažalost vrlo malih, a u nekim slučajevima i negativnih razlika do gornjih granica VFO-a;</w:t>
      </w:r>
    </w:p>
    <w:p w:rsidR="00BB232A" w:rsidRPr="00827126" w:rsidRDefault="00BB232A" w:rsidP="00BB232A">
      <w:pPr>
        <w:spacing w:after="240"/>
        <w:ind w:left="567" w:hanging="567"/>
      </w:pPr>
      <w:r>
        <w:t>4.</w:t>
      </w:r>
      <w:r>
        <w:tab/>
        <w:t>smatra da je ishod revizije VFO-a ispod početnih težnji Europskog parlamenta; naglašava da je revizija Uredbe o VFO-u ključan preduvjet kako bi se osigurala srednjoročna financijska potpora Ukrajini, omogućilo povećanje sredstava za ciljane prioritete politike, uključujući promicanje strateške autonomije EU-a, te zaštitili programi Unije i proračunska fleksibilnost s obzirom na kamatne stope koje su više od predviđenih, a time i troškove zaduživanja Unije koji su viši od planiranih; napominje da će godišnji proračunski postupak za 2025. biti prvi postupak koji će se u potpunosti temeljiti na revidiranoj Uredbi o VFO-u;</w:t>
      </w:r>
    </w:p>
    <w:p w:rsidR="00BB232A" w:rsidRPr="00827126" w:rsidRDefault="00BB232A" w:rsidP="00BB232A">
      <w:pPr>
        <w:spacing w:after="240"/>
        <w:ind w:left="567" w:hanging="567"/>
        <w:rPr>
          <w:color w:val="000000"/>
        </w:rPr>
      </w:pPr>
      <w:r>
        <w:t>5.</w:t>
      </w:r>
      <w:r>
        <w:tab/>
        <w:t xml:space="preserve">podsjeća da se Zajednička izjava koju su tri institucije dogovorile u okviru sporazuma o VFO-u za 2020., i prema kojoj „je cilj da se rashodima kojima se pokrivaju troškovi financiranja instrumenta </w:t>
      </w:r>
      <w:proofErr w:type="spellStart"/>
      <w:r>
        <w:t>NextGenerationEU</w:t>
      </w:r>
      <w:proofErr w:type="spellEnd"/>
      <w:r>
        <w:t xml:space="preserve"> ne smanjuju programi i sredstva”, i dalje primjenjuje i služi kao referentna točka za proračunsko tijelo, posebno za mobilizaciju instrumenta EURI kako bi se pokrio barem dio manjka troškova zaduživanja u okviru instrumenta </w:t>
      </w:r>
      <w:proofErr w:type="spellStart"/>
      <w:r>
        <w:t>NextGenerationEU</w:t>
      </w:r>
      <w:proofErr w:type="spellEnd"/>
      <w:r>
        <w:t>;</w:t>
      </w:r>
      <w:r>
        <w:rPr>
          <w:snapToGrid w:val="0"/>
          <w:color w:val="000000" w:themeColor="text1"/>
          <w:shd w:val="clear" w:color="auto" w:fill="FFFFFF"/>
        </w:rPr>
        <w:t xml:space="preserve"> </w:t>
      </w:r>
      <w:r>
        <w:rPr>
          <w:color w:val="000000"/>
        </w:rPr>
        <w:t xml:space="preserve">stoga namjerava osigurati odgovarajuća sredstva za sve programe i održavanje fleksibilnosti proračuna i kapaciteta za odgovor u cijelom godišnjem proračunskom postupku; ustraje u tome da Komisija treba pružati pouzdane, pravodobne i točne podatke o troškovima zaduživanja u okviru instrumenta </w:t>
      </w:r>
      <w:proofErr w:type="spellStart"/>
      <w:r>
        <w:rPr>
          <w:color w:val="000000"/>
        </w:rPr>
        <w:t>NextGenerationEU</w:t>
      </w:r>
      <w:proofErr w:type="spellEnd"/>
      <w:r>
        <w:rPr>
          <w:color w:val="000000"/>
        </w:rPr>
        <w:t xml:space="preserve"> i očekivanim isplatama iz Mehanizma za oporavak i otpornost tijekom cijelog proračunskog postupka;</w:t>
      </w:r>
    </w:p>
    <w:p w:rsidR="00BB232A" w:rsidRPr="00827126" w:rsidRDefault="00BB232A" w:rsidP="00BB232A">
      <w:pPr>
        <w:spacing w:after="240"/>
        <w:ind w:left="567" w:hanging="567"/>
      </w:pPr>
      <w:r>
        <w:t>6.</w:t>
      </w:r>
      <w:r>
        <w:tab/>
        <w:t xml:space="preserve">poziva Vijeće i Komisiju da u cijelosti primijene Uredbu (EU, Euratom) 2020/2092 o općem sustavu uvjetovanosti za zaštitu proračuna EU-a; posebno naglašava da je usklađenost s vladavinom prava ključan preduvjet za pristup sredstvima EU-a; naglašava da se sredstva ne mogu isplatiti ako države članice ne ispunjavaju sve relevantne zahtjeve; ponavlja da sustavni problemi s vladavinom prava, poput kršenja načela diobe vlasti ili nedavnih pokušaja napada na neovisnost pravosuđa u nekim državama članicama predstavljaju jasne rizike za financijske interese EU-a i zaštitu proračuna EU-a te poziva Komisiju da ne dopusti nazadovanje kad je riječ o postignućima u području vladavine prava; ponavlja svoj poziv Komisiji da hitno osigura </w:t>
      </w:r>
      <w:r>
        <w:lastRenderedPageBreak/>
        <w:t>da obustavljena sredstva EU-a dođu do građana, poduzeća, regionalnih i lokalnih tijela, nevladinih organizacija i svih drugih relevantnih dionika putem lokalnih vlasti i organizacija civilnog društva, u skladu s mehanizmom uvjetovanosti u pogledu vladavine prava;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7.</w:t>
      </w:r>
      <w:r>
        <w:tab/>
        <w:t xml:space="preserve">ističe da je otplata troškova zaduživanja u okviru Instrumenta Europske unije za oporavak (EURI) pravna obveza EU-a i </w:t>
      </w:r>
      <w:proofErr w:type="spellStart"/>
      <w:r>
        <w:t>nediskrecijska</w:t>
      </w:r>
      <w:proofErr w:type="spellEnd"/>
      <w:r>
        <w:t xml:space="preserve"> rashodovna stavka u proračunu EU-a; napominje da troškovi zaduživanja ovise o brzini isplata u okviru Mehanizma za oporavak i otpornost, kao i o tržišnim fluktuacijama prinosa na obveznice, te su stoga sami po sebi nepredvidivi i nestabilni; ponovno ističe svoje stajalište da je troškove zaduživanja EURI-ja trebalo u potpunosti staviti u posebni instrument EURI-ja iznad gornjih granica VFO-a kako bi se vratila određena razlika do gornje granice unutar naslova 2.b i zaštitio proračunski prostor u instrumentu fleksibilnosti i jedinstvenom instrumentu za razliku do gornje granice; nastojat će osigurati da primjena kaskadnog mehanizma EURI-ja u revidiranom VFO-u ne dovede do aranžmana koji uzrokuju neopravdanu kolateralnu štetu programiranim rashodima ili raspoloživim sredstvima u okviru </w:t>
      </w:r>
      <w:proofErr w:type="spellStart"/>
      <w:r>
        <w:t>netematskih</w:t>
      </w:r>
      <w:proofErr w:type="spellEnd"/>
      <w:r>
        <w:t xml:space="preserve"> posebnih instrumenata;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8.</w:t>
      </w:r>
      <w:r>
        <w:tab/>
        <w:t>podsjeća da se predviđa</w:t>
      </w:r>
      <w:r w:rsidRPr="00827126">
        <w:rPr>
          <w:rStyle w:val="FootnoteReference"/>
          <w:color w:val="000000"/>
        </w:rPr>
        <w:footnoteReference w:id="22"/>
      </w:r>
      <w:r>
        <w:t xml:space="preserve"> da će europsko gospodarstvo vrlo skromno rasti (0,9 % u 2024. i 1,7 % u 2025.), dok se očekuje da će inflacija ostati znatno iznad 2 %, što se upotrebljava kao automatski deflator za VFO (3,0 % u 2024. i 2,5 % u 2025.); potvrđuje da to znači kontinuirani gubitak kupovne moći za proračun koji mora ostati uravnotežen i ograničen apsolutnim iznosima; ističe vrlo nisku stopu posljednjih godina preuzetih obveza za vlastita sredstva koja se temelje na bruto nacionalnom dohotku (BND) (0,46 % u nacrtu proračuna za 2024.), što je posljedica kombiniranog učinka inflacije, niskih razina odobrenih sredstava za plaćanje i većeg dohotka od nekih drugih vlastitih sredstava; podsjeća na svoje stajalište da bi rabate i druge mehanizme korekcije trebalo trajno ukinuti te da bi, do njihova trajnog ukidanja, bruto smanjenja nacionalnih doprinosa na temelju BND-a trebala podlijegati fiksnom deflatoru do 2 % godišnje; </w:t>
      </w:r>
    </w:p>
    <w:p w:rsidR="00BB232A" w:rsidRPr="00827126" w:rsidRDefault="00BB232A" w:rsidP="00BB232A">
      <w:pPr>
        <w:pStyle w:val="NormalHanging12a"/>
      </w:pPr>
      <w:r>
        <w:t>9.</w:t>
      </w:r>
      <w:r>
        <w:tab/>
        <w:t xml:space="preserve">žali zbog nedostatka napretka Vijeća u reformi sustava vlastitih sredstava; podsjeća na svoje stajalište o izmijenjenim prijedlozima Komisije kojim se podupire uvođenje novih vlastitih sredstava; smatra da bi se uvođenjem novih stvarnih izvora prihoda, u skladu s planom iz Međuinstitucijskog sporazuma, pokrilo dodatno proračunsko opterećenje koje proizlazi iz zaduživanja u okviru instrumenta </w:t>
      </w:r>
      <w:proofErr w:type="spellStart"/>
      <w:r>
        <w:t>NextGenerationEU</w:t>
      </w:r>
      <w:proofErr w:type="spellEnd"/>
      <w:r>
        <w:t xml:space="preserve"> i time zaštitile razlike do gornje granice i mehanizmi fleksibilnosti, čime bi se olakšalo donošenje proračunskih odluka o nepredviđenim potrebama, kao i nove inicijative za strateško predviđanje; nadalje, potiče Komisiju da nastavi ulagati napore u utvrđivanje novih i po mogućnosti istinskih vlastitih sredstava i drugih izvora prihoda za proračun EU-a izvan Međuinstitucijskog sporazuma;</w:t>
      </w:r>
    </w:p>
    <w:p w:rsidR="00BB232A" w:rsidRPr="00827126" w:rsidRDefault="00BB232A" w:rsidP="00BB232A">
      <w:pPr>
        <w:pStyle w:val="NormalHanging12a"/>
      </w:pPr>
      <w:r>
        <w:t>10.</w:t>
      </w:r>
      <w:r>
        <w:tab/>
        <w:t>žali zbog činjenice da proračunski nedostaci znatno utječu na sposobnost reagiranja na nepredviđene događaje ili pokretanja novih inicijativa te namjerava ispraviti tu situaciju u mjeri u kojoj je to moguće te uzimajući u obzir povećana očekivanja građana EU-a; podsjeća da je potrebno uspostaviti dodatni posebni instrument izvan gornjih granica VFO-a kako bi se proračun EU-a mogao bolje prilagoditi i brzo reagirati na krize i njihove društvene i gospodarske učinke;</w:t>
      </w:r>
    </w:p>
    <w:p w:rsidR="00BB232A" w:rsidRPr="00827126" w:rsidRDefault="00BB232A" w:rsidP="00BB232A">
      <w:pPr>
        <w:spacing w:after="240"/>
        <w:ind w:left="567" w:hanging="567"/>
      </w:pPr>
      <w:r>
        <w:lastRenderedPageBreak/>
        <w:t>11.</w:t>
      </w:r>
      <w:r>
        <w:tab/>
        <w:t xml:space="preserve">odlučan je, unatoč tim brojnim ograničenjima, zadržati dosljedno i jedinstveno stajalište koje odražava njegove utvrđene političke prioritete i institucionalne interese, uključujući poticanje konkurentnosti Unije, smanjenje strateških ovisnosti, ubrzavanje uvođenja čiste energije, osiguravanje postizanja klimatskih ciljnih vrijednosti Unije i ciljnih vrijednosti Unije u pogledu uključivanja </w:t>
      </w:r>
      <w:proofErr w:type="spellStart"/>
      <w:r>
        <w:t>bioraznolikosti</w:t>
      </w:r>
      <w:proofErr w:type="spellEnd"/>
      <w:r>
        <w:t>, povećanje svojih sigurnosnih i obrambenih kapaciteta te pridonošenje zelenoj i digitalnoj tranziciji, uz istodobno smanjivanje negativnih učinaka na vodeće programe na najmanju moguću mjeru i maksimalno povećavanje prelijevanja koristi od gospodarskog rasta za sve ljude u EU-u;</w:t>
      </w:r>
    </w:p>
    <w:p w:rsidR="00BB232A" w:rsidRPr="00827126" w:rsidRDefault="00BB232A" w:rsidP="00BB232A">
      <w:pPr>
        <w:pStyle w:val="NormalHanging12a"/>
        <w:ind w:left="0" w:firstLine="0"/>
        <w:rPr>
          <w:b/>
          <w:i/>
        </w:rPr>
      </w:pPr>
      <w:r>
        <w:rPr>
          <w:b/>
          <w:i/>
        </w:rPr>
        <w:t>Pravedan, pošten i uključiv proračun koji svim građanima EU-a nudi bolje mogućnosti i osigurava gospodarski rast</w:t>
      </w:r>
    </w:p>
    <w:p w:rsidR="00BB232A" w:rsidRPr="00827126" w:rsidRDefault="00BB232A" w:rsidP="00BB232A">
      <w:pPr>
        <w:pStyle w:val="NormalHanging12a"/>
      </w:pPr>
      <w:r>
        <w:t>12.</w:t>
      </w:r>
      <w:r>
        <w:tab/>
        <w:t xml:space="preserve">primjećuje da su cjenovno pristupačan život i društvena kohezija i dalje trajni izazovi u svim državama članicama EU-a i njihovim regijama i u tom pogledu podsjeća na ulogu visokokvalitetnih i pristupačnih javnih usluga; želi istaknuti uključivost i dostupnost financiranja kad god je to primjereno i u skladu s relevantnim kriterijima prihvatljivosti, kao i maksimalno povećati mogućnosti financiranja iskorištavanjem postojećih fondova; smatra da bi socijalna dimenzija potrošnje EU-a, kao nužna značajka za njezinu legitimnost, trebala ostati međusektorski kriterij za sva područja politike; </w:t>
      </w:r>
    </w:p>
    <w:p w:rsidR="00BB232A" w:rsidRPr="00827126" w:rsidRDefault="00BB232A" w:rsidP="00BB232A">
      <w:pPr>
        <w:pStyle w:val="NormalHanging12a"/>
      </w:pPr>
      <w:r>
        <w:t>13.</w:t>
      </w:r>
      <w:r>
        <w:tab/>
        <w:t>ističe da je proračun EU-a prije svega proračun s učinkom poluge kojim se mogu potaknuti ciljevi Unije i njezino donošenje politika te nadopunjavati nacionalne politike i time odgovoriti na potrebe svih ljudi u EU-u; podsjeća na važnost Mehanizma za oporavak i otpornost u jačanju otpornosti Unije i ublažavanju socioekonomskih učinaka prijašnjih i aktualnih kriza; smatra da bi trebalo uložiti sve moguće napore kako bi se osiguralo da se ta dva glavna izvora financiranja EU-a troše učinkovito i bez daljnje odgode;</w:t>
      </w:r>
    </w:p>
    <w:p w:rsidR="00BB232A" w:rsidRPr="00827126" w:rsidRDefault="00BB232A" w:rsidP="00BB232A">
      <w:pPr>
        <w:spacing w:after="240"/>
        <w:ind w:left="567" w:hanging="567"/>
      </w:pPr>
      <w:r>
        <w:t>14.</w:t>
      </w:r>
      <w:r>
        <w:tab/>
        <w:t xml:space="preserve">čvrsto je odlučan iskoristiti proračun EU-a kako bi se ostvarile konkretne i vidljive promjene za građane i gospodarstvo na jedinstvenom tržištu te kako bi se postigli ciljevi zelenog plana podupiranjem otvaranja kvalitetnih radnih mjesta u suvremenim industrijama, osiguravanjem prilagodbe tržišta rada budućim promjenama s pomoću razvoja vještina i programa za poticanje talenata, borbom protiv nezaposlenosti, jačanjem europske konkurentnosti i povećanjem obrambene spremnosti Unije; smatra da su tehnološka autonomija i održivi rast ključni za postizanje dugoročnih energetskih i klimatskih ciljeva Unije; ponavlja svoj poziv da se zadrže odgovarajuća financijska sredstva za potporu malim i srednjim poduzećima (MSP-ovima) kao okosnici europskog gospodarstva, </w:t>
      </w:r>
      <w:r>
        <w:rPr>
          <w:i/>
          <w:iCs/>
        </w:rPr>
        <w:t>start-</w:t>
      </w:r>
      <w:proofErr w:type="spellStart"/>
      <w:r>
        <w:rPr>
          <w:i/>
          <w:iCs/>
        </w:rPr>
        <w:t>up</w:t>
      </w:r>
      <w:proofErr w:type="spellEnd"/>
      <w:r>
        <w:t xml:space="preserve"> poduzećima i mladima, poljoprivrednicima, nastavnicima i radnicima u prometnom sektoru; </w:t>
      </w:r>
      <w:r>
        <w:rPr>
          <w:rStyle w:val="ui-provider"/>
        </w:rPr>
        <w:t>ističe da je potrebno dodatno poboljšati energetsku i prometnu infrastrukturu, kao i ulagati u unaprjeđenje javnog zdravstva i usluga socijalne skrbi, socijalne i teritorijalne kohezije i uključenosti te u podupiranje ranjivih, udaljenih i ruralnih zajednica, uključujući pametna sela</w:t>
      </w:r>
      <w:r>
        <w:t xml:space="preserve">; ističe da se proračunom mora osigurati zelena tranzicija uz istodobno podupiranje kvalitetne poljoprivrede, osiguravajući pristup kvalitetnom zdravstvu i obrazovanju; </w:t>
      </w:r>
    </w:p>
    <w:p w:rsidR="00BB232A" w:rsidRPr="00827126" w:rsidRDefault="00BB232A" w:rsidP="00BB232A">
      <w:pPr>
        <w:spacing w:after="240"/>
        <w:ind w:left="567" w:hanging="567"/>
      </w:pPr>
      <w:r>
        <w:t>15.</w:t>
      </w:r>
      <w:r>
        <w:tab/>
        <w:t xml:space="preserve">naglašava velik utjecaj istraživanja i inovacija na konkurentnost, dugoročan rast i zapošljavanje u Europskoj uniji; podsjeća na dugogodišnju inicijativu da se intenzitet ulaganja u istraživanje i razvoj EU-a poveća na 3 % BDP-a; priznaje postojeći jaz između tog cilja i stvarnog osiguranog financiranja; naglašava da je europsko tehnološko vodstvo ključno za provedbu zelenog plana i zdravstvene unije jer stvara visokokvalificirana radna mjesta u Uniji duž cijelog lanca vrijednosti i jača izvrsnost </w:t>
      </w:r>
      <w:r>
        <w:lastRenderedPageBreak/>
        <w:t>istraživanja i inovacija unutar Unije; duboko je zabrinut što dostupna sredstva pokrivaju samo dio svih podnesenih prijava, što rezultira visokim razinama prekomjernog broja prijava za programe i odlaskom istraživača iz Unije u konkurentske regije;</w:t>
      </w:r>
    </w:p>
    <w:p w:rsidR="00BB232A" w:rsidRPr="00827126" w:rsidRDefault="00BB232A" w:rsidP="00BB232A">
      <w:pPr>
        <w:pStyle w:val="NormalHanging12a"/>
        <w:rPr>
          <w:szCs w:val="24"/>
        </w:rPr>
      </w:pPr>
      <w:r>
        <w:t>16.</w:t>
      </w:r>
      <w:r>
        <w:tab/>
        <w:t>naglašava da se moraju pružiti održiva i dugoročna rješenja za uspješno suočavanje sa strukturnim demografskim izazovima, kao i za smanjenje odljeva mozgova u slabije razvijenim regijama i gradovima EU-a; naglašava potrebu za financijskim sredstvima kako bi se revitalizirale regije u kojima opada broj stanovnika s pomoću ulaganja u socijalne i demografske politike za potporu obiteljima te kako bi se sve starijem stanovništvu u Europi pružila odgovarajuća potpora u pogledu pristupa zdravstvenoj skrbi, mobilnosti i javnim uslugama;</w:t>
      </w:r>
    </w:p>
    <w:p w:rsidR="00BB232A" w:rsidRPr="00827126" w:rsidRDefault="00BB232A" w:rsidP="00BB232A">
      <w:pPr>
        <w:pStyle w:val="NormalHanging12a"/>
      </w:pPr>
      <w:r>
        <w:t>17.</w:t>
      </w:r>
      <w:r>
        <w:tab/>
        <w:t xml:space="preserve">ustraje u tome da bi se u okviru programa Erasmus+ i Europskih snaga solidarnosti trebalo mobilizirati maksimalno moguće financiranje kako bi se promicalo učenje i poduzetništvo te poboljšale vještine, formalno, neformalno i </w:t>
      </w:r>
      <w:proofErr w:type="spellStart"/>
      <w:r>
        <w:t>informalno</w:t>
      </w:r>
      <w:proofErr w:type="spellEnd"/>
      <w:r>
        <w:t xml:space="preserve"> obrazovanje i </w:t>
      </w:r>
      <w:proofErr w:type="spellStart"/>
      <w:r>
        <w:t>zapošljivost</w:t>
      </w:r>
      <w:proofErr w:type="spellEnd"/>
      <w:r>
        <w:t xml:space="preserve"> mladih te promicala socijalna uključenost; ponavlja da je potrebno osigurati da oba programa jamče jednake mogućnosti, s posebnim naglaskom na osobama u nepovoljnom položaju diljem EU-a i pridruženih zemalja; i dalje smatra da se bespovratna sredstva za mobilnost u okviru programa Erasmus+ moraju dodatno poduprijeti kako bi se pokrila povećanja životnih troškova i osigurala pristupačnost, jednake mogućnosti i uključivo sudjelovanje, posebno povećavanjem minimalnih bespovratnih sredstava po sudioniku na odgovarajuću razinu;</w:t>
      </w:r>
    </w:p>
    <w:p w:rsidR="00BB232A" w:rsidRPr="00827126" w:rsidRDefault="00BB232A" w:rsidP="00BB232A">
      <w:pPr>
        <w:pStyle w:val="NormalHanging12a"/>
      </w:pPr>
      <w:r>
        <w:t>18.</w:t>
      </w:r>
      <w:r>
        <w:tab/>
        <w:t>ističe važnost provedbe europskog stupa socijalnih prava i poziva Komisiju da započne s razmatranjem metodologije za praćenje socijalnih rashoda u proračunu EU-a u sljedećem programskom razdoblju; ističe ključnu ulogu proračuna EU-a u doprinosu inicijativama kojima se osnažuje socijalni dijalog, jačaju lokalne i regionalne socijalne mjere i svima omogućuje pristup ključnim uslugama; ponovno ističe potrebu za europskom strategijom za starije osobe s posebnim mjerama za borbu protiv marginalizacije, usamljenosti i izolacije; nadalje podsjeća na potrebu za cjelovitom provedbom strategije o pravima osoba s invaliditetom za razdoblje 2021. – 2030. kako bi se poboljšali njihovi životni uvjeti u Uniji; ističe slučaj europskih prijevoznika koji se suočavaju s različitim izazovima u svakoj državi članici, od sve većih troškova do manjka kapaciteta, te potrebu za fleksibilnošću i boljim radnim uvjetima; naglašava potrebu za jačanjem postojećih pravila za njihovu zaštitu i dodjelom dodatnih sredstava za praćenje radnih uvjeta diljem država članica; u tom pogledu ističe koristi osmišljavanja IT alata na razini EU-a koji pomažu u boljoj provedbi birokratskih zahtjeva i standardizaciji potvrda;</w:t>
      </w:r>
    </w:p>
    <w:p w:rsidR="00BB232A" w:rsidRPr="00827126" w:rsidRDefault="00BB232A" w:rsidP="00BB232A">
      <w:pPr>
        <w:pStyle w:val="NormalHanging12a"/>
      </w:pPr>
      <w:r>
        <w:t>19.</w:t>
      </w:r>
      <w:r>
        <w:tab/>
        <w:t xml:space="preserve">poziva Komisiju i države članice da dodijele odgovarajuća sredstva za djelotvornu provedbu propisa EU-a o koordinaciji socijalnog osiguranja kako bi se olakšali radna mobilnost i prijenos naknada socijalne sigurnosti; poziva na to da se sredstva EU-a iskoriste za razvoj elektroničkog sustava razmjene informacija o socijalnoj sigurnosti i za potporu daljnjoj digitalizaciji sustava socijalne sigurnosti za pravednu mobilnost radne snage; </w:t>
      </w:r>
    </w:p>
    <w:p w:rsidR="00BB232A" w:rsidRPr="00827126" w:rsidRDefault="00BB232A" w:rsidP="00BB232A">
      <w:pPr>
        <w:spacing w:after="240"/>
        <w:ind w:left="567" w:hanging="567"/>
      </w:pPr>
      <w:r>
        <w:t>20.</w:t>
      </w:r>
      <w:r>
        <w:tab/>
        <w:t>priznaje da tehnologija i umjetna inteligencija brzo mijenjaju okružje zapošljavanja; ističe gospodarski potencijal koji pouzdane tehnologije umjetne inteligencije usmjerene na ljude mogu ponuditi za gospodarski rast Europe, uz poboljšanje života građana u nizu područja, kao što su zdravstvo, poljoprivreda, energija, promet i sigurnost;</w:t>
      </w:r>
      <w:r>
        <w:rPr>
          <w:color w:val="00B0F0"/>
        </w:rPr>
        <w:t xml:space="preserve"> </w:t>
      </w:r>
      <w:r>
        <w:t xml:space="preserve">poziva da se to uzme u obzir u programima i politikama EU-a putem dodjele odgovarajućih financijskih sredstava; naglašava potrebu za poboljšanjem osnovnih digitalnih vještina </w:t>
      </w:r>
      <w:r>
        <w:lastRenderedPageBreak/>
        <w:t>građana kako bi se zadovoljile potrebe poduzeća i zaštitilo građane od dezinformacija; podržava mjere EU-a kojima se na koordiniran način dopunjuju nacionalne strategije zapošljavanja za prekvalifikaciju i mobilnost na razini EU-a, a istodobno prihvaća potencijal tih promjena za uspješnu i prilagodljivu radnu snagu poticanjem prekvalifikacije i mobilnosti, čime se osigurava neometana tranzicija na nove poslovne sektore i poslovne sektore u nastajanju;</w:t>
      </w:r>
    </w:p>
    <w:p w:rsidR="00BB232A" w:rsidRPr="00827126" w:rsidRDefault="00BB232A" w:rsidP="00BB232A">
      <w:pPr>
        <w:spacing w:after="240"/>
        <w:ind w:left="567" w:hanging="567"/>
      </w:pPr>
      <w:r>
        <w:t>21.</w:t>
      </w:r>
      <w:r>
        <w:tab/>
        <w:t>zabrinut je zbog sve većeg broja ekstremnih vremenskih prilika, kao što su intenzivni požari, poplave i druge prirodne katastrofe povezane s pogoršanjem situacije u vezi s klimatskim promjenama diljem Europe; stoga ističe da je potrebno osigurati dostatna financijska sredstva za Mehanizam EU-a za civilnu zaštitu i poziva na bolju konsolidaciju kapaciteta EU-a za odgovor na hitne situacije jačanjem zajedničkih medicinskih timova i timova za hitne intervencije; poziva Komisiju da osigura da se sredstva mogu brzo staviti na raspolaganje i putem Fonda solidarnosti Europske unije (FSEU) i pričuve za pomoć u nuždi;</w:t>
      </w:r>
    </w:p>
    <w:p w:rsidR="00BB232A" w:rsidRPr="00827126" w:rsidRDefault="00BB232A" w:rsidP="00BB232A">
      <w:pPr>
        <w:pStyle w:val="NormalHanging12a"/>
      </w:pPr>
      <w:r>
        <w:t>22.</w:t>
      </w:r>
      <w:r>
        <w:tab/>
        <w:t xml:space="preserve">naglašava važnost dodjele odgovarajućih sredstava za aktivnosti utvrđene u Uredbi „EU za zdravlje”; uviđa da cijena lijekova i zdravstvenih tehnologija ima velik utjecaj na sposobnost pacijenata da im pristupe; naglašava da financijski nepristupačni lijekovi predstavljaju stvarnu prepreku liječenju i poziva na provedbu posebnih mjera kako bi se riješili ti izazovi; u tom pogledu poziva na bolju koordinaciju na razini EU-a i zajedničku nabavu lijekova radi smanjenja troškova; naglašava važnost borbe protiv dječjih bolesti s posebnim naglaskom na rijetkim bolestima; posebno ističe važnost plana za borbu protiv raka; poziva na donošenje ambicioznog proračuna za </w:t>
      </w:r>
      <w:proofErr w:type="spellStart"/>
      <w:r>
        <w:t>klaster</w:t>
      </w:r>
      <w:proofErr w:type="spellEnd"/>
      <w:r>
        <w:t xml:space="preserve"> „Zdravlje” u programu Obzor Europa kako bi se osiguralo da EU može učinkovito odgovoriti na buduće zdravstvene krize, pomoglo ojačati zdravstvene sustave i poboljšalo tjelesno i mentalno zdravlje osoba povećanjem cjenovne pristupačnosti i dostupnosti zdravstva; priznaje da su kardiovaskularne bolesti i dalje glavni uzrok smrti u EU-u; smatra da je rješavanje problema kardiovaskularnih bolesti ulaganjem u mjere usmjerene na personaliziranu medicinu i e-zdravstvo od ključne važnosti jer će se na taj način povećati standardi prevencije i liječenja te svim građanima omogućiti jednak pristup zdravstvenoj skrbi; naglašava potrebu za sprječavanjem nestašica lijekova do kojih je došlo u nekim državama članicama u posljednjih nekoliko godina; priznaje da je potrebno smanjiti nejednakosti u zdravstvu kako bi se osiguralo pružanje jednakih zdravstvenih usluga za sve žene, uključujući pristup spolnom i reproduktivnom zdravlju, te podsjeća da je od presudne važnosti da žensko zdravlje ostane prioritet politika i istraživački prioritet;</w:t>
      </w:r>
    </w:p>
    <w:p w:rsidR="00BB232A" w:rsidRPr="00827126" w:rsidRDefault="00BB232A" w:rsidP="00BB232A">
      <w:pPr>
        <w:pStyle w:val="NormalHanging12a"/>
      </w:pPr>
      <w:r>
        <w:t>23.</w:t>
      </w:r>
      <w:r>
        <w:tab/>
        <w:t>podsjeća na potrebu za rješavanjem problema nedostatka vještina, odljeva mozgova i korelacije između tržišnih potreba i vještina, među ostalim i iz perspektive situacije u različitim regijama EU-a; smatra da je potrebno definirati ključna područja za osposobljavanje i prekvalifikaciju kako bi radna snaga EU-a ostala konkurentna, posebno za promicanje zelenih i digitalnih vještina; naglašava da su potrebna daljnja ulaganja za modernizaciju obrazovnih sustava Unije, stvaranje programa za poticanje talenata i poticanje mladih poduzetnika; poziva na ubrzanje provedbe Europske godine vještina i europskog prostora obrazovanja; poziva Komisiju da brzo provede rješenja koja su utvrđena kao ključna tijekom Europske godine vještina, naglašavajući potrebu za boljom suradnjom s poduzećima, uključujući ocjenu učinka iz perspektive mladih i zabranu neplaćenog stažiranja; s obzirom na preporuke usvojene na Konferenciji o budućnosti Europe, podsjeća na važnost uspostave europskog obrazovnog plana, s financijskim sredstvima za potporu kvalitetnog obrazovanja i osposobljavanja nastavnika te za smanjenje stope ranog napuštanja školovanja;</w:t>
      </w:r>
    </w:p>
    <w:p w:rsidR="00BB232A" w:rsidRPr="00827126" w:rsidRDefault="00BB232A" w:rsidP="00A2612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lastRenderedPageBreak/>
        <w:t>24.</w:t>
      </w:r>
      <w:r>
        <w:rPr>
          <w:color w:val="000000"/>
        </w:rPr>
        <w:tab/>
        <w:t xml:space="preserve">naglašava dodanu vrijednost programa financiranja u području demokracije, prava i vrijednosti; podsjeća na važnu ulogu koju proračun EU-a ima u promicanju europskih vrijednosti sadržanih u članku 2. UEU-a, kulture i prava građana te u izgradnji otpornih društava i podržavanju ključnih načela demokracije, vladavine prava, solidarnosti, </w:t>
      </w:r>
      <w:proofErr w:type="spellStart"/>
      <w:r>
        <w:rPr>
          <w:color w:val="000000"/>
        </w:rPr>
        <w:t>uključivosti</w:t>
      </w:r>
      <w:proofErr w:type="spellEnd"/>
      <w:r>
        <w:rPr>
          <w:color w:val="000000"/>
        </w:rPr>
        <w:t xml:space="preserve">, pravde, nediskriminacije i ravnopravnosti, uključujući rodnu ravnopravnost; želi da se relevantne proračunske linije i tijela ojačaju kako bi se riješio problem polarizacije, porasta političkog ekstremizma i slabog povjerenja u institucije, poticala participativna demokracija, promicala temeljna prava te spriječilo nazadovanje demokracije, slabljenje vladavine prava, smanjenje prostora za djelovanje organizacija civilnog društva aktivnih u tom području na lokalnoj i nacionalnoj razini te na razini Unije, kao i </w:t>
      </w:r>
      <w:proofErr w:type="spellStart"/>
      <w:r>
        <w:rPr>
          <w:color w:val="000000"/>
        </w:rPr>
        <w:t>instrumentalizacija</w:t>
      </w:r>
      <w:proofErr w:type="spellEnd"/>
      <w:r>
        <w:rPr>
          <w:color w:val="000000"/>
        </w:rPr>
        <w:t xml:space="preserve"> euroskepticizma; poziva na osiguravanje dostatnih sredstava EU-a za program Građani, jednakost, prava i vrijednosti te naglašava važan rad obavljen u okviru potprograma Vrijednosti Unije, koji pruža izravna financijska sredstva za organizacije civilnog društva, kao i potprograma </w:t>
      </w:r>
      <w:proofErr w:type="spellStart"/>
      <w:r>
        <w:rPr>
          <w:color w:val="000000"/>
        </w:rPr>
        <w:t>Daphne</w:t>
      </w:r>
      <w:proofErr w:type="spellEnd"/>
      <w:r>
        <w:rPr>
          <w:color w:val="000000"/>
        </w:rPr>
        <w:t xml:space="preserve"> i Jednakost i prava; ponavlja da bi potrebna sredstva trebala biti namijenjena borbi protiv rodno uvjetovanog nasilja i podupiranju prava i pristupa sigurnim uslugama u području spolnog i reproduktivnog zdravlja, kao i organizacijama za prava žena te inicijativama i tijelima EU-a za borbu protiv diskriminacije žena; poziva Komisiju da olakša pristup programu Građani, jednakost, prava i vrijednosti, kao i da zajamči fleksibilnost u postupku obnovljenih potpora koje subjekti u državama članicama pružaju lokalnim organizacijama kako bi osigurala da sredstva dođu do onih koji najbliže surađuju s građanima; </w:t>
      </w:r>
    </w:p>
    <w:p w:rsidR="00BB232A" w:rsidRPr="00827126" w:rsidRDefault="00BB232A" w:rsidP="00A2612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25.</w:t>
      </w:r>
      <w:r>
        <w:rPr>
          <w:color w:val="000000"/>
        </w:rPr>
        <w:tab/>
        <w:t>poziva Komisiju da poveća potporu Unije za zaštitu građana, manjina, vjerskih zajednica i javnih prostora od terorističkih prijetnji, za borbu protiv radikalizacije i terorističkog sadržaja na internetu te za suzbijanje porasta govora mržnje, antisemitizma, mržnje prema muslimanima i rasizma diljem Europe i svijeta;</w:t>
      </w:r>
    </w:p>
    <w:p w:rsidR="00BB232A" w:rsidRPr="00827126" w:rsidRDefault="00BB232A" w:rsidP="0043586E">
      <w:pPr>
        <w:pStyle w:val="NormalHanging12a"/>
      </w:pPr>
      <w:r>
        <w:t>26.</w:t>
      </w:r>
      <w:r>
        <w:tab/>
        <w:t>ističe sve češće prijetnje i opasnosti od organiziranih i ciljanih kampanja dezinformiranja koje strani dionici provode na štetu Europske unije; traži financijska sredstva za program Obzor Europa i aktivnosti koje se provode pod upravljanjem Komisije i ESVD-a radi suzbijanja širenja dezinformacija u velikoj mjeri i osmišljavanja učinkovitijih protumjera; poziva Uniju i države članice da iskoriste sredstva EU-a za aktivnosti namijenjene povećanju medijske pismenosti među građanima; poziva na povećanje sredstava za borbu protiv govora mržnje i terorističkog sadržaja na internetu; ističe potrebu za jačanjem novinarske slobode i medijskog pluralizma odgovarajućim resursima, u skladu s relevantnim propisima, te za podupiranjem novinara, uključujući istraživačke novinare, boraca za ljudska prava i članova civilnog društva koji se suočavaju s mjerama odmazde, kao što su strateške tužbe protiv javnog sudjelovanja; poziva na odgovarajuću potporu kulturnom sektoru, uključujući promicanje prekograničnog optjecaja europskih filmova, glazbe i videoigara; stoga poziva na povećanje financijskih sredstava namijenjenih za program Kreativna Europa;</w:t>
      </w:r>
    </w:p>
    <w:p w:rsidR="00BB232A" w:rsidRPr="00827126" w:rsidRDefault="00BB232A" w:rsidP="00BB232A">
      <w:pPr>
        <w:pStyle w:val="NormalHanging12a"/>
        <w:rPr>
          <w:b/>
          <w:i/>
        </w:rPr>
      </w:pPr>
      <w:r>
        <w:rPr>
          <w:b/>
          <w:i/>
        </w:rPr>
        <w:t>Proračun kojim se ostvaruju strateški prioriteti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27.</w:t>
      </w:r>
      <w:r>
        <w:rPr>
          <w:color w:val="000000"/>
        </w:rPr>
        <w:tab/>
        <w:t xml:space="preserve">naglašava važnost smanjenja strateških ovisnosti Unije u ključnim sektorima; pozdravlja novu Uredbu o platformi STEP, ali ističe potrebu za strukturnim odgovorom na investicijske potrebe strateških industrija kako bi se olakšalo utvrđivanje, razvoj i širenje revolucionarnih tehnologija; žali što je postojeća razina financijskih sredstava za program Obzor Europa u tom pogledu nedostatna i poziva na povećanje financijskih sredstava namijenjenih za program Obzor Europa i druge ključne programe Unije u tom </w:t>
      </w:r>
      <w:r>
        <w:rPr>
          <w:color w:val="000000"/>
        </w:rPr>
        <w:lastRenderedPageBreak/>
        <w:t xml:space="preserve">području, kao što je program </w:t>
      </w:r>
      <w:proofErr w:type="spellStart"/>
      <w:r>
        <w:rPr>
          <w:color w:val="000000"/>
        </w:rPr>
        <w:t>InvestEU</w:t>
      </w:r>
      <w:proofErr w:type="spellEnd"/>
      <w:r>
        <w:rPr>
          <w:color w:val="000000"/>
        </w:rPr>
        <w:t xml:space="preserve">, kako bi se ispunio cilj otvorene strateške autonomije; smatra da ovisnost EU-a o opskrbi resursima predstavlja sve veću zabrinutost; poziva na daljnja ulaganja EU-a u izgradnju otvorene strateške autonomije osiguravanjem bržeg uvođenja obnovljive energije, bržih procesa izdavanja dozvola, </w:t>
      </w:r>
      <w:proofErr w:type="spellStart"/>
      <w:r>
        <w:rPr>
          <w:color w:val="000000"/>
        </w:rPr>
        <w:t>dekarbonizacije</w:t>
      </w:r>
      <w:proofErr w:type="spellEnd"/>
      <w:r>
        <w:rPr>
          <w:color w:val="000000"/>
        </w:rPr>
        <w:t xml:space="preserve"> zgrada i pristupa kritičnim sirovinama te razvojem otpornih vrijednosnih lanaca za industrijske ekosustave EU-a, posebno u ključnim područjima kao što su zdravlje</w:t>
      </w:r>
      <w:r>
        <w:t xml:space="preserve"> i </w:t>
      </w:r>
      <w:r>
        <w:rPr>
          <w:color w:val="000000"/>
        </w:rPr>
        <w:t xml:space="preserve">obrana; </w:t>
      </w:r>
      <w:r>
        <w:t xml:space="preserve">traži odgovarajuća financijska sredstva kako bi se osigurao kontinuiran razvoj postojećih vodećih europskih programa u svemirskom sektoru, uključujući program </w:t>
      </w:r>
      <w:proofErr w:type="spellStart"/>
      <w:r>
        <w:t>Copernicus</w:t>
      </w:r>
      <w:proofErr w:type="spellEnd"/>
      <w:r>
        <w:t>, program Galileo/EGNOS, europsku inicijativu za satelitsku komunikaciju (GOVSATCOM) i komponentu za svijest o situaciji u svemiru (SSA);</w:t>
      </w:r>
    </w:p>
    <w:p w:rsidR="00BB232A" w:rsidRPr="00827126" w:rsidRDefault="00BB232A" w:rsidP="00BB232A">
      <w:pPr>
        <w:pStyle w:val="NormalHanging12a"/>
      </w:pPr>
      <w:r>
        <w:t>28.</w:t>
      </w:r>
      <w:r>
        <w:tab/>
        <w:t xml:space="preserve">smatra da digitalna tranzicija nudi brojne mogućnosti za poboljšanje digitalne infrastrukture i povezanosti te za razvoj digitalnih vještina; u tom pogledu ističe važnost programa Digitalna Europa (DEP) i Instrumenta za povezivanje Europe (CEF-Digitalni sektor), </w:t>
      </w:r>
      <w:r>
        <w:rPr>
          <w:color w:val="000000"/>
        </w:rPr>
        <w:t>kao i Akcijskog plana za digitalno obrazovanje</w:t>
      </w:r>
      <w:r>
        <w:t xml:space="preserve">; ponovno ističe potrebu za obrazovnim programom u području umjetne inteligencije, kodiranja i robotike koji je osmišljen za nastavnike i učenike i koji će se financirati u okviru relevantnih programa; ističe da se proračunom EU-a mora na odgovarajući način podupirati etička i </w:t>
      </w:r>
      <w:proofErr w:type="spellStart"/>
      <w:r>
        <w:t>nediskriminirajuća</w:t>
      </w:r>
      <w:proofErr w:type="spellEnd"/>
      <w:r>
        <w:t xml:space="preserve"> upotreba umjetne inteligencije, osobito u obrazovnom i kulturnom sektoru; podsjeća na potrebu za programima koje financira EU kako bi se </w:t>
      </w:r>
      <w:r>
        <w:rPr>
          <w:color w:val="000000"/>
        </w:rPr>
        <w:t>dodatno ulagalo u poboljšanje digitalne pismenosti u društvu i premošćivanje</w:t>
      </w:r>
      <w:r>
        <w:t xml:space="preserve"> digitalnog jaza, </w:t>
      </w:r>
      <w:r>
        <w:rPr>
          <w:color w:val="000000"/>
        </w:rPr>
        <w:t>uključujući digitalni jaz među spolovima</w:t>
      </w:r>
      <w:r>
        <w:t>, u obrazovanju i cjeloživotnom učenju;</w:t>
      </w:r>
    </w:p>
    <w:p w:rsidR="00BB232A" w:rsidRPr="00827126" w:rsidRDefault="00BB232A" w:rsidP="00BB232A">
      <w:pPr>
        <w:pStyle w:val="NormalHanging12a"/>
      </w:pPr>
      <w:r>
        <w:t>29.</w:t>
      </w:r>
      <w:r>
        <w:tab/>
        <w:t xml:space="preserve">ističe središnju ulogu proračuna EU-a u ostvarivanju europskog zelenog plana i borbi protiv klimatskih promjena putem smanjenja emisija, povećanja upotrebe obnovljive energije, stvaranja kružnoga gospodarstva, </w:t>
      </w:r>
      <w:r>
        <w:rPr>
          <w:color w:val="000000"/>
        </w:rPr>
        <w:t xml:space="preserve">zaštite ekosustava i preokretanja zabrinjavajućeg trenda </w:t>
      </w:r>
      <w:r>
        <w:t xml:space="preserve">gubitka </w:t>
      </w:r>
      <w:proofErr w:type="spellStart"/>
      <w:r>
        <w:t>bioraznolikosti</w:t>
      </w:r>
      <w:proofErr w:type="spellEnd"/>
      <w:r>
        <w:t xml:space="preserve">, </w:t>
      </w:r>
      <w:r>
        <w:rPr>
          <w:color w:val="000000"/>
        </w:rPr>
        <w:t>istodobno štiteći konkurentnost, otvarajući zelena radna mjesta i stvarajući rast u EU-u</w:t>
      </w:r>
      <w:r>
        <w:t xml:space="preserve">; ističe središnju ulogu programa LIFE kada je riječ o ostvarivanju europskog zelenog plana i postizanju cilja klimatske neutralnosti Unije, u skladu s Europskim zakonom o klimi i Pariškim sporazumom; </w:t>
      </w:r>
      <w:r>
        <w:rPr>
          <w:color w:val="000000"/>
        </w:rPr>
        <w:t>duboko je zabrinut zbog ozbiljnih učinaka klimatskih promjena, među ostalim u obliku nestašice vode;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30.</w:t>
      </w:r>
      <w:r>
        <w:rPr>
          <w:color w:val="000000"/>
        </w:rPr>
        <w:tab/>
        <w:t xml:space="preserve">naglašava da zabrinutosti u vezi sa sigurnošću opskrbe energijom i visokim cijenama energije znače da je pitanje energetskog siromaštva ključno i da predstavlja izazove za europsku industriju, a posebno za MSP-ove; u tom pogledu naglašava potrebu za poticanjem ulaganja EU-a u aktualnu tranziciju Unije na klimatsku neutralnost, među ostalim u energetsku učinkovitost, istraživanje i inovacije u području održivih </w:t>
      </w:r>
      <w:proofErr w:type="spellStart"/>
      <w:r>
        <w:rPr>
          <w:color w:val="000000"/>
        </w:rPr>
        <w:t>niskougljičnih</w:t>
      </w:r>
      <w:proofErr w:type="spellEnd"/>
      <w:r>
        <w:rPr>
          <w:color w:val="000000"/>
        </w:rPr>
        <w:t xml:space="preserve"> tehnologija i tehnologija bez emisija ugljika, posebno u područjima s pozitivnim učinkom na smanjenje troškova života kućanstava, kao što su poboljšanje energetske učinkovitosti zgrada i uvođenje obnovljivih izvora energije; prima na znanje goleme investicijske potrebe za dekarbonizaciju prometa i stalan rast cijena građevinskih materijala i sirovina; uviđa stratešku vrijednost proširenja mreže TEN-T na istočno susjedstvo i jače povezanosti sa strateškim partnerima EU-a; ističe važnost programa CEF-Promet i njegove pozitivne uloge u postizanju ciljeva zelenog plana te prelaska na čistu energiju;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31.</w:t>
      </w:r>
      <w:r>
        <w:rPr>
          <w:color w:val="000000"/>
        </w:rPr>
        <w:tab/>
        <w:t xml:space="preserve">naglašava da proračun za 2025. mora biti usklađen s ciljevima politike i međunarodnim obvezama Unije; naglašava potrebu za kontinuiranim radom na postizanju ciljnih vrijednosti uključivanja klimatskih pitanja i </w:t>
      </w:r>
      <w:proofErr w:type="spellStart"/>
      <w:r>
        <w:rPr>
          <w:color w:val="000000"/>
        </w:rPr>
        <w:t>bioraznolikosti</w:t>
      </w:r>
      <w:proofErr w:type="spellEnd"/>
      <w:r>
        <w:rPr>
          <w:color w:val="000000"/>
        </w:rPr>
        <w:t xml:space="preserve"> za proračunsku potrošnju Unije utvrđenih u Međuinstitucijskom sporazumu, kao dio šireg cilja postizanja </w:t>
      </w:r>
      <w:r>
        <w:rPr>
          <w:color w:val="000000"/>
        </w:rPr>
        <w:lastRenderedPageBreak/>
        <w:t xml:space="preserve">klimatske neutralnosti Unije najkasnije do 2050.; podsjeća na odredbu Međuinstitucijskog sporazuma o utvrđivanju relevantnih mjera koje treba poduzeti u slučaju da periodična analiza pokaže nedovoljan napredak u postizanju primjenjivih ciljnih vrijednosti; izražava zabrinutost zbog ocjene Komisije da se ciljna vrijednost od 10 % potrošnje za </w:t>
      </w:r>
      <w:proofErr w:type="spellStart"/>
      <w:r>
        <w:rPr>
          <w:color w:val="000000"/>
        </w:rPr>
        <w:t>bioraznolikost</w:t>
      </w:r>
      <w:proofErr w:type="spellEnd"/>
      <w:r>
        <w:rPr>
          <w:color w:val="000000"/>
        </w:rPr>
        <w:t xml:space="preserve"> u 2026. i 2027. najvjerojatnije neće postići i zbog toga što ne postoji jasan put prema postizanju dogovorenih ciljnih vrijednosti; poziva Komisiju da prati provedbu načela </w:t>
      </w:r>
      <w:proofErr w:type="spellStart"/>
      <w:r>
        <w:rPr>
          <w:color w:val="000000"/>
        </w:rPr>
        <w:t>nenanošenja</w:t>
      </w:r>
      <w:proofErr w:type="spellEnd"/>
      <w:r>
        <w:rPr>
          <w:color w:val="000000"/>
        </w:rPr>
        <w:t xml:space="preserve"> značajne štete i da poduzme nužne korektivne prema potrebi; </w:t>
      </w:r>
    </w:p>
    <w:p w:rsidR="00BB232A" w:rsidRPr="00827126" w:rsidRDefault="00BB232A" w:rsidP="00BB232A">
      <w:pPr>
        <w:pStyle w:val="NormalHanging12a"/>
        <w:rPr>
          <w:color w:val="000000"/>
        </w:rPr>
      </w:pPr>
      <w:r>
        <w:rPr>
          <w:color w:val="000000"/>
        </w:rPr>
        <w:t>32.</w:t>
      </w:r>
      <w:r>
        <w:rPr>
          <w:color w:val="000000"/>
        </w:rPr>
        <w:tab/>
      </w:r>
      <w:r>
        <w:t xml:space="preserve">naglašava važnost </w:t>
      </w:r>
      <w:r>
        <w:rPr>
          <w:color w:val="000000"/>
        </w:rPr>
        <w:t>Europske urbane inicijative i njezina odgovarajućeg financiranja kako bi se ispunili svi njezini ciljevi; poziva na izravnije financiranje lokalnih tijela vlasti kako bi se ojačala njihova izgradnja kapaciteta, tehnička potpora i razmjena najboljih praksi; poziva na povećanje sredstava za relevantne agencije, što mora odgovarati radnom opterećenju koje proizlazi iz programa europskog zelenog plana, posebno paketa „Spremni za 55 %”;</w:t>
      </w:r>
    </w:p>
    <w:p w:rsidR="00BB232A" w:rsidRPr="00827126" w:rsidRDefault="00BB232A" w:rsidP="00BB232A">
      <w:pPr>
        <w:pStyle w:val="NormalHanging12a"/>
      </w:pPr>
      <w:r>
        <w:t>33.</w:t>
      </w:r>
      <w:r>
        <w:tab/>
        <w:t xml:space="preserve">ističe </w:t>
      </w:r>
      <w:r>
        <w:rPr>
          <w:color w:val="000000"/>
        </w:rPr>
        <w:t>ključan doprinos poljoprivrednika i ribara društvu te stoga</w:t>
      </w:r>
      <w:r>
        <w:t xml:space="preserve"> naglašava središnju važnost zajedničke poljoprivredne politike (ZPP) i zajedničke </w:t>
      </w:r>
      <w:proofErr w:type="spellStart"/>
      <w:r>
        <w:t>ribarstvene</w:t>
      </w:r>
      <w:proofErr w:type="spellEnd"/>
      <w:r>
        <w:t xml:space="preserve"> politike za sigurnost opskrbe hranom i veću autonomiju EU-a u proizvodnji visokokvalitetne hrane; ističe ulogu ZPP-a u osiguravanju održivih i primjerenih prihoda za poljoprivrednike u EU-u, posebno za male i mlade poljoprivrednike; poziva na donošenje konkretnih mjera za rješavanje temeljnih uzroka nezadovoljstva poljoprivrednika diljem EU-a, a konkretno poziva na hitna sredstva i mjere kako bi se poljoprivrednicima pomoglo da se nose s posljedicama inflacije, troškovima goriva, novim proizvodnim standardima i promjenama na globalnom tržištu hrane; naglašava da je potrebno pomoći novim i mladim poljoprivrednicima, čime bi se osigurala generacijska obnova te istodobno riješio problem nedostatka radne snage i vještina u poljoprivredno-prehrambenom sektoru; ističe da se </w:t>
      </w:r>
      <w:r>
        <w:rPr>
          <w:color w:val="000000"/>
        </w:rPr>
        <w:t>europski poljoprivrednici suočavaju s brojnim izazovima, posebno prekomjernom birokracijom i administrativnim opterećenjem, sve većim regulatornim preklapanjima,</w:t>
      </w:r>
      <w:r>
        <w:t xml:space="preserve"> manjkovima i teškim radnim uvjetima; </w:t>
      </w:r>
      <w:r>
        <w:rPr>
          <w:color w:val="000000"/>
        </w:rPr>
        <w:t xml:space="preserve">naglašava da je potrebno bolje rješavati problem učinka sve češćih i intenzivnijih poplava, suša i šumskih požara na sektore s pomoću namjenskih mjera potpore; </w:t>
      </w:r>
      <w:r>
        <w:t>poziva na odgovarajuće prihode za sve u poljoprivrednom sektoru; ističe potrebu za odgovarajućom potporom za istraživanje i inovacije te za poštovanjem radnih standarda, kao i za odgovarajućim ulaganjima kako bi se ponudili alternativni izvori prihoda i olakšao prelazak na održiviji i cjenovno pristupačniji prehrambeni sustav, posebno s pomoću inovacija i očuvanja prihoda poljoprivrednika, uz istodobno izbjegavanje situacije u kojoj se europski poljoprivrednici suočavaju s nejednakim uvjetima u pogledu tržišnog natjecanja u odnosu na uvoz koji ne ispunjava naše standarde;</w:t>
      </w:r>
      <w:r>
        <w:rPr>
          <w:color w:val="000000"/>
        </w:rPr>
        <w:t xml:space="preserve"> </w:t>
      </w:r>
      <w:r>
        <w:t>očekuje da će se strateškim dijalogom o budućnosti poljoprivrede prionuti na rješavanje svih relevantnih pitanja, uključujući preventivne aspekte;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t>34.</w:t>
      </w:r>
      <w:r>
        <w:tab/>
        <w:t xml:space="preserve">ponavlja da bi se svi programi, politike i aktivnosti EU-a trebali provoditi tako da se u ostvarivanju njihovih ciljeva promiče rodna ravnopravnost; u tom pogledu pozdravlja rad Komisije na rodno osjetljivom proračunu i ističe potrebu za dodatnim razvojem njezine </w:t>
      </w:r>
      <w:r>
        <w:rPr>
          <w:color w:val="000000"/>
        </w:rPr>
        <w:t>metodologije praćenja rodne ravnopravnosti za mjerenje utjecaja rashoda Unije na rodnu ravnopravnost, kako je utvrđeno u Međuinstitucijskom sporazumu; poziva Komisiju da pokaže rezultate te metodologije u proračunu za 2025. te da ih poprati sustavnim prikupljanjem, priopćavanjem i evaluacijom podataka razvrstanih po spolu;</w:t>
      </w:r>
    </w:p>
    <w:p w:rsidR="00BB232A" w:rsidRPr="00827126" w:rsidRDefault="00BB232A" w:rsidP="00BB232A">
      <w:pPr>
        <w:pStyle w:val="NormalHanging12a"/>
        <w:rPr>
          <w:b/>
          <w:i/>
        </w:rPr>
      </w:pPr>
      <w:r>
        <w:rPr>
          <w:b/>
          <w:i/>
        </w:rPr>
        <w:t>Proračun prilagođen budućnosti za svijet koji se mijenja</w:t>
      </w:r>
    </w:p>
    <w:p w:rsidR="00BB232A" w:rsidRPr="00827126" w:rsidRDefault="00BB232A" w:rsidP="00BB232A">
      <w:pPr>
        <w:spacing w:after="240"/>
        <w:ind w:left="567" w:hanging="567"/>
      </w:pPr>
      <w:r>
        <w:lastRenderedPageBreak/>
        <w:t>35.</w:t>
      </w:r>
      <w:r>
        <w:tab/>
        <w:t>ponovno ističe potrebu za provedbom migracijske politike i politike azila koja se temelji na solidarnosti, dijeljenju odgovornosti i poštovanju ljudskih prava u skladu s vrijednostima Unije i međunarodnim obvezama; naglašava da su djelotvorno, humano i pravedno upravljanje vanjskim granicama Unije i njihova zaštita ključni za osiguravanje sigurnosti Unije te jamčenje neometane i učinkovite provedbe migracijske politike i politike azila Unije, posebno kako bi se pripremio početak primjene novog pakta o migracijama i azilu, među ostalim kad je riječ o djelotvornim, sigurnim i dostojanstvenim postupcima prihvata, integracije te vraćanja i ponovnog prihvata;</w:t>
      </w:r>
      <w:r>
        <w:rPr>
          <w:color w:val="000000"/>
        </w:rPr>
        <w:t xml:space="preserve"> ističe ključnu ulogu Fonda za azil, migracije i integraciju te Instrumenta za upravljanje granicama i vize (BMVI) u tom pogledu; podsjeća na potrebu za očuvanjem slobodnog kretanja ljudi unutar Unije</w:t>
      </w:r>
      <w:r>
        <w:t xml:space="preserve">; podsjeća da su se Rumunjska i Bugarska do ožujka 2024. pridružile europskoj </w:t>
      </w:r>
      <w:proofErr w:type="spellStart"/>
      <w:r>
        <w:t>schengenskoj</w:t>
      </w:r>
      <w:proofErr w:type="spellEnd"/>
      <w:r>
        <w:t xml:space="preserve"> zoni bez granica i ponovno ističe važnost hitnog zaključivanja i operacionalizacije potpunog pristupanja, uključujući kopnene i željezničke veze; nastojat će maksimalno povećati raspoloživa sredstva u proračunu za 2025. u te svrhe; smatra da EU mora blisko surađivati sa svojim susjedima i trećim zemljama podrijetla i tranzita kako bi se potaknuo stabilan, održiv i uključiv razvoj i riješili temeljni uzroci migracija, čime bi se spriječile nezakonite migracije </w:t>
      </w:r>
      <w:r>
        <w:rPr>
          <w:color w:val="000000"/>
        </w:rPr>
        <w:t>i zaštitile ugrožene osobe od mreža za krijumčarenje i trgovinu ljudima, kao i od smrti na moru</w:t>
      </w:r>
      <w:r>
        <w:t>; posebno ističe sve veće odgovornosti agencija zaduženih za nadzor granica i upravljanje granicama, potporu državama članicama u izvršavanju njihovih zadaća u okviru zajedničkog europskog sustava azila i poštovanje temeljnih prava;</w:t>
      </w:r>
      <w:r>
        <w:rPr>
          <w:color w:val="000000"/>
        </w:rPr>
        <w:t xml:space="preserve"> naglašava potrebu za odgovarajućim financiranjem, zapošljavanjem osoblja i osposobljavanjem osoblja u svim agencijama koje djeluju u području sigurnosti, pravosuđa, izvršavanja zakonodavstva, azila i migracija te upravljanja granicama kako bi mogle ispuniti svoje mandate; podsjeća na poseban naglasak na pravilnoj provedbi velikih IT sustava EU-a, koji pridonose sigurnosnom okružju Unije, i upravljanju njima;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color w:val="000000"/>
        </w:rPr>
        <w:t>36.</w:t>
      </w:r>
      <w:r>
        <w:rPr>
          <w:color w:val="000000"/>
        </w:rPr>
        <w:tab/>
        <w:t>ističe da je</w:t>
      </w:r>
      <w:r>
        <w:t xml:space="preserve"> sigurnosno okružje EU-a i dalje vrlo nestabilno; </w:t>
      </w:r>
      <w:r>
        <w:rPr>
          <w:color w:val="000000"/>
        </w:rPr>
        <w:t xml:space="preserve"> i dalje stavlja snažan naglasak na europske sigurnosne i obrambene kapacitete kako bi se bolje odgovorilo na dosad nezabilježene geopolitičke izazove; smatra da je proračun EU-a ključan u kontekstu zajedničke obrambene strategije EU-a te pojačane sigurnosne i obrambene koordinacije među državama članicama; želi ojačati svoje najuspješnije i najrelevantnije programe, kao što su Europski fond za obranu i njegove agencije, radi poticanja europskog suvereniteta; želi istaknuti sinergije i učinkovitost ulaganja na razini EU-a u području obrane, a posebno u području vojne mobilnosti, zaštite i interoperabilnosti infrastrukture; naglašava potrebu za rješavanjem problema kao što su dezinformacije, koje predstavljaju sve veći politički i sigurnosni izazov, posebno nakon pokretanja ruskog rata protiv Ukrajine, te kibernetički kriminal ili organizirani kriminal s prekograničnom dimenzijom; </w:t>
      </w:r>
    </w:p>
    <w:p w:rsidR="00BB232A" w:rsidRPr="00827126" w:rsidRDefault="00BB232A" w:rsidP="00BB232A">
      <w:pPr>
        <w:pStyle w:val="NormalHanging12a"/>
      </w:pPr>
      <w:r>
        <w:t>37.</w:t>
      </w:r>
      <w:r>
        <w:tab/>
        <w:t xml:space="preserve">ponovno osuđuje ruski rat protiv Ukrajine i naglašava da je taj rat doveo do ponovnog ratovanja u susjedstvu Europske unije te je utjecao na lance opskrbe, trgovinu i gospodarske odnose; </w:t>
      </w:r>
      <w:r>
        <w:rPr>
          <w:color w:val="000000"/>
        </w:rPr>
        <w:t xml:space="preserve">ponavlja svoju punu potporu Ukrajini u borbi za njezinu slobodu i demokraciju; </w:t>
      </w:r>
      <w:r>
        <w:t>žali zbog užasnog utjecaja na ljudske živote, zbog patnje ukrajinskog naroda, kao i zbog znatnih gospodarskih i socijalnih posljedica za europsko stanovništvo uzrokovanih ničim izazvanim i neopravdanim ruskim agresivnim ratom; smatra da bi proračun za 2025. trebao doprinijeti ublažavanju učinka krize troškova života i inflacije; podsjeća da su određene države članice, posebno one na vanjskim granicama, i ranjivi gospodarski sektori, i dalje posebno izloženi posljedicama ruskog agresivnog rata protiv Ukrajine te zaslužuju potporu u područjima kao što su poljoprivreda ili infrastruktura, ali i vojna mobilnost, u duhu solidarnosti EU-a;</w:t>
      </w:r>
    </w:p>
    <w:p w:rsidR="00BB232A" w:rsidRPr="00827126" w:rsidRDefault="00BB232A" w:rsidP="00BB232A">
      <w:pPr>
        <w:pStyle w:val="NormalHanging12a"/>
      </w:pPr>
      <w:r>
        <w:lastRenderedPageBreak/>
        <w:t>38.</w:t>
      </w:r>
      <w:r>
        <w:tab/>
        <w:t xml:space="preserve">i dalje je odlučan pomoći Ukrajini i podržati je putem predloženog instrumenta za Ukrajinu kojim će se pružiti potpora u obliku bespovratnih sredstava i zajmova za obnovu, oporavak i ponovnu izgradnju Ukrajine te za makrofinancijsku pomoć, institucijsku, socijalnu, gospodarsku i ekološku uzlaznu konvergenciju i javna ulaganja, kao i za put Ukrajine prema članstvu u EU-u; naglašava hitnost i priliku za kombiniranje potpore Ukrajini i napora za obnovu s konstruktivnim </w:t>
      </w:r>
      <w:proofErr w:type="spellStart"/>
      <w:r>
        <w:t>pretpristupnim</w:t>
      </w:r>
      <w:proofErr w:type="spellEnd"/>
      <w:r>
        <w:t xml:space="preserve"> procesom kojim se potiču reforme i postupan prelazak na pravnu stečevinu EU-a; </w:t>
      </w:r>
      <w:r>
        <w:rPr>
          <w:color w:val="000000"/>
        </w:rPr>
        <w:t>podsjeća da humanitarna pomoć za Ukrajinu neće biti obuhvaćena tim instrumentom, stoga ističe da će biti potrebno osigurati dostatna sredstva za humanitarnu pomoć u tom kontekstu i u proračunu za 2025.;</w:t>
      </w:r>
    </w:p>
    <w:p w:rsidR="00BB232A" w:rsidRPr="00827126" w:rsidRDefault="00BB232A" w:rsidP="00BB232A">
      <w:pPr>
        <w:pStyle w:val="NormalHanging12a"/>
      </w:pPr>
      <w:r>
        <w:t>39.</w:t>
      </w:r>
      <w:r>
        <w:tab/>
        <w:t xml:space="preserve">smatra da je potpora za zemlje zapadnog Balkana i dalje važna u pogledu proširenja EU-a i pozdravlja Komisijin Novi plan rasta za zapadni Balkan kao dobar korak prema pružanju dodatne potpore zemljama zapadnog Balkana u gospodarskoj konvergenciji s jedinstvenim tržištem EU-a; ističe važnost trajne potpore zemljama kandidatkinjama u provedbi potrebnih reformi povezanih s pristupanjem, posebno kad je riječ o vladavini prava, borbi protiv korupcije i demokraciji, kao i u jačanju njihove otpornosti te sprečavanju i suzbijanju hibridnih prijetnji; </w:t>
      </w:r>
    </w:p>
    <w:p w:rsidR="00BB232A" w:rsidRPr="00827126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color w:val="000000"/>
        </w:rPr>
        <w:t>40.</w:t>
      </w:r>
      <w:r>
        <w:rPr>
          <w:color w:val="000000"/>
        </w:rPr>
        <w:tab/>
        <w:t xml:space="preserve">pozdravlja odluku da se Ukrajini i Republici Moldovi dodijeli status zemlje kandidatkinje i ustraje u tome da je potrebno izdvojiti potrebna sredstva kako bi se podržao njihov pristupni proces; naglašava da bi se dodjelom sredstava za Instrument </w:t>
      </w:r>
      <w:proofErr w:type="spellStart"/>
      <w:r>
        <w:rPr>
          <w:color w:val="000000"/>
        </w:rPr>
        <w:t>pretpristupne</w:t>
      </w:r>
      <w:proofErr w:type="spellEnd"/>
      <w:r>
        <w:rPr>
          <w:color w:val="000000"/>
        </w:rPr>
        <w:t xml:space="preserve"> pomoći (IPA III) i relevantne proračunske linije u okviru Instrumenta za susjedstvo, razvoj i međunarodnu suradnju (NDICI) – Globalna Europa u 2025. trebala ubrzati suradnja s </w:t>
      </w:r>
      <w:proofErr w:type="spellStart"/>
      <w:r>
        <w:rPr>
          <w:color w:val="000000"/>
        </w:rPr>
        <w:t>Moldovom</w:t>
      </w:r>
      <w:proofErr w:type="spellEnd"/>
      <w:r>
        <w:rPr>
          <w:color w:val="000000"/>
        </w:rPr>
        <w:t xml:space="preserve"> i Gruzijom u skladu sa sporazumom o reviziji VFO-a;</w:t>
      </w:r>
    </w:p>
    <w:p w:rsidR="00BB232A" w:rsidRPr="00827126" w:rsidRDefault="00BB232A" w:rsidP="00BB232A">
      <w:pPr>
        <w:pStyle w:val="NormalHanging12a"/>
      </w:pPr>
      <w:r>
        <w:t>41.</w:t>
      </w:r>
      <w:r>
        <w:tab/>
        <w:t>ističe da je Instrument za susjedstvo, razvoj i međunarodnu suradnju (NDICI) – Globalna Europa ključan instrument za položaj Unije kao vodeće globalne sile i za ispunjavanje njezine uloge kao mirovne stabilizirajuće sile u cijelom svijetu, čime bi se ojačali geopolitički interesi Unije u svijetu;</w:t>
      </w:r>
      <w:r>
        <w:rPr>
          <w:color w:val="000000"/>
        </w:rPr>
        <w:t xml:space="preserve"> </w:t>
      </w:r>
      <w:r>
        <w:t>napominje da je financijska rezerva tog instrumenta iscrpljena i da bi trebao imati koristi od hitnog povećanja sredstava;</w:t>
      </w:r>
    </w:p>
    <w:p w:rsidR="00BB232A" w:rsidRDefault="00BB232A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42.</w:t>
      </w:r>
      <w:r>
        <w:rPr>
          <w:color w:val="000000"/>
        </w:rPr>
        <w:tab/>
        <w:t xml:space="preserve">nadalje ističe važnost programâ u okviru tog instrumenta za podršku globalnim izazovima, promicanje ljudskih prava, sloboda i demokracije, kao i za izgradnju kapaciteta organizacija civilnog društva te ispunjavanje međunarodnih obveza Unije u području klime i </w:t>
      </w:r>
      <w:proofErr w:type="spellStart"/>
      <w:r>
        <w:rPr>
          <w:color w:val="000000"/>
        </w:rPr>
        <w:t>bioraznolikosti</w:t>
      </w:r>
      <w:proofErr w:type="spellEnd"/>
      <w:r>
        <w:rPr>
          <w:color w:val="000000"/>
        </w:rPr>
        <w:t>, u sklopu sveobuhvatnog sustava praćenja i kontrole;</w:t>
      </w:r>
    </w:p>
    <w:p w:rsidR="00DC227C" w:rsidRPr="00827126" w:rsidRDefault="00A26129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t>43</w:t>
      </w:r>
      <w:r w:rsidR="00DC227C">
        <w:t>.</w:t>
      </w:r>
      <w:r w:rsidR="00DC227C" w:rsidRPr="00DC227C">
        <w:tab/>
        <w:t xml:space="preserve">žali što Komisija nije učinkovitije uvjetovala plaćanja trećim zemljama kao sredstvo za provedbu geopolitičkih interesa Unije, posebno u vezi s </w:t>
      </w:r>
      <w:proofErr w:type="spellStart"/>
      <w:r w:rsidR="00DC227C" w:rsidRPr="00DC227C">
        <w:t>Unijinim</w:t>
      </w:r>
      <w:proofErr w:type="spellEnd"/>
      <w:r w:rsidR="00DC227C" w:rsidRPr="00DC227C">
        <w:t xml:space="preserve"> migracijskim politikama, zabrinutostima u vezi s obranom te u vezi s ljudskim pravima; poziva Komisiju da utvrdi posebne uvjete i ključne etape za svoja plaćanja trećim zemljama u skladu s konkretnim političkim interesima Unije te da odmah obustavi relevantni dio plaćanja ako treća zemlja ne uspije ispuniti zadane uvjete; očekuje da će se svi odgovorni kandidati za povjerenika na svojim saslušanjima obvezati na to strože uvjetovanje proračuna EU-a prema trećim zemljama na temelju interesa;</w:t>
      </w:r>
    </w:p>
    <w:p w:rsidR="00BB232A" w:rsidRPr="00827126" w:rsidRDefault="00A26129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>
        <w:rPr>
          <w:color w:val="000000"/>
        </w:rPr>
        <w:t>44</w:t>
      </w:r>
      <w:r w:rsidR="00BB232A">
        <w:rPr>
          <w:color w:val="000000"/>
        </w:rPr>
        <w:t>.</w:t>
      </w:r>
      <w:r w:rsidR="00BB232A">
        <w:rPr>
          <w:color w:val="000000"/>
        </w:rPr>
        <w:tab/>
        <w:t>naglašava važnost jačanja linija južnog i istočnog susjedstva kako bi se poduprle političke, gospodarske i socijalne reforme u tim regijama te pružila pomoć izbjeglicama, posebno osiguravanjem kontinuiranog, ojačanog i predvidljivog financiranja relevantnih aktera i agencija, razmjernog razini potreba, kako bi se doprlo do ljudi na terenu s pomoću mehanizma razborite raspodjele u potpunosti u skladu s pravilima EU-a u cilju sprečavanja nezakonitog korištenja europskih sredstava;</w:t>
      </w:r>
    </w:p>
    <w:p w:rsidR="00BB232A" w:rsidRPr="00827126" w:rsidRDefault="00A26129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lastRenderedPageBreak/>
        <w:t>45</w:t>
      </w:r>
      <w:r w:rsidR="00BB232A">
        <w:rPr>
          <w:color w:val="000000"/>
        </w:rPr>
        <w:t>.</w:t>
      </w:r>
      <w:r w:rsidR="00BB232A">
        <w:rPr>
          <w:color w:val="000000"/>
        </w:rPr>
        <w:tab/>
      </w:r>
      <w:r w:rsidR="00BB232A">
        <w:t>podsjeća da je humanitarna pomoć EU-a neophodna za civile u osobito teškim situacijama i da doprinosi izgradnji stabilnosti i mira u pogođenim regijama te da se pružanje hitno potrebnih osnovnih usluga i humanitarne pomoći mora zajamčiti, a ne ometati, u skladu s međunarodnim presudama, uz uobičajene postupke provjere i praćenja;</w:t>
      </w:r>
      <w:r w:rsidR="00BB232A">
        <w:rPr>
          <w:color w:val="000000"/>
        </w:rPr>
        <w:t xml:space="preserve"> očekuje da će se financijske potrebe za humanitarnom pomoći dodatno povećati kao posljedica ratova, sve veće geopolitičke nestabilnosti, trajnog ekstremnog siromaštva i češćih prirodnih katastrofa; na temelju tih pretpostavki smatra da će EU morati znatno povećati humanitarnu pomoć kako bi odgovorio na povećane potrebe na terenu, posebno za osobe kojima je potrebna pomoć na Bliskom istoku;</w:t>
      </w:r>
    </w:p>
    <w:p w:rsidR="00BB232A" w:rsidRPr="00827126" w:rsidRDefault="00A26129" w:rsidP="00BB232A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>
        <w:rPr>
          <w:color w:val="000000"/>
        </w:rPr>
        <w:t>46</w:t>
      </w:r>
      <w:r w:rsidR="00BB232A">
        <w:rPr>
          <w:color w:val="000000"/>
        </w:rPr>
        <w:t>.</w:t>
      </w:r>
      <w:r w:rsidR="00BB232A">
        <w:rPr>
          <w:color w:val="000000"/>
        </w:rPr>
        <w:tab/>
        <w:t>ponavlja da nedvosmisleno osuđuje brutalne terorističke napade Hamasa na Izrael i njegov narod 7. listopada</w:t>
      </w:r>
      <w:r w:rsidR="00D74AC1">
        <w:rPr>
          <w:color w:val="000000"/>
        </w:rPr>
        <w:t> 2023.</w:t>
      </w:r>
      <w:r w:rsidR="00BB232A">
        <w:rPr>
          <w:color w:val="000000"/>
        </w:rPr>
        <w:t xml:space="preserve"> te izražava duboko žaljenje zbog nedužnih žrtava s obiju strana; naglašava da se proračunom Unije mora nastaviti pružati potpora izgradnji mira i stabilnosti u regiji, borbi protiv mržnje, političkog ekstremizma i fundamentalizma te promicanju ljudskih prava;</w:t>
      </w:r>
    </w:p>
    <w:p w:rsidR="00BB232A" w:rsidRPr="00827126" w:rsidRDefault="00A26129" w:rsidP="00BB232A">
      <w:pPr>
        <w:pStyle w:val="NormalHanging12a"/>
      </w:pPr>
      <w:r>
        <w:rPr>
          <w:color w:val="000000"/>
        </w:rPr>
        <w:t>47</w:t>
      </w:r>
      <w:r w:rsidR="00BB232A">
        <w:rPr>
          <w:color w:val="000000"/>
        </w:rPr>
        <w:t>.</w:t>
      </w:r>
      <w:r w:rsidR="00BB232A">
        <w:rPr>
          <w:color w:val="000000"/>
        </w:rPr>
        <w:tab/>
      </w:r>
      <w:r w:rsidR="00BB232A">
        <w:t>podsjeća na svoju rezoluciju donesenu 18. siječnja 2024. u kojoj se priznaje uloga Agencije za pomoć i rad Ujedinjenih naroda za palestinske izbjeglice na Bliskom istoku (UNRWA), koja trenutačno pruža utočište za više od milijun interno raseljenih osoba i najveća je platforma za pružanje humanitarne pomoći stanovništvu pojasa Gaze, u kojem se cijelo stanovništvo suočava sa sve lošijim humanitarnim uvjetima, uključujući nestašice skloništa, čiste vode, hrane i medicinske pomoći;</w:t>
      </w:r>
      <w:r w:rsidR="00BB232A">
        <w:rPr>
          <w:color w:val="000000"/>
        </w:rPr>
        <w:t xml:space="preserve"> stoga ponovno ističe važnost kontinuiranog i predvidljivog financiranja EU-a; pozdravlja činjenicu da je UN bez odgode pokrenuo istragu nakon ozbiljnih optužbi u vezi s pojedinim članovima osoblja UNRWA-e koji su navodno sudjelovali u tero</w:t>
      </w:r>
      <w:r w:rsidR="00D74AC1">
        <w:rPr>
          <w:color w:val="000000"/>
        </w:rPr>
        <w:t>rističkim napadima na Izrael 7. </w:t>
      </w:r>
      <w:r w:rsidR="00BB232A">
        <w:rPr>
          <w:color w:val="000000"/>
        </w:rPr>
        <w:t>listopada</w:t>
      </w:r>
      <w:r w:rsidR="00D74AC1">
        <w:rPr>
          <w:color w:val="000000"/>
        </w:rPr>
        <w:t> 2023.</w:t>
      </w:r>
      <w:r w:rsidR="00BB232A">
        <w:rPr>
          <w:color w:val="000000"/>
        </w:rPr>
        <w:t>, kao i informacije koje je Agencija pružila i hitne mjere koje je poduzela, posebno kako bi odmah raskinula postojeće ugovore; prima na znanje poziv Komisije da se provede vanjska revizija kojom će se preispitati ocjena sustava kontrole UN-a na temelju stupova, na koju je UNRWA pristala; podržava sustave kontrole, praćenja i nadzora koje provodi Komisija i podsjeća da korisnici pri upotrebi sredstava EU-a moraju poštovati pravila i zaštitne mjere EU-a te međunarodno pravo; u tom pogledu pozdravlja činjenicu da je Komisija u svojoj reviziji financijske pomoći Unije Palestini zaključila da kontrole te postojeće i djelotvorne zaštitne mjere dobro funkcioniraju i da nisu pronađeni dokazi da je novac preusmjeren u neplanirane svrhe, kao i procjenu rizika i povezane dodatne mjere;</w:t>
      </w:r>
    </w:p>
    <w:p w:rsidR="00BB232A" w:rsidRPr="00827126" w:rsidRDefault="00BB232A" w:rsidP="00BB232A">
      <w:pPr>
        <w:pStyle w:val="NormalHanging12a"/>
        <w:rPr>
          <w:b/>
          <w:i/>
        </w:rPr>
      </w:pPr>
      <w:r>
        <w:rPr>
          <w:b/>
          <w:i/>
        </w:rPr>
        <w:t>Poticanje provedbe programâ</w:t>
      </w:r>
    </w:p>
    <w:p w:rsidR="00BB232A" w:rsidRPr="00827126" w:rsidRDefault="00A26129" w:rsidP="00BB232A">
      <w:pPr>
        <w:spacing w:after="240"/>
        <w:ind w:left="567" w:hanging="567"/>
      </w:pPr>
      <w:r>
        <w:t>48</w:t>
      </w:r>
      <w:r w:rsidR="00BB232A">
        <w:t>.</w:t>
      </w:r>
      <w:r w:rsidR="00BB232A">
        <w:tab/>
        <w:t xml:space="preserve">podsjeća na to da Parlament u potpunosti podupire kohezijsku politiku u ostvarivanju prioriteta politika EU-a i poticanju gospodarstva EU-a koja se očituje u njezinu doprinosu pravednom, </w:t>
      </w:r>
      <w:proofErr w:type="spellStart"/>
      <w:r w:rsidR="00BB232A">
        <w:t>uključivom</w:t>
      </w:r>
      <w:proofErr w:type="spellEnd"/>
      <w:r w:rsidR="00BB232A">
        <w:t xml:space="preserve"> i održivom rastu i razvoju, promicanju socijalne i ekonomske konvergencije između država članica i njihovih regija, podupiranju zelene i digitalne tranzicije te poticanju inovacija i zapošljavanja; ponovo ističe svoje uvjerenje da se ciljevi kohezijske politike mogu postići samo ako se uhvati u koštac s kašnjenjima u provedbi programa, i to po hitnom postupku; smatra da bi takav pristup ubrzanju apsorpcije i provedbe također bio najučinkovitiji način da se dodana vrijednost potrošnje EU-a učini vidljivom i konkretnom za ljude u EU-u; podsjeća na potrebu za pružanjem veće tehničke pomoći kako bi se dodatno potaknuo apsorpcijski kapacitet država članica;</w:t>
      </w:r>
    </w:p>
    <w:p w:rsidR="00BB232A" w:rsidRPr="00827126" w:rsidRDefault="00A26129" w:rsidP="00BB232A">
      <w:pPr>
        <w:spacing w:after="240"/>
        <w:ind w:left="567" w:hanging="567"/>
      </w:pPr>
      <w:r>
        <w:t>49</w:t>
      </w:r>
      <w:r w:rsidR="00BB232A">
        <w:t>.</w:t>
      </w:r>
      <w:r w:rsidR="00BB232A">
        <w:tab/>
        <w:t xml:space="preserve">naglašava da proračunska sredstva EU-a moraju doprijeti do građana i MSP-ova u Uniji; podsjeća da su pojednostavnjenje administrativnih postupaka, uspostava </w:t>
      </w:r>
      <w:r w:rsidR="00BB232A">
        <w:lastRenderedPageBreak/>
        <w:t>sveobuhvatnih internetskih stranica i portala prilagođenih korisnicima, smanjenje birokracije i stvaranje jedinstvenih kontaktnih točaka ključni kako bi programi EU-a bili pristupačniji lokalnim i regionalnim tijelima, organizacijama civilnog društva, mladim poduzetnicima i MSP-ovima;</w:t>
      </w:r>
    </w:p>
    <w:p w:rsidR="00BB232A" w:rsidRPr="00827126" w:rsidRDefault="00A26129" w:rsidP="00BB232A">
      <w:pPr>
        <w:pStyle w:val="NormalHanging12a"/>
      </w:pPr>
      <w:r>
        <w:t>50</w:t>
      </w:r>
      <w:r w:rsidR="00BB232A">
        <w:t>.</w:t>
      </w:r>
      <w:r w:rsidR="00BB232A">
        <w:tab/>
        <w:t>potiče države članice i Komisiju da ubrzaju provedbu operativnih programa u okviru fondova s podijeljenim upravljanjem i da osiguraju brzo izvršenje proračuna, posebno kohezijskih fondova; napominje da bi se udio neiskorištenih sredstava u okviru programa za razdoblje 2014. – 2020. trebao preraspodijeliti državama članicama kako bi se nastavilo sa smanjenjem regionalnih razlika; poziva na brzu provedbu planova za oporavak i otpornost, uključujući evaluaciju Komisije u pogledu postupka provedbe, prepreka i rezultata; zabrinut je zbog toga što će neiskorištenost sredstava, osim ako se situacija brzo ne ublaži, dovesti do krize plaćanja, tj. neusklađenosti potreba za plaćanjima i raspoloživog prostora u okviru gornje granice za plaćanje VFO-a 2026. i 2027.;</w:t>
      </w:r>
    </w:p>
    <w:p w:rsidR="00BB232A" w:rsidRPr="00827126" w:rsidRDefault="00A26129" w:rsidP="00BB232A">
      <w:pPr>
        <w:spacing w:after="240"/>
        <w:ind w:left="567" w:hanging="567"/>
      </w:pPr>
      <w:r>
        <w:t>51</w:t>
      </w:r>
      <w:r w:rsidR="00BB232A">
        <w:t>.</w:t>
      </w:r>
      <w:r w:rsidR="00BB232A">
        <w:tab/>
        <w:t xml:space="preserve">smatra da bi se dužna pažnja, odgovornost i poštovanje vrijednosti Unije trebali primjenjivati na sve korisnike sredstava EU-a i partnere u provedbi kako bi se zaštitili financijski interesi EU-a i izbjeglo nepotrebno upletanje; ponavlja važnost učinkovitih i temeljitih tijela za praćenje i kontrolu koja otkrivaju, istražuju, progone i privode pravdi počinitelje kaznenih djela protiv financijskih interesa EU-a jer novac potrošen na borbu protiv korupcije donosi golem neto povrat u EU; stoga smatra da bi ta tijela trebala imati odgovarajuće financijske i ljudske resurse kako bi obavljala svoje zadaće na najučinkovitiji mogući način; slično tome, ističe da je potreban odgovarajući nadzor na razini EU-a kako bi se osiguralo da financijski sektor funkcionira u korist građana i potrošača; u cilju postizanja zdravog, </w:t>
      </w:r>
      <w:proofErr w:type="spellStart"/>
      <w:r w:rsidR="00BB232A">
        <w:t>uključivog</w:t>
      </w:r>
      <w:proofErr w:type="spellEnd"/>
      <w:r w:rsidR="00BB232A">
        <w:t xml:space="preserve"> i otpornog financijskog sektora, zahtijeva da resursi za europska tijela i agencije za financijski nadzor, koji su ovlašteni za nadzorne zadaće ili izradu tehničkih regulatornih standarda u tom pogledu, budu potpuno prilagođeni kako bi se uzele u obzir sve nove regulatorne zadaće koje su važne za ispunjenje tih ciljeva politika;</w:t>
      </w:r>
    </w:p>
    <w:p w:rsidR="00BB232A" w:rsidRPr="00827126" w:rsidRDefault="00A26129" w:rsidP="00BB232A">
      <w:pPr>
        <w:pStyle w:val="NormalHanging12a"/>
      </w:pPr>
      <w:r>
        <w:t>52</w:t>
      </w:r>
      <w:r w:rsidR="00BB232A">
        <w:t>.</w:t>
      </w:r>
      <w:r w:rsidR="00BB232A">
        <w:tab/>
        <w:t>poziva sve uključene aktere da ulože dodatne napore kako bi se potaknula provedba projekata i apsorpcija prihvatljivih sredstava, čime bi se smanjile neuobičajeno visoke nepodmirene obveze (</w:t>
      </w:r>
      <w:proofErr w:type="spellStart"/>
      <w:r w:rsidR="00BB232A">
        <w:t>reste</w:t>
      </w:r>
      <w:proofErr w:type="spellEnd"/>
      <w:r w:rsidR="00BB232A">
        <w:t xml:space="preserve"> à </w:t>
      </w:r>
      <w:proofErr w:type="spellStart"/>
      <w:r w:rsidR="00BB232A">
        <w:t>liquider</w:t>
      </w:r>
      <w:proofErr w:type="spellEnd"/>
      <w:r w:rsidR="00BB232A">
        <w:t xml:space="preserve"> – RAL); smatra da bi se 2024. i 2025. trebale iskoristiti za utvrđivanje i ispravljanje svih uskih grla koja ometaju učinkovitiju provedbu; poziva na odgovarajuća proračunska sredstva radi ubrzanja provedbe programa s pomoću dodatne izgradnje kapaciteta i tehničke pomoći za države članice, posebno za one koje se suočavaju s povećanim poteškoćama pri apsorpciji, među ostalim i za sredstva iz Mehanizma za oporavak i otpornost, kao i na mjere za ubrzavanje pravednih, konkurentnih i učinkovitih postupaka javne nabave i javnih natječaja kako bi se pojačali napori u provedbi;</w:t>
      </w:r>
    </w:p>
    <w:p w:rsidR="00BB232A" w:rsidRPr="00827126" w:rsidRDefault="00A26129" w:rsidP="00BB232A">
      <w:pPr>
        <w:spacing w:after="240"/>
        <w:ind w:left="567" w:hanging="567"/>
      </w:pPr>
      <w:r>
        <w:t>53</w:t>
      </w:r>
      <w:r w:rsidR="00BB232A">
        <w:t>.</w:t>
      </w:r>
      <w:r w:rsidR="00BB232A">
        <w:tab/>
        <w:t>naglašava važnost učinkovite komunikacije i vidljivosti politika i programa EU-a u podizanju razine svijesti o dodanoj vrijednosti koju EU donosi građanima, poduzećima i partnerima; poziva da se u tom pogledu osiguraju odgovarajuća sredstva;</w:t>
      </w:r>
    </w:p>
    <w:p w:rsidR="00BB232A" w:rsidRPr="00827126" w:rsidRDefault="00A26129" w:rsidP="00BB232A">
      <w:pPr>
        <w:pStyle w:val="NormalHanging12a"/>
      </w:pPr>
      <w:r>
        <w:t>54</w:t>
      </w:r>
      <w:r w:rsidR="00BB232A">
        <w:t>.</w:t>
      </w:r>
      <w:r w:rsidR="00BB232A">
        <w:tab/>
        <w:t>podsjeća da je pravilna provedba dobro osmišljenih programa moguća samo uz potporu namjenskih posebnih tijela; naglašava ključan rad tijela i decentraliziranih agencija te smatra da im je potrebno osigurati odgovarajuće osoblje i odgovarajuća sredstva kako bi mogle obavljati svoje zadaće; ističe da se njihove zadaće razvijaju u skladu s političkim prioritetima, kao što su zelena i digitalna tranzicija, te naglašava da nove odgovornosti, kao i proširenje njihovih mandata, moraju biti razmjerno popraćeni novim resursima;</w:t>
      </w:r>
    </w:p>
    <w:p w:rsidR="00BB232A" w:rsidRPr="00827126" w:rsidRDefault="00BB232A" w:rsidP="00BB232A">
      <w:pPr>
        <w:pStyle w:val="NormalHanging12a"/>
        <w:jc w:val="center"/>
      </w:pPr>
      <w:r>
        <w:lastRenderedPageBreak/>
        <w:t>°</w:t>
      </w:r>
    </w:p>
    <w:p w:rsidR="00BB232A" w:rsidRPr="00827126" w:rsidRDefault="00BB232A" w:rsidP="00BB232A">
      <w:pPr>
        <w:pStyle w:val="NormalHanging12a"/>
        <w:jc w:val="center"/>
      </w:pPr>
      <w:r>
        <w:t>°</w:t>
      </w:r>
      <w:r>
        <w:tab/>
        <w:t>°</w:t>
      </w:r>
    </w:p>
    <w:p w:rsidR="00BB232A" w:rsidRPr="003562CA" w:rsidRDefault="00A26129" w:rsidP="00BB232A">
      <w:pPr>
        <w:pStyle w:val="NormalHanging12a"/>
      </w:pPr>
      <w:r>
        <w:t>55</w:t>
      </w:r>
      <w:r w:rsidR="00BB232A">
        <w:t>.</w:t>
      </w:r>
      <w:r w:rsidR="00BB232A">
        <w:tab/>
        <w:t>nalaže svojoj predsjednici da ovu Rezoluciju proslijedi Vijeću, Komisiji i Revizorskom sudu.</w:t>
      </w:r>
    </w:p>
    <w:p w:rsidR="00BB232A" w:rsidRDefault="00BB232A" w:rsidP="00BB232A">
      <w:pPr>
        <w:widowControl/>
      </w:pPr>
    </w:p>
    <w:p w:rsidR="00E365E1" w:rsidRPr="008D4257" w:rsidRDefault="00E365E1" w:rsidP="008D4257">
      <w:bookmarkStart w:id="9" w:name="TextBodyEnd"/>
      <w:bookmarkEnd w:id="9"/>
    </w:p>
    <w:sectPr w:rsidR="00E365E1" w:rsidRPr="008D4257" w:rsidSect="00DA7FC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257" w:rsidRPr="008D4257" w:rsidRDefault="008D4257">
      <w:r w:rsidRPr="008D4257">
        <w:separator/>
      </w:r>
    </w:p>
  </w:endnote>
  <w:endnote w:type="continuationSeparator" w:id="0">
    <w:p w:rsidR="008D4257" w:rsidRPr="008D4257" w:rsidRDefault="008D4257">
      <w:r w:rsidRPr="008D4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257" w:rsidRPr="008D4257" w:rsidRDefault="008D4257">
      <w:r w:rsidRPr="008D4257">
        <w:separator/>
      </w:r>
    </w:p>
  </w:footnote>
  <w:footnote w:type="continuationSeparator" w:id="0">
    <w:p w:rsidR="008D4257" w:rsidRPr="008D4257" w:rsidRDefault="008D4257">
      <w:r w:rsidRPr="008D4257">
        <w:continuationSeparator/>
      </w:r>
    </w:p>
  </w:footnote>
  <w:footnote w:id="1">
    <w:p w:rsidR="00D74AC1" w:rsidRPr="00D74AC1" w:rsidRDefault="00D74AC1" w:rsidP="00D74AC1">
      <w:pPr>
        <w:pStyle w:val="FootnoteText"/>
        <w:ind w:left="567" w:hanging="567"/>
        <w:rPr>
          <w:lang w:val="hr-HR"/>
        </w:rPr>
      </w:pPr>
      <w:r>
        <w:rPr>
          <w:rStyle w:val="FootnoteReference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Pr="0043586E">
        <w:rPr>
          <w:sz w:val="24"/>
          <w:szCs w:val="24"/>
        </w:rPr>
        <w:tab/>
      </w:r>
      <w:r w:rsidRPr="00D74AC1">
        <w:rPr>
          <w:sz w:val="24"/>
          <w:szCs w:val="24"/>
        </w:rPr>
        <w:t>SL L, 2024/765, 29.2.2024.</w:t>
      </w:r>
      <w:r>
        <w:rPr>
          <w:sz w:val="24"/>
          <w:szCs w:val="24"/>
        </w:rPr>
        <w:t xml:space="preserve">, ELI: </w:t>
      </w:r>
      <w:hyperlink r:id="rId1" w:history="1">
        <w:r w:rsidR="00924611" w:rsidRPr="00C3532A">
          <w:rPr>
            <w:rStyle w:val="Hyperlink"/>
            <w:sz w:val="24"/>
            <w:szCs w:val="24"/>
          </w:rPr>
          <w:t>http://data.europa.eu/eli/reg/2024/765/oj</w:t>
        </w:r>
      </w:hyperlink>
      <w:bookmarkStart w:id="8" w:name="_GoBack"/>
      <w:bookmarkEnd w:id="8"/>
    </w:p>
  </w:footnote>
  <w:footnote w:id="2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 w:rsidRP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 L 325, 20.12.2022.,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11.</w:t>
      </w:r>
    </w:p>
  </w:footnote>
  <w:footnote w:id="3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sz w:val="24"/>
          <w:szCs w:val="24"/>
        </w:rPr>
        <w:t xml:space="preserve"> </w:t>
      </w:r>
      <w:r w:rsidR="0043586E" w:rsidRPr="0043586E">
        <w:rPr>
          <w:sz w:val="24"/>
          <w:szCs w:val="24"/>
        </w:rPr>
        <w:tab/>
      </w:r>
      <w:r w:rsidRPr="0043586E">
        <w:rPr>
          <w:color w:val="000000"/>
          <w:sz w:val="24"/>
          <w:szCs w:val="24"/>
        </w:rPr>
        <w:t xml:space="preserve">SL C 445, 29.10.2021., </w:t>
      </w:r>
      <w:proofErr w:type="spellStart"/>
      <w:r w:rsidRPr="0043586E">
        <w:rPr>
          <w:color w:val="000000"/>
          <w:sz w:val="24"/>
          <w:szCs w:val="24"/>
        </w:rPr>
        <w:t>str</w:t>
      </w:r>
      <w:proofErr w:type="spellEnd"/>
      <w:r w:rsidRPr="0043586E">
        <w:rPr>
          <w:color w:val="000000"/>
          <w:sz w:val="24"/>
          <w:szCs w:val="24"/>
        </w:rPr>
        <w:t>. 240.</w:t>
      </w:r>
    </w:p>
  </w:footnote>
  <w:footnote w:id="4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 w:rsidRP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L 433 I, 22.12.2020.,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11.</w:t>
      </w:r>
    </w:p>
  </w:footnote>
  <w:footnote w:id="5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 w:rsidRP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C 444 I, 22.12.2020.,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4.</w:t>
      </w:r>
    </w:p>
  </w:footnote>
  <w:footnote w:id="6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 w:rsidRPr="0043586E">
        <w:rPr>
          <w:sz w:val="24"/>
          <w:szCs w:val="24"/>
        </w:rPr>
        <w:tab/>
      </w:r>
      <w:r w:rsidR="0043586E">
        <w:rPr>
          <w:sz w:val="24"/>
          <w:szCs w:val="24"/>
        </w:rPr>
        <w:t>SL</w:t>
      </w:r>
      <w:r w:rsidR="0043586E" w:rsidRPr="0043586E">
        <w:rPr>
          <w:sz w:val="24"/>
          <w:szCs w:val="24"/>
          <w:lang w:val="fi-FI"/>
        </w:rPr>
        <w:t xml:space="preserve"> C 445, 29.10.2021</w:t>
      </w:r>
      <w:r w:rsidR="0043586E">
        <w:rPr>
          <w:sz w:val="24"/>
          <w:szCs w:val="24"/>
          <w:lang w:val="fi-FI"/>
        </w:rPr>
        <w:t xml:space="preserve">., </w:t>
      </w:r>
      <w:proofErr w:type="spellStart"/>
      <w:r w:rsidR="0043586E">
        <w:rPr>
          <w:sz w:val="24"/>
          <w:szCs w:val="24"/>
          <w:lang w:val="fi-FI"/>
        </w:rPr>
        <w:t>str</w:t>
      </w:r>
      <w:proofErr w:type="spellEnd"/>
      <w:r w:rsidR="0043586E" w:rsidRPr="0043586E">
        <w:rPr>
          <w:sz w:val="24"/>
          <w:szCs w:val="24"/>
          <w:lang w:val="fi-FI"/>
        </w:rPr>
        <w:t>. 252</w:t>
      </w:r>
      <w:r w:rsidRPr="0043586E">
        <w:rPr>
          <w:sz w:val="24"/>
          <w:szCs w:val="24"/>
        </w:rPr>
        <w:t>.</w:t>
      </w:r>
    </w:p>
  </w:footnote>
  <w:footnote w:id="7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 w:rsidRPr="0043586E">
        <w:rPr>
          <w:sz w:val="24"/>
          <w:szCs w:val="24"/>
        </w:rPr>
        <w:tab/>
      </w:r>
      <w:r w:rsidR="0043586E">
        <w:rPr>
          <w:rStyle w:val="ui-provider"/>
          <w:sz w:val="24"/>
          <w:szCs w:val="24"/>
        </w:rPr>
        <w:t>SL</w:t>
      </w:r>
      <w:r w:rsidR="0043586E" w:rsidRPr="0043586E">
        <w:rPr>
          <w:sz w:val="24"/>
          <w:szCs w:val="24"/>
          <w:lang w:val="fi-FI"/>
        </w:rPr>
        <w:t xml:space="preserve"> C, C/2024/1195, 23.02.2024, ELI: </w:t>
      </w:r>
      <w:hyperlink r:id="rId2" w:history="1">
        <w:r w:rsidR="0043586E" w:rsidRPr="0043586E">
          <w:rPr>
            <w:rStyle w:val="Hyperlink"/>
            <w:sz w:val="24"/>
            <w:szCs w:val="24"/>
            <w:lang w:val="fi-FI"/>
          </w:rPr>
          <w:t>http://data.europa.eu/eli/C/2024/1195/oj</w:t>
        </w:r>
      </w:hyperlink>
      <w:r w:rsidR="0043586E">
        <w:rPr>
          <w:sz w:val="24"/>
          <w:szCs w:val="24"/>
        </w:rPr>
        <w:t>.</w:t>
      </w:r>
    </w:p>
  </w:footnote>
  <w:footnote w:id="8">
    <w:p w:rsidR="00BB232A" w:rsidRPr="0043586E" w:rsidRDefault="00BB232A" w:rsidP="0043586E">
      <w:pPr>
        <w:pBdr>
          <w:top w:val="nil"/>
          <w:left w:val="nil"/>
          <w:bottom w:val="nil"/>
          <w:right w:val="nil"/>
          <w:between w:val="nil"/>
        </w:pBdr>
        <w:spacing w:line="260" w:lineRule="exact"/>
        <w:ind w:left="567" w:hanging="567"/>
        <w:rPr>
          <w:color w:val="000000"/>
          <w:szCs w:val="24"/>
        </w:rPr>
      </w:pPr>
      <w:r w:rsidRPr="0043586E">
        <w:rPr>
          <w:szCs w:val="24"/>
          <w:vertAlign w:val="superscript"/>
        </w:rPr>
        <w:footnoteRef/>
      </w:r>
      <w:r w:rsidRPr="0043586E">
        <w:rPr>
          <w:color w:val="000000"/>
          <w:szCs w:val="24"/>
          <w:vertAlign w:val="superscript"/>
        </w:rPr>
        <w:t xml:space="preserve"> </w:t>
      </w:r>
      <w:r w:rsidR="0043586E">
        <w:rPr>
          <w:color w:val="000000"/>
          <w:szCs w:val="24"/>
          <w:vertAlign w:val="superscript"/>
        </w:rPr>
        <w:tab/>
      </w:r>
      <w:r w:rsidRPr="0043586E">
        <w:rPr>
          <w:color w:val="000000"/>
          <w:szCs w:val="24"/>
        </w:rPr>
        <w:t>Usvojeni tekstovi, P9_TA(2024)0082.</w:t>
      </w:r>
    </w:p>
  </w:footnote>
  <w:footnote w:id="9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="0043586E">
        <w:rPr>
          <w:sz w:val="24"/>
          <w:szCs w:val="24"/>
          <w:lang w:val="en-GB"/>
        </w:rPr>
        <w:t>SL</w:t>
      </w:r>
      <w:r w:rsidR="0043586E" w:rsidRPr="0043586E">
        <w:rPr>
          <w:sz w:val="24"/>
          <w:szCs w:val="24"/>
          <w:lang w:val="en-GB"/>
        </w:rPr>
        <w:t xml:space="preserve"> C, C/2023/1084, 15.12.2023, ELI: </w:t>
      </w:r>
      <w:hyperlink r:id="rId3" w:history="1">
        <w:r w:rsidR="0043586E" w:rsidRPr="0043586E">
          <w:rPr>
            <w:rStyle w:val="Hyperlink"/>
            <w:sz w:val="24"/>
            <w:szCs w:val="24"/>
            <w:lang w:val="hr-HR"/>
          </w:rPr>
          <w:t>http://data.europa.eu/eli/C/2023/1084/oj</w:t>
        </w:r>
      </w:hyperlink>
      <w:r w:rsidRPr="0043586E">
        <w:rPr>
          <w:sz w:val="24"/>
          <w:szCs w:val="24"/>
        </w:rPr>
        <w:t>.</w:t>
      </w:r>
    </w:p>
  </w:footnote>
  <w:footnote w:id="10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C 177, 17.5.2023.,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115</w:t>
      </w:r>
      <w:r w:rsidRPr="0043586E">
        <w:rPr>
          <w:sz w:val="24"/>
          <w:szCs w:val="24"/>
          <w:shd w:val="clear" w:color="auto" w:fill="FFFFFF"/>
        </w:rPr>
        <w:t>.</w:t>
      </w:r>
    </w:p>
  </w:footnote>
  <w:footnote w:id="11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L 433 I, 22.12.2020.,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28.</w:t>
      </w:r>
    </w:p>
  </w:footnote>
  <w:footnote w:id="12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 L 424, 15.12.2020.,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 1.</w:t>
      </w:r>
    </w:p>
  </w:footnote>
  <w:footnote w:id="13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 C 167, 11.5.2023.,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162.</w:t>
      </w:r>
    </w:p>
  </w:footnote>
  <w:footnote w:id="14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L 433 I, 22.12.2020.,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23.</w:t>
      </w:r>
    </w:p>
  </w:footnote>
  <w:footnote w:id="15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L 433 I, 22.12.2020.,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1.</w:t>
      </w:r>
    </w:p>
  </w:footnote>
  <w:footnote w:id="16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 C 270, 7.7.2021.,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2.</w:t>
      </w:r>
    </w:p>
  </w:footnote>
  <w:footnote w:id="17">
    <w:sdt>
      <w:sdtPr>
        <w:rPr>
          <w:rStyle w:val="FootnoteReference"/>
          <w:sz w:val="24"/>
          <w:szCs w:val="24"/>
        </w:rPr>
        <w:tag w:val="goog_rdk_548"/>
        <w:id w:val="-1509668510"/>
      </w:sdtPr>
      <w:sdtEndPr>
        <w:rPr>
          <w:rStyle w:val="DefaultParagraphFont"/>
          <w:b w:val="0"/>
          <w:vertAlign w:val="baseline"/>
        </w:rPr>
      </w:sdtEndPr>
      <w:sdtContent>
        <w:p w:rsidR="00BB232A" w:rsidRPr="0043586E" w:rsidRDefault="00BB232A" w:rsidP="0043586E">
          <w:pPr>
            <w:pStyle w:val="FootnoteText"/>
            <w:ind w:left="567" w:hanging="567"/>
            <w:rPr>
              <w:sz w:val="24"/>
              <w:szCs w:val="24"/>
            </w:rPr>
          </w:pPr>
          <w:r w:rsidRPr="0043586E">
            <w:rPr>
              <w:sz w:val="24"/>
              <w:szCs w:val="24"/>
              <w:vertAlign w:val="superscript"/>
            </w:rPr>
            <w:footnoteRef/>
          </w:r>
          <w:sdt>
            <w:sdtPr>
              <w:rPr>
                <w:sz w:val="24"/>
                <w:szCs w:val="24"/>
              </w:rPr>
              <w:tag w:val="goog_rdk_547"/>
              <w:id w:val="36161987"/>
            </w:sdtPr>
            <w:sdtEndPr/>
            <w:sdtContent>
              <w:r w:rsidRPr="0043586E">
                <w:rPr>
                  <w:sz w:val="24"/>
                  <w:szCs w:val="24"/>
                </w:rPr>
                <w:t xml:space="preserve"> </w:t>
              </w:r>
              <w:r w:rsidR="0043586E">
                <w:rPr>
                  <w:sz w:val="24"/>
                  <w:szCs w:val="24"/>
                </w:rPr>
                <w:tab/>
              </w:r>
              <w:r w:rsidRPr="0043586E">
                <w:rPr>
                  <w:sz w:val="24"/>
                  <w:szCs w:val="24"/>
                </w:rPr>
                <w:t xml:space="preserve">SL C 428, 13.12.2017., </w:t>
              </w:r>
              <w:proofErr w:type="spellStart"/>
              <w:r w:rsidRPr="0043586E">
                <w:rPr>
                  <w:sz w:val="24"/>
                  <w:szCs w:val="24"/>
                </w:rPr>
                <w:t>str</w:t>
              </w:r>
              <w:proofErr w:type="spellEnd"/>
              <w:r w:rsidRPr="0043586E">
                <w:rPr>
                  <w:sz w:val="24"/>
                  <w:szCs w:val="24"/>
                </w:rPr>
                <w:t>. 10.</w:t>
              </w:r>
            </w:sdtContent>
          </w:sdt>
        </w:p>
      </w:sdtContent>
    </w:sdt>
  </w:footnote>
  <w:footnote w:id="18">
    <w:sdt>
      <w:sdtPr>
        <w:rPr>
          <w:rStyle w:val="FootnoteReference"/>
          <w:sz w:val="24"/>
          <w:szCs w:val="24"/>
        </w:rPr>
        <w:tag w:val="goog_rdk_550"/>
        <w:id w:val="-940600069"/>
      </w:sdtPr>
      <w:sdtEndPr>
        <w:rPr>
          <w:rStyle w:val="DefaultParagraphFont"/>
          <w:b w:val="0"/>
          <w:vertAlign w:val="baseline"/>
        </w:rPr>
      </w:sdtEndPr>
      <w:sdtContent>
        <w:p w:rsidR="00BB232A" w:rsidRPr="0043586E" w:rsidRDefault="00BB232A" w:rsidP="0043586E">
          <w:pPr>
            <w:pStyle w:val="FootnoteText"/>
            <w:ind w:left="567" w:hanging="567"/>
            <w:rPr>
              <w:sz w:val="24"/>
              <w:szCs w:val="24"/>
            </w:rPr>
          </w:pPr>
          <w:r w:rsidRPr="0043586E">
            <w:rPr>
              <w:sz w:val="24"/>
              <w:szCs w:val="24"/>
              <w:vertAlign w:val="superscript"/>
            </w:rPr>
            <w:footnoteRef/>
          </w:r>
          <w:sdt>
            <w:sdtPr>
              <w:rPr>
                <w:sz w:val="24"/>
                <w:szCs w:val="24"/>
              </w:rPr>
              <w:tag w:val="goog_rdk_549"/>
              <w:id w:val="-2144792959"/>
            </w:sdtPr>
            <w:sdtEndPr/>
            <w:sdtContent>
              <w:r w:rsidRPr="0043586E">
                <w:rPr>
                  <w:sz w:val="24"/>
                  <w:szCs w:val="24"/>
                </w:rPr>
                <w:t xml:space="preserve"> </w:t>
              </w:r>
              <w:r w:rsidR="0043586E">
                <w:rPr>
                  <w:sz w:val="24"/>
                  <w:szCs w:val="24"/>
                </w:rPr>
                <w:tab/>
              </w:r>
              <w:r w:rsidRPr="0043586E">
                <w:rPr>
                  <w:sz w:val="24"/>
                  <w:szCs w:val="24"/>
                </w:rPr>
                <w:t>SL C 242, 10.7.2018</w:t>
              </w:r>
              <w:r w:rsidR="00A26129">
                <w:rPr>
                  <w:sz w:val="24"/>
                  <w:szCs w:val="24"/>
                </w:rPr>
                <w:t>.</w:t>
              </w:r>
              <w:r w:rsidRPr="0043586E">
                <w:rPr>
                  <w:sz w:val="24"/>
                  <w:szCs w:val="24"/>
                </w:rPr>
                <w:t xml:space="preserve">, </w:t>
              </w:r>
              <w:proofErr w:type="spellStart"/>
              <w:r w:rsidRPr="0043586E">
                <w:rPr>
                  <w:sz w:val="24"/>
                  <w:szCs w:val="24"/>
                </w:rPr>
                <w:t>str</w:t>
              </w:r>
              <w:proofErr w:type="spellEnd"/>
              <w:r w:rsidRPr="0043586E">
                <w:rPr>
                  <w:sz w:val="24"/>
                  <w:szCs w:val="24"/>
                </w:rPr>
                <w:t>. 24.</w:t>
              </w:r>
            </w:sdtContent>
          </w:sdt>
        </w:p>
      </w:sdtContent>
    </w:sdt>
  </w:footnote>
  <w:footnote w:id="19">
    <w:p w:rsidR="00CB5C38" w:rsidRPr="00A26129" w:rsidRDefault="00CB5C38" w:rsidP="00A26129">
      <w:pPr>
        <w:pStyle w:val="FootnoteText"/>
        <w:ind w:left="567" w:hanging="567"/>
        <w:rPr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CB5C38">
        <w:rPr>
          <w:sz w:val="24"/>
          <w:szCs w:val="24"/>
          <w:lang w:val="fi-FI"/>
        </w:rPr>
        <w:t>SL</w:t>
      </w:r>
      <w:r w:rsidRPr="00A26129">
        <w:rPr>
          <w:sz w:val="24"/>
          <w:szCs w:val="24"/>
          <w:lang w:val="fi-FI"/>
        </w:rPr>
        <w:t xml:space="preserve"> L, 2024/795, 29.02.2024</w:t>
      </w:r>
      <w:r w:rsidR="00A26129">
        <w:rPr>
          <w:sz w:val="24"/>
          <w:szCs w:val="24"/>
          <w:lang w:val="fi-FI"/>
        </w:rPr>
        <w:t>.</w:t>
      </w:r>
      <w:r w:rsidRPr="00A26129">
        <w:rPr>
          <w:sz w:val="24"/>
          <w:szCs w:val="24"/>
          <w:lang w:val="fi-FI"/>
        </w:rPr>
        <w:t xml:space="preserve">, ELI: </w:t>
      </w:r>
      <w:hyperlink r:id="rId4" w:history="1">
        <w:r w:rsidRPr="00A26129">
          <w:rPr>
            <w:rStyle w:val="Hyperlink"/>
            <w:sz w:val="24"/>
            <w:szCs w:val="24"/>
            <w:lang w:val="fi-FI"/>
          </w:rPr>
          <w:t>http://data.europa.eu/eli/reg/2024/795/oj</w:t>
        </w:r>
      </w:hyperlink>
    </w:p>
  </w:footnote>
  <w:footnote w:id="20">
    <w:p w:rsidR="00CB5C38" w:rsidRPr="00A26129" w:rsidRDefault="00CB5C38" w:rsidP="00A26129">
      <w:pPr>
        <w:pStyle w:val="FootnoteText"/>
        <w:ind w:left="567" w:hanging="567"/>
        <w:rPr>
          <w:sz w:val="24"/>
          <w:szCs w:val="24"/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A26129">
        <w:rPr>
          <w:sz w:val="24"/>
          <w:szCs w:val="24"/>
        </w:rPr>
        <w:t>SL</w:t>
      </w:r>
      <w:r w:rsidRPr="00A26129">
        <w:rPr>
          <w:sz w:val="24"/>
          <w:szCs w:val="24"/>
          <w:lang w:val="fi-FI"/>
        </w:rPr>
        <w:t xml:space="preserve"> L, 2024/792, 29.02.2024</w:t>
      </w:r>
      <w:r w:rsidR="00A26129">
        <w:rPr>
          <w:sz w:val="24"/>
          <w:szCs w:val="24"/>
          <w:lang w:val="fi-FI"/>
        </w:rPr>
        <w:t>.</w:t>
      </w:r>
      <w:r w:rsidRPr="00A26129">
        <w:rPr>
          <w:sz w:val="24"/>
          <w:szCs w:val="24"/>
          <w:lang w:val="fi-FI"/>
        </w:rPr>
        <w:t xml:space="preserve">, ELI: </w:t>
      </w:r>
      <w:hyperlink r:id="rId5" w:history="1">
        <w:r w:rsidRPr="00A26129">
          <w:rPr>
            <w:rStyle w:val="Hyperlink"/>
            <w:sz w:val="24"/>
            <w:szCs w:val="24"/>
            <w:lang w:val="fi-FI"/>
          </w:rPr>
          <w:t>http://data.europa.eu/eli/reg/2024/792/oj</w:t>
        </w:r>
      </w:hyperlink>
    </w:p>
  </w:footnote>
  <w:footnote w:id="21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r w:rsidRPr="0043586E">
        <w:rPr>
          <w:sz w:val="24"/>
          <w:szCs w:val="24"/>
        </w:rPr>
        <w:t xml:space="preserve">SL L 207, 22.2.2024., </w:t>
      </w:r>
      <w:proofErr w:type="spellStart"/>
      <w:r w:rsidRPr="0043586E">
        <w:rPr>
          <w:sz w:val="24"/>
          <w:szCs w:val="24"/>
        </w:rPr>
        <w:t>str</w:t>
      </w:r>
      <w:proofErr w:type="spellEnd"/>
      <w:r w:rsidRPr="0043586E">
        <w:rPr>
          <w:sz w:val="24"/>
          <w:szCs w:val="24"/>
        </w:rPr>
        <w:t>. 1.</w:t>
      </w:r>
    </w:p>
  </w:footnote>
  <w:footnote w:id="22">
    <w:p w:rsidR="00BB232A" w:rsidRPr="0043586E" w:rsidRDefault="00BB232A" w:rsidP="0043586E">
      <w:pPr>
        <w:pStyle w:val="FootnoteText"/>
        <w:ind w:left="567" w:hanging="567"/>
        <w:rPr>
          <w:sz w:val="24"/>
          <w:szCs w:val="24"/>
        </w:rPr>
      </w:pPr>
      <w:r w:rsidRPr="0043586E">
        <w:rPr>
          <w:rStyle w:val="FootnoteReference"/>
          <w:sz w:val="24"/>
          <w:szCs w:val="24"/>
        </w:rPr>
        <w:footnoteRef/>
      </w:r>
      <w:r w:rsidRPr="0043586E">
        <w:rPr>
          <w:rStyle w:val="FootnoteReference"/>
          <w:sz w:val="24"/>
          <w:szCs w:val="24"/>
        </w:rPr>
        <w:t xml:space="preserve"> </w:t>
      </w:r>
      <w:r w:rsidR="0043586E">
        <w:rPr>
          <w:sz w:val="24"/>
          <w:szCs w:val="24"/>
        </w:rPr>
        <w:tab/>
      </w:r>
      <w:proofErr w:type="spellStart"/>
      <w:r w:rsidRPr="0043586E">
        <w:rPr>
          <w:sz w:val="24"/>
          <w:szCs w:val="24"/>
        </w:rPr>
        <w:t>Europska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komisija</w:t>
      </w:r>
      <w:proofErr w:type="spellEnd"/>
      <w:r w:rsidRPr="0043586E">
        <w:rPr>
          <w:sz w:val="24"/>
          <w:szCs w:val="24"/>
        </w:rPr>
        <w:t>, „</w:t>
      </w:r>
      <w:r w:rsidRPr="0043586E">
        <w:rPr>
          <w:rStyle w:val="Hyperlink"/>
          <w:sz w:val="24"/>
          <w:szCs w:val="24"/>
        </w:rPr>
        <w:t xml:space="preserve">Winter 2024 </w:t>
      </w:r>
      <w:proofErr w:type="spellStart"/>
      <w:r w:rsidRPr="0043586E">
        <w:rPr>
          <w:rStyle w:val="Hyperlink"/>
          <w:sz w:val="24"/>
          <w:szCs w:val="24"/>
        </w:rPr>
        <w:t>Economic</w:t>
      </w:r>
      <w:proofErr w:type="spellEnd"/>
      <w:r w:rsidRPr="0043586E">
        <w:rPr>
          <w:rStyle w:val="Hyperlink"/>
          <w:sz w:val="24"/>
          <w:szCs w:val="24"/>
        </w:rPr>
        <w:t xml:space="preserve"> </w:t>
      </w:r>
      <w:proofErr w:type="spellStart"/>
      <w:r w:rsidRPr="0043586E">
        <w:rPr>
          <w:rStyle w:val="Hyperlink"/>
          <w:sz w:val="24"/>
          <w:szCs w:val="24"/>
        </w:rPr>
        <w:t>Forecast</w:t>
      </w:r>
      <w:proofErr w:type="spellEnd"/>
      <w:r w:rsidRPr="0043586E">
        <w:rPr>
          <w:rStyle w:val="Hyperlink"/>
          <w:sz w:val="24"/>
          <w:szCs w:val="24"/>
        </w:rPr>
        <w:t xml:space="preserve">: </w:t>
      </w:r>
      <w:proofErr w:type="spellStart"/>
      <w:r w:rsidRPr="0043586E">
        <w:rPr>
          <w:rStyle w:val="Hyperlink"/>
          <w:sz w:val="24"/>
          <w:szCs w:val="24"/>
        </w:rPr>
        <w:t>A</w:t>
      </w:r>
      <w:proofErr w:type="spellEnd"/>
      <w:r w:rsidRPr="0043586E">
        <w:rPr>
          <w:rStyle w:val="Hyperlink"/>
          <w:sz w:val="24"/>
          <w:szCs w:val="24"/>
        </w:rPr>
        <w:t xml:space="preserve"> </w:t>
      </w:r>
      <w:proofErr w:type="spellStart"/>
      <w:r w:rsidRPr="0043586E">
        <w:rPr>
          <w:rStyle w:val="Hyperlink"/>
          <w:sz w:val="24"/>
          <w:szCs w:val="24"/>
        </w:rPr>
        <w:t>delayed</w:t>
      </w:r>
      <w:proofErr w:type="spellEnd"/>
      <w:r w:rsidRPr="0043586E">
        <w:rPr>
          <w:rStyle w:val="Hyperlink"/>
          <w:sz w:val="24"/>
          <w:szCs w:val="24"/>
        </w:rPr>
        <w:t xml:space="preserve"> </w:t>
      </w:r>
      <w:proofErr w:type="spellStart"/>
      <w:r w:rsidRPr="0043586E">
        <w:rPr>
          <w:rStyle w:val="Hyperlink"/>
          <w:sz w:val="24"/>
          <w:szCs w:val="24"/>
        </w:rPr>
        <w:t>rebound</w:t>
      </w:r>
      <w:proofErr w:type="spellEnd"/>
      <w:r w:rsidRPr="0043586E">
        <w:rPr>
          <w:rStyle w:val="Hyperlink"/>
          <w:sz w:val="24"/>
          <w:szCs w:val="24"/>
        </w:rPr>
        <w:t xml:space="preserve"> in </w:t>
      </w:r>
      <w:proofErr w:type="spellStart"/>
      <w:r w:rsidRPr="0043586E">
        <w:rPr>
          <w:rStyle w:val="Hyperlink"/>
          <w:sz w:val="24"/>
          <w:szCs w:val="24"/>
        </w:rPr>
        <w:t>growth</w:t>
      </w:r>
      <w:proofErr w:type="spellEnd"/>
      <w:r w:rsidRPr="0043586E">
        <w:rPr>
          <w:rStyle w:val="Hyperlink"/>
          <w:sz w:val="24"/>
          <w:szCs w:val="24"/>
        </w:rPr>
        <w:t xml:space="preserve"> </w:t>
      </w:r>
      <w:proofErr w:type="spellStart"/>
      <w:r w:rsidRPr="0043586E">
        <w:rPr>
          <w:rStyle w:val="Hyperlink"/>
          <w:sz w:val="24"/>
          <w:szCs w:val="24"/>
        </w:rPr>
        <w:t>amid</w:t>
      </w:r>
      <w:proofErr w:type="spellEnd"/>
      <w:r w:rsidRPr="0043586E">
        <w:rPr>
          <w:rStyle w:val="Hyperlink"/>
          <w:sz w:val="24"/>
          <w:szCs w:val="24"/>
        </w:rPr>
        <w:t xml:space="preserve"> </w:t>
      </w:r>
      <w:proofErr w:type="spellStart"/>
      <w:r w:rsidRPr="0043586E">
        <w:rPr>
          <w:rStyle w:val="Hyperlink"/>
          <w:sz w:val="24"/>
          <w:szCs w:val="24"/>
        </w:rPr>
        <w:t>faster</w:t>
      </w:r>
      <w:proofErr w:type="spellEnd"/>
      <w:r w:rsidRPr="0043586E">
        <w:rPr>
          <w:rStyle w:val="Hyperlink"/>
          <w:sz w:val="24"/>
          <w:szCs w:val="24"/>
        </w:rPr>
        <w:t xml:space="preserve"> </w:t>
      </w:r>
      <w:proofErr w:type="spellStart"/>
      <w:r w:rsidRPr="0043586E">
        <w:rPr>
          <w:rStyle w:val="Hyperlink"/>
          <w:sz w:val="24"/>
          <w:szCs w:val="24"/>
        </w:rPr>
        <w:t>easing</w:t>
      </w:r>
      <w:proofErr w:type="spellEnd"/>
      <w:r w:rsidRPr="0043586E">
        <w:rPr>
          <w:rStyle w:val="Hyperlink"/>
          <w:sz w:val="24"/>
          <w:szCs w:val="24"/>
        </w:rPr>
        <w:t xml:space="preserve"> of inflation</w:t>
      </w:r>
      <w:r w:rsidRPr="0043586E">
        <w:rPr>
          <w:sz w:val="24"/>
          <w:szCs w:val="24"/>
        </w:rPr>
        <w:t>” (</w:t>
      </w:r>
      <w:proofErr w:type="spellStart"/>
      <w:r w:rsidRPr="0043586E">
        <w:rPr>
          <w:sz w:val="24"/>
          <w:szCs w:val="24"/>
        </w:rPr>
        <w:t>Zimska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gospodarska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prognoza</w:t>
      </w:r>
      <w:proofErr w:type="spellEnd"/>
      <w:r w:rsidRPr="0043586E">
        <w:rPr>
          <w:sz w:val="24"/>
          <w:szCs w:val="24"/>
        </w:rPr>
        <w:t xml:space="preserve"> 2024.: </w:t>
      </w:r>
      <w:proofErr w:type="spellStart"/>
      <w:r w:rsidRPr="0043586E">
        <w:rPr>
          <w:sz w:val="24"/>
          <w:szCs w:val="24"/>
        </w:rPr>
        <w:t>odgođeni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oporavak</w:t>
      </w:r>
      <w:proofErr w:type="spellEnd"/>
      <w:r w:rsidRPr="0043586E">
        <w:rPr>
          <w:sz w:val="24"/>
          <w:szCs w:val="24"/>
        </w:rPr>
        <w:t xml:space="preserve"> rasta </w:t>
      </w:r>
      <w:proofErr w:type="spellStart"/>
      <w:r w:rsidRPr="0043586E">
        <w:rPr>
          <w:sz w:val="24"/>
          <w:szCs w:val="24"/>
        </w:rPr>
        <w:t>zbog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bržeg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ublažavanja</w:t>
      </w:r>
      <w:proofErr w:type="spellEnd"/>
      <w:r w:rsidRPr="0043586E">
        <w:rPr>
          <w:sz w:val="24"/>
          <w:szCs w:val="24"/>
        </w:rPr>
        <w:t xml:space="preserve"> </w:t>
      </w:r>
      <w:proofErr w:type="spellStart"/>
      <w:r w:rsidRPr="0043586E">
        <w:rPr>
          <w:sz w:val="24"/>
          <w:szCs w:val="24"/>
        </w:rPr>
        <w:t>inflacije</w:t>
      </w:r>
      <w:proofErr w:type="spellEnd"/>
      <w:r w:rsidRPr="0043586E">
        <w:rPr>
          <w:sz w:val="24"/>
          <w:szCs w:val="24"/>
        </w:rPr>
        <w:t>),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numam" w:val="0"/>
    <w:docVar w:name="dvrapporteur" w:val="Izvjestitelj: "/>
  </w:docVars>
  <w:rsids>
    <w:rsidRoot w:val="008D42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586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03DE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257"/>
    <w:rsid w:val="00924611"/>
    <w:rsid w:val="00930C23"/>
    <w:rsid w:val="0093193B"/>
    <w:rsid w:val="009509D8"/>
    <w:rsid w:val="00950B64"/>
    <w:rsid w:val="00981893"/>
    <w:rsid w:val="00A1687D"/>
    <w:rsid w:val="00A2612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32A"/>
    <w:rsid w:val="00BD48FE"/>
    <w:rsid w:val="00BD7BD8"/>
    <w:rsid w:val="00BE6ADC"/>
    <w:rsid w:val="00C05BFE"/>
    <w:rsid w:val="00C23CD4"/>
    <w:rsid w:val="00C61C0C"/>
    <w:rsid w:val="00C941CB"/>
    <w:rsid w:val="00CB5C38"/>
    <w:rsid w:val="00CC2357"/>
    <w:rsid w:val="00CF071A"/>
    <w:rsid w:val="00D058B8"/>
    <w:rsid w:val="00D56C11"/>
    <w:rsid w:val="00D74AC1"/>
    <w:rsid w:val="00D834A0"/>
    <w:rsid w:val="00D872DF"/>
    <w:rsid w:val="00D91E21"/>
    <w:rsid w:val="00DA7FCD"/>
    <w:rsid w:val="00DC22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70D"/>
    <w:rsid w:val="00F5134D"/>
    <w:rsid w:val="00F74202"/>
    <w:rsid w:val="00F87713"/>
    <w:rsid w:val="00FA635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5644A"/>
  <w15:chartTrackingRefBased/>
  <w15:docId w15:val="{98A8F0A8-6BD0-46A2-969F-7F68B135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B23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B232A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BB232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B232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B2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232A"/>
    <w:rPr>
      <w:sz w:val="24"/>
      <w:lang w:val="hr-HR"/>
    </w:rPr>
  </w:style>
  <w:style w:type="paragraph" w:customStyle="1" w:styleId="EPFooter">
    <w:name w:val="EPFooter"/>
    <w:basedOn w:val="Normal"/>
    <w:rsid w:val="00BB23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BB232A"/>
    <w:rPr>
      <w:sz w:val="24"/>
      <w:lang w:val="hr-HR"/>
    </w:rPr>
  </w:style>
  <w:style w:type="paragraph" w:customStyle="1" w:styleId="FootnoteReference1">
    <w:name w:val="Footnote Reference1"/>
    <w:basedOn w:val="Normal"/>
    <w:link w:val="FootnoteReference"/>
    <w:rsid w:val="00BB232A"/>
    <w:pPr>
      <w:widowControl/>
      <w:spacing w:after="160" w:line="240" w:lineRule="exact"/>
    </w:pPr>
    <w:rPr>
      <w:b/>
      <w:sz w:val="20"/>
      <w:vertAlign w:val="superscript"/>
      <w:lang w:val="en-GB"/>
    </w:rPr>
  </w:style>
  <w:style w:type="character" w:styleId="Hyperlink">
    <w:name w:val="Hyperlink"/>
    <w:basedOn w:val="DefaultParagraphFont"/>
    <w:rsid w:val="00BB232A"/>
    <w:rPr>
      <w:color w:val="0563C1" w:themeColor="hyperlink"/>
      <w:u w:val="single"/>
    </w:rPr>
  </w:style>
  <w:style w:type="character" w:customStyle="1" w:styleId="ui-provider">
    <w:name w:val="ui-provider"/>
    <w:basedOn w:val="DefaultParagraphFont"/>
    <w:rsid w:val="00BB232A"/>
  </w:style>
  <w:style w:type="paragraph" w:customStyle="1" w:styleId="RollCallVotes">
    <w:name w:val="RollCallVotes"/>
    <w:basedOn w:val="Normal"/>
    <w:rsid w:val="00BB232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B232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Normal24a">
    <w:name w:val="Normal24a"/>
    <w:basedOn w:val="Normal"/>
    <w:link w:val="Normal24aChar"/>
    <w:rsid w:val="00BB232A"/>
    <w:pPr>
      <w:spacing w:after="480"/>
    </w:pPr>
  </w:style>
  <w:style w:type="paragraph" w:customStyle="1" w:styleId="NormalBoldCenter">
    <w:name w:val="NormalBoldCenter"/>
    <w:basedOn w:val="Normal"/>
    <w:rsid w:val="00BB232A"/>
    <w:pPr>
      <w:jc w:val="center"/>
    </w:pPr>
    <w:rPr>
      <w:b/>
    </w:rPr>
  </w:style>
  <w:style w:type="character" w:customStyle="1" w:styleId="Normal24aChar">
    <w:name w:val="Normal24a Char"/>
    <w:basedOn w:val="DefaultParagraphFont"/>
    <w:link w:val="Normal24a"/>
    <w:rsid w:val="00BB232A"/>
    <w:rPr>
      <w:sz w:val="24"/>
      <w:lang w:val="hr-HR"/>
    </w:rPr>
  </w:style>
  <w:style w:type="paragraph" w:customStyle="1" w:styleId="Normal12a">
    <w:name w:val="Normal12a"/>
    <w:basedOn w:val="Normal"/>
    <w:uiPriority w:val="99"/>
    <w:rsid w:val="00BB232A"/>
    <w:pPr>
      <w:spacing w:after="240"/>
    </w:pPr>
  </w:style>
  <w:style w:type="paragraph" w:customStyle="1" w:styleId="RollCallSymbols14pt">
    <w:name w:val="RollCallSymbols14pt"/>
    <w:basedOn w:val="Normal"/>
    <w:rsid w:val="00BB232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LetterSalutation">
    <w:name w:val="LetterSalutation"/>
    <w:basedOn w:val="Normal"/>
    <w:uiPriority w:val="99"/>
    <w:rsid w:val="00BB232A"/>
    <w:pPr>
      <w:spacing w:before="600" w:after="360"/>
    </w:pPr>
  </w:style>
  <w:style w:type="paragraph" w:customStyle="1" w:styleId="LetterSubject">
    <w:name w:val="LetterSubject"/>
    <w:basedOn w:val="Normal"/>
    <w:uiPriority w:val="99"/>
    <w:rsid w:val="00BB232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uiPriority w:val="99"/>
    <w:rsid w:val="00BB232A"/>
    <w:pPr>
      <w:spacing w:before="1320"/>
    </w:pPr>
  </w:style>
  <w:style w:type="paragraph" w:customStyle="1" w:styleId="PageHeadingNotTOC">
    <w:name w:val="PageHeadingNotTOC"/>
    <w:basedOn w:val="Normal"/>
    <w:uiPriority w:val="99"/>
    <w:rsid w:val="00BB232A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BB232A"/>
    <w:rPr>
      <w:rFonts w:ascii="Arial" w:hAnsi="Arial" w:cs="Arial"/>
      <w:b/>
      <w:sz w:val="24"/>
      <w:lang w:val="hr-HR"/>
    </w:rPr>
  </w:style>
  <w:style w:type="paragraph" w:customStyle="1" w:styleId="RollCallTable">
    <w:name w:val="RollCallTable"/>
    <w:basedOn w:val="Normal"/>
    <w:rsid w:val="00BB232A"/>
    <w:pPr>
      <w:spacing w:before="120" w:after="120"/>
    </w:pPr>
    <w:rPr>
      <w:snapToGrid w:val="0"/>
      <w:sz w:val="16"/>
      <w:lang w:eastAsia="en-US"/>
    </w:rPr>
  </w:style>
  <w:style w:type="paragraph" w:styleId="NormalWeb">
    <w:name w:val="Normal (Web)"/>
    <w:basedOn w:val="Normal"/>
    <w:uiPriority w:val="99"/>
    <w:unhideWhenUsed/>
    <w:rsid w:val="00BB232A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BB232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ragraph">
    <w:name w:val="paragraph"/>
    <w:basedOn w:val="Normal"/>
    <w:uiPriority w:val="99"/>
    <w:rsid w:val="00BB232A"/>
    <w:pPr>
      <w:widowControl/>
      <w:spacing w:before="100" w:beforeAutospacing="1" w:after="100" w:afterAutospacing="1"/>
    </w:pPr>
    <w:rPr>
      <w:szCs w:val="24"/>
    </w:rPr>
  </w:style>
  <w:style w:type="paragraph" w:customStyle="1" w:styleId="LetterSignature">
    <w:name w:val="LetterSignature"/>
    <w:basedOn w:val="Normal"/>
    <w:next w:val="Normal"/>
    <w:uiPriority w:val="99"/>
    <w:rsid w:val="00BB232A"/>
    <w:pPr>
      <w:spacing w:before="1320"/>
    </w:pPr>
  </w:style>
  <w:style w:type="character" w:customStyle="1" w:styleId="normaltextrun">
    <w:name w:val="normaltextrun"/>
    <w:basedOn w:val="DefaultParagraphFont"/>
    <w:rsid w:val="00BB232A"/>
  </w:style>
  <w:style w:type="character" w:customStyle="1" w:styleId="eop">
    <w:name w:val="eop"/>
    <w:basedOn w:val="DefaultParagraphFont"/>
    <w:rsid w:val="00BB232A"/>
  </w:style>
  <w:style w:type="paragraph" w:styleId="BalloonText">
    <w:name w:val="Balloon Text"/>
    <w:basedOn w:val="Normal"/>
    <w:link w:val="BalloonTextChar"/>
    <w:rsid w:val="004358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586E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3/1084/oj" TargetMode="External"/><Relationship Id="rId2" Type="http://schemas.openxmlformats.org/officeDocument/2006/relationships/hyperlink" Target="http://data.europa.eu/eli/C/2024/1195/oj" TargetMode="External"/><Relationship Id="rId1" Type="http://schemas.openxmlformats.org/officeDocument/2006/relationships/hyperlink" Target="http://data.europa.eu/eli/reg/2024/765/oj" TargetMode="External"/><Relationship Id="rId5" Type="http://schemas.openxmlformats.org/officeDocument/2006/relationships/hyperlink" Target="http://data.europa.eu/eli/reg/2024/792/oj" TargetMode="External"/><Relationship Id="rId4" Type="http://schemas.openxmlformats.org/officeDocument/2006/relationships/hyperlink" Target="http://data.europa.eu/eli/reg/2024/795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zovko\AppData\Local\Temp\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78639-236D-4F65-B3F7-692DB665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TA.dotx</Template>
  <TotalTime>0</TotalTime>
  <Pages>16</Pages>
  <Words>7111</Words>
  <Characters>44173</Characters>
  <Application>Microsoft Office Word</Application>
  <DocSecurity>0</DocSecurity>
  <Lines>1104</Lines>
  <Paragraphs>445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2024-04-16T13:25:00Z</dcterms:created>
  <dcterms:modified xsi:type="dcterms:W3CDTF">2024-04-16T13:25:00Z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P9_TA(2024)0157_</vt:lpwstr>
  </property>
  <property fmtid="{D5CDD505-2E9C-101B-9397-08002B2CF9AE}" pid="4" name="&lt;Type&gt;">
    <vt:lpwstr>RR</vt:lpwstr>
  </property>
</Properties>
</file>