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3F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3F3C" w:rsidRDefault="003C3F3C" w:rsidP="0010095E">
            <w:pPr>
              <w:pStyle w:val="EPName"/>
            </w:pPr>
            <w:r>
              <w:t>Parlament Europejski</w:t>
            </w:r>
          </w:p>
          <w:p w:rsidR="00751A4A" w:rsidRPr="003C3F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3F3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C3F3C" w:rsidRDefault="00187494" w:rsidP="0010095E">
            <w:pPr>
              <w:pStyle w:val="EPLogo"/>
            </w:pPr>
            <w:r w:rsidRPr="003C3F3C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3F3C" w:rsidRDefault="00D058B8" w:rsidP="004C5D52">
      <w:pPr>
        <w:pStyle w:val="LineTop"/>
      </w:pPr>
    </w:p>
    <w:p w:rsidR="00680577" w:rsidRPr="003C3F3C" w:rsidRDefault="003C3F3C" w:rsidP="00680577">
      <w:pPr>
        <w:pStyle w:val="EPBodyTA1"/>
      </w:pPr>
      <w:r>
        <w:t>TEKSTY PRZYJĘTE</w:t>
      </w:r>
    </w:p>
    <w:p w:rsidR="00D058B8" w:rsidRPr="003C3F3C" w:rsidRDefault="00D058B8" w:rsidP="00D058B8">
      <w:pPr>
        <w:pStyle w:val="LineBottom"/>
      </w:pPr>
    </w:p>
    <w:p w:rsidR="003C3F3C" w:rsidRDefault="003C3F3C" w:rsidP="003C3F3C">
      <w:pPr>
        <w:pStyle w:val="ATHeading1"/>
      </w:pPr>
      <w:bookmarkStart w:id="0" w:name="TANumber"/>
      <w:r>
        <w:t>P9_TA(2024)0</w:t>
      </w:r>
      <w:bookmarkEnd w:id="0"/>
      <w:r w:rsidR="00A24647">
        <w:t>157</w:t>
      </w:r>
    </w:p>
    <w:p w:rsidR="003C3F3C" w:rsidRDefault="003C3F3C" w:rsidP="003C3F3C">
      <w:pPr>
        <w:pStyle w:val="ATHeading2"/>
      </w:pPr>
      <w:bookmarkStart w:id="1" w:name="title"/>
      <w:r>
        <w:t>Wytyczne dotyczące budżetu na rok 2025 – sekcja III</w:t>
      </w:r>
      <w:bookmarkEnd w:id="1"/>
    </w:p>
    <w:p w:rsidR="003C3F3C" w:rsidRDefault="003C3F3C" w:rsidP="003C3F3C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A9-0068/2024</w:instrText>
      </w:r>
      <w:bookmarkEnd w:id="2"/>
      <w:r>
        <w:rPr>
          <w:i/>
        </w:rPr>
        <w:instrText xml:space="preserve"> - Sprawozdawca: Victor Negrescu)"\l3 \n&gt; \* MERGEFORMAT </w:instrText>
      </w:r>
      <w:r>
        <w:rPr>
          <w:i/>
        </w:rPr>
        <w:fldChar w:fldCharType="end"/>
      </w:r>
    </w:p>
    <w:p w:rsidR="003C3F3C" w:rsidRDefault="003C3F3C" w:rsidP="003C3F3C">
      <w:pPr>
        <w:rPr>
          <w:vanish/>
        </w:rPr>
      </w:pPr>
      <w:bookmarkStart w:id="3" w:name="Commission"/>
      <w:r w:rsidRPr="003C3F3C">
        <w:rPr>
          <w:vanish/>
        </w:rPr>
        <w:t>Komisja Budżetowa</w:t>
      </w:r>
      <w:bookmarkEnd w:id="3"/>
    </w:p>
    <w:p w:rsidR="003C3F3C" w:rsidRDefault="003C3F3C" w:rsidP="003C3F3C">
      <w:pPr>
        <w:rPr>
          <w:vanish/>
        </w:rPr>
      </w:pPr>
      <w:bookmarkStart w:id="4" w:name="PE"/>
      <w:r w:rsidRPr="003C3F3C">
        <w:rPr>
          <w:vanish/>
        </w:rPr>
        <w:t>PE758.108</w:t>
      </w:r>
      <w:bookmarkEnd w:id="4"/>
    </w:p>
    <w:p w:rsidR="003C3F3C" w:rsidRDefault="003C3F3C" w:rsidP="003C3F3C">
      <w:pPr>
        <w:pStyle w:val="ATHeading3"/>
      </w:pPr>
      <w:bookmarkStart w:id="5" w:name="Sujet"/>
      <w:r>
        <w:t xml:space="preserve">Rezolucja Parlamentu Europejskiego z dnia </w:t>
      </w:r>
      <w:r w:rsidR="00E21151">
        <w:t>13 marca</w:t>
      </w:r>
      <w:r>
        <w:t xml:space="preserve"> 2024 r. w sprawie ogólnych wytycznych dotyczących przygotowania budżetu na rok 2025, sekcja III – Komisja</w:t>
      </w:r>
      <w:bookmarkEnd w:id="5"/>
      <w:r>
        <w:t xml:space="preserve"> </w:t>
      </w:r>
      <w:bookmarkStart w:id="6" w:name="References"/>
      <w:r>
        <w:t>(2023/2220(BUI))</w:t>
      </w:r>
      <w:bookmarkEnd w:id="6"/>
    </w:p>
    <w:p w:rsidR="00D448BE" w:rsidRPr="00BE1230" w:rsidRDefault="00D448BE" w:rsidP="00D448BE">
      <w:pPr>
        <w:pStyle w:val="EPComma"/>
      </w:pPr>
      <w:bookmarkStart w:id="7" w:name="TextBodyBegin"/>
      <w:bookmarkEnd w:id="7"/>
      <w:r w:rsidRPr="00BE1230">
        <w:rPr>
          <w:i/>
          <w:iCs/>
        </w:rPr>
        <w:t>Parlament Europejski</w:t>
      </w:r>
      <w:r w:rsidRPr="00BE1230">
        <w:t>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>uwzględniając art. 314 Traktatu o funkcjonowaniu Unii Europejskiej,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>uwzględniając art. 106a Traktatu ustanawiającego Europejską Wspólnotę Energii Atomowej,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–</w:t>
      </w:r>
      <w:r w:rsidRPr="00BE1230">
        <w:rPr>
          <w:color w:val="000000"/>
        </w:rPr>
        <w:tab/>
        <w:t xml:space="preserve">uwzględniając zmienione rozporządzenie </w:t>
      </w:r>
      <w:r w:rsidR="00CD74D1" w:rsidRPr="00CD74D1">
        <w:rPr>
          <w:bCs/>
          <w:color w:val="333333"/>
          <w:szCs w:val="24"/>
          <w:shd w:val="clear" w:color="auto" w:fill="FFFFFF"/>
        </w:rPr>
        <w:t>Rady (UE, Euratom) 2024/765 z dnia 29 lutego 2024 r. w sprawie zmiany rozporządzenia (UE, Euratom</w:t>
      </w:r>
      <w:proofErr w:type="gramStart"/>
      <w:r w:rsidR="00CD74D1" w:rsidRPr="00CD74D1">
        <w:rPr>
          <w:bCs/>
          <w:color w:val="333333"/>
          <w:szCs w:val="24"/>
          <w:shd w:val="clear" w:color="auto" w:fill="FFFFFF"/>
        </w:rPr>
        <w:t>) 2020/2093 określającego</w:t>
      </w:r>
      <w:proofErr w:type="gramEnd"/>
      <w:r w:rsidR="00CD74D1" w:rsidRPr="00CD74D1">
        <w:rPr>
          <w:bCs/>
          <w:color w:val="333333"/>
          <w:szCs w:val="24"/>
          <w:shd w:val="clear" w:color="auto" w:fill="FFFFFF"/>
        </w:rPr>
        <w:t> wieloletnie ramy finansowe na lata 2021–2027</w:t>
      </w:r>
      <w:r w:rsidR="00CD74D1" w:rsidRPr="00CD74D1">
        <w:rPr>
          <w:rStyle w:val="FootnoteReference"/>
          <w:b w:val="0"/>
          <w:bCs/>
          <w:color w:val="333333"/>
          <w:szCs w:val="24"/>
          <w:shd w:val="clear" w:color="auto" w:fill="FFFFFF"/>
        </w:rPr>
        <w:footnoteReference w:id="1"/>
      </w:r>
      <w:r w:rsidRPr="00BE1230">
        <w:rPr>
          <w:color w:val="000000"/>
        </w:rPr>
        <w:t xml:space="preserve"> (rewizja WRF),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–</w:t>
      </w:r>
      <w:r w:rsidRPr="00BE1230">
        <w:rPr>
          <w:color w:val="000000"/>
        </w:rPr>
        <w:tab/>
        <w:t>uwzględniając rozporządzenie Rady (UE, Euratom) 2022/2496 z dnia 15 grudnia 2022 r. w sprawie zmiany rozporządzenia (UE, Euratom) 2020/2093 określającego wieloletnie ramy finansowe na lata 2021–2027</w:t>
      </w:r>
      <w:r w:rsidRPr="00BE1230">
        <w:rPr>
          <w:color w:val="000000"/>
          <w:vertAlign w:val="superscript"/>
        </w:rPr>
        <w:footnoteReference w:id="2"/>
      </w:r>
      <w:r w:rsidRPr="00BE1230">
        <w:rPr>
          <w:color w:val="000000"/>
        </w:rPr>
        <w:t>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>uwzględniając swoje stanowisko z dnia 16 grudnia 2020 r. w sprawie projektu rozporządzenia Rady określającego wieloletnie ramy finansowe na lata 2021–2027</w:t>
      </w:r>
      <w:r w:rsidRPr="00BE1230">
        <w:rPr>
          <w:rStyle w:val="FootnoteReference"/>
        </w:rPr>
        <w:footnoteReference w:id="3"/>
      </w:r>
      <w:r w:rsidRPr="00BE1230">
        <w:t>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>uwzględniając rozporządzenie Rady (UE, Euratom) 2020/2093 z dnia 17 grudnia 2020 r. określające wieloletnie ramy finansowe na lata 2021–2027</w:t>
      </w:r>
      <w:r w:rsidRPr="00BE1230">
        <w:rPr>
          <w:rStyle w:val="FootnoteReference"/>
        </w:rPr>
        <w:footnoteReference w:id="4"/>
      </w:r>
      <w:r w:rsidRPr="00BE1230">
        <w:t>, wspólne oświadczenia uzgodnione między Parlamentem, Radą i Komisją w tym kontekście</w:t>
      </w:r>
      <w:r w:rsidRPr="00BE1230">
        <w:rPr>
          <w:color w:val="000000"/>
          <w:vertAlign w:val="superscript"/>
        </w:rPr>
        <w:footnoteReference w:id="5"/>
      </w:r>
      <w:r w:rsidRPr="00BE1230">
        <w:t>, a także powiązane deklaracje jednostronne</w:t>
      </w:r>
      <w:r w:rsidRPr="00BE1230">
        <w:rPr>
          <w:color w:val="000000"/>
          <w:vertAlign w:val="superscript"/>
        </w:rPr>
        <w:footnoteReference w:id="6"/>
      </w:r>
      <w:r w:rsidRPr="00BE1230">
        <w:t>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BE1230">
        <w:t>–</w:t>
      </w:r>
      <w:r w:rsidRPr="00BE1230">
        <w:tab/>
        <w:t>uwzględniając wstępne sprawozdanie w sprawie wniosku dotyczącego śródokresowej rewizji wieloletnich ram finansowych na lata 2021–2027</w:t>
      </w:r>
      <w:r w:rsidRPr="00BE1230">
        <w:rPr>
          <w:rStyle w:val="FootnoteReference"/>
          <w:szCs w:val="24"/>
        </w:rPr>
        <w:footnoteReference w:id="7"/>
      </w:r>
      <w:r w:rsidRPr="00BE1230">
        <w:t>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lastRenderedPageBreak/>
        <w:t>–</w:t>
      </w:r>
      <w:r w:rsidRPr="00BE1230">
        <w:tab/>
        <w:t>uwzględniając swoją rezolucję z dnia 27 lutego 2024 r. w sprawie projektu rozporządzenia Rady w sprawie zmiany rozporządzenia (UE, Euratom) 2020/2093 określającego wieloletnie ramy finansowe na lata 2021–2027</w:t>
      </w:r>
      <w:r w:rsidRPr="00BE1230">
        <w:rPr>
          <w:vertAlign w:val="superscript"/>
        </w:rPr>
        <w:footnoteReference w:id="8"/>
      </w:r>
      <w:r w:rsidRPr="00BE1230">
        <w:t>,</w:t>
      </w:r>
      <w:r w:rsidRPr="00BE1230">
        <w:rPr>
          <w:color w:val="000000"/>
        </w:rPr>
        <w:t xml:space="preserve"> </w:t>
      </w:r>
    </w:p>
    <w:p w:rsidR="00D448BE" w:rsidRPr="00BE1230" w:rsidRDefault="00D448BE" w:rsidP="00D448BE">
      <w:pPr>
        <w:pStyle w:val="NormalHanging12a"/>
        <w:jc w:val="both"/>
        <w:rPr>
          <w:bCs/>
        </w:rPr>
      </w:pPr>
      <w:r w:rsidRPr="00BE1230">
        <w:t>–</w:t>
      </w:r>
      <w:r w:rsidRPr="00BE1230">
        <w:tab/>
        <w:t>uwzględniając swoją rezolucję z dnia 10 maja 2023 r. w sprawie wpływu zwiększenia kosztów finansowania zewnętrznego w ramach Instrumentu Unii Europejskiej na rzecz Odbudowy na budżet UE na 2024 r.</w:t>
      </w:r>
      <w:r w:rsidRPr="00BE1230">
        <w:rPr>
          <w:bCs/>
          <w:vertAlign w:val="superscript"/>
        </w:rPr>
        <w:footnoteReference w:id="9"/>
      </w:r>
      <w:r w:rsidRPr="00BE1230">
        <w:t>,</w:t>
      </w:r>
    </w:p>
    <w:p w:rsidR="00D448BE" w:rsidRPr="00BE1230" w:rsidRDefault="00D448BE" w:rsidP="00D448BE">
      <w:pPr>
        <w:pStyle w:val="NormalHanging12a"/>
        <w:rPr>
          <w:szCs w:val="24"/>
        </w:rPr>
      </w:pPr>
      <w:r w:rsidRPr="00BE1230">
        <w:t>–</w:t>
      </w:r>
      <w:r w:rsidRPr="00BE1230">
        <w:tab/>
        <w:t>uwzględniając swoją rezolucję z 15 grudnia 2022 r. w sprawie ulepszenia wieloletnich ram finansowych na lata 2021–2027: gotowy na nowe wyzwania, odporny budżet UE</w:t>
      </w:r>
      <w:r w:rsidRPr="00CD74D1">
        <w:rPr>
          <w:rStyle w:val="FootnoteReference"/>
          <w:b w:val="0"/>
          <w:color w:val="000000"/>
          <w:szCs w:val="24"/>
        </w:rPr>
        <w:footnoteReference w:id="10"/>
      </w:r>
      <w:r w:rsidRPr="00BE1230">
        <w:t>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>uwzględniając wniosek Komisji z dnia 16 maja 2022 r. dotyczący rozporządzenia Parlamentu Europejskiego i Rady w sprawie zasad finansowych mających zastosowanie do budżetu ogólnego Unii (COM(2022)0223),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CD74D1">
        <w:rPr>
          <w:rStyle w:val="FootnoteReference"/>
          <w:b w:val="0"/>
        </w:rPr>
        <w:footnoteReference w:id="11"/>
      </w:r>
      <w:r w:rsidRPr="00BE1230">
        <w:t>,</w:t>
      </w:r>
    </w:p>
    <w:p w:rsidR="00D448BE" w:rsidRPr="00CD74D1" w:rsidRDefault="00D448BE" w:rsidP="00D448BE">
      <w:pPr>
        <w:pStyle w:val="NormalHanging12a"/>
      </w:pPr>
      <w:r w:rsidRPr="00BE1230">
        <w:t>–</w:t>
      </w:r>
      <w:r w:rsidRPr="00BE1230">
        <w:tab/>
        <w:t xml:space="preserve">uwzględniając decyzję Rady (UE, Euratom) 2020/2053 z dnia 14 grudnia 2020 r. w sprawie systemu zasobów własnych Unii </w:t>
      </w:r>
      <w:r w:rsidRPr="00CD74D1">
        <w:t>Europejskiej</w:t>
      </w:r>
      <w:r w:rsidRPr="00CD74D1">
        <w:rPr>
          <w:rStyle w:val="FootnoteReference"/>
          <w:b w:val="0"/>
        </w:rPr>
        <w:footnoteReference w:id="12"/>
      </w:r>
      <w:r w:rsidRPr="00CD74D1">
        <w:t>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–</w:t>
      </w:r>
      <w:r w:rsidRPr="00BE1230">
        <w:rPr>
          <w:color w:val="000000"/>
        </w:rPr>
        <w:tab/>
        <w:t xml:space="preserve">uwzględniając wniosek Komisji z dnia 22 grudnia 2021 r. dotyczący decyzji Rady zmieniającej decyzję </w:t>
      </w:r>
      <w:r w:rsidR="00CD74D1" w:rsidRPr="00BE1230">
        <w:rPr>
          <w:color w:val="000000"/>
        </w:rPr>
        <w:t>(UE, Euratom)</w:t>
      </w:r>
      <w:r w:rsidR="00CD74D1">
        <w:rPr>
          <w:color w:val="000000"/>
        </w:rPr>
        <w:t xml:space="preserve"> </w:t>
      </w:r>
      <w:r w:rsidRPr="00BE1230">
        <w:rPr>
          <w:color w:val="000000"/>
        </w:rPr>
        <w:t>2020/2053 w sprawie systemu zasobów własnych Unii Europejskiej (COM</w:t>
      </w:r>
      <w:proofErr w:type="gramStart"/>
      <w:r w:rsidRPr="00BE1230">
        <w:rPr>
          <w:color w:val="000000"/>
        </w:rPr>
        <w:t>(2021)0570) oraz</w:t>
      </w:r>
      <w:proofErr w:type="gramEnd"/>
      <w:r w:rsidRPr="00BE1230">
        <w:rPr>
          <w:color w:val="000000"/>
        </w:rPr>
        <w:t xml:space="preserve"> swoje stanowisko w sprawie tego wniosku z dnia 23 listopada 2022 r.</w:t>
      </w:r>
      <w:r w:rsidRPr="00BE1230">
        <w:rPr>
          <w:color w:val="000000"/>
          <w:vertAlign w:val="superscript"/>
        </w:rPr>
        <w:footnoteReference w:id="13"/>
      </w:r>
      <w:r w:rsidRPr="00BE1230">
        <w:rPr>
          <w:color w:val="000000"/>
        </w:rPr>
        <w:t>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–</w:t>
      </w:r>
      <w:r w:rsidRPr="00BE1230">
        <w:rPr>
          <w:color w:val="000000"/>
        </w:rPr>
        <w:tab/>
        <w:t>uwzględniając rozporządzenie Rady (UE) 2020/2094 z dnia 14 grudnia 2020 r. ustanawiające Instrument Unii Europejskiej na rzecz Odbudowy w celu wsparcia odbudowy w następstwie kryzysu związanego z COVID-19</w:t>
      </w:r>
      <w:r w:rsidRPr="00BE1230">
        <w:rPr>
          <w:rStyle w:val="FootnoteReference"/>
          <w:color w:val="000000"/>
        </w:rPr>
        <w:footnoteReference w:id="14"/>
      </w:r>
      <w:r w:rsidRPr="00BE1230">
        <w:rPr>
          <w:color w:val="000000"/>
        </w:rPr>
        <w:t>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–</w:t>
      </w:r>
      <w:r w:rsidRPr="00BE1230">
        <w:rPr>
          <w:color w:val="000000"/>
        </w:rPr>
        <w:tab/>
        <w:t>uwzględniając rozporządzenie Parlamentu Europejskiego i Rady (UE, Euratom) 2020/2092 z dnia 16 grudnia 2020 r. w sprawie ogólnego systemu warunkowości służącego ochronie budżetu Unii</w:t>
      </w:r>
      <w:r w:rsidRPr="00BE1230">
        <w:rPr>
          <w:color w:val="000000"/>
          <w:vertAlign w:val="superscript"/>
        </w:rPr>
        <w:footnoteReference w:id="15"/>
      </w:r>
      <w:r w:rsidRPr="00BE1230">
        <w:rPr>
          <w:color w:val="000000"/>
        </w:rPr>
        <w:t>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–</w:t>
      </w:r>
      <w:r w:rsidRPr="00BE1230">
        <w:rPr>
          <w:color w:val="000000"/>
        </w:rPr>
        <w:tab/>
        <w:t>uwzględniając komunikat Komisji z dnia 11 grudnia 2019 r. pt. „Europejski Zielony Ład” (COM</w:t>
      </w:r>
      <w:proofErr w:type="gramStart"/>
      <w:r w:rsidRPr="00BE1230">
        <w:rPr>
          <w:color w:val="000000"/>
        </w:rPr>
        <w:t>(2019)0640) oraz</w:t>
      </w:r>
      <w:proofErr w:type="gramEnd"/>
      <w:r w:rsidRPr="00BE1230">
        <w:rPr>
          <w:color w:val="000000"/>
        </w:rPr>
        <w:t xml:space="preserve"> swoją rezolucję z dnia 15 stycznia 2020 r. stanowiącą odpowiedź na ten komunikat</w:t>
      </w:r>
      <w:r w:rsidRPr="00CD74D1">
        <w:rPr>
          <w:rStyle w:val="FootnoteReference"/>
          <w:b w:val="0"/>
          <w:color w:val="000000"/>
        </w:rPr>
        <w:footnoteReference w:id="16"/>
      </w:r>
      <w:r w:rsidRPr="00BE1230">
        <w:rPr>
          <w:color w:val="000000"/>
        </w:rPr>
        <w:t>,</w:t>
      </w:r>
    </w:p>
    <w:p w:rsidR="00D448BE" w:rsidRPr="00BE1230" w:rsidRDefault="00D448BE" w:rsidP="00D448BE">
      <w:pPr>
        <w:pStyle w:val="NormalHanging12a"/>
        <w:rPr>
          <w:szCs w:val="24"/>
        </w:rPr>
      </w:pPr>
      <w:r w:rsidRPr="00BE1230">
        <w:t>–</w:t>
      </w:r>
      <w:r w:rsidRPr="00BE1230">
        <w:tab/>
        <w:t xml:space="preserve">uwzględniając rozporządzenie Parlamentu Europejskiego i Rady (UE) 2021/1119 z 30 </w:t>
      </w:r>
      <w:r w:rsidRPr="00BE1230">
        <w:lastRenderedPageBreak/>
        <w:t>czerwca 2021 r. w sprawie ustanowienia ram na potrzeby osiągnięcia neutralności klimatycznej i zmiany rozporządzeń (WE) nr 401/2009 i (UE) 2018/1999 (Europejskie prawo o klimacie),</w:t>
      </w:r>
    </w:p>
    <w:p w:rsidR="00D448BE" w:rsidRPr="00BE1230" w:rsidRDefault="00D448BE" w:rsidP="00D448BE">
      <w:pPr>
        <w:pStyle w:val="NormalHanging12a"/>
        <w:rPr>
          <w:szCs w:val="24"/>
        </w:rPr>
      </w:pPr>
      <w:r w:rsidRPr="00BE1230">
        <w:t>–</w:t>
      </w:r>
      <w:r w:rsidRPr="00BE1230">
        <w:tab/>
        <w:t>uwzględniając porozumienie przyjęte 12 grudnia 2015 r. na 21. Konferencji Stron UNFCCC (COP21) w Paryżu (porozumienie paryskie),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–</w:t>
      </w:r>
      <w:r w:rsidRPr="00BE1230">
        <w:rPr>
          <w:color w:val="000000"/>
        </w:rPr>
        <w:tab/>
      </w:r>
      <w:r w:rsidRPr="00BE1230">
        <w:t>uwzględniając międzyinstytucjonalną proklamację Europejskiego filaru praw socjalnych z dnia 13 grudnia 2017 r.</w:t>
      </w:r>
      <w:r w:rsidRPr="00BE1230">
        <w:rPr>
          <w:vertAlign w:val="superscript"/>
        </w:rPr>
        <w:footnoteReference w:id="17"/>
      </w:r>
      <w:r w:rsidRPr="00BE1230">
        <w:t xml:space="preserve"> i swoją rezolucję z dnia 19 stycznia 2017 r. w tej sprawie</w:t>
      </w:r>
      <w:r w:rsidRPr="00BE1230">
        <w:rPr>
          <w:vertAlign w:val="superscript"/>
        </w:rPr>
        <w:footnoteReference w:id="18"/>
      </w:r>
      <w:r w:rsidRPr="00BE1230">
        <w:t>, plan działania Komisji z dnia 4 marca 2021 r. na rzecz wdrożenia Europejskiego filaru praw socjalnych oraz deklarację z Porto dotyczącą spraw społecznych przyjętą przez członków Rady Europejskiej w maju 2021 r.,</w:t>
      </w:r>
    </w:p>
    <w:p w:rsidR="00D448BE" w:rsidRPr="00BE1230" w:rsidRDefault="00D448BE" w:rsidP="00D448BE">
      <w:pPr>
        <w:pStyle w:val="NormalHanging12a"/>
        <w:rPr>
          <w:szCs w:val="24"/>
        </w:rPr>
      </w:pPr>
      <w:r w:rsidRPr="00BE1230">
        <w:t>–</w:t>
      </w:r>
      <w:r w:rsidRPr="00BE1230">
        <w:tab/>
        <w:t>uwzględniając unijną strategię na rzecz równouprawnienia płci na lata 2020–2025,</w:t>
      </w:r>
    </w:p>
    <w:p w:rsidR="00D448BE" w:rsidRPr="00BE1230" w:rsidRDefault="00D448BE" w:rsidP="00D448BE">
      <w:pPr>
        <w:pStyle w:val="NormalHanging12a"/>
        <w:rPr>
          <w:szCs w:val="24"/>
        </w:rPr>
      </w:pPr>
      <w:r w:rsidRPr="00BE1230">
        <w:t>–</w:t>
      </w:r>
      <w:r w:rsidRPr="00BE1230">
        <w:tab/>
        <w:t>uwzględniając sprawozdanie specjalne Europejskiego Trybunału Obrachunkowego z 2021 r. pt. „Uwzględnianie aspektu płci w budżecie UE – czas, by za słowami poszły czyny”,</w:t>
      </w:r>
    </w:p>
    <w:p w:rsidR="00D448BE" w:rsidRPr="00BE1230" w:rsidRDefault="00D448BE" w:rsidP="00D448BE">
      <w:pPr>
        <w:pStyle w:val="NormalHanging12a"/>
        <w:rPr>
          <w:szCs w:val="24"/>
        </w:rPr>
      </w:pPr>
      <w:r w:rsidRPr="00BE1230">
        <w:t>–</w:t>
      </w:r>
      <w:r w:rsidRPr="00BE1230">
        <w:tab/>
        <w:t>uwzględniając cele zrównoważonego rozwoju Organizacji Narodów Zjednoczonych,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E1230">
        <w:t>–</w:t>
      </w:r>
      <w:r w:rsidRPr="00BE1230">
        <w:tab/>
        <w:t>uwzględniając komunikat Komisji z dnia 1 lutego 2023 r. pt. „Plan przemysłowy Zielonego Ładu na miarę epoki neutralności emisyjnej” (COM(2023)0062),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E1230">
        <w:t>–</w:t>
      </w:r>
      <w:r w:rsidRPr="00BE1230">
        <w:tab/>
        <w:t xml:space="preserve">uwzględniając </w:t>
      </w:r>
      <w:r w:rsidR="00E21151">
        <w:t>r</w:t>
      </w:r>
      <w:r w:rsidR="00E21151" w:rsidRPr="00E21151">
        <w:t>ozporządzenie Parlamentu Europejskiego i Rady (UE) 2024/795 z dnia 29 lutego 2024 r. w sprawie ustanowienia Platformy na rzecz Technologii Strategicznych dla Europy (STEP) oraz zmiany dyrektywy 2003/87/WE oraz rozporządzeń (UE) 2021/1058, (UE) 2021/1056, (UE) 2021/1057, (UE) nr 1303/2013, (UE) nr 223/2014, (UE) 2021/1060, (UE) 2021/523, (UE) 2021/695, (UE) 2021/697 i (UE) 2021/241</w:t>
      </w:r>
      <w:r w:rsidR="00E21151">
        <w:rPr>
          <w:rStyle w:val="FootnoteReference"/>
        </w:rPr>
        <w:footnoteReference w:id="19"/>
      </w:r>
      <w:r w:rsidRPr="00BE1230">
        <w:t>,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E1230">
        <w:t>–</w:t>
      </w:r>
      <w:r w:rsidRPr="00BE1230">
        <w:tab/>
      </w:r>
      <w:r w:rsidR="00A76CE4" w:rsidRPr="00BE1230">
        <w:t>uwzględniając</w:t>
      </w:r>
      <w:r w:rsidR="00A76CE4">
        <w:t xml:space="preserve"> r</w:t>
      </w:r>
      <w:r w:rsidR="00E21151" w:rsidRPr="00E21151">
        <w:t>ozporządzenie Parlamentu Europejskiego i Rady (UE) 2024/792 z dnia 29 lutego 2024 r. w sprawie ustanowienia Instrumentu na rzecz Ukrainy</w:t>
      </w:r>
      <w:r w:rsidR="00E21151" w:rsidRPr="00E21151">
        <w:rPr>
          <w:rStyle w:val="FootnoteReference"/>
          <w:b w:val="0"/>
        </w:rPr>
        <w:footnoteReference w:id="20"/>
      </w:r>
      <w:r w:rsidRPr="00E21151">
        <w:t>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>uwzględniając budżet ogólny Unii Europejskiej na rok budżetowy 2024</w:t>
      </w:r>
      <w:r w:rsidRPr="00BE1230">
        <w:rPr>
          <w:rStyle w:val="FootnoteReference"/>
        </w:rPr>
        <w:footnoteReference w:id="21"/>
      </w:r>
      <w:r w:rsidRPr="00BE1230">
        <w:t xml:space="preserve"> i wspólne oświadczenia uzgodnione między Parlamentem, Radą i Komisją, które zostały do niego załączone,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 xml:space="preserve">uwzględniając konkluzje Rady z dnia </w:t>
      </w:r>
      <w:r w:rsidR="00A76CE4">
        <w:t>12 marca 2024 r.</w:t>
      </w:r>
      <w:r w:rsidR="00A76CE4" w:rsidRPr="00BE1230">
        <w:t xml:space="preserve"> </w:t>
      </w:r>
      <w:r w:rsidRPr="00BE1230">
        <w:t>w sprawie wytycznych budżetowych na rok 2025 (</w:t>
      </w:r>
      <w:r w:rsidR="00A76CE4">
        <w:t>6195</w:t>
      </w:r>
      <w:r w:rsidRPr="00BE1230">
        <w:t>/2024),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>uwzględniając art. 93 Regulaminu,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 xml:space="preserve">uwzględniając opinie w formie pisma przedstawione przez Komisję Spraw Zagranicznych, Komisję Rozwoju, Komisję Kontroli Budżetowej, Komisję Zatrudnienia i Spraw Socjalnych, Komisję Ochrony Środowiska Naturalnego, Zdrowia </w:t>
      </w:r>
      <w:r w:rsidRPr="00BE1230">
        <w:lastRenderedPageBreak/>
        <w:t>Publicznego i Bezpieczeństwa Żywności, Komisję Przemysłu, Badań Naukowych i Energii, Komisję Transportu i Turystyki, Komisję Rolnictwa i Rozwoju Wsi, Komisję Kultury i Edukacji, Komisję Spraw Konstytucyjnych oraz Komisję Praw Kobiet i Równouprawnienia,</w:t>
      </w:r>
    </w:p>
    <w:p w:rsidR="00D448BE" w:rsidRPr="00BE1230" w:rsidRDefault="00D448BE" w:rsidP="00D448BE">
      <w:pPr>
        <w:pStyle w:val="NormalHanging12a"/>
      </w:pPr>
      <w:r w:rsidRPr="00BE1230">
        <w:t>–</w:t>
      </w:r>
      <w:r w:rsidRPr="00BE1230">
        <w:tab/>
        <w:t>uwzględniając sprawozdanie Komisji Budżetowej (A9-0068/2024),</w:t>
      </w:r>
    </w:p>
    <w:p w:rsidR="00D448BE" w:rsidRPr="00BE1230" w:rsidRDefault="00D448BE" w:rsidP="00D448BE">
      <w:pPr>
        <w:pStyle w:val="NormalHanging12a"/>
        <w:ind w:left="0" w:firstLine="0"/>
        <w:rPr>
          <w:b/>
          <w:i/>
        </w:rPr>
      </w:pPr>
      <w:r w:rsidRPr="00BE1230">
        <w:rPr>
          <w:b/>
          <w:i/>
        </w:rPr>
        <w:t>Budżet UE na rok 2025 ukierunkowany na ludzi: inwestycje z myślą o poprawie życia obywateli i o zwiększeniu konkurencyjności Unii</w:t>
      </w:r>
    </w:p>
    <w:p w:rsidR="00D448BE" w:rsidRPr="00BE1230" w:rsidRDefault="00D448BE" w:rsidP="00D448BE">
      <w:pPr>
        <w:spacing w:after="240"/>
        <w:ind w:left="567" w:hanging="567"/>
      </w:pPr>
      <w:r w:rsidRPr="00BE1230">
        <w:t>1.</w:t>
      </w:r>
      <w:r w:rsidRPr="00BE1230">
        <w:tab/>
      </w:r>
      <w:proofErr w:type="gramStart"/>
      <w:r w:rsidRPr="00BE1230">
        <w:t>jest</w:t>
      </w:r>
      <w:proofErr w:type="gramEnd"/>
      <w:r w:rsidRPr="00BE1230">
        <w:t xml:space="preserve"> przekonany, że w dobie zmian geopolitycznych i instytucjonalnych, wobec presji finansowej, zmiany klimatu i wyzwań społecznych wiarygodny, solidny, elastyczny i ukierunkowany na inwestycje budżet UE pozostaje kluczowy dla wdrażania polityki Unii i dla reagowania na rosnące potrzeby obywateli – tak by nikt nie został w tyle wskutek dwojakiej transformacji ekologicznej i cyfrowej – dla zapewnienia obywatelom dobrobytu i bezpieczeństwa oraz dla zwiększenia konkurencyjności;</w:t>
      </w:r>
    </w:p>
    <w:p w:rsidR="00D448BE" w:rsidRPr="00BE1230" w:rsidRDefault="00D448BE" w:rsidP="00D448BE">
      <w:pPr>
        <w:pStyle w:val="NormalHanging12a"/>
      </w:pPr>
      <w:r w:rsidRPr="00BE1230">
        <w:t>2.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 xml:space="preserve"> trudne okoliczności procedury budżetowej na rok 2025, która toczy się w czasie dużych napięć międzynarodowych i niepewności, a także w roku wyborczym, w którym Parlament i Komisja będą musiały stawić czoła przejściu z jednej do drugiej kadencji; jest w pełni świadomy poważnych, lecz nieuniknionych ograniczeń kalendarzowych i wzywa wszystkie podmioty do należytego ich uwzględnienia w konstruktywny sposób;</w:t>
      </w:r>
    </w:p>
    <w:p w:rsidR="00D448BE" w:rsidRPr="00BE1230" w:rsidRDefault="00D448BE" w:rsidP="00D448BE">
      <w:pPr>
        <w:pStyle w:val="NormalHanging12a"/>
      </w:pPr>
      <w:r w:rsidRPr="00BE1230">
        <w:t>3.</w:t>
      </w:r>
      <w:r w:rsidRPr="00BE1230">
        <w:tab/>
      </w:r>
      <w:proofErr w:type="gramStart"/>
      <w:r w:rsidRPr="00BE1230">
        <w:t>głęboko</w:t>
      </w:r>
      <w:proofErr w:type="gramEnd"/>
      <w:r w:rsidRPr="00BE1230">
        <w:t xml:space="preserve"> ubolewa, że Radzie nie udało się osiągnąć porozumienia w sprawie rewizji wieloletnich ram finansowych (WRF) przed końcem 2023 r.; zauważa w związku z tym, że trzeba było rozpocząć procedurę budżetową przy braku pewności co do kilku kluczowych elementów programowania finansowego na 2025 r., i doskonale zdaje sobie sprawę z niewielkich, a w niektórych przypadkach ujemnych marginesów w ramach pułapów WRF;</w:t>
      </w:r>
    </w:p>
    <w:p w:rsidR="00D448BE" w:rsidRPr="00BE1230" w:rsidRDefault="00D448BE" w:rsidP="00D448BE">
      <w:pPr>
        <w:spacing w:after="240"/>
        <w:ind w:left="567" w:hanging="567"/>
      </w:pPr>
      <w:r w:rsidRPr="00BE1230">
        <w:t>4.</w:t>
      </w:r>
      <w:r w:rsidRPr="00BE1230">
        <w:tab/>
      </w:r>
      <w:proofErr w:type="gramStart"/>
      <w:r w:rsidRPr="00BE1230">
        <w:t>uważa</w:t>
      </w:r>
      <w:proofErr w:type="gramEnd"/>
      <w:r w:rsidRPr="00BE1230">
        <w:t>, że rezultat rewizji WRF jest poniżej początkowych aspiracji PE; podkreśla, że rewizja rozporządzenia w sprawie WRF jest niezbędnym warunkiem zapewnienia średnioterminowego wsparcia finansowego dla Ukrainy, umożliwienia szerszego finansowania ukierunkowanych priorytetów politycznych, w tym sprzyjania autonomii strategicznej Unii, oraz utrzymania elastyczności programów i budżetu Unii w obliczu wyższych niż prognozowane stóp procentowych, a co za tym idzie wyższych niż zaprogramowane kosztów finansowania zewnętrznego Unii; odnotowuje, że coroczna procedura budżetowa na rok 2025 będzie pierwszą procedurą opartą w całości na zmienionym rozporządzeniu w sprawie WRF;</w:t>
      </w:r>
    </w:p>
    <w:p w:rsidR="00D448BE" w:rsidRPr="00BE1230" w:rsidRDefault="00D448BE" w:rsidP="00D448BE">
      <w:pPr>
        <w:spacing w:after="240"/>
        <w:ind w:left="567" w:hanging="567"/>
        <w:rPr>
          <w:color w:val="000000"/>
        </w:rPr>
      </w:pPr>
      <w:r w:rsidRPr="00BE1230">
        <w:t>5.</w:t>
      </w:r>
      <w:r w:rsidRPr="00BE1230">
        <w:tab/>
      </w:r>
      <w:proofErr w:type="gramStart"/>
      <w:r w:rsidRPr="00BE1230">
        <w:t>przypomina</w:t>
      </w:r>
      <w:proofErr w:type="gramEnd"/>
      <w:r w:rsidRPr="00BE1230">
        <w:t>, że wspólna deklaracja uzgodniona przez trzy instytucje w ramach porozumienia w sprawie WRF z 2020 r., zgodnie z którą wydatki na pokrycie kosztów finansowania NGEU „nie prowadzą do zmniejszenia wydatków w ramach programów i funduszy”, nadal ma zastosowanie i służy jako punkt odniesienia dla władzy budżetowej, zwłaszcza w kontekście uruchomienia instrumentu EURI w celu pokrycia co najmniej części deficytu w spłacie kosztów finansowania zewnętrznego NGEU;</w:t>
      </w:r>
      <w:r w:rsidRPr="00BE1230">
        <w:rPr>
          <w:snapToGrid w:val="0"/>
          <w:color w:val="000000" w:themeColor="text1"/>
          <w:shd w:val="clear" w:color="auto" w:fill="FFFFFF"/>
        </w:rPr>
        <w:t xml:space="preserve"> </w:t>
      </w:r>
      <w:r w:rsidRPr="00BE1230">
        <w:rPr>
          <w:color w:val="000000"/>
        </w:rPr>
        <w:t xml:space="preserve">zamierza zatem zadbać w ramach corocznej procedury budżetowej o to, by wszystkie programy wyposażyć w odpowiednie zasoby oraz by utrzymać elastyczność budżetu i jego zdolność do reagowania; podkreśla, że w trakcie całej procedury budżetowej Komisja </w:t>
      </w:r>
      <w:proofErr w:type="gramStart"/>
      <w:r w:rsidRPr="00BE1230">
        <w:rPr>
          <w:color w:val="000000"/>
        </w:rPr>
        <w:t>powinna</w:t>
      </w:r>
      <w:proofErr w:type="gramEnd"/>
      <w:r w:rsidRPr="00BE1230">
        <w:rPr>
          <w:color w:val="000000"/>
        </w:rPr>
        <w:t xml:space="preserve"> dostarczać wiarygodnych, terminowych i dokładnych informacji o </w:t>
      </w:r>
      <w:r w:rsidRPr="00BE1230">
        <w:rPr>
          <w:color w:val="000000"/>
        </w:rPr>
        <w:lastRenderedPageBreak/>
        <w:t>kosztach finansowania zewnętrznego NGEU oraz o spodziewanych wypłatach w ramach Instrumentu na rzecz Odbudowy i Zwiększania Odporności;</w:t>
      </w:r>
    </w:p>
    <w:p w:rsidR="00D448BE" w:rsidRPr="00BE1230" w:rsidRDefault="00D448BE" w:rsidP="00D448BE">
      <w:pPr>
        <w:spacing w:after="240"/>
        <w:ind w:left="567" w:hanging="567"/>
      </w:pPr>
      <w:r w:rsidRPr="00BE1230">
        <w:t>6.</w:t>
      </w:r>
      <w:r w:rsidRPr="00BE1230">
        <w:tab/>
      </w:r>
      <w:proofErr w:type="gramStart"/>
      <w:r w:rsidRPr="00BE1230">
        <w:t>wzywa</w:t>
      </w:r>
      <w:proofErr w:type="gramEnd"/>
      <w:r w:rsidRPr="00BE1230">
        <w:t xml:space="preserve"> Radę i Komisję do pełnego stosowania rozporządzenia (UE, Euratom) 2020/2092 w sprawie ogólnego systemu warunkowości służącego ochronie budżetu Unii; podkreśla w szczególności, że przestrzeganie zasady praworządności stanowi podstawowy warunek dostępu do funduszy UE; podkreśla, że​nie można wypłacać środków finansowych, jeśli państwa członkowskie nie spełniają wszystkich odpowiednich wymogów; ponawia stwierdzenie, że związane z praworządnością problemy systemowe, takie jak naruszanie zasady podziału władzy lub niedawne próby zamachu na niezawisłość sądownictwa w niektórych państwach członkowskich, stanowią wyraźne zagrożenie dla interesów finansowych Unii Europejskiej i ochrony budżetu UE, oraz wzywa Komisję, by nie dopuszczała do zaprzepaszczenia osiągnięć w zakresie praworządności; ponawia apel do Komisji </w:t>
      </w:r>
      <w:proofErr w:type="gramStart"/>
      <w:r w:rsidRPr="00BE1230">
        <w:t>o</w:t>
      </w:r>
      <w:proofErr w:type="gramEnd"/>
      <w:r w:rsidRPr="00BE1230">
        <w:t> zadbanie w trybie pilnym o to, aby zgodnie z mechanizmem warunkowości w zakresie praworządności zawieszone środki finansowe UE docierały do​obywateli, przedsiębiorstw, władz regionalnych i lokalnych, organizacji pozarządowych i wszelkich innych odpowiednich zainteresowanych stron za pośrednictwem samorządów lokalnych i organizacji społeczeństwa obywatelskiego;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E1230">
        <w:t>7.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 xml:space="preserve">, że spłata kosztów finansowania zewnętrznego Instrumentu Unii Europejskiej na rzecz Odbudowy (EURI) jest obowiązkiem prawnym Unii i wydatkiem nieuznaniowym w budżecie UE; zauważa, że koszty finansowania zewnętrznego zależą od tempa wypłat w ramach Instrumentu na rzecz Odbudowy i Zwiększania Odporności (RRF), a także od rynkowych wahań rentowności obligacji, a zatem są z natury nieprzewidywalne i zmienne; podtrzymuje swoje stanowisko, zgodnie z którym koszty finansowania zewnętrznego EURI powinny były w całości znaleźć się w instrumencie szczególnym EURI poza pułapami WRF, aby przywrócić pewien margines w dziale 2b i ochronić przestrzeń budżetową w ramach instrumentu elastyczności i jednolitego marginesu; będzie dążyć </w:t>
      </w:r>
      <w:proofErr w:type="gramStart"/>
      <w:r w:rsidRPr="00BE1230">
        <w:t>do</w:t>
      </w:r>
      <w:proofErr w:type="gramEnd"/>
      <w:r w:rsidRPr="00BE1230">
        <w:t xml:space="preserve"> tego, by stosowanie mechanizmu kaskadowego EURI w zmienionych WRF nie skutkowało ustaleniami powodującymi nadmierne szkody uboczne dla zaprogramowanych wydatków lub dostępności środków w ramach nietematycznych instrumentów szczególnych;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E1230">
        <w:t>8.</w:t>
      </w:r>
      <w:r w:rsidRPr="00BE1230">
        <w:tab/>
      </w:r>
      <w:proofErr w:type="gramStart"/>
      <w:r w:rsidRPr="00BE1230">
        <w:t>przypomina</w:t>
      </w:r>
      <w:proofErr w:type="gramEnd"/>
      <w:r w:rsidRPr="00BE1230">
        <w:t>, że według prognoz</w:t>
      </w:r>
      <w:r w:rsidRPr="00BE1230">
        <w:rPr>
          <w:rStyle w:val="FootnoteReference"/>
          <w:color w:val="000000"/>
        </w:rPr>
        <w:footnoteReference w:id="22"/>
      </w:r>
      <w:r w:rsidRPr="00BE1230">
        <w:t xml:space="preserve"> gospodarka europejska będzie rosła w bardzo umiarkowanym tempie (0,9 % w 2024 r. i 1,7 % w 2025 r.), podczas gdy inflacja utrzyma się znacznie powyżej poziomu 2 % stosowanego jako automatyczny deflator WRF (3,0 % w 2024 r. i 2,5 % w 2025 r.); przyznaje, że oznacza to ciągłą utratę siły nabywczej dla budżetu, który zawsze musi być zrównoważony i ograniczony kwotami bezwzględnymi; podkreśla bardzo niską stopę poboru zasobów własnych opartych na dochodzie narodowym brutto (DNB) w ostatnich latach (0,46 % w projekcie budżetu na 2024 r.), co wynika z połączonego wpływu inflacji, niskich poziomów środków na płatności i wyższych dochodów z niektórych innych zasobów własnych; przypomina swoje stanowisko, że rabaty i </w:t>
      </w:r>
      <w:proofErr w:type="gramStart"/>
      <w:r w:rsidRPr="00BE1230">
        <w:t>inne</w:t>
      </w:r>
      <w:proofErr w:type="gramEnd"/>
      <w:r w:rsidRPr="00BE1230">
        <w:t xml:space="preserve"> mechanizmy korygujące powinny zostać trwale zniesione oraz że do czasu ich trwałego zniesienia obniżki brutto krajowych wkładów opartych na DNB powinny podlegać stałemu deflatorowi w wysokości do 2 % rocznie; </w:t>
      </w:r>
    </w:p>
    <w:p w:rsidR="00D448BE" w:rsidRPr="00BE1230" w:rsidRDefault="00D448BE" w:rsidP="00D448BE">
      <w:pPr>
        <w:pStyle w:val="NormalHanging12a"/>
      </w:pPr>
      <w:r w:rsidRPr="00BE1230">
        <w:t>9.</w:t>
      </w:r>
      <w:r w:rsidRPr="00BE1230">
        <w:tab/>
      </w:r>
      <w:proofErr w:type="gramStart"/>
      <w:r w:rsidRPr="00BE1230">
        <w:t>ubolewa</w:t>
      </w:r>
      <w:proofErr w:type="gramEnd"/>
      <w:r w:rsidRPr="00BE1230">
        <w:t xml:space="preserve"> nad brakiem postępów w Radzie w kwestii reformy systemu zasobów własnych; przypomina swoje stanowisko w sprawie zmienionych wniosków Komisji, </w:t>
      </w:r>
      <w:r w:rsidRPr="00BE1230">
        <w:lastRenderedPageBreak/>
        <w:t xml:space="preserve">zgodnie z którym popiera wprowadzenie nowych zasobów własnych; uważa, że wprowadzenie nowych rzeczywistych źródeł dochodów, zgodnie z planem działania zawartym w porozumieniu międzyinstytucjonalnym, pomogłoby pokryć dodatkowe obciążenie budżetowe wynikające z zaciągania pożyczek w ramach NextGenerationEU, a tym samym zabezpieczyłoby marginesy i mechanizmy elastyczności, co z kolei ułatwiłoby podejmowanie decyzji budżetowych dotyczących nieprzewidzianych potrzeb, a także nowe inicjatywy w zakresie prognoz strategicznych; ponadto wzywa Komisję do kontynuowania wysiłków na rzecz określenia nowych, a najlepiej rzeczywistych zasobów własnych i innych źródeł dochodów </w:t>
      </w:r>
      <w:proofErr w:type="gramStart"/>
      <w:r w:rsidRPr="00BE1230">
        <w:t>do</w:t>
      </w:r>
      <w:proofErr w:type="gramEnd"/>
      <w:r w:rsidRPr="00BE1230">
        <w:t xml:space="preserve"> budżetu UE wykraczających poza porozumienie międzyinstytucjonalne;</w:t>
      </w:r>
    </w:p>
    <w:p w:rsidR="00D448BE" w:rsidRPr="00BE1230" w:rsidRDefault="00D448BE" w:rsidP="00D448BE">
      <w:pPr>
        <w:pStyle w:val="NormalHanging12a"/>
      </w:pPr>
      <w:r w:rsidRPr="00BE1230">
        <w:t>10.</w:t>
      </w:r>
      <w:r w:rsidRPr="00BE1230">
        <w:tab/>
      </w:r>
      <w:proofErr w:type="gramStart"/>
      <w:r w:rsidRPr="00BE1230">
        <w:t>ubolewa</w:t>
      </w:r>
      <w:proofErr w:type="gramEnd"/>
      <w:r w:rsidRPr="00BE1230">
        <w:t>, że na zdolność do reagowania na nieprzewidziane wydarzenia lub do podejmowania nowych inicjatyw niekorzystny wpływ mają niedobory budżetowe, i zamierza w miarę możliwości uzdrowić tę sytuację, biorąc również pod uwagę większe oczekiwania obywateli UE; przypomina, że konieczne jest ustanowienie dodatkowego instrumentu szczególnego wykraczającego poza pułapy WRF, tak aby budżet UE mógł lepiej dostosowywać się do kryzysów i ich skutków społecznych i gospodarczych oraz szybko na nie reagować;</w:t>
      </w:r>
    </w:p>
    <w:p w:rsidR="00D448BE" w:rsidRPr="00BE1230" w:rsidRDefault="00D448BE" w:rsidP="00D448BE">
      <w:pPr>
        <w:spacing w:after="240"/>
        <w:ind w:left="567" w:hanging="567"/>
      </w:pPr>
      <w:r w:rsidRPr="00BE1230">
        <w:t>11.</w:t>
      </w:r>
      <w:r w:rsidRPr="00BE1230">
        <w:tab/>
      </w:r>
      <w:proofErr w:type="gramStart"/>
      <w:r w:rsidRPr="00BE1230">
        <w:t>pomimo</w:t>
      </w:r>
      <w:proofErr w:type="gramEnd"/>
      <w:r w:rsidRPr="00BE1230">
        <w:t xml:space="preserve"> tych licznych ograniczeń jest zdecydowany utrzymać spójne i jednolite stanowisko, które odzwierciedla jego ustalone wcześniej priorytety polityczne i interesy instytucjonalne, w tym zwiększenie konkurencyjności Unii, zmniejszenie strategicznych zależności, przyspieszenie wdrażania czystej energetyki, zapewnienie osiągnięcia celów w zakresie uwzględniania kwestii klimatu i różnorodności biologicznej, zwiększenie unijnych zdolności w zakresie bezpieczeństwa i obrony, a także przyczynienie się do transformacji ekologicznej i cyfrowej, przy jednoczesnym ograniczaniu do minimum negatywnego wpływu na sztandarowe programy i maksymalizowaniu efektów mnożnikowych wzrostu gospodarczego z korzyścią dla wszystkich mieszkańców UE;</w:t>
      </w:r>
    </w:p>
    <w:p w:rsidR="00D448BE" w:rsidRPr="00BE1230" w:rsidRDefault="00D448BE" w:rsidP="00D448BE">
      <w:pPr>
        <w:pStyle w:val="NormalHanging12a"/>
        <w:ind w:left="0" w:firstLine="0"/>
        <w:rPr>
          <w:b/>
          <w:i/>
        </w:rPr>
      </w:pPr>
      <w:r w:rsidRPr="00BE1230">
        <w:rPr>
          <w:b/>
          <w:i/>
        </w:rPr>
        <w:t>Sprawiedliwy, uczciwy i sprzyjający włączeniu społecznemu budżet, który oferuje lepsze możliwości wszystkim obywatelom UE i zapewnia wzrost gospodarczy</w:t>
      </w:r>
    </w:p>
    <w:p w:rsidR="00D448BE" w:rsidRPr="00BE1230" w:rsidRDefault="00D448BE" w:rsidP="00D448BE">
      <w:pPr>
        <w:pStyle w:val="NormalHanging12a"/>
      </w:pPr>
      <w:r w:rsidRPr="00BE1230">
        <w:t>12.</w:t>
      </w:r>
      <w:r w:rsidRPr="00BE1230">
        <w:tab/>
      </w:r>
      <w:proofErr w:type="gramStart"/>
      <w:r w:rsidRPr="00BE1230">
        <w:t>zauważa</w:t>
      </w:r>
      <w:proofErr w:type="gramEnd"/>
      <w:r w:rsidRPr="00BE1230">
        <w:t xml:space="preserve">, że przystępne cenowo życie i spójność społeczna nadal są stałymi wyzwaniami we wszystkich państwach członkowskich UE i ich regionach, i przypomina w tym kontekście rolę wysokiej jakości i dostępnych usług publicznych; pragnie podkreślić inkluzywność i dostępność finansowania tam, gdzie jest to odpowiednie i zgodne z odpowiednimi kryteriami kwalifikowalności, oraz zmaksymalizować możliwości finansowania poprzez wykorzystanie istniejących funduszy; uważa, że wymiar społeczny wydatków UE, jako niezbędny element ich zasadności, powinien nadal być istotnym kryterium przekrojowym dla wszystkich obszarów polityki; </w:t>
      </w:r>
    </w:p>
    <w:p w:rsidR="00D448BE" w:rsidRPr="00BE1230" w:rsidRDefault="00D448BE" w:rsidP="00D448BE">
      <w:pPr>
        <w:pStyle w:val="NormalHanging12a"/>
      </w:pPr>
      <w:r w:rsidRPr="00BE1230">
        <w:t>13.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>, że budżet UE jest przede wszystkim budżetem inwestycyjnym o efekcie dźwigni, zdolnym do sprzyjania realizacji celów i kształtowaniu polityki Unii, uzupełniającym polityki krajowe, a tym samym zaspokajającym potrzeby ludzi w UE; przypomina o znaczeniu Instrumentu na rzecz Odbudowy i Zwiększania Odporności dla zwiększania odporności Unii i łagodzenia społeczno-gospodarczych skutków minionych i trwających kryzysów; uważa, że nie należy szczędzić wysiłków, aby te dwa główne źródła finansowania UE były wydatkowane skutecznie i bez dalszej zwłoki;</w:t>
      </w:r>
    </w:p>
    <w:p w:rsidR="00D448BE" w:rsidRPr="00BE1230" w:rsidRDefault="00D448BE" w:rsidP="00D448BE">
      <w:pPr>
        <w:pStyle w:val="NormalHanging12a"/>
      </w:pPr>
      <w:r w:rsidRPr="00BE1230">
        <w:lastRenderedPageBreak/>
        <w:t>14.</w:t>
      </w:r>
      <w:r w:rsidRPr="00BE1230">
        <w:tab/>
      </w:r>
      <w:proofErr w:type="gramStart"/>
      <w:r w:rsidRPr="00BE1230">
        <w:t>jest</w:t>
      </w:r>
      <w:proofErr w:type="gramEnd"/>
      <w:r w:rsidRPr="00BE1230">
        <w:t xml:space="preserve"> absolutnie zdecydowany wykorzystać budżet UE do zaprowadzenia wymiernych i widocznych zmian z punktu widzenia obywateli, gospodarki na jednolitym rynku oraz celów Zielonego Ładu poprzez wsparcie tworzenia wysokiej jakości miejsc pracy w najnowocześniejszych gałęziach przemysłu, przygotowanie rynku pracy na przyszłe wyzwania dzięki programom rozwijania umiejętności i wspierania talentów, poprzez zwalczanie bezrobocia, zwiększanie unijnej konkurencyjności i poprawę gotowości obronnej Unii; uważa, że niezależność technologiczna i zrównoważony wzrost mają kluczowe znaczenie dla osiągnięcia długoterminowych celów Unii w zakresie energii i klimatu; ponawia apel o utrzymanie należytego finansowania, które stanowi wsparcie dla małych i średnich przedsiębiorstw (MŚP), będących podstawą europejskiej gospodarki, dla przedsiębiorstw </w:t>
      </w:r>
      <w:proofErr w:type="gramStart"/>
      <w:r w:rsidRPr="00BE1230">
        <w:t>typu</w:t>
      </w:r>
      <w:proofErr w:type="gramEnd"/>
      <w:r w:rsidRPr="00BE1230">
        <w:t xml:space="preserve"> start-up, dla młodzieży, rolników, nauczycieli i pracowników sektora transportu; podkreśla potrzebę dalszej poprawy infrastruktury energetycznej i transportowej, inwestowania w poprawę usług w zakresie zdrowia publicznego i opieki społecznej, spójności społecznej i terytorialnej oraz włączenia społecznego i terytorialnego, a także we wspieranie społeczności w trudnej sytuacji, zamieszkujących obszary oddalony i wiejskie, w tym wspieranie inteligentnych wsi; zwraca uwagę, że budżet musi zagwarantować transformację ekologiczną, a jednocześnie wspierać wysokiej jakości rolnictwo, zapewniając obszarom wiejskim dostęp do wysokiej jakości opieki zdrowotnej i edukacji;</w:t>
      </w:r>
    </w:p>
    <w:p w:rsidR="00D448BE" w:rsidRPr="00BE1230" w:rsidRDefault="00D448BE" w:rsidP="00D448BE">
      <w:pPr>
        <w:spacing w:after="240"/>
        <w:ind w:left="567" w:hanging="567"/>
      </w:pPr>
      <w:r w:rsidRPr="00BE1230">
        <w:t>15.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 xml:space="preserve"> znaczący wpływ badań naukowych i innowacji na konkurencyjność, długoterminowy wzrost gospodarczy i zatrudnienie w Unii Europejskiej; przypomina o długofalowej inicjatywie mającej na celu zwiększenie intensywności inwestycji w badania i rozwój w UE do poziomu 3 % PKB; uznaje istniejącą rozbieżność między tym celem a faktycznie zapewnionym finansowaniem; podkreśla, że czołowa pozycja Europy w obszarze technologii ma zasadnicze znaczenie dla wdrożenia Zielonego Ładu i Unii Zdrowotnej, gdyż pozwala tworzyć miejsca pracy wymagające wysokich umiejętności w Unii w całym łańcuchu wartości oraz zwiększa doskonałość badań naukowych i innowacji w Unii; jest głęboko zaniepokojony, że dostępne fundusze pokrywają jedynie ułamek wszystkich złożonych wniosków, co </w:t>
      </w:r>
      <w:proofErr w:type="gramStart"/>
      <w:r w:rsidRPr="00BE1230">
        <w:t>skutkuje</w:t>
      </w:r>
      <w:proofErr w:type="gramEnd"/>
      <w:r w:rsidRPr="00BE1230">
        <w:t xml:space="preserve"> wysokim poziomem nadwyżki wniosków dotyczących programów i opuszczaniem Unii przez naukowców, którzy przenoszą się do konkurencyjnych regionów;</w:t>
      </w:r>
    </w:p>
    <w:p w:rsidR="00D448BE" w:rsidRPr="00BE1230" w:rsidRDefault="00D448BE" w:rsidP="00D448BE">
      <w:pPr>
        <w:pStyle w:val="NormalHanging12a"/>
        <w:rPr>
          <w:szCs w:val="24"/>
        </w:rPr>
      </w:pPr>
      <w:r w:rsidRPr="00BE1230">
        <w:t>16.</w:t>
      </w:r>
      <w:r w:rsidRPr="00BE1230">
        <w:tab/>
      </w:r>
      <w:proofErr w:type="gramStart"/>
      <w:r w:rsidRPr="00BE1230">
        <w:t>uważa</w:t>
      </w:r>
      <w:proofErr w:type="gramEnd"/>
      <w:r w:rsidRPr="00BE1230">
        <w:t>, że należy zapewnić trwałe i długoterminowe rozwiązania, aby skutecznie stawić czoła strukturalnym wyzwaniom demograficznym, a także ograniczyć drenaż mózgów w słabiej rozwiniętych regionach i miastach UE; podkreśla, że należy przeznaczyć środki finansowe na rewitalizację regionów, których dotknął problem wyludnienia, inwestując w politykę socjalną i demograficzną, która wspierałaby rodziny, oraz na zapewnienie starzejącemu się społeczeństwu w Europie odpowiedniego wsparcia w zakresie dostępu do opieki zdrowotnej, mobilności i usług publicznych;</w:t>
      </w:r>
    </w:p>
    <w:p w:rsidR="00D448BE" w:rsidRPr="00BE1230" w:rsidRDefault="00D448BE" w:rsidP="00D448BE">
      <w:pPr>
        <w:pStyle w:val="NormalHanging12a"/>
      </w:pPr>
      <w:r w:rsidRPr="00BE1230">
        <w:t>17.</w:t>
      </w:r>
      <w:r w:rsidRPr="00BE1230">
        <w:tab/>
      </w:r>
      <w:proofErr w:type="gramStart"/>
      <w:r w:rsidRPr="00BE1230">
        <w:t>nalega</w:t>
      </w:r>
      <w:proofErr w:type="gramEnd"/>
      <w:r w:rsidRPr="00BE1230">
        <w:t xml:space="preserve">, aby za pośrednictwem programu Erasmus+ i Europejskiego Korpusu Solidarności zmobilizować jak najwięcej środków finansowych w celu promowania uczenia się i przedsiębiorczości oraz poprawy umiejętności, edukacji formalnej, pozaformalnej i nieformalnej oraz szans młodych ludzi na zatrudnienie, a także promowania włączenia społecznego; ponownie podkreśla potrzebę zadbania o to, by oba programy gwarantowały równe możliwości, przy szczególnym uwzględnieniu osób ze środowisk defaworyzowanych w całej UE i krajach stowarzyszonych; podtrzymuje swoją opinię, że należy dalej wspierać stypendia na rzecz mobilności w ramach programu Erasmus+, aby pokrywały wzrost kosztów utrzymania oraz zapewniały dostępność, równe szanse i inkluzywny udział, zwłaszcza dzięki zwiększeniu do </w:t>
      </w:r>
      <w:r w:rsidRPr="00BE1230">
        <w:lastRenderedPageBreak/>
        <w:t xml:space="preserve">odpowiedniego poziomu </w:t>
      </w:r>
      <w:proofErr w:type="gramStart"/>
      <w:r w:rsidRPr="00BE1230">
        <w:t>minimalnej</w:t>
      </w:r>
      <w:proofErr w:type="gramEnd"/>
      <w:r w:rsidRPr="00BE1230">
        <w:t xml:space="preserve"> kwoty stypendium na uczestnika;</w:t>
      </w:r>
    </w:p>
    <w:p w:rsidR="00D448BE" w:rsidRPr="00BE1230" w:rsidRDefault="00D448BE" w:rsidP="00D448BE">
      <w:pPr>
        <w:pStyle w:val="NormalHanging12a"/>
      </w:pPr>
      <w:r w:rsidRPr="00BE1230">
        <w:t>18.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 xml:space="preserve"> znaczenie wdrożenia Europejskiego filaru praw socjalnych i wzywa Komisję do rozpoczęcia refleksji nad metodyką monitorowania wydatków socjalnych w budżecie UE w następnym okresie programowania; podkreśla kluczową rolę budżetu UE w przyczynianiu się do inicjatyw, które wzmacniają dialog społeczny oraz wzmacniają lokalne i regionalne działania społeczne i zapewniają wszystkim dostęp do kluczowych usług; ponownie podkreśla potrzebę europejskiej strategii na rzecz osób starszych, obejmującej konkretne działania na rzecz walki z marginalizacją, samotnością i izolacją; przypomina ponadto o potrzebie pełnego wdrożenia strategii na rzecz praw osób z niepełnosprawnościami na lata 2021–2030 w celu poprawy ich warunków życia w Unii; podkreśla przypadek europejskich przewoźników, </w:t>
      </w:r>
      <w:proofErr w:type="gramStart"/>
      <w:r w:rsidRPr="00BE1230">
        <w:t>którzy</w:t>
      </w:r>
      <w:proofErr w:type="gramEnd"/>
      <w:r w:rsidRPr="00BE1230">
        <w:t xml:space="preserve"> borykają się z różnymi wyzwaniami w poszczególnych państwach członkowskich, począwszy od rosnących kosztów po niedobory przepustowości, a także potrzebę elastyczności i lepszych warunków pracy; podkreśla potrzebę wzmocnienia istniejących przepisów dotyczących ich ochrony i przyznania dodatkowych zasobów na monitorowanie warunków ich pracy w państwach członkowskich; podkreśla w tym kontekście korzyści płynące z rozwoju narzędzi informatycznych na szczeblu UE, które pomagają usprawnić wdrażanie wymogów biurokratycznych i standaryzację certyfikatów;</w:t>
      </w:r>
    </w:p>
    <w:p w:rsidR="00D448BE" w:rsidRPr="00BE1230" w:rsidRDefault="00D448BE" w:rsidP="00D448BE">
      <w:pPr>
        <w:pStyle w:val="NormalHanging12a"/>
      </w:pPr>
      <w:r w:rsidRPr="00BE1230">
        <w:t>19.</w:t>
      </w:r>
      <w:r w:rsidRPr="00BE1230">
        <w:tab/>
      </w:r>
      <w:proofErr w:type="gramStart"/>
      <w:r w:rsidRPr="00BE1230">
        <w:t>wzywa</w:t>
      </w:r>
      <w:proofErr w:type="gramEnd"/>
      <w:r w:rsidRPr="00BE1230">
        <w:t xml:space="preserve"> Komisję i państwa członkowskie do przeznaczenia odpowiednich zasobów na skuteczne wdrożenie przepisów UE koordynujących zabezpieczenia społeczne, aby ułatwić mobilność pracowników i transfer świadczeń socjalnych; wzywa do wykorzystania funduszy UE do opracowania systemu elektronicznej wymiany informacji dotyczących zabezpieczenia społecznego oraz do wspierania dalszej cyfryzacji systemów zabezpieczenia społecznego w celu zapewnienia sprawiedliwej mobilności pracowników; </w:t>
      </w:r>
    </w:p>
    <w:p w:rsidR="00D448BE" w:rsidRPr="00BE1230" w:rsidRDefault="00D448BE" w:rsidP="00D448BE">
      <w:pPr>
        <w:spacing w:after="240"/>
        <w:ind w:left="567" w:hanging="567"/>
      </w:pPr>
      <w:r w:rsidRPr="00BE1230">
        <w:t>20.</w:t>
      </w:r>
      <w:r w:rsidRPr="00BE1230">
        <w:tab/>
      </w:r>
      <w:proofErr w:type="gramStart"/>
      <w:r w:rsidRPr="00BE1230">
        <w:t>przyznaje</w:t>
      </w:r>
      <w:proofErr w:type="gramEnd"/>
      <w:r w:rsidRPr="00BE1230">
        <w:t>, że technologia i sztuczna inteligencja szybko zmieniają sytuację w zakresie zatrudnienia; zwraca uwagę na potencjał ekonomiczny, jaki skoncentrowane na człowieku i godne zaufania technologie sztucznej inteligencji mogą wnieść do wzrostu gospodarczego, przy poprawie życia obywateli w wielu obszarach, takich jak zdrowie, rolnictwo, energia, transport i bezpieczeństwo;</w:t>
      </w:r>
      <w:r w:rsidRPr="00BE1230">
        <w:rPr>
          <w:color w:val="00B0F0"/>
        </w:rPr>
        <w:t xml:space="preserve"> </w:t>
      </w:r>
      <w:r w:rsidRPr="00BE1230">
        <w:t xml:space="preserve">apeluje o odzwierciedlenie tego aspektu w programach i politykach UE poprzez przydział odpowiednich zasobów finansowych; podkreśla potrzebę poprawy podstawowych umiejętności cyfrowych obywateli, aby odpowiadały potrzebom przedsiębiorstw i zapewniały obywatelom ochronę przed dezinformacją; popiera środki UE uzupełniające krajowe strategie zatrudnienia w zakresie przekwalifikowania zawodowego i mobilności na szczeblu UE w skoordynowany sposób, wykorzystujące potencjał </w:t>
      </w:r>
      <w:proofErr w:type="gramStart"/>
      <w:r w:rsidRPr="00BE1230">
        <w:t>tych</w:t>
      </w:r>
      <w:proofErr w:type="gramEnd"/>
      <w:r w:rsidRPr="00BE1230">
        <w:t xml:space="preserve"> zmian w celu stworzenia dobrze prosperującej i zdolnej do dostosowania siły roboczej, w tym poprzez wspieranie zmiany kwalifikacji zawodowych i mobilności, co umożliwi płynne przejście do nowych i powstających sektorów pracy;</w:t>
      </w:r>
    </w:p>
    <w:p w:rsidR="00D448BE" w:rsidRPr="00BE1230" w:rsidRDefault="00D448BE" w:rsidP="00D448BE">
      <w:pPr>
        <w:spacing w:after="240"/>
        <w:ind w:left="567" w:hanging="567"/>
      </w:pPr>
      <w:r w:rsidRPr="00BE1230">
        <w:t>21.</w:t>
      </w:r>
      <w:r w:rsidRPr="00BE1230">
        <w:tab/>
      </w:r>
      <w:proofErr w:type="gramStart"/>
      <w:r w:rsidRPr="00BE1230">
        <w:t>jest</w:t>
      </w:r>
      <w:proofErr w:type="gramEnd"/>
      <w:r w:rsidRPr="00BE1230">
        <w:t xml:space="preserve"> zaniepokojony rosnącą liczbą ekstremalnych zjawisk pogodowych, takich jak poważne pożary, powodzie i inne klęski żywiołowe związane z pogarszającą się zmianą klimatu w całej Europie; w związku z tym podkreśla potrzebę zapewnienia wystarczającego finansowania unijnego mechanizmu ochrony ludności i wzywa do lepszej konsolidacji zdolności reagowania kryzysowego UE poprzez wzmocnienie wspólnych zespołów medycznych i ratowniczych; wzywa Komisję do zapewnienia możliwości szybkiego udostępnienia zasobów również za pośrednictwem FSUE i </w:t>
      </w:r>
      <w:r w:rsidRPr="00BE1230">
        <w:lastRenderedPageBreak/>
        <w:t>rezerwy na pomoc nadzwyczajną;</w:t>
      </w:r>
    </w:p>
    <w:p w:rsidR="00D448BE" w:rsidRPr="00BE1230" w:rsidRDefault="00D448BE" w:rsidP="00D448BE">
      <w:pPr>
        <w:pStyle w:val="NormalHanging12a"/>
      </w:pPr>
      <w:r w:rsidRPr="00BE1230">
        <w:t>22.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 xml:space="preserve"> znaczenie przeznaczenia odpowiednich środków finansowych na działania określone w rozporządzeniu w sprawie Programu UE dla zdrowia; przyznaje, że cena leków i technologii medycznych ma duży wpływ na ich dostępność dla pacjentów; podkreśla, że nieprzystępne koszty leków stanowią rzeczywistą przeszkodę w leczeniu, i wzywa do wdrożenia konkretnych środków w celu sprostania tym wyzwaniom; apeluje w tym kontekście o lepszą koordynację na szczeblu UE i wspólne zamówienia na leki w celu zmniejszenia kosztów; podkreśla znaczenie zwalczania chorób dziecięcych, ze szczególnym uwzględnieniem chorób rzadkich; w związku z tym podkreśla w szczególności znaczenie europejskiego planu walki z rakiem; apeluje o ambitny budżet klastra Zdrowie programu „Horyzont Europa” w celu zapewnienia UE możliwości skutecznego reagowania na przyszłe kryzysy zdrowotne, wsparcia we wzmacnianiu systemów opieki zdrowotnej oraz poprawie zdrowia fizycznego i psychicznego ludzi poprzez zwiększanie przystępności cenowej i dostępności opieki zdrowotnej; przyznaje, że choroby układu krążenia pozostają główną przyczyną zgonów w UE; uważa, że przeciwdziałanie chorobom układu krążenia przez inwestowanie w działania ukierunkowane na medycynę spersonalizowaną i e-zdrowie ma kluczowe znaczenie, ponieważ zwiększy to standardy profilaktyki i leczenia oraz umożliwi wszystkim obywatelom równy dostęp do opieki zdrowotnej; podkreśla potrzebę zapobiegania niedoborom leków, które wystąpiły w niektórych państwach członkowskich w ostatnich latach; uznaje, że należy zmniejszyć </w:t>
      </w:r>
      <w:proofErr w:type="gramStart"/>
      <w:r w:rsidRPr="00BE1230">
        <w:t>nierówności</w:t>
      </w:r>
      <w:proofErr w:type="gramEnd"/>
      <w:r w:rsidRPr="00BE1230">
        <w:t xml:space="preserve"> w zakresie zdrowia, aby zapewnić wszystkim kobietom sprawiedliwe systemy opieki zdrowotnej, w tym dostęp do usług w zakresie zdrowia seksualnego i reprodukcyjnego, i przypomina, że zdrowie kobiet musi pozostać priorytetem polityki i badań;</w:t>
      </w:r>
    </w:p>
    <w:p w:rsidR="00D448BE" w:rsidRPr="00BE1230" w:rsidRDefault="00D448BE" w:rsidP="00D448BE">
      <w:pPr>
        <w:pStyle w:val="NormalHanging12a"/>
      </w:pPr>
      <w:r w:rsidRPr="00BE1230">
        <w:t>23.</w:t>
      </w:r>
      <w:r w:rsidRPr="00BE1230">
        <w:tab/>
      </w:r>
      <w:proofErr w:type="gramStart"/>
      <w:r w:rsidRPr="00BE1230">
        <w:t>przypomina</w:t>
      </w:r>
      <w:proofErr w:type="gramEnd"/>
      <w:r w:rsidRPr="00BE1230">
        <w:t xml:space="preserve"> o potrzebie zajęcia się problemem niedoboru umiejętności, kwestią drenażu mózgów oraz korelacją między potrzebami rynku a umiejętnościami, również z perspektywy sytuacji w różnych regionach UE; uważa, że aby siła robocza UE pozostała konkurencyjna w przyszłości, konieczne jest określenie kluczowych obszarów szkoleń i przekwalifikowania, zwłaszcza w celu promowania umiejętności ekologicznych i cyfrowych; podkreśla, że konieczne są dalsze inwestycje, aby zmodernizować unijne systemy edukacji, stworzyć programy wspierania talentów i zachęcać młodych przedsiębiorców; wzywa do przyspieszenia realizacji Europejskiego Roku Umiejętności i europejskiego obszaru edukacji; wzywa Komisję do szybkiego wdrożenia rozwiązań uznanych za kluczowe podczas Europejskiego Roku Umiejętności, podkreślając potrzebę lepszej współpracy z </w:t>
      </w:r>
      <w:proofErr w:type="gramStart"/>
      <w:r w:rsidRPr="00BE1230">
        <w:t>przedsiębiorstwami</w:t>
      </w:r>
      <w:proofErr w:type="gramEnd"/>
      <w:r w:rsidRPr="00BE1230">
        <w:t>, w tym testu wpływu polityki UE na młodzież i zakazu bezpłatnych staży; w związku z zaleceniami przyjętymi podczas Konferencji w sprawie przyszłości Europy przypomina, jak ważne jest ustanowienie europejskiego planu na rzecz edukacji obejmującego środki finansowe w celu wspierania wysokiej jakości kształcenia i szkolenia nauczycieli oraz zmniejszenia odsetka osób przedwcześnie kończących naukę;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  <w:r w:rsidRPr="00BE1230">
        <w:rPr>
          <w:color w:val="000000"/>
        </w:rPr>
        <w:t>24.</w:t>
      </w:r>
      <w:r w:rsidRPr="00BE1230">
        <w:rPr>
          <w:color w:val="000000"/>
        </w:rPr>
        <w:tab/>
      </w:r>
      <w:proofErr w:type="gramStart"/>
      <w:r w:rsidRPr="00BE1230">
        <w:rPr>
          <w:color w:val="000000"/>
        </w:rPr>
        <w:t>podkreśla</w:t>
      </w:r>
      <w:proofErr w:type="gramEnd"/>
      <w:r w:rsidRPr="00BE1230">
        <w:rPr>
          <w:color w:val="000000"/>
        </w:rPr>
        <w:t xml:space="preserve"> wartość dodaną finansowania programów w dziedzinie demokracji oraz praw i wartości; przypomina o znaczeniu, jakie budżet UE odgrywa w promowaniu europejskich wartości zapisanych w art. 2 TUE, kultury i praw obywatelskich oraz budowaniu odpornych społeczeństw, a także wspieraniu kluczowych zasad demokracji, praworządności, solidarności, włączenia społecznego, sprawiedliwości, niedyskryminacji i równości, w tym równości płci; pragnie wzmocnienia odpowiednich linii i organów budżetowych w celu przeciwdziałania polaryzacji, wzrostowi ekstremizmu politycznego, niskiemu zaufaniu instytucjonalnemu, wzmocnienia </w:t>
      </w:r>
      <w:r w:rsidRPr="00BE1230">
        <w:rPr>
          <w:color w:val="000000"/>
        </w:rPr>
        <w:lastRenderedPageBreak/>
        <w:t xml:space="preserve">demokracji uczestniczącej, promowania praw podstawowych, zapobiegania regresowi demokracji, erozji praworządności, kurczeniu się przestrzeni dla organizacji społeczeństwa obywatelskiego działających w tym obszarze na szczeblu lokalnym, krajowym i unijnym, a także </w:t>
      </w:r>
      <w:proofErr w:type="gramStart"/>
      <w:r w:rsidRPr="00BE1230">
        <w:rPr>
          <w:color w:val="000000"/>
        </w:rPr>
        <w:t>instrumentalizacji</w:t>
      </w:r>
      <w:proofErr w:type="gramEnd"/>
      <w:r w:rsidRPr="00BE1230">
        <w:rPr>
          <w:color w:val="000000"/>
        </w:rPr>
        <w:t xml:space="preserve"> eurosceptycyzmu; apeluje o zapewnienie wystarczających środków UE na program „Obywatele, równość, prawa i wartości” (program CERV); podkreśla cenną pracę wykonaną w ramach komponentu „Wartości unijne”, który zapewnia bezpośrednie finansowanie organizacjom społeczeństwa obywatelskiego, a także w ramach komponentu „Daphne” oraz „Równość i prawa”; przypomina, że należy przeznaczyć niezbędne zasoby na zwalczanie przemocy ze względu na płeć oraz na wspieranie dostępu do bezpiecznych usług w zakresie zdrowia seksualnego i reprodukcyjnego oraz organizacji zajmujących się prawami kobiet, a także na inicjatywy i organy UE zwalczające dyskryminację kobiet; wzywa Komisję do ułatwienia dostępu do programu CERV oraz do zagwarantowania elastyczności w procesie ponownego </w:t>
      </w:r>
      <w:proofErr w:type="gramStart"/>
      <w:r w:rsidRPr="00BE1230">
        <w:rPr>
          <w:color w:val="000000"/>
        </w:rPr>
        <w:t>udzielania</w:t>
      </w:r>
      <w:proofErr w:type="gramEnd"/>
      <w:r w:rsidRPr="00BE1230">
        <w:rPr>
          <w:color w:val="000000"/>
        </w:rPr>
        <w:t xml:space="preserve"> dotacji organizacjom lokalnym i oddolnym przez podmioty w państwach członkowskich, tak aby finansowanie docierało do osób pracujących najbliżej obywateli; 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  <w:r w:rsidRPr="00BE1230">
        <w:rPr>
          <w:color w:val="000000"/>
        </w:rPr>
        <w:t>25.</w:t>
      </w:r>
      <w:r w:rsidRPr="00BE1230">
        <w:rPr>
          <w:color w:val="000000"/>
        </w:rPr>
        <w:tab/>
      </w:r>
      <w:proofErr w:type="gramStart"/>
      <w:r w:rsidRPr="00BE1230">
        <w:rPr>
          <w:color w:val="000000"/>
        </w:rPr>
        <w:t>wzywa</w:t>
      </w:r>
      <w:proofErr w:type="gramEnd"/>
      <w:r w:rsidRPr="00BE1230">
        <w:rPr>
          <w:color w:val="000000"/>
        </w:rPr>
        <w:t xml:space="preserve"> Komisję do zwiększenia wsparcia Unii na rzecz ochrony obywateli, mniejszości, wspólnot religijnych i przestrzeni publicznej przed zagrożeniami terrorystycznymi, walki z radykalizacją postaw i treściami terrorystycznymi w internecie oraz do przeciwdziałania gwałtownemu wzrostowi mowy nienawiści, antysemityzmu, nienawiści wobec muzułmanów i rasizmu w całej Europie i na całym świecie;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ind w:left="567" w:hanging="567"/>
      </w:pPr>
    </w:p>
    <w:p w:rsidR="00D448BE" w:rsidRPr="00BE1230" w:rsidRDefault="00D448BE" w:rsidP="00D448BE">
      <w:pPr>
        <w:pStyle w:val="NormalHanging12a"/>
      </w:pPr>
      <w:r w:rsidRPr="00BE1230">
        <w:t>26.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 xml:space="preserve"> rosnące zagrożenia i niebezpieczeństwa związane z prowadzonymi przez podmioty zagraniczne zorganizowanymi i ukierunkowanymi kampaniami dezinformacyjnymi skierowanymi przeciwko Unii Europejskiej; zwraca się o dodatkowe środki finansowe na program „Horyzont Europa” i działania zarządzane przez Komisję i ESDZ mające na celu walkę z rozprzestrzenianiem się dezinformacji na dużą skalę i opracowanie skuteczniejszych środków zaradczych; wzywa Unię i państwa członkowskie, aby wykorzystywały fundusze UE na działania służące zwiększeniu umiejętności korzystania z mediów wśród obywateli; wzywa do zwiększenia środków finansowych na przeciwdziałanie mowie nienawiści i treściom terrorystycznym w internecie; podkreśla potrzebę wzmocnienia wolności dziennikarskiej i pluralizmu mediów za pomocą odpowiednich zasobów, zgodnie z </w:t>
      </w:r>
      <w:proofErr w:type="gramStart"/>
      <w:r w:rsidRPr="00BE1230">
        <w:t>odpowiednimi</w:t>
      </w:r>
      <w:proofErr w:type="gramEnd"/>
      <w:r w:rsidRPr="00BE1230">
        <w:t xml:space="preserve"> przepisami, oraz wspierania dziennikarzy, w tym dziennikarzy śledczych, obrońców praw człowieka i członków społeczeństwa obywatelskiego, wobec których prowadzone są działania odwetowe, takie jak strategiczne powództwa zmierzające do stłumienia debaty publicznej; wzywa do odpowiedniego wsparcia sektora kultury, w tym promowania transgranicznego obiegu europejskich filmów, muzyki i gier wideo; apeluje zatem o zwiększenie finansowania programu „Kreatywna Europa”;</w:t>
      </w:r>
    </w:p>
    <w:p w:rsidR="00D448BE" w:rsidRPr="00BE1230" w:rsidRDefault="00D448BE" w:rsidP="00D448BE">
      <w:pPr>
        <w:pStyle w:val="NormalHanging12a"/>
        <w:rPr>
          <w:b/>
          <w:i/>
        </w:rPr>
      </w:pPr>
      <w:r w:rsidRPr="00BE1230">
        <w:rPr>
          <w:b/>
          <w:i/>
        </w:rPr>
        <w:t>Budżet realizujący priorytety strategiczne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27.</w:t>
      </w:r>
      <w:r w:rsidRPr="00BE1230">
        <w:rPr>
          <w:color w:val="000000"/>
        </w:rPr>
        <w:tab/>
      </w:r>
      <w:proofErr w:type="gramStart"/>
      <w:r w:rsidRPr="00BE1230">
        <w:rPr>
          <w:color w:val="000000"/>
        </w:rPr>
        <w:t>podkreśla</w:t>
      </w:r>
      <w:proofErr w:type="gramEnd"/>
      <w:r w:rsidRPr="00BE1230">
        <w:rPr>
          <w:color w:val="000000"/>
        </w:rPr>
        <w:t xml:space="preserve"> znaczenie ograniczenia strategicznych zależności Unii w kluczowych sektorach; z zadowoleniem przyjmuje nowe rozporządzenie w sprawie STEP, jednak wskazuje na potrzebę strukturalnej odpowiedzi na potrzeby inwestycyjne strategicznych gałęzi przemysłu, aby ułatwić identyfikację, rozwój i zwiększanie skali przełomowych technologii; ubolewa, że obecny poziom finansowania programu „Horyzont Europa” jest pod tym względem niewystarczający, i apeluje o zwiększenie finansowania programu „Horyzont Europa” i innych kluczowych programów unijnych w tej </w:t>
      </w:r>
      <w:r w:rsidRPr="00BE1230">
        <w:rPr>
          <w:color w:val="000000"/>
        </w:rPr>
        <w:lastRenderedPageBreak/>
        <w:t xml:space="preserve">dziedzinie, takich jak InvestEU, tak aby osiągnąć cel w postaci otwartej autonomii strategicznej; uważa, że zależność UE od dostaw zasobów jest coraz większym problemem; </w:t>
      </w:r>
      <w:r w:rsidRPr="00BE1230">
        <w:t xml:space="preserve">wzywa do dalszych inwestycji UE w budowanie otwartej strategicznej autonomii </w:t>
      </w:r>
      <w:proofErr w:type="gramStart"/>
      <w:r w:rsidRPr="00BE1230">
        <w:t>przez</w:t>
      </w:r>
      <w:proofErr w:type="gramEnd"/>
      <w:r w:rsidRPr="00BE1230">
        <w:t xml:space="preserve"> zapewnienie przyspieszenia rozwoju energii odnawialnej, szybszych procesów wydawania pozwoleń i dekarbonizacji budynków, dostępu do surowców krytycznych i rozwój odpornych łańcuchów wartości dla ekosystemów przemysłowych UE, zwłaszcza w kluczowych dziedzinach, takich jak opieka zdrowotna i obrona;</w:t>
      </w:r>
      <w:r w:rsidRPr="00BE1230">
        <w:rPr>
          <w:color w:val="000000"/>
        </w:rPr>
        <w:t xml:space="preserve"> </w:t>
      </w:r>
      <w:r w:rsidRPr="00BE1230">
        <w:t>apeluje o odpowiednie środki finansowe, aby zapewnić stały rozwój obecnych sztandarowych europejskich programów w sektorze kosmicznym, w tym programów Copernicus, Galileo/EGNOS, europejskiej inicjatywy w zakresie rządowej łączności satelitarnej (Govsatcom) i świadomości sytuacyjnej w przestrzeni kosmicznej;</w:t>
      </w:r>
    </w:p>
    <w:p w:rsidR="00D448BE" w:rsidRPr="00BE1230" w:rsidRDefault="00D448BE" w:rsidP="00D448BE">
      <w:pPr>
        <w:pStyle w:val="NormalHanging12a"/>
      </w:pPr>
      <w:r w:rsidRPr="00BE1230">
        <w:t>28.</w:t>
      </w:r>
      <w:r w:rsidRPr="00BE1230">
        <w:tab/>
      </w:r>
      <w:proofErr w:type="gramStart"/>
      <w:r w:rsidRPr="00BE1230">
        <w:t>uważa</w:t>
      </w:r>
      <w:proofErr w:type="gramEnd"/>
      <w:r w:rsidRPr="00BE1230">
        <w:t xml:space="preserve">, że transformacja cyfrowa oferuje wiele możliwości poprawy infrastruktury cyfrowej i łączności oraz rozwoju umiejętności cyfrowych; podkreśla w związku z tym znaczenie programu „Cyfrowa Europa” i instrumentu „Łącząc Europę” – technologie cyfrowe (CEF–Digital) oraz Planu działania w dziedzinie edukacji cyfrowej; ponownie podkreśla potrzebę opracowania programu edukacyjnego w zakresie sztucznej inteligencji, kodowania i robotyki przeznaczonego dla nauczycieli i osób uczących się oraz finansowanego z odpowiednich programów; podkreśla, że budżet UE musi odpowiednio wspierać etyczne i niedyskryminacyjne wykorzystanie sztucznej inteligencji, zwłaszcza w sektorach edukacji i kultury; przypomina o potrzebie finansowania przez UE programów mających na celu dalsze inwestowanie w poprawę umiejętności cyfrowych </w:t>
      </w:r>
      <w:proofErr w:type="gramStart"/>
      <w:r w:rsidRPr="00BE1230">
        <w:t>w</w:t>
      </w:r>
      <w:proofErr w:type="gramEnd"/>
      <w:r w:rsidRPr="00BE1230">
        <w:t> społeczeństwie i zlikwidowanie przepaści cyfrowej, w tym przepaści cyfrowej między kobietami a mężczyznami, w edukacji i uczeniu się przez całe życie;</w:t>
      </w:r>
    </w:p>
    <w:p w:rsidR="00D448BE" w:rsidRPr="00BE1230" w:rsidRDefault="00D448BE" w:rsidP="00D448BE">
      <w:pPr>
        <w:pStyle w:val="NormalHanging12a"/>
      </w:pPr>
      <w:r w:rsidRPr="00BE1230">
        <w:t>29.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 xml:space="preserve"> kluczową rolę budżetu UE w realizacji Europejskiego Zielonego Ładu i przeciwdziałaniu zmianie klimatu przez ograniczenie emisji, zwiększenie wykorzystania energii ze źródeł odnawialnych, tworzenie gospodarki o obiegu zamkniętym, ochronę ekosystemów i odwrócenie niepokojącej tendencji utraty różnorodności biologicznej przy jednoczesnej ochronie konkurencyjności i tworzeniu zielonych miejsc pracy, a także pobudzaniu wzrostu gospodarczego w UE; podkreśla ważną rolę, jaką odgrywa program LIFE w realizacji Europejskiego Zielonego Ładu, osiągnięciu unijnego celu neutralności klimatycznej zgodnie z unijnym prawem o klimacie i porozumieniem paryskim; jest głęboko zaniepokojony poważnymi skutkami zmiany klimatu, w tym niedoborem wody;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30.</w:t>
      </w:r>
      <w:r w:rsidRPr="00BE1230">
        <w:rPr>
          <w:color w:val="000000"/>
        </w:rPr>
        <w:tab/>
      </w:r>
      <w:proofErr w:type="gramStart"/>
      <w:r w:rsidRPr="00BE1230">
        <w:rPr>
          <w:color w:val="000000"/>
        </w:rPr>
        <w:t>podkreśla</w:t>
      </w:r>
      <w:proofErr w:type="gramEnd"/>
      <w:r w:rsidRPr="00BE1230">
        <w:rPr>
          <w:color w:val="000000"/>
        </w:rPr>
        <w:t xml:space="preserve">, że obawy dotyczące bezpieczeństwa dostaw energii i wysokich cen energii sprawiają, że kwestia ubóstwa energetycznego ma kluczowe znaczenie i stanowi wyzwanie dla przemysłu europejskiego, w szczególności dla MŚP; w związku z tym podkreśla potrzebę pobudzenia inwestycji UE na rzecz trwającej transformacji UE w kierunku neutralności klimatycznej, w tym w zakresie efektywności energetycznej, badań naukowych i innowacji w dziedzinie zrównoważonych technologii niskoemisyjnych i bezemisyjnych, w szczególności w obszarach mających pozytywny wpływ na obniżenie kosztów życia gospodarstw domowych, takich jak poprawa efektywności energetycznej budynków i wykorzystanie odnawialnych źródeł energii; odnotowuje ogromne potrzeby inwestycyjne w zakresie dekarbonizacji transportu oraz ciągły wzrost cen </w:t>
      </w:r>
      <w:proofErr w:type="gramStart"/>
      <w:r w:rsidRPr="00BE1230">
        <w:rPr>
          <w:color w:val="000000"/>
        </w:rPr>
        <w:t>materiałów</w:t>
      </w:r>
      <w:proofErr w:type="gramEnd"/>
      <w:r w:rsidRPr="00BE1230">
        <w:rPr>
          <w:color w:val="000000"/>
        </w:rPr>
        <w:t xml:space="preserve"> budowlanych i surowców; uznaje strategiczną wartość rozszerzenia TEN-T na wschodnie sąsiedztwo i lepszej łączności ze strategicznymi partnerami UE; podkreśla znaczenie programu „Łącząc Europę” – Transport i jego pozytywną rolę w osiąganiu celów Zielonego Ładu i transformacji w kierunku czystej </w:t>
      </w:r>
      <w:r w:rsidRPr="00BE1230">
        <w:rPr>
          <w:color w:val="000000"/>
        </w:rPr>
        <w:lastRenderedPageBreak/>
        <w:t>energii;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31.</w:t>
      </w:r>
      <w:r w:rsidRPr="00BE1230">
        <w:rPr>
          <w:color w:val="000000"/>
        </w:rPr>
        <w:tab/>
      </w:r>
      <w:proofErr w:type="gramStart"/>
      <w:r w:rsidRPr="00BE1230">
        <w:rPr>
          <w:color w:val="000000"/>
        </w:rPr>
        <w:t>podkreśla</w:t>
      </w:r>
      <w:proofErr w:type="gramEnd"/>
      <w:r w:rsidRPr="00BE1230">
        <w:rPr>
          <w:color w:val="000000"/>
        </w:rPr>
        <w:t>, że budżet na 2025 r. musi być dostosowany do celów polityki Unii i jej zobowiązań międzynarodowych; zwraca uwagę, że trzeba kontynuować prace na rzecz osiągnięcia celów określonych w porozumieniu międzyinstytucjonalnym w zakresie uwzględniania kwestii klimatu i różnorodności biologicznej w wydatkach z budżetu Unii, w ramach szerszego celu, jakim jest osiągnięcie neutralności klimatycznej Unii najpóźniej do 2050 r.; przypomina o postanowieniach porozumienia międzyinstytucjonalnego dotyczących określenia odpowiednich środków, jakie należy podjąć w przypadku, gdy okresowy bilans wykaże niewystarczające postępy w osiąganiu ustalonych celów; jest zaniepokojony tym, że według Komisji cel zakładający wydatki związane z różnorodnością biologiczną na poziomie 10 % w 2026 i 2027 r. najprawdopodobniej nie zostanie osiągnięty, a także brakiem wyraźnego planu osiągnięcia uzgodnionych celów</w:t>
      </w:r>
      <w:proofErr w:type="gramStart"/>
      <w:r w:rsidRPr="00BE1230">
        <w:rPr>
          <w:color w:val="000000"/>
        </w:rPr>
        <w:t>;</w:t>
      </w:r>
      <w:bookmarkStart w:id="8" w:name="_GoBack"/>
      <w:bookmarkEnd w:id="8"/>
      <w:r w:rsidRPr="00BE1230">
        <w:rPr>
          <w:color w:val="000000"/>
        </w:rPr>
        <w:t> wzywa</w:t>
      </w:r>
      <w:proofErr w:type="gramEnd"/>
      <w:r w:rsidRPr="00BE1230">
        <w:rPr>
          <w:color w:val="000000"/>
        </w:rPr>
        <w:t xml:space="preserve"> Komisję, aby monitorowała wdrażanie zasady „nie czyń poważnych szkód” i w razie potrzeby podejmowała niezbędne działania naprawcze; </w:t>
      </w:r>
    </w:p>
    <w:p w:rsidR="00D448BE" w:rsidRPr="00BE1230" w:rsidRDefault="00D448BE" w:rsidP="00D448BE">
      <w:pPr>
        <w:pStyle w:val="NormalHanging12a"/>
        <w:rPr>
          <w:color w:val="000000"/>
        </w:rPr>
      </w:pPr>
      <w:r w:rsidRPr="00BE1230">
        <w:rPr>
          <w:color w:val="000000"/>
        </w:rPr>
        <w:t>32.</w:t>
      </w:r>
      <w:r w:rsidRPr="00BE1230">
        <w:rPr>
          <w:color w:val="000000"/>
        </w:rPr>
        <w:tab/>
      </w:r>
      <w:proofErr w:type="gramStart"/>
      <w:r w:rsidRPr="00BE1230">
        <w:t>podkreśla</w:t>
      </w:r>
      <w:proofErr w:type="gramEnd"/>
      <w:r w:rsidRPr="00BE1230">
        <w:t xml:space="preserve"> znaczenie europejskiej inicjatywy miejskiej i jej odpowiedniego finansowania dla osiągnięcia wszystkich jej celów;</w:t>
      </w:r>
      <w:r w:rsidRPr="00BE1230">
        <w:rPr>
          <w:color w:val="000000"/>
        </w:rPr>
        <w:t xml:space="preserve"> apeluje o bardziej bezpośrednie finansowanie władz lokalnych, tak aby wzmocnić budowanie ich zdolności, wsparcia technicznego i wymiany najlepszych praktyk; wzywa do zwiększenia zasobów dla odpowiednich agencji, które muszą odpowiadać obciążeniu pracą wynikającemu z programu Europejskiego Zielonego Ładu, w szczególności pakietu „Gotowi na 55”;</w:t>
      </w:r>
    </w:p>
    <w:p w:rsidR="00D448BE" w:rsidRPr="00BE1230" w:rsidRDefault="00D448BE" w:rsidP="00D448BE">
      <w:pPr>
        <w:pStyle w:val="NormalHanging12a"/>
      </w:pPr>
      <w:r w:rsidRPr="00BE1230">
        <w:t>33.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 xml:space="preserve"> zasadniczy wkład społeczny rolników i rybaków i zaznacza w związku z tym kluczowe znaczenie wspólnej polityki rolnej (WPR) i wspólnej polityki rybołówstwa dla bezpieczeństwa żywnościowego i większej autonomii UE w produkcji żywności wysokiej jakości; podkreśla rolę WPR w zapewnianiu zrównoważonego i godnego dochodu rolnikom w UE, zwłaszcza właścicielom małych gospodarstw i młodym rolnikom; apeluje o konkretne działania mające usunąć przyczyny niezadowolenia rolników w całej UE, a zwłaszcza o natychmiastowe przyznanie zasobów i przyjęcie środków mających pomóc rolnikom radzić sobie ze skutkami inflacji, kosztów paliwa, nowych norm produkcji i zmian na światowym rynku żywności; podkreśla, że trzeba wspierać nowych i </w:t>
      </w:r>
      <w:proofErr w:type="gramStart"/>
      <w:r w:rsidRPr="00BE1230">
        <w:t>młodych</w:t>
      </w:r>
      <w:proofErr w:type="gramEnd"/>
      <w:r w:rsidRPr="00BE1230">
        <w:t xml:space="preserve"> rolników, a przez to zapewnić wymianę pokoleń, jednocześnie rozwiązując problem niedoboru siły roboczej i umiejętności w sektorze rolno-spożywczym; zwraca uwagę, że europejscy rolnicy borykają się z wieloma wyzwaniami, zwłaszcza z nadmierną biurokracją i obciążeniami administracyjnymi, coraz większym nakładaniem się przepisów, niedoborami, a także trudnymi warunkami pracy; </w:t>
      </w:r>
      <w:r w:rsidRPr="00BE1230">
        <w:rPr>
          <w:color w:val="000000"/>
        </w:rPr>
        <w:t xml:space="preserve">podkreśla, że specjalnymi środkami wsparcia trzeba lepiej reagować na wpływ rosnącej częstotliwości i intensywności powodzi, susz i pożarów lasów na poszczególne sektory; </w:t>
      </w:r>
      <w:r w:rsidRPr="00BE1230">
        <w:t xml:space="preserve">apeluje o odpowiednie dochody dla wszystkich w sektorze rolnym; podkreśla, że trzeba odpowiednio wspierać badania naukowe i innowacje oraz przestrzegać norm pracy, a także odpowiednio inwestować, by zaoferować alternatywne źródła dochodu </w:t>
      </w:r>
      <w:proofErr w:type="gramStart"/>
      <w:r w:rsidRPr="00BE1230">
        <w:t>oraz</w:t>
      </w:r>
      <w:proofErr w:type="gramEnd"/>
      <w:r w:rsidRPr="00BE1230">
        <w:t xml:space="preserve"> ułatwić przejście na bardziej zrównoważony i przystępny cenowo system żywnościowy, zwłaszcza dzięki innowacjom, utrzymując dochody rolników, a jednocześnie unikając sytuacji, w której rolnicy europejscy będą zmagać się z nieuczciwą konkurencją w postaci importu niespełniającego naszych norm;</w:t>
      </w:r>
      <w:r w:rsidRPr="00BE1230">
        <w:rPr>
          <w:color w:val="000000"/>
        </w:rPr>
        <w:t xml:space="preserve"> </w:t>
      </w:r>
      <w:r w:rsidRPr="00BE1230">
        <w:t>oczekuje, że strategiczny dialog o przyszłości rolnictwa obejmie wszystkie istotne sprawy, w tym aspekty zapobiegawcze;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t>34.</w:t>
      </w:r>
      <w:r w:rsidRPr="00BE1230">
        <w:tab/>
      </w:r>
      <w:proofErr w:type="gramStart"/>
      <w:r w:rsidRPr="00BE1230">
        <w:t>przypomina</w:t>
      </w:r>
      <w:proofErr w:type="gramEnd"/>
      <w:r w:rsidRPr="00BE1230">
        <w:t xml:space="preserve">, że wszystkie programy, strategie polityczne i działania UE należy wdrażać </w:t>
      </w:r>
      <w:r w:rsidRPr="00BE1230">
        <w:lastRenderedPageBreak/>
        <w:t>w taki sposób, by w realizacji ich celów wspierać równość płci; z aprobatą przyjmuje w związku z tym prace Komisji nad sporządzaniem budżetu z uwzględnieniem aspektu płci oraz podkreśla, że trzeba dalej rozwijać metodykę monitorowania równouprawnienia płci, by mierzyć wpływ wydatków Unii w perspektywie płci, zgodnie z porozumieniem międzyinstytucjonalnym;</w:t>
      </w:r>
      <w:r w:rsidRPr="00BE1230">
        <w:rPr>
          <w:color w:val="000000"/>
        </w:rPr>
        <w:t xml:space="preserve"> wzywa Komisję, by zaprezentowała wyniki tej metodyki w budżecie na 2025 r. oraz by systematycznie gromadziła, przekazywała i oceniała dane segregowane według kryterium płci;</w:t>
      </w:r>
    </w:p>
    <w:p w:rsidR="00D448BE" w:rsidRPr="00BE1230" w:rsidRDefault="00D448BE" w:rsidP="00D448BE">
      <w:pPr>
        <w:pStyle w:val="NormalHanging12a"/>
        <w:rPr>
          <w:b/>
          <w:i/>
        </w:rPr>
      </w:pPr>
      <w:r w:rsidRPr="00BE1230">
        <w:rPr>
          <w:b/>
          <w:i/>
        </w:rPr>
        <w:t>Budżet dostosowany do przyszłych wyzwań w zmieniającym się świecie</w:t>
      </w:r>
    </w:p>
    <w:p w:rsidR="00D448BE" w:rsidRPr="00BE1230" w:rsidRDefault="00D448BE" w:rsidP="00D448BE">
      <w:pPr>
        <w:spacing w:after="240"/>
        <w:ind w:left="567" w:hanging="567"/>
      </w:pPr>
      <w:r w:rsidRPr="00BE1230">
        <w:t>35.</w:t>
      </w:r>
      <w:r w:rsidRPr="00BE1230">
        <w:tab/>
      </w:r>
      <w:proofErr w:type="gramStart"/>
      <w:r w:rsidRPr="00BE1230">
        <w:t>ponownie</w:t>
      </w:r>
      <w:proofErr w:type="gramEnd"/>
      <w:r w:rsidRPr="00BE1230">
        <w:t xml:space="preserve"> podkreśla, że trzeba realizować politykę migracyjną i azylową opartą na solidarności, wspólnej odpowiedzialności i poszanowaniu praw człowieka, zgodnie z wartościami Unii i zobowiązaniami międzynarodowymi; podkreśla, że skuteczne, humanistyczne i sprawiedliwe zarządzanie granicami zewnętrznymi Unii i ich ochrona mają kluczowe znaczenie dla zapewnienia bezpieczeństwa Unii, zagwarantowania sprawnego i efektywnego wdrażania unijnej polityki migracyjnej i azylowej, zwłaszcza z myślą o przygotowaniu się na wejście w życie nowego paktu o migracji i azylu, w tym jeśli chodzi o skuteczne, bezpieczne i godne przyjmowanie, integrację i powroty oraz o procedury readmisji;</w:t>
      </w:r>
      <w:r w:rsidRPr="00BE1230">
        <w:rPr>
          <w:color w:val="000000"/>
        </w:rPr>
        <w:t xml:space="preserve"> podkreśla fundamentalną rolę, jaką w tym względzie odgrywają Fundusz Azylu, Migracji i Integracji oraz Instrument Wsparcia Finansowego na rzecz Zarządzania Granicami i Polityki Wizowej (IZGW); </w:t>
      </w:r>
      <w:r w:rsidRPr="00BE1230">
        <w:t xml:space="preserve">przypomina, że trzeba utrzymać swobodny przepływ osób w Unii; przypomina, że w marcu 2024 r. Rumunia i Bułgaria dołączyły do europejskiej pozbawionej granic strefy Schengen, i ponownie podkreśla, że trzeba pilnie ukończyć i wdrożyć ich pełne przystąpienie, w tym na drogowych i kolejowych przejściach granicznych; będzie dążyć do maksymalizacji środków dostępnych w budżecie na 2025 r. na te cele; uważa, że UE musi ściśle współpracować z sąsiadami oraz z państwami trzecimi pochodzenia i tranzytu, by pobudzić stabilny, zrównoważony i sprzyjający włączeniu społecznemu rozwój oraz usuwać podstawowe przyczyny migracji, a </w:t>
      </w:r>
      <w:proofErr w:type="gramStart"/>
      <w:r w:rsidRPr="00BE1230">
        <w:t>tym</w:t>
      </w:r>
      <w:proofErr w:type="gramEnd"/>
      <w:r w:rsidRPr="00BE1230">
        <w:t xml:space="preserve"> samym zapobiegać migracji nielegalnej i chronić osoby podatne na zagrożenia przed siatkami przemytników i handlarzy ludźmi, a także przed śmiercią na morzu; podkreśla zwłaszcza coraz większą odpowiedzialność spoczywającą na agencjach odpowiedzialnych za ochronę granic i zarządzanie nimi, wspieranie państw członkowskich w wykonywaniu zadań wspólnego europejskiego systemu azylowego oraz przestrzeganiu praw podstawowych;</w:t>
      </w:r>
      <w:r w:rsidRPr="00BE1230">
        <w:rPr>
          <w:color w:val="000000"/>
        </w:rPr>
        <w:t xml:space="preserve"> podkreśla, że trzeba odpowiednio finansować wszystkie agencje działające w dziedzinie bezpieczeństwa, sprawiedliwości, egzekwowania prawa, azylu i migracji oraz zarządzania granicami, zatrudniać w nich odpowiednio dużo pracowników i szkolić ich, by agencje te mogły wypełniać swoje zadania; apeluje o położenie szczególnego nacisku na prawidłowe wdrożenie wielkoskalowych systemów informatycznych UE, </w:t>
      </w:r>
      <w:proofErr w:type="gramStart"/>
      <w:r w:rsidRPr="00BE1230">
        <w:rPr>
          <w:color w:val="000000"/>
        </w:rPr>
        <w:t>sprzyjających</w:t>
      </w:r>
      <w:proofErr w:type="gramEnd"/>
      <w:r w:rsidRPr="00BE1230">
        <w:rPr>
          <w:color w:val="000000"/>
        </w:rPr>
        <w:t xml:space="preserve"> bezpieczeństwu Unii, i na odpowiednie zarządzanie nimi;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E1230">
        <w:rPr>
          <w:color w:val="000000"/>
        </w:rPr>
        <w:t>36.</w:t>
      </w:r>
      <w:r w:rsidRPr="00BE1230">
        <w:rPr>
          <w:color w:val="000000"/>
        </w:rPr>
        <w:tab/>
      </w:r>
      <w:proofErr w:type="gramStart"/>
      <w:r w:rsidRPr="00BE1230">
        <w:t>podkreśla</w:t>
      </w:r>
      <w:proofErr w:type="gramEnd"/>
      <w:r w:rsidRPr="00BE1230">
        <w:t>, że stan bezpieczeństwa wokół UE jest nadal bardzo niestabilny;</w:t>
      </w:r>
      <w:r w:rsidRPr="00BE1230">
        <w:rPr>
          <w:color w:val="000000"/>
        </w:rPr>
        <w:t xml:space="preserve"> niezmiennie kładzie silny nacisk na europejskie zdolności w dziedzinie bezpieczeństwa i obrony, aby lepiej reagować na bezprecedensowe wyzwania geopolityczne; uważa, że budżet UE ma zasadnicze znaczenie w kontekście wspólnej strategii obronnej UE oraz wzmocnionej koordynacji bezpieczeństwa i obrony między państwami członkowskimi; chciałby doskonalić najbardziej udane i odpowiednie programy, takie jak Europejski Fundusz Obronny, i agencje wspierające suwerenność europejską; chciałby podkreślić synergię i efektywność inwestycji na szczeblu UE w dziedzinie obronności, a zwłaszcza mobilności wojskowej, ochrony i interoperacyjności infrastruktury; podkreśla, że trzeba zająć się takimi sprawami jak dezinformacja, będąca coraz większym </w:t>
      </w:r>
      <w:proofErr w:type="gramStart"/>
      <w:r w:rsidRPr="00BE1230">
        <w:rPr>
          <w:color w:val="000000"/>
        </w:rPr>
        <w:t>wyzwaniem</w:t>
      </w:r>
      <w:proofErr w:type="gramEnd"/>
      <w:r w:rsidRPr="00BE1230">
        <w:rPr>
          <w:color w:val="000000"/>
        </w:rPr>
        <w:t xml:space="preserve"> </w:t>
      </w:r>
      <w:r w:rsidRPr="00BE1230">
        <w:rPr>
          <w:color w:val="000000"/>
        </w:rPr>
        <w:lastRenderedPageBreak/>
        <w:t xml:space="preserve">politycznym i wyzwaniem dla bezpieczeństwa – zwłaszcza w związku z rosyjską wojną przeciwko Ukrainie – a także cyberprzestępczością czy przestępczością zorganizowaną o wymiarze transgranicznym; </w:t>
      </w:r>
    </w:p>
    <w:p w:rsidR="00D448BE" w:rsidRPr="00BE1230" w:rsidRDefault="00D448BE" w:rsidP="00D448BE">
      <w:pPr>
        <w:pStyle w:val="NormalHanging12a"/>
      </w:pPr>
      <w:r w:rsidRPr="00BE1230">
        <w:t>37.</w:t>
      </w:r>
      <w:r w:rsidRPr="00BE1230">
        <w:tab/>
      </w:r>
      <w:proofErr w:type="gramStart"/>
      <w:r w:rsidRPr="00BE1230">
        <w:t>po</w:t>
      </w:r>
      <w:proofErr w:type="gramEnd"/>
      <w:r w:rsidRPr="00BE1230">
        <w:t xml:space="preserve"> raz kolejny potępia rosyjską wojnę przeciwko Ukrainie i podkreśla, że ponownie przyniosła ona wojnę do sąsiedztwa Unii Europejskiej oraz odbiła się na łańcuchach dostaw, handlu i stosunkach gospodarczych; </w:t>
      </w:r>
      <w:r w:rsidRPr="00BE1230">
        <w:rPr>
          <w:color w:val="000000"/>
        </w:rPr>
        <w:t xml:space="preserve">ponownie wyraża pełne poparcie dla Ukrainy walczącej o wolność i demokrację; </w:t>
      </w:r>
      <w:r w:rsidRPr="00BE1230">
        <w:t xml:space="preserve">ubolewa nad straszliwym wpływem na życie Ukraińców i nad ich cierpieniami, a także nad poważnymi konsekwencjami gospodarczymi i społecznymi dla Europejczyków, spowodowanymi niczym niesprowokowaną i nieuzasadnioną rosyjską wojną napastniczą; uważa, że budżet na 2025 r. powinien pomóc złagodzić skutki kryzysu związanego z kosztami utrzymania i inflacją; przypomina, że niektóre państwa członkowskie, zwłaszcza państwa przyfrontowe, oraz podatne na zagrożenia sektory gospodarki są </w:t>
      </w:r>
      <w:proofErr w:type="gramStart"/>
      <w:r w:rsidRPr="00BE1230">
        <w:t>nadal</w:t>
      </w:r>
      <w:proofErr w:type="gramEnd"/>
      <w:r w:rsidRPr="00BE1230">
        <w:t xml:space="preserve"> szczególnie narażone na skutki rosyjskiej wojny napastniczej przeciwko Ukrainie i zasługują na wsparcie w obszarach takich jak rolnictwo czy infrastruktura, ale również mobilność wojskowa, w duchu solidarności unijnej;</w:t>
      </w:r>
    </w:p>
    <w:p w:rsidR="00D448BE" w:rsidRPr="00BE1230" w:rsidRDefault="00D448BE" w:rsidP="00D448BE">
      <w:pPr>
        <w:pStyle w:val="NormalHanging12a"/>
      </w:pPr>
      <w:r w:rsidRPr="00BE1230">
        <w:t>38.</w:t>
      </w:r>
      <w:r w:rsidRPr="00BE1230">
        <w:tab/>
      </w:r>
      <w:proofErr w:type="gramStart"/>
      <w:r w:rsidRPr="00BE1230">
        <w:t>jest</w:t>
      </w:r>
      <w:proofErr w:type="gramEnd"/>
      <w:r w:rsidRPr="00BE1230">
        <w:t xml:space="preserve"> nadal zdeterminowany, by pomagać Ukrainie i wspierać ją za pośrednictwem proponowanego Instrumentu na rzecz Ukrainy, który zapewni wsparcie w formie dotacji i pożyczek na naprawę, ożywienie i odbudowę Ukrainy, a także na pomoc makrofinansową, pozytywną konwergencję instytucjonalną, społeczno-gospodarczą i środowiskową, inwestycje publiczne oraz dążenie do przystąpienia do UE; podkreśla pilną potrzebę, a zarazem dobrą okazję, by połączyć wsparcie dla Ukrainy i jej odbudowę z konstruktywnym procesem przedakcesyjnym, sprzyjającym reformom i stopniowemu zmierzaniu do przyjęcia dorobku prawnego UE; </w:t>
      </w:r>
      <w:r w:rsidRPr="00BE1230">
        <w:rPr>
          <w:color w:val="000000"/>
        </w:rPr>
        <w:t xml:space="preserve">przypomina, że ze środków instrumentu nie będzie pokrywana pomoc humanitarna dla Ukrainy, i dlatego podkreśla, że również w budżecie na rok 2025 trzeba </w:t>
      </w:r>
      <w:proofErr w:type="gramStart"/>
      <w:r w:rsidRPr="00BE1230">
        <w:rPr>
          <w:color w:val="000000"/>
        </w:rPr>
        <w:t>będzie</w:t>
      </w:r>
      <w:proofErr w:type="gramEnd"/>
      <w:r w:rsidRPr="00BE1230">
        <w:rPr>
          <w:color w:val="000000"/>
        </w:rPr>
        <w:t xml:space="preserve"> przeznaczyć wystarczające zasoby na tę pomoc;</w:t>
      </w:r>
    </w:p>
    <w:p w:rsidR="00D448BE" w:rsidRPr="00BE1230" w:rsidRDefault="00D448BE" w:rsidP="00D448BE">
      <w:pPr>
        <w:pStyle w:val="NormalHanging12a"/>
      </w:pPr>
      <w:r w:rsidRPr="00BE1230">
        <w:t>39.</w:t>
      </w:r>
      <w:r w:rsidRPr="00BE1230">
        <w:tab/>
      </w:r>
      <w:proofErr w:type="gramStart"/>
      <w:r w:rsidRPr="00BE1230">
        <w:t>uważa</w:t>
      </w:r>
      <w:proofErr w:type="gramEnd"/>
      <w:r w:rsidRPr="00BE1230">
        <w:t xml:space="preserve">, że wsparcie dla państw Bałkanów Zachodnich jest wciąż istotne dla rozszerzenia UE, i z zadowoleniem przyjmuje nowy plan Komisji na rzecz wzrostu gospodarczego w państwach Bałkanów Zachodnich jako dobry krok w dalszym wspieraniu ich w osiąganiu konwergencji gospodarczej z jednolitym rynkiem UE; podkreśla znaczenie stałego wsparcia dla krajów kandydujących we wdrażaniu niezbędnych reform związanych z przystąpieniem, zwłaszcza w dziedzinie praworządności, walki z korupcją i demokracji, a także w zwiększaniu ich odporności oraz zapobieganiu zagrożeniom hybrydowym i przeciwdziałaniu im; </w:t>
      </w:r>
    </w:p>
    <w:p w:rsidR="00D448BE" w:rsidRPr="00BE1230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E1230">
        <w:rPr>
          <w:color w:val="000000"/>
        </w:rPr>
        <w:t>40.</w:t>
      </w:r>
      <w:r w:rsidRPr="00BE1230">
        <w:rPr>
          <w:color w:val="000000"/>
        </w:rPr>
        <w:tab/>
      </w:r>
      <w:proofErr w:type="gramStart"/>
      <w:r w:rsidRPr="00BE1230">
        <w:rPr>
          <w:color w:val="000000"/>
        </w:rPr>
        <w:t>z</w:t>
      </w:r>
      <w:proofErr w:type="gramEnd"/>
      <w:r w:rsidRPr="00BE1230">
        <w:rPr>
          <w:color w:val="000000"/>
        </w:rPr>
        <w:t xml:space="preserve"> zadowoleniem przyjmuje decyzję o przyznaniu Ukrainie i Republice Mołdawii statusu krajów kandydujących oraz podkreśla, że należy uruchomić niezbędne fundusze na wsparcie ich procesu akcesyjnego; podkreśla, że przydział środków na Instrument Pomocy Przedakcesyjnej (IPA III) i odpowiednie linie budżetowe w ISWMR – „Globalny wymiar Europy” w 2025 r. powinny pobudzać współpracę z Mołdawią i Gruzją, zgodnie z porozumieniem w sprawie rewizji WRF;</w:t>
      </w:r>
    </w:p>
    <w:p w:rsidR="00D448BE" w:rsidRPr="00BE1230" w:rsidRDefault="00D448BE" w:rsidP="00D448BE">
      <w:pPr>
        <w:pStyle w:val="NormalHanging12a"/>
      </w:pPr>
      <w:r w:rsidRPr="00BE1230">
        <w:t>41.</w:t>
      </w:r>
      <w:r w:rsidRPr="00BE1230">
        <w:tab/>
      </w:r>
      <w:proofErr w:type="gramStart"/>
      <w:r w:rsidRPr="00BE1230">
        <w:t>podkreśla</w:t>
      </w:r>
      <w:proofErr w:type="gramEnd"/>
      <w:r w:rsidRPr="00BE1230">
        <w:t>, że Instrument Sąsiedztwa oraz Współpracy Międzynarodowej i Rozwojowej (ISWMR) – „Globalny wymiar Europy” jest niezwykle ważny dla pozycji Unii Europejskiej jako pierwszoplanowej potęgi światowej i dla odgrywania przez nią roli pokojowej siły stabilizującej, a przez to umacniania geopolitycznych interesów Unii w świecie;</w:t>
      </w:r>
      <w:r w:rsidRPr="00BE1230">
        <w:rPr>
          <w:color w:val="000000"/>
        </w:rPr>
        <w:t xml:space="preserve"> </w:t>
      </w:r>
      <w:r w:rsidRPr="00BE1230">
        <w:t xml:space="preserve">ostrzega, że rezerwy finansowe instrumentu wyczerpano i należy je pilnie </w:t>
      </w:r>
      <w:r w:rsidRPr="00BE1230">
        <w:lastRenderedPageBreak/>
        <w:t>zwiększyć;</w:t>
      </w:r>
    </w:p>
    <w:p w:rsidR="00D448BE" w:rsidRDefault="00D448BE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E1230">
        <w:rPr>
          <w:color w:val="000000"/>
        </w:rPr>
        <w:t>42.</w:t>
      </w:r>
      <w:r w:rsidRPr="00BE1230">
        <w:rPr>
          <w:color w:val="000000"/>
        </w:rPr>
        <w:tab/>
      </w:r>
      <w:proofErr w:type="gramStart"/>
      <w:r w:rsidRPr="00BE1230">
        <w:rPr>
          <w:color w:val="000000"/>
        </w:rPr>
        <w:t>podkreśla</w:t>
      </w:r>
      <w:proofErr w:type="gramEnd"/>
      <w:r w:rsidRPr="00BE1230">
        <w:rPr>
          <w:color w:val="000000"/>
        </w:rPr>
        <w:t xml:space="preserve"> ponadto znaczenie ISWMR dla wsparcia w obliczu wyzwań globalnych, dla propagowania praw człowieka, swobód i demokracji, a także dla budowania zdolności organizacji społeczeństwa obywatelskiego i realizacji międzynarodowych zobowiązań Unii w zakresie klimatu i różnorodności biologicznej, w całościowym systemie monitorowania i kontroli;</w:t>
      </w:r>
    </w:p>
    <w:p w:rsidR="00A24647" w:rsidRPr="00BE1230" w:rsidRDefault="00A24647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43</w:t>
      </w:r>
      <w:r w:rsidRPr="00A24647">
        <w:t>.</w:t>
      </w:r>
      <w:r w:rsidRPr="00A24647">
        <w:tab/>
      </w:r>
      <w:proofErr w:type="gramStart"/>
      <w:r w:rsidRPr="00A24647">
        <w:t>ubolewa</w:t>
      </w:r>
      <w:proofErr w:type="gramEnd"/>
      <w:r w:rsidRPr="00A24647">
        <w:t>, że Komisja nie uwarunkowała skuteczniej płatności na rzecz państw trzecich jako środka egzekwowania interesów geopolitycznych Unii, w szczególności w odniesieniu do unijnej polityki migracyjnej, kwestii obronnych, a także praw człowieka; wzywa Komisję do ustalenia szczegółowych warunków i celów pośrednich dotyczących płatności na rzecz państw trzecich zgodnie ze szczególnymi interesami politycznymi Unii oraz do niezwłocznego zawieszenia odpowiedniej części płatności, jeśli państwo trzecie nie spełni ustalonych warunków; oczekuje, że wszyscy odpowiedzialni desygnowani komisarze podczas przesłuchań zobowiążą się do bardziej rygorystycznego warunkowania budżetu UE w oparciu o interesy wobec państw trzecich;</w:t>
      </w:r>
    </w:p>
    <w:p w:rsidR="00D448BE" w:rsidRPr="00BE1230" w:rsidRDefault="00A24647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color w:val="000000"/>
        </w:rPr>
        <w:t>44</w:t>
      </w:r>
      <w:r w:rsidR="00D448BE" w:rsidRPr="00BE1230">
        <w:rPr>
          <w:color w:val="000000"/>
        </w:rPr>
        <w:t>.</w:t>
      </w:r>
      <w:r w:rsidR="00D448BE" w:rsidRPr="00BE1230">
        <w:rPr>
          <w:color w:val="000000"/>
        </w:rPr>
        <w:tab/>
      </w:r>
      <w:proofErr w:type="gramStart"/>
      <w:r w:rsidR="00D448BE" w:rsidRPr="00BE1230">
        <w:rPr>
          <w:color w:val="000000"/>
        </w:rPr>
        <w:t>podkreśla</w:t>
      </w:r>
      <w:proofErr w:type="gramEnd"/>
      <w:r w:rsidR="00D448BE" w:rsidRPr="00BE1230">
        <w:rPr>
          <w:color w:val="000000"/>
        </w:rPr>
        <w:t>, że trzeba wzmocnić linie budżetowe dla południowego i wschodniego sąsiedztwa, by wspierać reformy polityczne, gospodarcze i społeczne w tych regionach, udzielać pomocy uchodźcom, zwłaszcza dzięki ciągłemu, zwiększonemu i przewidywalnemu finansowaniu odpowiednich podmiotów i agencji, współmiernemu do potrzeb, by móc docierać do ludzi na miejscu dzięki ostrożnemu mechanizmowi dystrybucji w pełni zgodnemu z zasadami UE, zapobiegającemu niezgodnemu z prawem wykorzystaniu funduszy unijnych;</w:t>
      </w:r>
    </w:p>
    <w:p w:rsidR="00D448BE" w:rsidRPr="00BE1230" w:rsidRDefault="00A24647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45</w:t>
      </w:r>
      <w:r w:rsidR="00D448BE" w:rsidRPr="00BE1230">
        <w:rPr>
          <w:color w:val="000000"/>
        </w:rPr>
        <w:t>.</w:t>
      </w:r>
      <w:r w:rsidR="00D448BE" w:rsidRPr="00BE1230">
        <w:rPr>
          <w:color w:val="000000"/>
        </w:rPr>
        <w:tab/>
      </w:r>
      <w:proofErr w:type="gramStart"/>
      <w:r w:rsidR="00D448BE" w:rsidRPr="00BE1230">
        <w:t>przypomina</w:t>
      </w:r>
      <w:proofErr w:type="gramEnd"/>
      <w:r w:rsidR="00D448BE" w:rsidRPr="00BE1230">
        <w:t>, że pomoc humanitarna UE dla ludności cywilnej w sytuacji skrajnej jest niezbędna i pomaga budować stabilność i pokój w danych regionach oraz że należy zagwarantować świadczenie pilnie potrzebnych podstawowych usług i pomocy humanitarnej zgodnie z międzynarodowymi orzeczeniami – i nie utrudniać ich świadczenia – a towarzyszyć temu powinny zwykłe procedury kontroli i monitorowania;</w:t>
      </w:r>
      <w:r w:rsidR="00D448BE" w:rsidRPr="00BE1230">
        <w:rPr>
          <w:color w:val="000000"/>
        </w:rPr>
        <w:t xml:space="preserve"> spodziewa się, że zapotrzebowanie na środki finansowe na pomoc humanitarną będzie dalej rosło jako konsekwencja wojen, rosnącej niestabilności geopolitycznej, utrzymującego się skrajnego ubóstwa i coraz częstszych klęsk żywiołowych; wychodząc z tego założenia, uważa, że UE będzie musiała znacznie zwiększyć pomoc humanitarną, by zaspokajać zwiększone potrzeby w terenie, zwłaszcza </w:t>
      </w:r>
      <w:proofErr w:type="gramStart"/>
      <w:r w:rsidR="00D448BE" w:rsidRPr="00BE1230">
        <w:rPr>
          <w:color w:val="000000"/>
        </w:rPr>
        <w:t>wśród</w:t>
      </w:r>
      <w:proofErr w:type="gramEnd"/>
      <w:r w:rsidR="00D448BE" w:rsidRPr="00BE1230">
        <w:rPr>
          <w:color w:val="000000"/>
        </w:rPr>
        <w:t xml:space="preserve"> osób potrzebujących na Bliskim Wschodzie;</w:t>
      </w:r>
    </w:p>
    <w:p w:rsidR="00D448BE" w:rsidRPr="00BE1230" w:rsidRDefault="00A24647" w:rsidP="00D448BE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46</w:t>
      </w:r>
      <w:r w:rsidR="00D448BE" w:rsidRPr="00BE1230">
        <w:rPr>
          <w:color w:val="000000"/>
        </w:rPr>
        <w:t>.</w:t>
      </w:r>
      <w:r w:rsidR="00D448BE" w:rsidRPr="00BE1230">
        <w:rPr>
          <w:color w:val="000000"/>
        </w:rPr>
        <w:tab/>
      </w:r>
      <w:proofErr w:type="gramStart"/>
      <w:r w:rsidR="00D448BE" w:rsidRPr="00BE1230">
        <w:rPr>
          <w:color w:val="000000"/>
        </w:rPr>
        <w:t>ponownie</w:t>
      </w:r>
      <w:proofErr w:type="gramEnd"/>
      <w:r w:rsidR="00D448BE" w:rsidRPr="00BE1230">
        <w:rPr>
          <w:color w:val="000000"/>
        </w:rPr>
        <w:t xml:space="preserve"> podkreśla, że jednoznacznie potępia brutalne zamachy terrorystyczne na Izraelu i jego mieszkańcach, przeprowadzone 7 października </w:t>
      </w:r>
      <w:r w:rsidR="00CD74D1">
        <w:rPr>
          <w:color w:val="000000"/>
        </w:rPr>
        <w:t xml:space="preserve">2023 r. </w:t>
      </w:r>
      <w:r w:rsidR="00D448BE" w:rsidRPr="00BE1230">
        <w:rPr>
          <w:color w:val="000000"/>
        </w:rPr>
        <w:t>przez Hamas, i wyraża głęboki żal z powodu niewinnych ofiar po obu stronach; podkreśla, że budżet Unii musi nadal pozwalać wspierać budowanie pokoju i stabilności w regionie, zwalczanie nienawiści, ekstremizmu politycznego i fundamentalizmu oraz propagowanie praw człowieka;</w:t>
      </w:r>
    </w:p>
    <w:p w:rsidR="00D448BE" w:rsidRPr="00BE1230" w:rsidRDefault="00A24647" w:rsidP="00D448BE">
      <w:pPr>
        <w:pStyle w:val="NormalHanging12a"/>
      </w:pPr>
      <w:r>
        <w:rPr>
          <w:color w:val="000000"/>
        </w:rPr>
        <w:t>47</w:t>
      </w:r>
      <w:r w:rsidR="00D448BE" w:rsidRPr="00BE1230">
        <w:rPr>
          <w:color w:val="000000"/>
        </w:rPr>
        <w:t>.</w:t>
      </w:r>
      <w:r w:rsidR="00D448BE" w:rsidRPr="00BE1230">
        <w:rPr>
          <w:color w:val="000000"/>
        </w:rPr>
        <w:tab/>
      </w:r>
      <w:proofErr w:type="gramStart"/>
      <w:r w:rsidR="00D448BE" w:rsidRPr="00BE1230">
        <w:t>przypomina</w:t>
      </w:r>
      <w:proofErr w:type="gramEnd"/>
      <w:r w:rsidR="00D448BE" w:rsidRPr="00BE1230">
        <w:t xml:space="preserve">, że 18 stycznia 2024 r. przyjął rezolucję, w której docenił rolę Agencji Narodów Zjednoczonych do spraw Pomocy Uchodźcom Palestyńskim na Bliskim Wschodzie (UNRWA), zapewniającej obecnie schronienie ponad milionowi przesiedleńców wewnętrznych i będącej największą platformą pomocy humanitarnej dla mieszkańców Strefy Gazy, gdzie wszyscy borykają się z coraz gorszymi warunkami </w:t>
      </w:r>
      <w:r w:rsidR="00D448BE" w:rsidRPr="00BE1230">
        <w:lastRenderedPageBreak/>
        <w:t>humanitarnymi, w tym brakiem schronienia, czystej wody, żywności i pomocy medycznej;</w:t>
      </w:r>
      <w:r w:rsidR="00D448BE" w:rsidRPr="00BE1230">
        <w:rPr>
          <w:color w:val="000000"/>
        </w:rPr>
        <w:t xml:space="preserve"> dlatego ponownie podkreśla znaczenie stałego i przewidywalnego finansowania unijnego; z zadowoleniem przyjmuje niezwłoczne wszczęcie przez ONZ dochodzenia w sprawie poważnych zarzutów wobec członków personelu UNRWA, którzy mieli 7 października </w:t>
      </w:r>
      <w:r w:rsidR="00CD74D1">
        <w:rPr>
          <w:color w:val="000000"/>
        </w:rPr>
        <w:t xml:space="preserve">2023 r. </w:t>
      </w:r>
      <w:r w:rsidR="00D448BE" w:rsidRPr="00BE1230">
        <w:rPr>
          <w:color w:val="000000"/>
        </w:rPr>
        <w:t xml:space="preserve">uczestniczyć w zamachach terrorystycznych na Izrael, docenia też przekazanie informacji i szybkie podjęcie </w:t>
      </w:r>
      <w:proofErr w:type="gramStart"/>
      <w:r w:rsidR="00D448BE" w:rsidRPr="00BE1230">
        <w:rPr>
          <w:color w:val="000000"/>
        </w:rPr>
        <w:t>działań</w:t>
      </w:r>
      <w:proofErr w:type="gramEnd"/>
      <w:r w:rsidR="00D448BE" w:rsidRPr="00BE1230">
        <w:rPr>
          <w:color w:val="000000"/>
        </w:rPr>
        <w:t xml:space="preserve"> przez agencję, zwłaszcza w celu natychmiastowego rozwiązania zawartych umów; odnotowuje apel Komisji o zewnętrzny audyt filarów systemów kontroli ONZ zaakceptowanych przez UNRWA; popiera systemy kontroli, monitorowania i kontroli wdrożone przez Komisję, i przypomina, że beneficjenci muszą korzystać z funduszy UE zgodnie z przepisami i gwarancjami UE oraz z prawem międzynarodowym; z zadowoleniem przyjmuje zatem to, że w przeprowadzonym przez Komisję przeglądzie pomocy UE dla Palestyny stwierdzono, iż kontrole oraz istniejące i skuteczne gwarancje działają właściwie i nie ma jak dotąd żadnych dowodów, jakoby pieniądze przekazano na cele inne niż zamierzone, pozytywnie ocenia też ocenę ryzyka i związane z nią </w:t>
      </w:r>
      <w:proofErr w:type="gramStart"/>
      <w:r w:rsidR="00D448BE" w:rsidRPr="00BE1230">
        <w:rPr>
          <w:color w:val="000000"/>
        </w:rPr>
        <w:t>dodatkowe</w:t>
      </w:r>
      <w:proofErr w:type="gramEnd"/>
      <w:r w:rsidR="00D448BE" w:rsidRPr="00BE1230">
        <w:rPr>
          <w:color w:val="000000"/>
        </w:rPr>
        <w:t xml:space="preserve"> środki;</w:t>
      </w:r>
    </w:p>
    <w:p w:rsidR="00D448BE" w:rsidRPr="00BE1230" w:rsidRDefault="00D448BE" w:rsidP="00D448BE">
      <w:pPr>
        <w:pStyle w:val="NormalHanging12a"/>
        <w:rPr>
          <w:b/>
          <w:i/>
        </w:rPr>
      </w:pPr>
      <w:r w:rsidRPr="00BE1230">
        <w:rPr>
          <w:b/>
          <w:i/>
        </w:rPr>
        <w:t>Przyspieszenie realizacji programów</w:t>
      </w:r>
    </w:p>
    <w:p w:rsidR="00D448BE" w:rsidRPr="00BE1230" w:rsidRDefault="00A24647" w:rsidP="00D448BE">
      <w:pPr>
        <w:spacing w:after="240"/>
        <w:ind w:left="567" w:hanging="567"/>
      </w:pPr>
      <w:r>
        <w:t>48</w:t>
      </w:r>
      <w:r w:rsidR="00D448BE" w:rsidRPr="00BE1230">
        <w:t>.</w:t>
      </w:r>
      <w:r w:rsidR="00D448BE" w:rsidRPr="00BE1230">
        <w:tab/>
      </w:r>
      <w:proofErr w:type="gramStart"/>
      <w:r w:rsidR="00D448BE" w:rsidRPr="00BE1230">
        <w:t>przypomina</w:t>
      </w:r>
      <w:proofErr w:type="gramEnd"/>
      <w:r w:rsidR="00D448BE" w:rsidRPr="00BE1230">
        <w:t>, że w pełni popiera politykę spójności pozwalającą realizować priorytety polityki UE i pobudzać gospodarkę UE dzięki pomocy w sprawiedliwym, inkluzywnym i zrównoważonym wzroście gospodarczym i rozwoju, wspieraniu konwergencji społeczno-gospodarczej między państwami członkowskimi i regionami, wspieraniu transformacji ekologicznej i cyfrowej oraz stymulowaniu innowacji i zatrudnienia; ponownie wyraża przekonanie, że cele polityki spójności można osiągać tylko pod warunkiem pilnego wyeliminowania opóźnień w realizacji programów; uważa, że takie podejście do przyspieszenia absorpcji środków i realizacji działań byłoby również najskuteczniejszym sposobem wyeksponowania namacalnej wartości dodanej wydatków UE dla jej mieszkańców; przypomina, że trzeba zwiększyć pomoc techniczną, by dalej wspierać zdolności absorpcyjne państw członkowskich;</w:t>
      </w:r>
    </w:p>
    <w:p w:rsidR="00D448BE" w:rsidRPr="00BE1230" w:rsidRDefault="00A24647" w:rsidP="00D448BE">
      <w:pPr>
        <w:spacing w:after="240"/>
        <w:ind w:left="567" w:hanging="567"/>
      </w:pPr>
      <w:r>
        <w:t>49</w:t>
      </w:r>
      <w:r w:rsidR="00D448BE" w:rsidRPr="00BE1230">
        <w:t>.</w:t>
      </w:r>
      <w:r w:rsidR="00D448BE" w:rsidRPr="00BE1230">
        <w:tab/>
      </w:r>
      <w:proofErr w:type="gramStart"/>
      <w:r w:rsidR="00D448BE" w:rsidRPr="00BE1230">
        <w:t>podkreśla</w:t>
      </w:r>
      <w:proofErr w:type="gramEnd"/>
      <w:r w:rsidR="00D448BE" w:rsidRPr="00BE1230">
        <w:t>, że fundusze z budżetu UE muszą docierać do obywateli i MŚP w UE; przypomina, że uproszczenie procedur administracyjnych, przyjazne użytkownikom i kompletne strony internetowe i portale, ograniczenie biurokracji i utworzenie punktów kompleksowej obsługi mają zasadnicze znaczenie dla zwiększenia dostępności programów UE dla władz lokalnych i regionalnych, organizacji społeczeństwa obywatelskiego, młodych przedsiębiorców i MŚP;</w:t>
      </w:r>
    </w:p>
    <w:p w:rsidR="00D448BE" w:rsidRPr="00BE1230" w:rsidRDefault="00A24647" w:rsidP="00D448BE">
      <w:pPr>
        <w:pStyle w:val="NormalHanging12a"/>
      </w:pPr>
      <w:r>
        <w:t>50</w:t>
      </w:r>
      <w:r w:rsidR="00D448BE" w:rsidRPr="00BE1230">
        <w:t>.</w:t>
      </w:r>
      <w:r w:rsidR="00D448BE" w:rsidRPr="00BE1230">
        <w:tab/>
      </w:r>
      <w:proofErr w:type="gramStart"/>
      <w:r w:rsidR="00D448BE" w:rsidRPr="00BE1230">
        <w:t>wzywa</w:t>
      </w:r>
      <w:proofErr w:type="gramEnd"/>
      <w:r w:rsidR="00D448BE" w:rsidRPr="00BE1230">
        <w:t xml:space="preserve"> państwa członkowskie i Komisję do szybszego wdrażania programów operacyjnych finansowanych z funduszy objętych zarządzaniem dzielonym oraz do zapewnienia szybkiego wykonania budżetu, zwłaszcza funduszy spójności; zauważa, że część środków z programów na lata 2014–2020, których nie wykorzystano, należy ponownie przydzielić państwom członkowskim, by dalej zmniejszać dysproporcje regionalne; apeluje o szybką realizację planów odbudowy i zwiększania odporności, w tym o przeprowadzenie przez Komisję oceny procesu wdrażania, barier i wyników; wyraża zaniepokojenie, że jeśli szybko nie ograniczy się problemu niepełnego wykorzystania środków, dojdzie do kryzysu płatności, tj. niedopasowania potrzeb pod względem płatności i pola manewru w pułapach płatności WRF na lata 2026 i 2027;</w:t>
      </w:r>
    </w:p>
    <w:p w:rsidR="00D448BE" w:rsidRPr="00BE1230" w:rsidRDefault="00A24647" w:rsidP="00D448BE">
      <w:pPr>
        <w:spacing w:after="240"/>
        <w:ind w:left="567" w:hanging="567"/>
      </w:pPr>
      <w:r>
        <w:t>51</w:t>
      </w:r>
      <w:r w:rsidR="00D448BE" w:rsidRPr="00BE1230">
        <w:t>.</w:t>
      </w:r>
      <w:r w:rsidR="00D448BE" w:rsidRPr="00BE1230">
        <w:tab/>
      </w:r>
      <w:proofErr w:type="gramStart"/>
      <w:r w:rsidR="00D448BE" w:rsidRPr="00BE1230">
        <w:t>uważa</w:t>
      </w:r>
      <w:proofErr w:type="gramEnd"/>
      <w:r w:rsidR="00D448BE" w:rsidRPr="00BE1230">
        <w:t xml:space="preserve">, że należyta staranność, rozliczalność i poszanowanie wartości Unii powinny mieć zastosowanie do wszystkich beneficjentów funduszy UE i partnerów wykonawczych, by chronić interesy finansowe UE i unikać nadmiernej ingerencji; </w:t>
      </w:r>
      <w:r w:rsidR="00D448BE" w:rsidRPr="00BE1230">
        <w:lastRenderedPageBreak/>
        <w:t>ponownie podkreśla znaczenie skutecznie i gruntownie działających organów monitorujących i kontrolnych, które ujawniają przestępstwa przeciwko interesom finansowym UE, prowadzą dochodzenia, ścigają i pociągają do odpowiedzialności, gdyż pieniądze wydane na walkę z korupcją przynoszą UE olbrzymi zwrot netto; uważa zatem, że organy te powinny mieć zasoby i personel wystarczające do jak najskuteczniejszego wykonywania ich zadań; podkreśla w podobnym duchu, że odpowiedni nadzór UE jest niezbędny do zapewnienia, by sektor finansowy działał z </w:t>
      </w:r>
      <w:proofErr w:type="gramStart"/>
      <w:r w:rsidR="00D448BE" w:rsidRPr="00BE1230">
        <w:t>korzyścią</w:t>
      </w:r>
      <w:proofErr w:type="gramEnd"/>
      <w:r w:rsidR="00D448BE" w:rsidRPr="00BE1230">
        <w:t xml:space="preserve"> dla obywateli i konsumentów; z myślą o zdrowym, inkluzywnym i odpornym sektorze finansowym domaga się, by zasoby dla europejskich organów i agencji nadzoru finansowego, którym powierzono zadania nadzorcze lub opracowanie technicznych standardów regulacyjnych w tej dziedzinie, były w pełni dostosowywane w celu uwzględnienia wszystkich nowych zadań regulacyjnych, których wymaga osiągnięcie tych celów polityki;</w:t>
      </w:r>
    </w:p>
    <w:p w:rsidR="00D448BE" w:rsidRPr="00BE1230" w:rsidRDefault="00A24647" w:rsidP="00D448BE">
      <w:pPr>
        <w:pStyle w:val="NormalHanging12a"/>
      </w:pPr>
      <w:r>
        <w:t>52</w:t>
      </w:r>
      <w:r w:rsidR="00D448BE" w:rsidRPr="00BE1230">
        <w:t>.</w:t>
      </w:r>
      <w:r w:rsidR="00D448BE" w:rsidRPr="00BE1230">
        <w:tab/>
      </w:r>
      <w:proofErr w:type="gramStart"/>
      <w:r w:rsidR="00D448BE" w:rsidRPr="00BE1230">
        <w:t>apeluje</w:t>
      </w:r>
      <w:proofErr w:type="gramEnd"/>
      <w:r w:rsidR="00D448BE" w:rsidRPr="00BE1230">
        <w:t xml:space="preserve"> do wszystkich zaangażowanych podmiotów o dodatkowe starania o przyspieszenie realizacji projektów i absorpcji kwalifikujących się środków finansowych, a tym samym o zmniejszenie nietypowych zobowiązań pozostających do spłaty (RAL); uważa, że 2024 i 2025 r. należy wykorzystać do wskazania i usunięcia wszelkich wąskich gardeł, które utrudniają skuteczniejsze wdrażanie; apeluje o odpowiednie zasoby budżetowe, by przyspieszyć realizację programów dzięki budowaniu dodatkowych zdolności i pomocy technicznej dla państw członkowskich, zwłaszcza tych, które mają większe trudności w absorpcji, a także o środki mające przyspieszyć sprawiedliwe, inkluzywne, konkurencyjne i skuteczne procedury udzielania zamówień i prowadzenia przetargów, z myślą o zwiększeniu starań o realizację;</w:t>
      </w:r>
    </w:p>
    <w:p w:rsidR="00D448BE" w:rsidRPr="00BE1230" w:rsidRDefault="00A24647" w:rsidP="00D448BE">
      <w:pPr>
        <w:spacing w:after="240"/>
        <w:ind w:left="567" w:hanging="567"/>
      </w:pPr>
      <w:r>
        <w:t>53</w:t>
      </w:r>
      <w:r w:rsidR="00D448BE" w:rsidRPr="00BE1230">
        <w:t>.</w:t>
      </w:r>
      <w:r w:rsidR="00D448BE" w:rsidRPr="00BE1230">
        <w:tab/>
      </w:r>
      <w:proofErr w:type="gramStart"/>
      <w:r w:rsidR="00D448BE" w:rsidRPr="00BE1230">
        <w:t>podkreśla</w:t>
      </w:r>
      <w:proofErr w:type="gramEnd"/>
      <w:r w:rsidR="00D448BE" w:rsidRPr="00BE1230">
        <w:t>, że politykę i programy UE trzeba skutecznie prezentować i eksponować, by zwiększać świadomość wartości dodanej UE dla obywateli, przedsiębiorstw i partnerów; apeluje o przydział odpowiednich środków na ten cel;</w:t>
      </w:r>
    </w:p>
    <w:p w:rsidR="00D448BE" w:rsidRPr="00BE1230" w:rsidRDefault="00A24647" w:rsidP="00D448BE">
      <w:pPr>
        <w:pStyle w:val="NormalHanging12a"/>
      </w:pPr>
      <w:r>
        <w:t>54</w:t>
      </w:r>
      <w:r w:rsidR="00D448BE" w:rsidRPr="00BE1230">
        <w:t>.</w:t>
      </w:r>
      <w:r w:rsidR="00D448BE" w:rsidRPr="00BE1230">
        <w:tab/>
      </w:r>
      <w:proofErr w:type="gramStart"/>
      <w:r w:rsidR="00D448BE" w:rsidRPr="00BE1230">
        <w:t>przypomina</w:t>
      </w:r>
      <w:proofErr w:type="gramEnd"/>
      <w:r w:rsidR="00D448BE" w:rsidRPr="00BE1230">
        <w:t>, że właściwe wdrożenie dobrze opracowanych programów jest możliwe tylko przy wsparciu wyspecjalizowanych organów administracji; podkreśla, że organy i agencje zdecentralizowane wykonują ważną pracę, oraz uważa, że muszą mieć personel i zasoby wystarczające do wykonywania swoich zadań; podkreśla, że zadania te ewoluują stosownie do priorytetów politycznych, np. transformacji ekologicznej i cyfrowej, oraz zaznacza, że nowym obowiązkom oraz rozszerzeniu mandatu muszą towarzyszyć proporcjonalnie nowe zasoby;</w:t>
      </w:r>
    </w:p>
    <w:p w:rsidR="00D448BE" w:rsidRPr="00BE1230" w:rsidRDefault="00D448BE" w:rsidP="00D448BE">
      <w:pPr>
        <w:pStyle w:val="NormalHanging12a"/>
        <w:jc w:val="center"/>
      </w:pPr>
      <w:r w:rsidRPr="00BE1230">
        <w:t>°</w:t>
      </w:r>
    </w:p>
    <w:p w:rsidR="00D448BE" w:rsidRPr="00BE1230" w:rsidRDefault="00D448BE" w:rsidP="00D448BE">
      <w:pPr>
        <w:pStyle w:val="NormalHanging12a"/>
        <w:jc w:val="center"/>
      </w:pPr>
      <w:r w:rsidRPr="00BE1230">
        <w:t>°</w:t>
      </w:r>
      <w:r w:rsidRPr="00BE1230">
        <w:tab/>
        <w:t>°</w:t>
      </w:r>
    </w:p>
    <w:p w:rsidR="00D448BE" w:rsidRPr="00BE1230" w:rsidRDefault="00A24647" w:rsidP="00D448BE">
      <w:pPr>
        <w:pStyle w:val="NormalHanging12a"/>
      </w:pPr>
      <w:r>
        <w:t>55</w:t>
      </w:r>
      <w:r w:rsidR="00D448BE" w:rsidRPr="00BE1230">
        <w:t>.</w:t>
      </w:r>
      <w:r w:rsidR="00D448BE" w:rsidRPr="00BE1230">
        <w:tab/>
        <w:t>zobowiązuje swoją przewodniczącą do przekazania niniejszej rezolucji Radzie, Komisji i Europejskiemu Trybunałowi Obrachunkowemu.</w:t>
      </w:r>
    </w:p>
    <w:sectPr w:rsidR="00D448BE" w:rsidRPr="00BE1230" w:rsidSect="00DA7F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F3C" w:rsidRPr="003C3F3C" w:rsidRDefault="003C3F3C">
      <w:r w:rsidRPr="003C3F3C">
        <w:separator/>
      </w:r>
    </w:p>
  </w:endnote>
  <w:endnote w:type="continuationSeparator" w:id="0">
    <w:p w:rsidR="003C3F3C" w:rsidRPr="003C3F3C" w:rsidRDefault="003C3F3C">
      <w:r w:rsidRPr="003C3F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F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F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F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F3C" w:rsidRPr="003C3F3C" w:rsidRDefault="003C3F3C">
      <w:r w:rsidRPr="003C3F3C">
        <w:separator/>
      </w:r>
    </w:p>
  </w:footnote>
  <w:footnote w:type="continuationSeparator" w:id="0">
    <w:p w:rsidR="003C3F3C" w:rsidRPr="003C3F3C" w:rsidRDefault="003C3F3C">
      <w:r w:rsidRPr="003C3F3C">
        <w:continuationSeparator/>
      </w:r>
    </w:p>
  </w:footnote>
  <w:footnote w:id="1">
    <w:p w:rsidR="00CD74D1" w:rsidRPr="00CD74D1" w:rsidRDefault="00CD74D1">
      <w:pPr>
        <w:pStyle w:val="FootnoteText"/>
        <w:rPr>
          <w:rStyle w:val="FootnoteReference"/>
        </w:rPr>
      </w:pPr>
      <w:r>
        <w:rPr>
          <w:rStyle w:val="FootnoteReference"/>
        </w:rPr>
        <w:footnoteRef/>
      </w:r>
      <w:r>
        <w:t xml:space="preserve"> </w:t>
      </w:r>
      <w:r w:rsidRPr="00CD74D1">
        <w:rPr>
          <w:rStyle w:val="Emphasis"/>
          <w:i w:val="0"/>
          <w:color w:val="333333"/>
          <w:szCs w:val="22"/>
          <w:shd w:val="clear" w:color="auto" w:fill="FFFFFF"/>
        </w:rPr>
        <w:t>Dz.U.</w:t>
      </w:r>
      <w:r w:rsidRPr="00CD74D1">
        <w:rPr>
          <w:rStyle w:val="Emphasis"/>
          <w:i w:val="0"/>
          <w:color w:val="333333"/>
          <w:szCs w:val="22"/>
          <w:shd w:val="clear" w:color="auto" w:fill="FFFFFF"/>
        </w:rPr>
        <w:t xml:space="preserve"> L, 2024/765, 29.2.2024, ELI: </w:t>
      </w:r>
      <w:hyperlink r:id="rId1" w:history="1">
        <w:r w:rsidRPr="00CD74D1">
          <w:rPr>
            <w:rStyle w:val="Hyperlink"/>
            <w:szCs w:val="22"/>
            <w:shd w:val="clear" w:color="auto" w:fill="FFFFFF"/>
          </w:rPr>
          <w:t>http://data.europa.eu/eli/reg/2024/765/oj</w:t>
        </w:r>
      </w:hyperlink>
    </w:p>
  </w:footnote>
  <w:footnote w:id="2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Pr="00E21151">
        <w:rPr>
          <w:lang w:val="pl-PL"/>
        </w:rPr>
        <w:t xml:space="preserve">Dz.U. L 325 z 20.12.2022,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11.</w:t>
      </w:r>
    </w:p>
  </w:footnote>
  <w:footnote w:id="3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lang w:val="pl-PL"/>
        </w:rPr>
        <w:t xml:space="preserve"> </w:t>
      </w:r>
      <w:r w:rsidRPr="00E21151">
        <w:rPr>
          <w:color w:val="000000"/>
          <w:lang w:val="pl-PL"/>
        </w:rPr>
        <w:t xml:space="preserve">Dz.U. C 445 z 29.10.2021, </w:t>
      </w:r>
      <w:proofErr w:type="gramStart"/>
      <w:r w:rsidRPr="00E21151">
        <w:rPr>
          <w:color w:val="000000"/>
          <w:lang w:val="pl-PL"/>
        </w:rPr>
        <w:t>s</w:t>
      </w:r>
      <w:proofErr w:type="gramEnd"/>
      <w:r w:rsidRPr="00E21151">
        <w:rPr>
          <w:color w:val="000000"/>
          <w:lang w:val="pl-PL"/>
        </w:rPr>
        <w:t>. 240.</w:t>
      </w:r>
    </w:p>
  </w:footnote>
  <w:footnote w:id="4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Pr="00E21151">
        <w:rPr>
          <w:lang w:val="pl-PL"/>
        </w:rPr>
        <w:t xml:space="preserve">Dz.U. L 433 I z 22.12.2020,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11.</w:t>
      </w:r>
    </w:p>
  </w:footnote>
  <w:footnote w:id="5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Pr="00E21151">
        <w:rPr>
          <w:lang w:val="pl-PL"/>
        </w:rPr>
        <w:t xml:space="preserve">Dz.U. C 444 I z 22.12.2020,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4.</w:t>
      </w:r>
    </w:p>
  </w:footnote>
  <w:footnote w:id="6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="00E21151" w:rsidRPr="00E21151">
        <w:rPr>
          <w:lang w:val="pl-PL"/>
        </w:rPr>
        <w:t>Dz.U.</w:t>
      </w:r>
      <w:r w:rsidR="00E21151">
        <w:rPr>
          <w:lang w:val="pl-PL"/>
        </w:rPr>
        <w:t xml:space="preserve"> C 445 z 29.10.2021, </w:t>
      </w:r>
      <w:proofErr w:type="gramStart"/>
      <w:r w:rsidR="00E21151">
        <w:rPr>
          <w:lang w:val="pl-PL"/>
        </w:rPr>
        <w:t>s</w:t>
      </w:r>
      <w:proofErr w:type="gramEnd"/>
      <w:r w:rsidR="00E21151" w:rsidRPr="00E21151">
        <w:rPr>
          <w:lang w:val="pl-PL"/>
        </w:rPr>
        <w:t>. 252</w:t>
      </w:r>
      <w:r w:rsidRPr="00E21151">
        <w:rPr>
          <w:lang w:val="pl-PL"/>
        </w:rPr>
        <w:t>.</w:t>
      </w:r>
    </w:p>
  </w:footnote>
  <w:footnote w:id="7">
    <w:p w:rsidR="00D448BE" w:rsidRPr="00E21151" w:rsidRDefault="00D448BE" w:rsidP="00D448BE">
      <w:pPr>
        <w:pStyle w:val="FootnoteText"/>
        <w:rPr>
          <w:lang w:val="pl-PL"/>
        </w:rPr>
      </w:pPr>
      <w:r w:rsidRPr="00E21151"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="00E21151" w:rsidRPr="00E21151">
        <w:rPr>
          <w:rStyle w:val="ui-provider"/>
          <w:rFonts w:eastAsiaTheme="majorEastAsia"/>
          <w:sz w:val="24"/>
          <w:lang w:val="pl-PL"/>
        </w:rPr>
        <w:t xml:space="preserve">Dz.U. C, C/2024/1195 z 23.02.2024, ELI: </w:t>
      </w:r>
      <w:hyperlink r:id="rId2" w:history="1">
        <w:r w:rsidR="00E21151" w:rsidRPr="00E21151">
          <w:rPr>
            <w:rStyle w:val="Hyperlink"/>
            <w:rFonts w:eastAsiaTheme="majorEastAsia"/>
            <w:sz w:val="24"/>
            <w:lang w:val="pl-PL"/>
          </w:rPr>
          <w:t>http://data.europa.eu/eli/C/2024/1195/oj</w:t>
        </w:r>
      </w:hyperlink>
      <w:r w:rsidR="00E21151" w:rsidRPr="00E21151">
        <w:rPr>
          <w:rStyle w:val="ui-provider"/>
          <w:rFonts w:eastAsiaTheme="majorEastAsia"/>
          <w:sz w:val="24"/>
          <w:lang w:val="pl-PL"/>
        </w:rPr>
        <w:t>.</w:t>
      </w:r>
    </w:p>
  </w:footnote>
  <w:footnote w:id="8">
    <w:p w:rsidR="00D448BE" w:rsidRPr="001B5761" w:rsidRDefault="00D448BE" w:rsidP="00D448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</w:rPr>
      </w:pPr>
      <w:r>
        <w:rPr>
          <w:sz w:val="20"/>
          <w:vertAlign w:val="superscript"/>
        </w:rPr>
        <w:footnoteRef/>
      </w:r>
      <w:r>
        <w:rPr>
          <w:color w:val="000000"/>
          <w:sz w:val="20"/>
        </w:rPr>
        <w:t xml:space="preserve"> Teksty przyjęte, P9_TA(2024)0082.</w:t>
      </w:r>
    </w:p>
  </w:footnote>
  <w:footnote w:id="9">
    <w:p w:rsidR="00D448BE" w:rsidRPr="00E21151" w:rsidRDefault="00D448BE" w:rsidP="00D448BE">
      <w:pPr>
        <w:pStyle w:val="FootnoteText"/>
        <w:rPr>
          <w:lang w:val="pl-PL"/>
        </w:rPr>
      </w:pPr>
      <w:r w:rsidRPr="00E21151"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="00E21151" w:rsidRPr="00E21151">
        <w:rPr>
          <w:sz w:val="24"/>
          <w:szCs w:val="24"/>
          <w:lang w:val="pl-PL"/>
        </w:rPr>
        <w:t xml:space="preserve">Dz.U. C, C/2023/1084 z 15.12.2023, ELI: </w:t>
      </w:r>
      <w:hyperlink r:id="rId3" w:history="1">
        <w:r w:rsidR="00E21151" w:rsidRPr="00E21151">
          <w:rPr>
            <w:rStyle w:val="Hyperlink"/>
            <w:lang w:val="pl-PL"/>
          </w:rPr>
          <w:t>http://data.europa.eu/eli/C/2023/1084/oj</w:t>
        </w:r>
      </w:hyperlink>
      <w:r w:rsidRPr="00E21151">
        <w:rPr>
          <w:lang w:val="pl-PL"/>
        </w:rPr>
        <w:t>.</w:t>
      </w:r>
    </w:p>
  </w:footnote>
  <w:footnote w:id="10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Pr="00E21151">
        <w:rPr>
          <w:lang w:val="pl-PL"/>
        </w:rPr>
        <w:t xml:space="preserve">Dz.U. C 177 z 17.5.2023,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115</w:t>
      </w:r>
      <w:r w:rsidRPr="00E21151">
        <w:rPr>
          <w:shd w:val="clear" w:color="auto" w:fill="FFFFFF"/>
          <w:lang w:val="pl-PL"/>
        </w:rPr>
        <w:t>.</w:t>
      </w:r>
    </w:p>
  </w:footnote>
  <w:footnote w:id="11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Pr="00E21151">
        <w:rPr>
          <w:lang w:val="pl-PL"/>
        </w:rPr>
        <w:t xml:space="preserve">Dz.U. L 433 I z 22.12.2020,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28.</w:t>
      </w:r>
    </w:p>
  </w:footnote>
  <w:footnote w:id="12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Pr="00E21151">
        <w:rPr>
          <w:lang w:val="pl-PL"/>
        </w:rPr>
        <w:t xml:space="preserve">Dz.U. L 424 z 15.12.2020,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1.</w:t>
      </w:r>
    </w:p>
  </w:footnote>
  <w:footnote w:id="13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Pr="00E21151">
        <w:rPr>
          <w:lang w:val="pl-PL"/>
        </w:rPr>
        <w:t xml:space="preserve">Dz.U. C 167 z 11.5.2023,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162.</w:t>
      </w:r>
    </w:p>
  </w:footnote>
  <w:footnote w:id="14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Pr="00E21151">
        <w:rPr>
          <w:lang w:val="pl-PL"/>
        </w:rPr>
        <w:t xml:space="preserve">Dz.U. L 433 I z 22.12.2020,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23.</w:t>
      </w:r>
    </w:p>
  </w:footnote>
  <w:footnote w:id="15">
    <w:p w:rsidR="00D448BE" w:rsidRPr="00E21151" w:rsidRDefault="00D448BE" w:rsidP="00D448B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Pr="00E21151">
        <w:rPr>
          <w:lang w:val="pl-PL"/>
        </w:rPr>
        <w:t xml:space="preserve">Dz.U. L 433 I z 22.12.2020,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1.</w:t>
      </w:r>
    </w:p>
  </w:footnote>
  <w:footnote w:id="16">
    <w:p w:rsidR="00D448BE" w:rsidRPr="00E21151" w:rsidRDefault="00D448BE" w:rsidP="00E21151">
      <w:pPr>
        <w:pStyle w:val="FootnoteText"/>
        <w:ind w:left="567" w:hanging="567"/>
        <w:rPr>
          <w:lang w:val="pl-PL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pl-PL"/>
        </w:rPr>
        <w:t xml:space="preserve"> </w:t>
      </w:r>
      <w:r w:rsidR="00E21151">
        <w:rPr>
          <w:lang w:val="pl-PL"/>
        </w:rPr>
        <w:tab/>
      </w:r>
      <w:r w:rsidRPr="00E21151">
        <w:rPr>
          <w:lang w:val="pl-PL"/>
        </w:rPr>
        <w:t xml:space="preserve">Dz.U. C 270 z 7.7.2021, </w:t>
      </w:r>
      <w:proofErr w:type="gramStart"/>
      <w:r w:rsidRPr="00E21151">
        <w:rPr>
          <w:lang w:val="pl-PL"/>
        </w:rPr>
        <w:t>s</w:t>
      </w:r>
      <w:proofErr w:type="gramEnd"/>
      <w:r w:rsidRPr="00E21151">
        <w:rPr>
          <w:lang w:val="pl-PL"/>
        </w:rPr>
        <w:t>. 2.</w:t>
      </w:r>
    </w:p>
  </w:footnote>
  <w:footnote w:id="17">
    <w:sdt>
      <w:sdtPr>
        <w:rPr>
          <w:rStyle w:val="FootnoteReference"/>
        </w:rPr>
        <w:tag w:val="goog_rdk_548"/>
        <w:id w:val="-1509668510"/>
      </w:sdtPr>
      <w:sdtEndPr>
        <w:rPr>
          <w:rStyle w:val="DefaultParagraphFont"/>
          <w:b w:val="0"/>
          <w:vertAlign w:val="baseline"/>
        </w:rPr>
      </w:sdtEndPr>
      <w:sdtContent>
        <w:p w:rsidR="00D448BE" w:rsidRPr="00E21151" w:rsidRDefault="00D448BE" w:rsidP="00E21151">
          <w:pPr>
            <w:pStyle w:val="FootnoteText"/>
            <w:ind w:left="567" w:hanging="567"/>
            <w:rPr>
              <w:lang w:val="pl-PL"/>
            </w:rPr>
          </w:pPr>
          <w:r>
            <w:rPr>
              <w:vertAlign w:val="superscript"/>
            </w:rPr>
            <w:footnoteRef/>
          </w:r>
          <w:sdt>
            <w:sdtPr>
              <w:tag w:val="goog_rdk_547"/>
              <w:id w:val="36161987"/>
            </w:sdtPr>
            <w:sdtEndPr/>
            <w:sdtContent>
              <w:r w:rsidRPr="00E21151">
                <w:rPr>
                  <w:lang w:val="pl-PL"/>
                </w:rPr>
                <w:t xml:space="preserve"> </w:t>
              </w:r>
              <w:r w:rsidR="00E21151">
                <w:rPr>
                  <w:lang w:val="pl-PL"/>
                </w:rPr>
                <w:tab/>
              </w:r>
              <w:r w:rsidRPr="00E21151">
                <w:rPr>
                  <w:lang w:val="pl-PL"/>
                </w:rPr>
                <w:t xml:space="preserve">Dz.U. C 428 z 13.12.2017, </w:t>
              </w:r>
              <w:proofErr w:type="gramStart"/>
              <w:r w:rsidRPr="00E21151">
                <w:rPr>
                  <w:lang w:val="pl-PL"/>
                </w:rPr>
                <w:t>s</w:t>
              </w:r>
              <w:proofErr w:type="gramEnd"/>
              <w:r w:rsidRPr="00E21151">
                <w:rPr>
                  <w:lang w:val="pl-PL"/>
                </w:rPr>
                <w:t>. 10.</w:t>
              </w:r>
            </w:sdtContent>
          </w:sdt>
        </w:p>
      </w:sdtContent>
    </w:sdt>
  </w:footnote>
  <w:footnote w:id="18">
    <w:sdt>
      <w:sdtPr>
        <w:rPr>
          <w:rStyle w:val="FootnoteReference"/>
        </w:rPr>
        <w:tag w:val="goog_rdk_550"/>
        <w:id w:val="-940600069"/>
      </w:sdtPr>
      <w:sdtEndPr>
        <w:rPr>
          <w:rStyle w:val="DefaultParagraphFont"/>
          <w:b w:val="0"/>
          <w:vertAlign w:val="baseline"/>
        </w:rPr>
      </w:sdtEndPr>
      <w:sdtContent>
        <w:p w:rsidR="00D448BE" w:rsidRPr="00A24647" w:rsidRDefault="00D448BE" w:rsidP="00E21151">
          <w:pPr>
            <w:pStyle w:val="FootnoteText"/>
            <w:ind w:left="567" w:hanging="567"/>
            <w:rPr>
              <w:lang w:val="pl-PL"/>
            </w:rPr>
          </w:pPr>
          <w:r>
            <w:rPr>
              <w:vertAlign w:val="superscript"/>
            </w:rPr>
            <w:footnoteRef/>
          </w:r>
          <w:sdt>
            <w:sdtPr>
              <w:tag w:val="goog_rdk_549"/>
              <w:id w:val="-2144792959"/>
            </w:sdtPr>
            <w:sdtEndPr/>
            <w:sdtContent>
              <w:r w:rsidRPr="00A24647">
                <w:rPr>
                  <w:lang w:val="pl-PL"/>
                </w:rPr>
                <w:t xml:space="preserve"> </w:t>
              </w:r>
              <w:r w:rsidR="00E21151" w:rsidRPr="00A24647">
                <w:rPr>
                  <w:lang w:val="pl-PL"/>
                </w:rPr>
                <w:tab/>
              </w:r>
              <w:r w:rsidRPr="00A24647">
                <w:rPr>
                  <w:lang w:val="pl-PL"/>
                </w:rPr>
                <w:t xml:space="preserve">Dz.U. C 242 z 10.7.2018, </w:t>
              </w:r>
              <w:proofErr w:type="gramStart"/>
              <w:r w:rsidRPr="00A24647">
                <w:rPr>
                  <w:lang w:val="pl-PL"/>
                </w:rPr>
                <w:t>s</w:t>
              </w:r>
              <w:proofErr w:type="gramEnd"/>
              <w:r w:rsidRPr="00A24647">
                <w:rPr>
                  <w:lang w:val="pl-PL"/>
                </w:rPr>
                <w:t>. 24.</w:t>
              </w:r>
            </w:sdtContent>
          </w:sdt>
        </w:p>
      </w:sdtContent>
    </w:sdt>
  </w:footnote>
  <w:footnote w:id="19">
    <w:p w:rsidR="00E21151" w:rsidRPr="00E21151" w:rsidRDefault="00E21151" w:rsidP="00E21151">
      <w:pPr>
        <w:pStyle w:val="FootnoteText"/>
        <w:ind w:left="567" w:hanging="567"/>
        <w:rPr>
          <w:lang w:val="pl-PL"/>
        </w:rPr>
      </w:pPr>
      <w:r w:rsidRPr="00E21151">
        <w:rPr>
          <w:rStyle w:val="FootnoteReference"/>
        </w:rPr>
        <w:footnoteRef/>
      </w:r>
      <w:r w:rsidRPr="00E21151">
        <w:rPr>
          <w:lang w:val="pl-PL"/>
        </w:rPr>
        <w:t xml:space="preserve"> </w:t>
      </w:r>
      <w:r w:rsidRPr="00E21151">
        <w:rPr>
          <w:lang w:val="pl-PL"/>
        </w:rPr>
        <w:tab/>
        <w:t xml:space="preserve">Dz.U. L, 2024/795 z 29.02.2024, ELI: </w:t>
      </w:r>
      <w:hyperlink r:id="rId4" w:history="1">
        <w:r w:rsidRPr="00E21151">
          <w:rPr>
            <w:rStyle w:val="Hyperlink"/>
            <w:lang w:val="pl-PL"/>
          </w:rPr>
          <w:t>http://data.europa.eu/eli/reg/2024/795/oj</w:t>
        </w:r>
      </w:hyperlink>
      <w:r w:rsidRPr="00E21151">
        <w:rPr>
          <w:lang w:val="pl-PL"/>
        </w:rPr>
        <w:t>.</w:t>
      </w:r>
    </w:p>
  </w:footnote>
  <w:footnote w:id="20">
    <w:p w:rsidR="00E21151" w:rsidRPr="00E21151" w:rsidRDefault="00E21151" w:rsidP="00E21151">
      <w:pPr>
        <w:pStyle w:val="FootnoteText"/>
        <w:ind w:left="567" w:hanging="567"/>
        <w:rPr>
          <w:lang w:val="pl-PL"/>
        </w:rPr>
      </w:pPr>
      <w:r w:rsidRPr="00E21151">
        <w:rPr>
          <w:rStyle w:val="FootnoteReference"/>
        </w:rPr>
        <w:footnoteRef/>
      </w:r>
      <w:r w:rsidRPr="00E21151">
        <w:rPr>
          <w:lang w:val="pl-PL"/>
        </w:rPr>
        <w:t xml:space="preserve"> </w:t>
      </w:r>
      <w:r w:rsidRPr="00E21151">
        <w:rPr>
          <w:lang w:val="pl-PL"/>
        </w:rPr>
        <w:tab/>
        <w:t xml:space="preserve">Dz.U. L, 2024/792 z 29.02.2024, ELI: </w:t>
      </w:r>
      <w:hyperlink r:id="rId5" w:history="1">
        <w:r w:rsidRPr="00E21151">
          <w:rPr>
            <w:rStyle w:val="Hyperlink"/>
            <w:lang w:val="pl-PL"/>
          </w:rPr>
          <w:t>http://data.europa.eu/eli/reg/2024/792/oj</w:t>
        </w:r>
      </w:hyperlink>
      <w:r w:rsidRPr="00E21151">
        <w:rPr>
          <w:lang w:val="pl-PL"/>
        </w:rPr>
        <w:t>.</w:t>
      </w:r>
    </w:p>
  </w:footnote>
  <w:footnote w:id="21">
    <w:p w:rsidR="00D448BE" w:rsidRPr="00E21151" w:rsidRDefault="00D448BE" w:rsidP="00E21151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en-GB"/>
        </w:rPr>
        <w:t xml:space="preserve"> </w:t>
      </w:r>
      <w:r w:rsidR="00E21151" w:rsidRPr="00E21151">
        <w:rPr>
          <w:lang w:val="en-GB"/>
        </w:rPr>
        <w:tab/>
      </w:r>
      <w:r w:rsidRPr="00E21151">
        <w:rPr>
          <w:lang w:val="en-GB"/>
        </w:rPr>
        <w:t>Dz.U. L 207 z 22.2.2024, s. </w:t>
      </w:r>
      <w:proofErr w:type="gramStart"/>
      <w:r w:rsidRPr="00E21151">
        <w:rPr>
          <w:lang w:val="en-GB"/>
        </w:rPr>
        <w:t>1</w:t>
      </w:r>
      <w:proofErr w:type="gramEnd"/>
      <w:r w:rsidRPr="00E21151">
        <w:rPr>
          <w:lang w:val="en-GB"/>
        </w:rPr>
        <w:t>.</w:t>
      </w:r>
    </w:p>
  </w:footnote>
  <w:footnote w:id="22">
    <w:p w:rsidR="00D448BE" w:rsidRPr="00A23AB2" w:rsidRDefault="00D448BE" w:rsidP="00D448BE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E21151">
        <w:rPr>
          <w:rStyle w:val="FootnoteReference"/>
          <w:lang w:val="en-GB"/>
        </w:rPr>
        <w:t xml:space="preserve"> </w:t>
      </w:r>
      <w:r w:rsidRPr="00E21151">
        <w:rPr>
          <w:lang w:val="en-GB"/>
        </w:rPr>
        <w:t>Komisja Europejska, „</w:t>
      </w:r>
      <w:proofErr w:type="gramStart"/>
      <w:r w:rsidRPr="00E21151">
        <w:rPr>
          <w:rStyle w:val="Hyperlink"/>
          <w:lang w:val="en-GB"/>
        </w:rPr>
        <w:t>Winter</w:t>
      </w:r>
      <w:proofErr w:type="gramEnd"/>
      <w:r w:rsidRPr="00E21151">
        <w:rPr>
          <w:rStyle w:val="Hyperlink"/>
          <w:lang w:val="en-GB"/>
        </w:rPr>
        <w:t xml:space="preserve"> 2024 Economic Forecast: A </w:t>
      </w:r>
      <w:r w:rsidRPr="00A23AB2">
        <w:rPr>
          <w:rStyle w:val="Hyperlink"/>
          <w:lang w:val="en-GB"/>
        </w:rPr>
        <w:t>delayed rebound in growth amid faster easing of inflation</w:t>
      </w:r>
      <w:r w:rsidRPr="00A23AB2">
        <w:rPr>
          <w:lang w:val="en-GB"/>
        </w:rPr>
        <w:t>”,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F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F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F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numam" w:val="0"/>
    <w:docVar w:name="dvrapporteur" w:val="Sprawozdawca: "/>
  </w:docVars>
  <w:rsids>
    <w:rsidRoot w:val="003C3F3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3F3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647"/>
    <w:rsid w:val="00A43E52"/>
    <w:rsid w:val="00A4678D"/>
    <w:rsid w:val="00A76CE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4D1"/>
    <w:rsid w:val="00CF071A"/>
    <w:rsid w:val="00D058B8"/>
    <w:rsid w:val="00D448BE"/>
    <w:rsid w:val="00D56C11"/>
    <w:rsid w:val="00D834A0"/>
    <w:rsid w:val="00D872DF"/>
    <w:rsid w:val="00D91E21"/>
    <w:rsid w:val="00DA7FCD"/>
    <w:rsid w:val="00E2115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95116"/>
  <w15:chartTrackingRefBased/>
  <w15:docId w15:val="{AC2ACCE9-B76A-4EB3-AB2F-B7BCCBFB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rsid w:val="00395FA1"/>
    <w:rPr>
      <w:b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448B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D448BE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D448BE"/>
    <w:rPr>
      <w:sz w:val="24"/>
      <w:lang w:val="pl-PL"/>
    </w:rPr>
  </w:style>
  <w:style w:type="paragraph" w:customStyle="1" w:styleId="FootnoteReference1">
    <w:name w:val="Footnote Reference1"/>
    <w:basedOn w:val="Normal"/>
    <w:link w:val="FootnoteReference"/>
    <w:rsid w:val="00D448BE"/>
    <w:pPr>
      <w:widowControl/>
      <w:spacing w:after="160" w:line="240" w:lineRule="exact"/>
    </w:pPr>
    <w:rPr>
      <w:b/>
      <w:sz w:val="20"/>
      <w:vertAlign w:val="superscript"/>
      <w:lang w:val="en-GB"/>
    </w:rPr>
  </w:style>
  <w:style w:type="character" w:customStyle="1" w:styleId="ui-provider">
    <w:name w:val="ui-provider"/>
    <w:basedOn w:val="DefaultParagraphFont"/>
    <w:rsid w:val="00D448BE"/>
  </w:style>
  <w:style w:type="character" w:styleId="Hyperlink">
    <w:name w:val="Hyperlink"/>
    <w:basedOn w:val="DefaultParagraphFont"/>
    <w:rsid w:val="00D448BE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CD74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3/1084/oj" TargetMode="External"/><Relationship Id="rId2" Type="http://schemas.openxmlformats.org/officeDocument/2006/relationships/hyperlink" Target="http://data.europa.eu/eli/C/2024/1195/oj" TargetMode="External"/><Relationship Id="rId1" Type="http://schemas.openxmlformats.org/officeDocument/2006/relationships/hyperlink" Target="http://data.europa.eu/eli/reg/2024/765/oj" TargetMode="External"/><Relationship Id="rId5" Type="http://schemas.openxmlformats.org/officeDocument/2006/relationships/hyperlink" Target="http://data.europa.eu/eli/reg/2024/792/oj" TargetMode="External"/><Relationship Id="rId4" Type="http://schemas.openxmlformats.org/officeDocument/2006/relationships/hyperlink" Target="http://data.europa.eu/eli/reg/2024/795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zaleski\AppData\Local\Temp\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1D54D-DB62-416A-9BC9-4A2A5E28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TA.dotx</Template>
  <TotalTime>10</TotalTime>
  <Pages>17</Pages>
  <Words>6981</Words>
  <Characters>47683</Characters>
  <Application>Microsoft Office Word</Application>
  <DocSecurity>0</DocSecurity>
  <Lines>397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3</cp:revision>
  <cp:lastPrinted>2004-11-19T15:42:00Z</cp:lastPrinted>
  <dcterms:created xsi:type="dcterms:W3CDTF">2024-03-14T08:18:00Z</dcterms:created>
  <dcterms:modified xsi:type="dcterms:W3CDTF">2024-04-09T13:19:00Z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A9-0068/2024</vt:lpwstr>
  </property>
  <property fmtid="{D5CDD505-2E9C-101B-9397-08002B2CF9AE}" pid="4" name="&lt;Type&gt;">
    <vt:lpwstr>RR</vt:lpwstr>
  </property>
</Properties>
</file>