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52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552B9" w:rsidRDefault="00857DA7" w:rsidP="0010095E">
            <w:pPr>
              <w:pStyle w:val="EPName"/>
            </w:pPr>
            <w:r w:rsidRPr="00B552B9">
              <w:t>Európsky parlament</w:t>
            </w:r>
          </w:p>
          <w:p w:rsidR="00751A4A" w:rsidRPr="00B552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52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552B9" w:rsidRDefault="00187494" w:rsidP="0010095E">
            <w:pPr>
              <w:pStyle w:val="EPLogo"/>
            </w:pPr>
            <w:r w:rsidRPr="00B552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552B9" w:rsidRDefault="00D058B8" w:rsidP="004C5D52">
      <w:pPr>
        <w:pStyle w:val="LineTop"/>
      </w:pPr>
    </w:p>
    <w:p w:rsidR="00680577" w:rsidRPr="00B552B9" w:rsidRDefault="00857DA7" w:rsidP="00680577">
      <w:pPr>
        <w:pStyle w:val="EPBodyTA1"/>
      </w:pPr>
      <w:r w:rsidRPr="00B552B9">
        <w:t>PRIJATÉ TEXTY</w:t>
      </w:r>
    </w:p>
    <w:p w:rsidR="00D058B8" w:rsidRPr="00B552B9" w:rsidRDefault="00D058B8" w:rsidP="00D058B8">
      <w:pPr>
        <w:pStyle w:val="LineBottom"/>
      </w:pPr>
    </w:p>
    <w:p w:rsidR="00857DA7" w:rsidRPr="00B552B9" w:rsidRDefault="00857DA7" w:rsidP="00857DA7">
      <w:pPr>
        <w:pStyle w:val="ATHeading1"/>
      </w:pPr>
      <w:bookmarkStart w:id="0" w:name="TANumber"/>
      <w:r w:rsidRPr="00B552B9">
        <w:t>P9_TA(2024)0</w:t>
      </w:r>
      <w:r w:rsidR="00FA4D86" w:rsidRPr="00B552B9">
        <w:t>15</w:t>
      </w:r>
      <w:r w:rsidR="00267D27" w:rsidRPr="00B552B9">
        <w:t>7</w:t>
      </w:r>
      <w:bookmarkEnd w:id="0"/>
    </w:p>
    <w:p w:rsidR="00857DA7" w:rsidRPr="00B552B9" w:rsidRDefault="00857DA7" w:rsidP="00857DA7">
      <w:pPr>
        <w:pStyle w:val="ATHeading2"/>
      </w:pPr>
      <w:bookmarkStart w:id="1" w:name="title"/>
      <w:r w:rsidRPr="00B552B9">
        <w:t>Usmernenia pre rozpočet na rok 2025 – Oddiel III</w:t>
      </w:r>
      <w:bookmarkEnd w:id="1"/>
    </w:p>
    <w:p w:rsidR="00857DA7" w:rsidRPr="00B552B9" w:rsidRDefault="00857DA7" w:rsidP="00857DA7">
      <w:pPr>
        <w:rPr>
          <w:i/>
          <w:vanish/>
        </w:rPr>
      </w:pPr>
      <w:r w:rsidRPr="00B552B9">
        <w:rPr>
          <w:i/>
        </w:rPr>
        <w:fldChar w:fldCharType="begin"/>
      </w:r>
      <w:r w:rsidRPr="00B552B9">
        <w:rPr>
          <w:i/>
        </w:rPr>
        <w:instrText xml:space="preserve"> TC"(</w:instrText>
      </w:r>
      <w:bookmarkStart w:id="2" w:name="DocNumber"/>
      <w:r w:rsidRPr="00B552B9">
        <w:rPr>
          <w:i/>
        </w:rPr>
        <w:instrText>A9-0068/2024</w:instrText>
      </w:r>
      <w:bookmarkEnd w:id="2"/>
      <w:r w:rsidRPr="00B552B9">
        <w:rPr>
          <w:i/>
        </w:rPr>
        <w:instrText xml:space="preserve"> - Spravodajca: </w:instrText>
      </w:r>
      <w:proofErr w:type="spellStart"/>
      <w:r w:rsidRPr="00B552B9">
        <w:rPr>
          <w:i/>
        </w:rPr>
        <w:instrText>Victor</w:instrText>
      </w:r>
      <w:proofErr w:type="spellEnd"/>
      <w:r w:rsidRPr="00B552B9">
        <w:rPr>
          <w:i/>
        </w:rPr>
        <w:instrText xml:space="preserve"> </w:instrText>
      </w:r>
      <w:proofErr w:type="spellStart"/>
      <w:r w:rsidRPr="00B552B9">
        <w:rPr>
          <w:i/>
        </w:rPr>
        <w:instrText>Negrescu</w:instrText>
      </w:r>
      <w:proofErr w:type="spellEnd"/>
      <w:r w:rsidRPr="00B552B9">
        <w:rPr>
          <w:i/>
        </w:rPr>
        <w:instrText xml:space="preserve">)"\l3 \n&gt; \* MERGEFORMAT </w:instrText>
      </w:r>
      <w:r w:rsidRPr="00B552B9">
        <w:rPr>
          <w:i/>
        </w:rPr>
        <w:fldChar w:fldCharType="end"/>
      </w:r>
    </w:p>
    <w:p w:rsidR="00857DA7" w:rsidRPr="00B552B9" w:rsidRDefault="00857DA7" w:rsidP="00857DA7">
      <w:pPr>
        <w:rPr>
          <w:vanish/>
        </w:rPr>
      </w:pPr>
      <w:bookmarkStart w:id="3" w:name="Commission"/>
      <w:r w:rsidRPr="00B552B9">
        <w:rPr>
          <w:vanish/>
        </w:rPr>
        <w:t>Výbor pre rozpočet</w:t>
      </w:r>
      <w:bookmarkEnd w:id="3"/>
    </w:p>
    <w:p w:rsidR="00857DA7" w:rsidRPr="00B552B9" w:rsidRDefault="00857DA7" w:rsidP="00857DA7">
      <w:pPr>
        <w:rPr>
          <w:vanish/>
        </w:rPr>
      </w:pPr>
      <w:bookmarkStart w:id="4" w:name="PE"/>
      <w:r w:rsidRPr="00B552B9">
        <w:rPr>
          <w:vanish/>
        </w:rPr>
        <w:t>PE758.108</w:t>
      </w:r>
      <w:bookmarkEnd w:id="4"/>
    </w:p>
    <w:p w:rsidR="00857DA7" w:rsidRPr="00B552B9" w:rsidRDefault="00857DA7" w:rsidP="00857DA7">
      <w:pPr>
        <w:pStyle w:val="ATHeading3"/>
      </w:pPr>
      <w:bookmarkStart w:id="5" w:name="Sujet"/>
      <w:r w:rsidRPr="00B552B9">
        <w:t>Uznesenie Európskeho parlamentu z</w:t>
      </w:r>
      <w:r w:rsidR="00C44AFA" w:rsidRPr="00B552B9">
        <w:t> 13</w:t>
      </w:r>
      <w:r w:rsidRPr="00B552B9">
        <w:t>. marca 2024 o všeobecných usmerneniach pre prípravu rozpočtu na rok 2025, oddiel III – Komisia</w:t>
      </w:r>
      <w:bookmarkEnd w:id="5"/>
      <w:r w:rsidRPr="00B552B9">
        <w:t xml:space="preserve"> </w:t>
      </w:r>
      <w:bookmarkStart w:id="6" w:name="References"/>
      <w:r w:rsidRPr="00B552B9">
        <w:t>(2023/2220(BUI))</w:t>
      </w:r>
      <w:bookmarkEnd w:id="6"/>
    </w:p>
    <w:p w:rsidR="00E217DF" w:rsidRPr="00B552B9" w:rsidRDefault="00E217DF" w:rsidP="00E217DF">
      <w:pPr>
        <w:pStyle w:val="EPComma"/>
      </w:pPr>
      <w:bookmarkStart w:id="7" w:name="TextBodyBegin"/>
      <w:bookmarkEnd w:id="7"/>
      <w:r w:rsidRPr="00B552B9">
        <w:rPr>
          <w:i/>
        </w:rPr>
        <w:t>Európsky parlament</w:t>
      </w:r>
      <w:r w:rsidRPr="00B552B9">
        <w:t>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článok 314 Zmluvy o fungovaní Európskej únii,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článok 106a Zmluvy o založení Európskeho spoločenstva pre atómovú energiu,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  <w:t xml:space="preserve">so zreteľom na revidované nariadenie Rady (EÚ, </w:t>
      </w:r>
      <w:proofErr w:type="spellStart"/>
      <w:r w:rsidRPr="00B552B9">
        <w:rPr>
          <w:color w:val="000000"/>
        </w:rPr>
        <w:t>Euratom</w:t>
      </w:r>
      <w:proofErr w:type="spellEnd"/>
      <w:r w:rsidRPr="00B552B9">
        <w:rPr>
          <w:color w:val="000000"/>
        </w:rPr>
        <w:t xml:space="preserve">) </w:t>
      </w:r>
      <w:r w:rsidR="00901EAC">
        <w:rPr>
          <w:color w:val="000000"/>
        </w:rPr>
        <w:t>2024/765</w:t>
      </w:r>
      <w:r w:rsidR="00D721B5">
        <w:rPr>
          <w:color w:val="000000"/>
        </w:rPr>
        <w:t xml:space="preserve"> z 29. februára 2024</w:t>
      </w:r>
      <w:r w:rsidRPr="00B552B9">
        <w:rPr>
          <w:color w:val="000000"/>
        </w:rPr>
        <w:t>, ktorým sa</w:t>
      </w:r>
      <w:r w:rsidR="00D721B5">
        <w:rPr>
          <w:color w:val="000000"/>
        </w:rPr>
        <w:t xml:space="preserve"> mení nariadenie </w:t>
      </w:r>
      <w:r w:rsidR="00D721B5" w:rsidRPr="00B552B9">
        <w:rPr>
          <w:color w:val="000000"/>
        </w:rPr>
        <w:t xml:space="preserve">(EÚ, </w:t>
      </w:r>
      <w:proofErr w:type="spellStart"/>
      <w:r w:rsidR="00D721B5" w:rsidRPr="00B552B9">
        <w:rPr>
          <w:color w:val="000000"/>
        </w:rPr>
        <w:t>Euratom</w:t>
      </w:r>
      <w:proofErr w:type="spellEnd"/>
      <w:r w:rsidR="00D721B5" w:rsidRPr="00B552B9">
        <w:rPr>
          <w:color w:val="000000"/>
        </w:rPr>
        <w:t>) 2020/2093</w:t>
      </w:r>
      <w:r w:rsidR="00D721B5">
        <w:rPr>
          <w:color w:val="000000"/>
        </w:rPr>
        <w:t>, ktorým sa</w:t>
      </w:r>
      <w:r w:rsidRPr="00B552B9">
        <w:rPr>
          <w:color w:val="000000"/>
        </w:rPr>
        <w:t xml:space="preserve"> stanovuje viacročný finančný rámec na roky 2021 až 2027</w:t>
      </w:r>
      <w:r w:rsidR="00D721B5">
        <w:rPr>
          <w:rStyle w:val="FootnoteReference"/>
          <w:color w:val="000000"/>
        </w:rPr>
        <w:footnoteReference w:id="1"/>
      </w:r>
      <w:r w:rsidRPr="00B552B9">
        <w:rPr>
          <w:color w:val="000000"/>
        </w:rPr>
        <w:t xml:space="preserve"> (revízia VFR),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  <w:t xml:space="preserve">so zreteľom na nariadenie Rady (EÚ, </w:t>
      </w:r>
      <w:proofErr w:type="spellStart"/>
      <w:r w:rsidRPr="00B552B9">
        <w:rPr>
          <w:color w:val="000000"/>
        </w:rPr>
        <w:t>Euratom</w:t>
      </w:r>
      <w:proofErr w:type="spellEnd"/>
      <w:r w:rsidRPr="00B552B9">
        <w:rPr>
          <w:color w:val="000000"/>
        </w:rPr>
        <w:t xml:space="preserve">) 2022/2496 z 15. decembra 2022, ktorým sa mení nariadenie (EÚ, </w:t>
      </w:r>
      <w:proofErr w:type="spellStart"/>
      <w:r w:rsidRPr="00B552B9">
        <w:rPr>
          <w:color w:val="000000"/>
        </w:rPr>
        <w:t>Euratom</w:t>
      </w:r>
      <w:proofErr w:type="spellEnd"/>
      <w:r w:rsidRPr="00B552B9">
        <w:rPr>
          <w:color w:val="000000"/>
        </w:rPr>
        <w:t xml:space="preserve">) 2020/2093, ktorým sa </w:t>
      </w:r>
      <w:r w:rsidR="00E42B5E">
        <w:rPr>
          <w:color w:val="000000"/>
        </w:rPr>
        <w:t>u</w:t>
      </w:r>
      <w:r w:rsidRPr="00B552B9">
        <w:rPr>
          <w:color w:val="000000"/>
        </w:rPr>
        <w:t>stanovuje viacročný finančný rámec na roky 2021 až 2027</w:t>
      </w:r>
      <w:r w:rsidRPr="00B552B9">
        <w:rPr>
          <w:color w:val="000000"/>
          <w:vertAlign w:val="superscript"/>
        </w:rPr>
        <w:footnoteReference w:id="2"/>
      </w:r>
      <w:r w:rsidRPr="00B552B9">
        <w:rPr>
          <w:color w:val="000000"/>
        </w:rPr>
        <w:t>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svoju pozíciu zo 16. decembra 2020 k návrhu nariadenia Rady, ktorým sa ustanovuje viacročný finančný rámec na roky 2021 – 2027</w:t>
      </w:r>
      <w:r w:rsidRPr="00B552B9">
        <w:rPr>
          <w:rStyle w:val="FootnoteReference"/>
        </w:rPr>
        <w:footnoteReference w:id="3"/>
      </w:r>
      <w:r w:rsidRPr="00B552B9">
        <w:t>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 xml:space="preserve">so zreteľom na nariadenie Rady (EÚ, </w:t>
      </w:r>
      <w:proofErr w:type="spellStart"/>
      <w:r w:rsidRPr="00B552B9">
        <w:t>Euratom</w:t>
      </w:r>
      <w:proofErr w:type="spellEnd"/>
      <w:r w:rsidRPr="00B552B9">
        <w:t>) 2020/2093 zo 17. decembra 2020, ktorým sa stanovuje viacročný finančný rámec na roky 2021 až 2027</w:t>
      </w:r>
      <w:r w:rsidRPr="00B552B9">
        <w:rPr>
          <w:rStyle w:val="FootnoteReference"/>
        </w:rPr>
        <w:footnoteReference w:id="4"/>
      </w:r>
      <w:r w:rsidRPr="00B552B9">
        <w:t>, a na spoločné vyhlásenia, na ktorých sa v tejto súvislosti dohodli Európsky parlament, Rada a Komisia</w:t>
      </w:r>
      <w:r w:rsidRPr="00B552B9">
        <w:rPr>
          <w:color w:val="000000"/>
          <w:vertAlign w:val="superscript"/>
        </w:rPr>
        <w:footnoteReference w:id="5"/>
      </w:r>
      <w:r w:rsidRPr="00B552B9">
        <w:t>, ako aj na súvisiace jednostranné vyhlásenia</w:t>
      </w:r>
      <w:r w:rsidRPr="00B552B9">
        <w:rPr>
          <w:color w:val="000000"/>
          <w:vertAlign w:val="superscript"/>
        </w:rPr>
        <w:footnoteReference w:id="6"/>
      </w:r>
      <w:r w:rsidRPr="00B552B9"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szCs w:val="24"/>
        </w:rPr>
      </w:pPr>
      <w:r w:rsidRPr="00B552B9">
        <w:t>–</w:t>
      </w:r>
      <w:r w:rsidRPr="00B552B9">
        <w:tab/>
        <w:t xml:space="preserve">so zreteľom na predbežnú správu o návrhu revízie viacročného finančného rámca na </w:t>
      </w:r>
      <w:r w:rsidRPr="00B552B9">
        <w:lastRenderedPageBreak/>
        <w:t>roky 2021 – 2027 v polovici trvania</w:t>
      </w:r>
      <w:r w:rsidRPr="00B552B9">
        <w:rPr>
          <w:rStyle w:val="FootnoteReference"/>
          <w:szCs w:val="24"/>
        </w:rPr>
        <w:footnoteReference w:id="7"/>
      </w:r>
      <w:r w:rsidRPr="00B552B9"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t>–</w:t>
      </w:r>
      <w:r w:rsidRPr="00B552B9">
        <w:tab/>
        <w:t>so zreteľom na svoje uznesenie z 27.</w:t>
      </w:r>
      <w:r w:rsidR="00E42B5E">
        <w:t xml:space="preserve"> </w:t>
      </w:r>
      <w:r w:rsidRPr="00B552B9">
        <w:t>februára 2024 o návrhu nariadenia Rady, ktorým sa mení n</w:t>
      </w:r>
      <w:r w:rsidR="00E42B5E">
        <w:t xml:space="preserve">ariadenie Rady (EÚ, </w:t>
      </w:r>
      <w:proofErr w:type="spellStart"/>
      <w:r w:rsidR="00E42B5E">
        <w:t>Euratom</w:t>
      </w:r>
      <w:proofErr w:type="spellEnd"/>
      <w:r w:rsidR="00E42B5E">
        <w:t xml:space="preserve">) </w:t>
      </w:r>
      <w:r w:rsidRPr="00B552B9">
        <w:t>2020/2093, ktorým sa ustanovuje viacročný finančný rámec na roky 2021 – 2027</w:t>
      </w:r>
      <w:r w:rsidRPr="00B552B9">
        <w:rPr>
          <w:vertAlign w:val="superscript"/>
        </w:rPr>
        <w:footnoteReference w:id="8"/>
      </w:r>
      <w:r w:rsidRPr="00B552B9">
        <w:t>,</w:t>
      </w:r>
      <w:r w:rsidRPr="00B552B9">
        <w:rPr>
          <w:color w:val="000000"/>
        </w:rPr>
        <w:t xml:space="preserve"> </w:t>
      </w:r>
    </w:p>
    <w:p w:rsidR="00E217DF" w:rsidRPr="00B552B9" w:rsidRDefault="00E217DF" w:rsidP="00E217DF">
      <w:pPr>
        <w:pStyle w:val="NormalHanging12a"/>
        <w:jc w:val="both"/>
        <w:rPr>
          <w:bCs/>
        </w:rPr>
      </w:pPr>
      <w:r w:rsidRPr="00B552B9">
        <w:t>–</w:t>
      </w:r>
      <w:r w:rsidRPr="00B552B9">
        <w:tab/>
        <w:t>so zreteľom na svoje uznesenie z 10. mája 2023 o vplyve zvyšovania nákladov na prijaté úvery a pôžičky v rámci Nástroja Európskej únie na obnovu na rozpočet EÚ na rok 2024</w:t>
      </w:r>
      <w:r w:rsidRPr="00B552B9">
        <w:rPr>
          <w:bCs/>
          <w:vertAlign w:val="superscript"/>
        </w:rPr>
        <w:footnoteReference w:id="9"/>
      </w:r>
      <w:r w:rsidRPr="00B552B9">
        <w:t>,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–</w:t>
      </w:r>
      <w:r w:rsidRPr="00B552B9">
        <w:tab/>
        <w:t>so zreteľom na svoje uznesenie z 15. decembra 2022 o zvýšení viacročného finančného rámca na roky 2021 – 2027: odolný rozpočet EÚ pripravený na nové výzvy</w:t>
      </w:r>
      <w:r w:rsidRPr="00B552B9">
        <w:rPr>
          <w:rStyle w:val="FootnoteReference"/>
          <w:color w:val="000000"/>
          <w:szCs w:val="24"/>
        </w:rPr>
        <w:footnoteReference w:id="10"/>
      </w:r>
      <w:r w:rsidRPr="00B552B9">
        <w:t>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návrh Komisie zo 16. mája 2022 na nariadenie Európskeho parlamentu a Rady o rozpočtových pravidlách, ktoré sa vzťahujú na všeobecný rozpočet Únie (COM(2022)0223),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 xml:space="preserve">so zreteľom na </w:t>
      </w:r>
      <w:proofErr w:type="spellStart"/>
      <w:r w:rsidRPr="00B552B9">
        <w:t>Medziinštitucionálnu</w:t>
      </w:r>
      <w:proofErr w:type="spellEnd"/>
      <w:r w:rsidRPr="00B552B9"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 w:rsidRPr="00B552B9">
        <w:rPr>
          <w:rStyle w:val="FootnoteReference"/>
        </w:rPr>
        <w:footnoteReference w:id="11"/>
      </w:r>
      <w:r w:rsidRPr="00B552B9">
        <w:t>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 xml:space="preserve">so zreteľom na rozhodnutie Rady (EÚ, </w:t>
      </w:r>
      <w:proofErr w:type="spellStart"/>
      <w:r w:rsidRPr="00B552B9">
        <w:t>Euratom</w:t>
      </w:r>
      <w:proofErr w:type="spellEnd"/>
      <w:r w:rsidRPr="00B552B9">
        <w:t>) 2020/2053 zo 14. decembra 2020 o systéme vlastných zdrojov Európskej únie</w:t>
      </w:r>
      <w:r w:rsidRPr="00B552B9">
        <w:rPr>
          <w:rStyle w:val="FootnoteReference"/>
        </w:rPr>
        <w:footnoteReference w:id="12"/>
      </w:r>
      <w:r w:rsidRPr="00B552B9"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  <w:t xml:space="preserve">so zreteľom na návrh Komisie z 22. decembra 2021 na rozhodnutie Rady, ktorým sa mení rozhodnutie (EÚ, </w:t>
      </w:r>
      <w:proofErr w:type="spellStart"/>
      <w:r w:rsidRPr="00B552B9">
        <w:rPr>
          <w:color w:val="000000"/>
        </w:rPr>
        <w:t>Euratom</w:t>
      </w:r>
      <w:proofErr w:type="spellEnd"/>
      <w:r w:rsidRPr="00B552B9">
        <w:rPr>
          <w:color w:val="000000"/>
        </w:rPr>
        <w:t>) 2020/2053 o systéme vlastných zdrojov Európskej únie (COM(2021)0570), a na svoju pozíciu k nemu z 23. novembra 2022</w:t>
      </w:r>
      <w:r w:rsidRPr="00B552B9">
        <w:rPr>
          <w:color w:val="000000"/>
          <w:vertAlign w:val="superscript"/>
        </w:rPr>
        <w:footnoteReference w:id="13"/>
      </w:r>
      <w:r w:rsidRPr="00B552B9">
        <w:rPr>
          <w:color w:val="000000"/>
        </w:rPr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  <w:t>so zreteľom na nariadenie Rady (EÚ) 2020/2094 zo 14. decembra 2020, ktorým sa zriaďuje Nástroj Európskej únie na obnovu s cieľom podporiť obnovu po kríze spôsobenej ochorením COVID-19</w:t>
      </w:r>
      <w:r w:rsidRPr="00B552B9">
        <w:rPr>
          <w:rStyle w:val="FootnoteReference"/>
          <w:color w:val="000000"/>
        </w:rPr>
        <w:footnoteReference w:id="14"/>
      </w:r>
      <w:r w:rsidRPr="00B552B9">
        <w:rPr>
          <w:color w:val="000000"/>
        </w:rPr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  <w:t xml:space="preserve">so zreteľom na nariadenie Európskeho parlamentu a Rady (EÚ, </w:t>
      </w:r>
      <w:proofErr w:type="spellStart"/>
      <w:r w:rsidRPr="00B552B9">
        <w:rPr>
          <w:color w:val="000000"/>
        </w:rPr>
        <w:t>Euratom</w:t>
      </w:r>
      <w:proofErr w:type="spellEnd"/>
      <w:r w:rsidRPr="00B552B9">
        <w:rPr>
          <w:color w:val="000000"/>
        </w:rPr>
        <w:t>) 2020/2092 zo 16. decembra 2020 o všeobecnom režime podmienenosti na ochranu rozpočtu Únie</w:t>
      </w:r>
      <w:r w:rsidRPr="00B552B9">
        <w:rPr>
          <w:color w:val="000000"/>
          <w:vertAlign w:val="superscript"/>
        </w:rPr>
        <w:footnoteReference w:id="15"/>
      </w:r>
      <w:r w:rsidRPr="00B552B9">
        <w:rPr>
          <w:color w:val="000000"/>
        </w:rPr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  <w:t>so zreteľom na oznámenie Komisie z 11. decembra 2019 o Európskom ekologickom dohovore (COM(2019)0640) a na svoje uznesenie z 15. januára 2020 ako odpoveď naň</w:t>
      </w:r>
      <w:r w:rsidRPr="00B552B9">
        <w:rPr>
          <w:rStyle w:val="FootnoteReference"/>
          <w:color w:val="000000"/>
        </w:rPr>
        <w:footnoteReference w:id="16"/>
      </w:r>
      <w:r w:rsidRPr="00B552B9">
        <w:rPr>
          <w:color w:val="000000"/>
        </w:rPr>
        <w:t>,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–</w:t>
      </w:r>
      <w:r w:rsidRPr="00B552B9">
        <w:tab/>
        <w:t xml:space="preserve">so zreteľom na nariadenie Európskeho parlamentu a Rady (EÚ) 2021/1119 z 30. júna 2021, ktorým sa stanovuje rámec na dosiahnutie klimatickej neutrality a menia </w:t>
      </w:r>
      <w:r w:rsidRPr="00B552B9">
        <w:lastRenderedPageBreak/>
        <w:t>nariadenia (ES) č. 401/2009 a (EÚ) 2018/1999 (európsky právny predpis v oblasti klímy),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–</w:t>
      </w:r>
      <w:r w:rsidRPr="00B552B9">
        <w:tab/>
        <w:t>so zreteľom na dohodu prijatú 12. decembra 2015 na 21. konferencii zmluvných strán UNFCCC (COP21) v Paríži (Parížska dohoda),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–</w:t>
      </w:r>
      <w:r w:rsidRPr="00B552B9">
        <w:rPr>
          <w:color w:val="000000"/>
        </w:rPr>
        <w:tab/>
      </w:r>
      <w:r w:rsidRPr="00B552B9">
        <w:t xml:space="preserve">so zreteľom na </w:t>
      </w:r>
      <w:proofErr w:type="spellStart"/>
      <w:r w:rsidRPr="00B552B9">
        <w:t>medziinštitucionálne</w:t>
      </w:r>
      <w:proofErr w:type="spellEnd"/>
      <w:r w:rsidRPr="00B552B9">
        <w:t xml:space="preserve"> vyhlásenie Európskeho piliera sociálnych práv z 13. decembra 2017</w:t>
      </w:r>
      <w:r w:rsidR="00FA4D86" w:rsidRPr="00B552B9">
        <w:rPr>
          <w:rStyle w:val="FootnoteReference"/>
        </w:rPr>
        <w:footnoteReference w:id="17"/>
      </w:r>
      <w:r w:rsidRPr="00B552B9">
        <w:t xml:space="preserve"> a svoje uznesenie z 19. januára 2017</w:t>
      </w:r>
      <w:r w:rsidR="00C44AFA" w:rsidRPr="00B552B9">
        <w:rPr>
          <w:rStyle w:val="FootnoteReference"/>
        </w:rPr>
        <w:footnoteReference w:id="18"/>
      </w:r>
      <w:r w:rsidRPr="00B552B9">
        <w:t xml:space="preserve"> k tejto veci, akčný plán Komisie na vykonávanie Európskeho piliera sociálnych práv zo 4. marca 2021 a Portské vyhlásenie o sociálnych veciach prijaté členmi Európskej rady v máji 2021,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–</w:t>
      </w:r>
      <w:r w:rsidRPr="00B552B9">
        <w:tab/>
        <w:t>so zreteľom na politiku EÚ v oblasti rodovej rovnosti na roky 2020 – 2025,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–</w:t>
      </w:r>
      <w:r w:rsidRPr="00B552B9">
        <w:tab/>
        <w:t>so zreteľom na osobitnú správu Európskeho dvora audítorov z roku 2018 s názvom Uplatňovanie hľadiska rodovej rovnosti v rozpočte EÚ: nastal čas premeniť slová na skutky, 2021,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–</w:t>
      </w:r>
      <w:r w:rsidRPr="00B552B9">
        <w:tab/>
        <w:t>so zreteľom na ciele udržateľného rozvoja Organizácie Spojených národov,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t>–</w:t>
      </w:r>
      <w:r w:rsidRPr="00B552B9">
        <w:tab/>
        <w:t>so zreteľom na oznámenie Komisie z 1. februára 2023 s názvom Priemyselný plán v kontexte Zelenej dohody určený pre vek emisnej neutrálnosti (COM(2023)0062),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t>–</w:t>
      </w:r>
      <w:r w:rsidRPr="00B552B9">
        <w:tab/>
        <w:t>so zreteľom na</w:t>
      </w:r>
      <w:r w:rsidR="00493E0A" w:rsidRPr="00B552B9">
        <w:t xml:space="preserve"> nariadenie Európskeho parlamentu a Rady (EÚ) 2024/795 z 29. februára 2024, ktorým sa zriaďuje Platforma strategických technológií pre Európu („platforma STEP“) a mení sa smernica 2003/87/ES a nariadenia (EÚ) 2021/1058, (EÚ) 2021/1056, (EÚ) 2021/1057, (EÚ) č. 1303/2013, (EÚ) č. 223/2014, (EÚ) 2021/1060, (EÚ) 2021/523, (EÚ) 2021/695, (EÚ) 2021/697 a (EÚ) 2021/241</w:t>
      </w:r>
      <w:r w:rsidR="00493E0A" w:rsidRPr="00B552B9">
        <w:rPr>
          <w:rStyle w:val="FootnoteReference"/>
        </w:rPr>
        <w:footnoteReference w:id="19"/>
      </w:r>
      <w:r w:rsidRPr="00B552B9">
        <w:t>,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t>–</w:t>
      </w:r>
      <w:r w:rsidRPr="00B552B9">
        <w:tab/>
        <w:t xml:space="preserve">so zreteľom na </w:t>
      </w:r>
      <w:r w:rsidR="004A6E5F" w:rsidRPr="00B552B9">
        <w:t>nariadenie Európskeho parlamentu a Rady (EÚ) 2024/792 z 29. februára 2024, ktorým sa zriaďuje Nástroj pre Ukrajinu</w:t>
      </w:r>
      <w:r w:rsidR="004A6E5F" w:rsidRPr="00B552B9">
        <w:rPr>
          <w:rStyle w:val="FootnoteReference"/>
        </w:rPr>
        <w:footnoteReference w:id="20"/>
      </w:r>
      <w:r w:rsidRPr="00B552B9">
        <w:t>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všeobecný rozpočet Európskej únie na rozpočtový rok 2024</w:t>
      </w:r>
      <w:r w:rsidRPr="00B552B9">
        <w:rPr>
          <w:rStyle w:val="FootnoteReference"/>
        </w:rPr>
        <w:footnoteReference w:id="21"/>
      </w:r>
      <w:r w:rsidRPr="00B552B9">
        <w:t xml:space="preserve"> a na spoločné vyhlásenia, na ktorých sa dohodol Európsky parlament, Rada a Komisia a ktoré sú k nemu pripojené,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závery Rady z</w:t>
      </w:r>
      <w:r w:rsidR="00935B3C" w:rsidRPr="00B552B9">
        <w:t> 12. marca 2024</w:t>
      </w:r>
      <w:r w:rsidRPr="00B552B9">
        <w:t xml:space="preserve"> o usmerneniach k rozpočtu na rok 2025(</w:t>
      </w:r>
      <w:r w:rsidR="00935B3C" w:rsidRPr="00B552B9">
        <w:t>6195</w:t>
      </w:r>
      <w:r w:rsidRPr="00B552B9">
        <w:t>/2024),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článok 93 rokovacieho poriadku,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 xml:space="preserve">so zreteľom na listy Výboru pre zahraničné veci, Výboru pre rozvoj, Výboru pre kontrolu rozpočtu, Výboru pre zamestnanosť a sociálne veci, Výboru pre životné prostredie, verejné zdravie a bezpečnosť potravín, Výboru pre priemysel, výskum a energetiku, Výboru pre dopravu a cestovný ruch, Výboru pre poľnohospodárstvo a rozvoj vidieka, Výboru pre kultúru a vzdelávanie, Výboru pre ústavné veci a Výboru </w:t>
      </w:r>
      <w:r w:rsidRPr="00B552B9">
        <w:lastRenderedPageBreak/>
        <w:t>pre práva žien a rodovú rovnosť,</w:t>
      </w:r>
    </w:p>
    <w:p w:rsidR="00E217DF" w:rsidRPr="00B552B9" w:rsidRDefault="00E217DF" w:rsidP="00E217DF">
      <w:pPr>
        <w:pStyle w:val="NormalHanging12a"/>
      </w:pPr>
      <w:r w:rsidRPr="00B552B9">
        <w:t>–</w:t>
      </w:r>
      <w:r w:rsidRPr="00B552B9">
        <w:tab/>
        <w:t>so zreteľom na správu Výboru pre rozpočet (A9-0068/2024),</w:t>
      </w:r>
    </w:p>
    <w:p w:rsidR="00E217DF" w:rsidRPr="00B552B9" w:rsidRDefault="00E217DF" w:rsidP="00E217DF">
      <w:pPr>
        <w:pStyle w:val="NormalHanging12a"/>
        <w:ind w:left="0" w:firstLine="0"/>
        <w:rPr>
          <w:b/>
          <w:i/>
        </w:rPr>
      </w:pPr>
      <w:r w:rsidRPr="00B552B9">
        <w:rPr>
          <w:b/>
          <w:i/>
        </w:rPr>
        <w:t>Rozpočet EÚ na rok 2025 zameraný na ľudí: Investície prispôsobené zlepšeniu života ľudí a zvýšeniu konkurencieschopnosti Únie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1.</w:t>
      </w:r>
      <w:r w:rsidRPr="00B552B9">
        <w:tab/>
        <w:t>trvá na tom, že v časoch geopolitických a inštitucionálnych zmien, finančného tlaku, zmeny klímy a spoločenských výziev zostáva spoľahlivý, robustný, pružný a na investície orientovaný EÚ aj naďalej kľúčový pre vykonávanie politík Únie a zohráva ústrednú úlohu pri reagovaní na rastúce potreby ľudí a pri nezab</w:t>
      </w:r>
      <w:r w:rsidR="008F40C5" w:rsidRPr="00B552B9">
        <w:t>ú</w:t>
      </w:r>
      <w:r w:rsidRPr="00B552B9">
        <w:t>daní na nikoho počas zelenej a digitálnej transformácie, dosiahnutí blahobytu a bezpečnosti ľudí a posilnení konkurencieschopnosti hospodárstva EÚ;</w:t>
      </w:r>
    </w:p>
    <w:p w:rsidR="00E217DF" w:rsidRPr="00B552B9" w:rsidRDefault="00E217DF" w:rsidP="00E217DF">
      <w:pPr>
        <w:pStyle w:val="NormalHanging12a"/>
      </w:pPr>
      <w:r w:rsidRPr="00B552B9">
        <w:t>2.</w:t>
      </w:r>
      <w:r w:rsidRPr="00B552B9">
        <w:tab/>
        <w:t xml:space="preserve">zdôrazňuje zložité okolnosti rozpočtového postupu na rok 2025, ktorý sa uskutočňuje v čase vysokého medzinárodného napätia a neistoty a vo volebnom roku, keď </w:t>
      </w:r>
      <w:r w:rsidR="00346A85" w:rsidRPr="00B552B9">
        <w:t>Európsky p</w:t>
      </w:r>
      <w:r w:rsidRPr="00B552B9">
        <w:t>arlament a Komisia budú musieť riadiť prechod na ďalšie volebné obdobie; je si plne vedomý závažných, ale neodvratných časových obmedzení a vyzýva všetkých aktérov, aby ich náležite zohľadnili konštruktívnym zmýšľaním;</w:t>
      </w:r>
    </w:p>
    <w:p w:rsidR="00E217DF" w:rsidRPr="00B552B9" w:rsidRDefault="00E217DF" w:rsidP="00E217DF">
      <w:pPr>
        <w:pStyle w:val="NormalHanging12a"/>
      </w:pPr>
      <w:r w:rsidRPr="00B552B9">
        <w:t>3.</w:t>
      </w:r>
      <w:r w:rsidRPr="00B552B9">
        <w:tab/>
        <w:t>vyjadruje hlboké poľutovanie nad tým, že Rade sa nepodarilo dosiahnuť dohodu o revízii viacročného finančného rámca (VFR) do konca roka 2023; konštatuje preto, že musí začať rozpočtový postup keď neexistuje istota, pokiaľ ide o niekoľko kľúčových prvkov finančného plánu na rok 2025, a je si vedomý žiaľ veľmi prísnych a v niektorých prípadoch negatívnych rezerv v rámci stropov VFR;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4.</w:t>
      </w:r>
      <w:r w:rsidRPr="00B552B9">
        <w:tab/>
        <w:t>domnieva sa, že výsledok revízie VFR nedosahuje pôvodné ambície EP; zdôrazňuje, že revízia nariadenia o VFR je základným predpokladom na zabezpečenie strednodobej finančnej podpory pre Ukrajinu, na umožnenie zvýšeného financovania cielených politických priorít vrátane podpory strategickej autonómie EÚ a na ochranu programov Únie a flexibility rozpočtu vzhľadom na vyššie úrokové sadzby, než sa predpokladalo, a teda vyššie náklady Únie na prijaté úvery a pôžičky, než sa plánovalo; konštatuje, že ročný rozpočtový postup na rok 2025 bude prvým postupom založeným výlučne na revidovanom nariadení o VFR;</w:t>
      </w:r>
    </w:p>
    <w:p w:rsidR="00E217DF" w:rsidRPr="00B552B9" w:rsidRDefault="00E217DF" w:rsidP="00E217DF">
      <w:pPr>
        <w:spacing w:after="240"/>
        <w:ind w:left="567" w:hanging="567"/>
        <w:rPr>
          <w:color w:val="000000"/>
        </w:rPr>
      </w:pPr>
      <w:r w:rsidRPr="00B552B9">
        <w:t>5.</w:t>
      </w:r>
      <w:r w:rsidRPr="00B552B9">
        <w:tab/>
        <w:t>pripomína, že spoločné vyhlásenie, na ktorom sa dohodli tri inštitúcie v rámci dohody o VFR na rok 2020, podľa ktorého sa výdavky na pokrytie finančných nákladov NGEU „zamerajú na neznižovanie objemu prostriedkov určených pre programy a fondy EÚ“, stále platí a slúži ako referenčný bod pre rozpočtový orgán, najmä na mobilizáciu nástroja EURI na pokrytie aspoň časti deficitu nákladov na prijaté úvery a pôžičky NGEU;</w:t>
      </w:r>
      <w:r w:rsidRPr="00B552B9">
        <w:rPr>
          <w:snapToGrid w:val="0"/>
          <w:color w:val="000000" w:themeColor="text1"/>
          <w:shd w:val="clear" w:color="auto" w:fill="FFFFFF"/>
        </w:rPr>
        <w:t xml:space="preserve"> </w:t>
      </w:r>
      <w:r w:rsidRPr="00B552B9">
        <w:rPr>
          <w:color w:val="000000"/>
        </w:rPr>
        <w:t>má preto v úmysle zabezpečiť, aby všetky programy mali primerané zdroje a aby sa prostredníctvom ročného rozpočtového postupu zachovala flexibilita a </w:t>
      </w:r>
      <w:proofErr w:type="spellStart"/>
      <w:r w:rsidRPr="00B552B9">
        <w:rPr>
          <w:color w:val="000000"/>
        </w:rPr>
        <w:t>reakcieschopnosť</w:t>
      </w:r>
      <w:proofErr w:type="spellEnd"/>
      <w:r w:rsidRPr="00B552B9">
        <w:rPr>
          <w:color w:val="000000"/>
        </w:rPr>
        <w:t xml:space="preserve"> rozpočtu; trvá na tom, že je potrebné, aby Komisia poskytovala spoľahlivé, včasné a presné informácie o nákladoch na prijaté úvery a pôžičky nástroja obnovy a o očakávaných platbách v rámci Mechanizmu na podporu obnovy a odolnosti počas celého rozpočtového postupu;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6.</w:t>
      </w:r>
      <w:r w:rsidRPr="00B552B9">
        <w:tab/>
        <w:t xml:space="preserve">vyzýva Radu a Komisiu, aby v plnej miere uplatňovali nariadenie (EÚ, </w:t>
      </w:r>
      <w:proofErr w:type="spellStart"/>
      <w:r w:rsidRPr="00B552B9">
        <w:t>Euratom</w:t>
      </w:r>
      <w:proofErr w:type="spellEnd"/>
      <w:r w:rsidRPr="00B552B9">
        <w:t xml:space="preserve">) 2020/2092 o všeobecnom režime podmienenosti na ochranu rozpočtu Únie; zdôrazňuje najmä, že dodržiavanie zásad právneho štátu je základným predpokladom prístupu k finančným prostriedkom EÚ; zdôrazňuje, že finančné prostriedky nemôžu byť </w:t>
      </w:r>
      <w:r w:rsidRPr="00B552B9">
        <w:lastRenderedPageBreak/>
        <w:t>vyplatené, ak členské štáty nesplnia všetky príslušné požiadavky; opätovne zdôrazňuje, že systémové problémy v oblasti právneho štátu, ako napríklad porušovanie zásady deľby moci alebo nedávne pokusy niektorých členských štátov zaútočiť na nezávislosť súdnictva prostredníctvom prijatých právnych predpisov, predstavujú jasné riziko pre finančné záujmy EÚ a ochranu rozpočtu EÚ, a vyzýva Komisiu, aby nedovolila zhoršenie výsledkov v oblasti právneho štátu; opakuje svoju výzvu Komisii, aby urýchlene zabezpečila, aby sa pozastavené finančné prostriedky EÚ dostali k občanom, podnikom, regionálnym a miestnym orgánom, mimovládnym organizáciám a všetkým ostatným príslušným zainteresovaným stranám prostredníctvom miestnych samospráv a organizácií občianskej spoločnosti v súlade s mechanizmom podmienenosti právnym štátom;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t>7.</w:t>
      </w:r>
      <w:r w:rsidRPr="00B552B9">
        <w:tab/>
        <w:t xml:space="preserve">zdôrazňuje, že splatenie nákladov na prijaté úvery a pôžičky Nástroja Európskej únie na obnovu (EURI) je pre EÚ zákonnou povinnosťou a </w:t>
      </w:r>
      <w:proofErr w:type="spellStart"/>
      <w:r w:rsidRPr="00B552B9">
        <w:t>nediskrečnou</w:t>
      </w:r>
      <w:proofErr w:type="spellEnd"/>
      <w:r w:rsidRPr="00B552B9">
        <w:t xml:space="preserve"> výdavkovou položkou v rozpočte EÚ; konštatuje, že náklady na prijaté úvery a pôžičky závisia od tempa vyplácania prostriedkov v rámci Mechanizmu na podporu obnovy a odolnosti, ako aj od trhových výkyvov výnosov dlhopisov, a preto sú vo svojej podstate nepredvídateľné a nestále; opakuje svoju pozíciu, že náklady na prijaté úvery a pôžičky v rámci EURI mali byť plne vložené do osobitného nástroja presahujúceho stropy VFR s cieľom obnoviť určitú rezervu v rámci okruhu 2b a chrániť rozpočtový priestor v nástrojoch flexibility a jednotnej rezervy; bude sa usilovať zabezpečiť, aby uplatňovanie kaskádového mechanizmu EURI v revidovanom VFR neviedlo k opatreniam, ktoré by spôsobili neprimerané vedľajšie škody na plánovaných výdavkoch alebo na dostupnosti v rámci netematických osobitných nástrojov;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t>8.</w:t>
      </w:r>
      <w:r w:rsidRPr="00B552B9">
        <w:tab/>
        <w:t>pripomína, že podľa predpovede</w:t>
      </w:r>
      <w:r w:rsidRPr="00B552B9">
        <w:rPr>
          <w:rStyle w:val="FootnoteReference"/>
          <w:color w:val="000000"/>
        </w:rPr>
        <w:footnoteReference w:id="22"/>
      </w:r>
      <w:r w:rsidRPr="00B552B9">
        <w:t xml:space="preserve"> bude európske hospodárstvo bude rásť veľmi mierne (0,9 % v roku 2024 a 1,7 % v roku 2025), pričom sa očakáva, že inflácia zostane výrazne nad úrovňou 2 %, ktorá sa používa ako automatický deflátor pre VFR (3,0 % v roku 2024 a 2,5 % v roku 2025); uznáva, že to znamená pokračujúcu stratu kúpnej sily rozpočtu, ktorý musí zostať v rovnováhe a ktorý je obmedzený absolútnymi sumami; zdôrazňuje veľmi nízku mieru výberu vlastného zdroja založeného na hrubom národnom dôchodku (HND) v posledných rokoch (0,46 % v návrhu rozpočtu na rok 2024) v dôsledku kombinovaného účinku inflácie, nízkych úrovní platobných rozpočtových prostriedkov a vyšších príjmov z niektorých iných vlastných zdrojov; pripomína svoje stanovisko, že bonifikácia a iné korekčné mechanizmy by sa mali natrvalo zrušiť a že až do ich trvalého zrušenia by hrubé zníženie národných príspevkov založených na HND malo podliehať pevnému deflátoru do výšky 2 % ročne; </w:t>
      </w:r>
    </w:p>
    <w:p w:rsidR="00E217DF" w:rsidRPr="00B552B9" w:rsidRDefault="00E217DF" w:rsidP="00E217DF">
      <w:pPr>
        <w:pStyle w:val="NormalHanging12a"/>
      </w:pPr>
      <w:r w:rsidRPr="00B552B9">
        <w:t>9.</w:t>
      </w:r>
      <w:r w:rsidRPr="00B552B9">
        <w:tab/>
        <w:t xml:space="preserve">vyjadruje poľutovanie nad absenciou pokroku v Rade v oblasti reformy systému vlastných zdrojov; pripomína svoju pozíciu k zmeneným návrhom Komisie, ktoré podporujú zavedenie nových vlastných zdrojov; domnieva sa, že zavedenie nových skutočných zdrojov príjmov v súlade s plánom uvedeným v </w:t>
      </w:r>
      <w:proofErr w:type="spellStart"/>
      <w:r w:rsidRPr="00B552B9">
        <w:t>medziinštitucionálnej</w:t>
      </w:r>
      <w:proofErr w:type="spellEnd"/>
      <w:r w:rsidRPr="00B552B9">
        <w:t xml:space="preserve"> dohode by slúžilo na pokrytie dodatočnej rozpočtovej záťaže vyplývajúcej z úverov a pôžičiek </w:t>
      </w:r>
      <w:proofErr w:type="spellStart"/>
      <w:r w:rsidRPr="00B552B9">
        <w:t>NextGenerationEU</w:t>
      </w:r>
      <w:proofErr w:type="spellEnd"/>
      <w:r w:rsidRPr="00B552B9">
        <w:t xml:space="preserve">, čím by sa chránili rezervy a mechanizmy flexibility, čo by zase uľahčilo rozpočtové rozhodovanie o nepredvídaných potrebách, ako aj nové iniciatívy strategického výhľadu; ďalej naliehavo vyzýva Komisiu, aby pokračovala v úsilí o nájdenie ešte nepoužitých, nových a pokiaľ možno skutočných vlastných zdrojov </w:t>
      </w:r>
      <w:r w:rsidRPr="00B552B9">
        <w:lastRenderedPageBreak/>
        <w:t>a iných zdrojov príjmov pre rozpočet EÚ nad rámec MID;</w:t>
      </w:r>
    </w:p>
    <w:p w:rsidR="00E217DF" w:rsidRPr="00B552B9" w:rsidRDefault="00E217DF" w:rsidP="00E217DF">
      <w:pPr>
        <w:pStyle w:val="NormalHanging12a"/>
      </w:pPr>
      <w:r w:rsidRPr="00B552B9">
        <w:t>10.</w:t>
      </w:r>
      <w:r w:rsidRPr="00B552B9">
        <w:tab/>
        <w:t xml:space="preserve">vyjadruje poľutovanie nad tým, že schopnosť reagovať na nepredvídané udalosti alebo spustiť nové iniciatívy je významne nepriaznivo ovplyvnená nedostatkom rozpočtových prostriedkov, a má v úmysle túto situáciu čo najviac napraviť, a to aj s ohľadom na rastúce očakávania občanov EÚ; pripomína, že je nutné vytvoriť dodatočný osobitný nástroj nad rámec stropov VFR, aby sa rozpočet EÚ mohol lepšie prispôsobiť krízam a ich sociálnym a hospodárskym účinkom a rýchlo na </w:t>
      </w:r>
      <w:proofErr w:type="spellStart"/>
      <w:r w:rsidRPr="00B552B9">
        <w:t>ne</w:t>
      </w:r>
      <w:proofErr w:type="spellEnd"/>
      <w:r w:rsidRPr="00B552B9">
        <w:t xml:space="preserve"> reagovať;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11.</w:t>
      </w:r>
      <w:r w:rsidRPr="00B552B9">
        <w:tab/>
        <w:t>napriek týmto mnohým obmedzeniam je odhodlaný zachovať súdržnú a jednotnú pozíciu, ktorá odráža jeho stanovené politické priority a inštitucionálne záujmy vrátane zvýšenia konkurencieschopnosti Únie, zníženia strategických závislostí, urýchlenia zavádzania čistej energie, zabezpečenia dosiahnutia cieľov Únie v oblasti uplatňovania hľadiska klímy a biodiverzity, posilnenia jej bezpečnostných a obranných kapacít, ako aj prispenia k zelenej a digitálnej transformácii pri súčasnej minimalizácii súčasnom negatívnych vplyvov na hlavné programy a maximalizovaní vedľajších prínosov hospodárskeho rastu pre všetkých ľudí v EÚ;</w:t>
      </w:r>
    </w:p>
    <w:p w:rsidR="00E217DF" w:rsidRPr="00B552B9" w:rsidRDefault="00E217DF" w:rsidP="00E217DF">
      <w:pPr>
        <w:pStyle w:val="NormalHanging12a"/>
        <w:ind w:left="0" w:firstLine="0"/>
        <w:rPr>
          <w:b/>
          <w:i/>
        </w:rPr>
      </w:pPr>
      <w:r w:rsidRPr="00B552B9">
        <w:rPr>
          <w:b/>
          <w:i/>
        </w:rPr>
        <w:t xml:space="preserve">Spravodlivý, spravodlivý a </w:t>
      </w:r>
      <w:proofErr w:type="spellStart"/>
      <w:r w:rsidRPr="00B552B9">
        <w:rPr>
          <w:b/>
          <w:i/>
        </w:rPr>
        <w:t>inkluzívny</w:t>
      </w:r>
      <w:proofErr w:type="spellEnd"/>
      <w:r w:rsidRPr="00B552B9">
        <w:rPr>
          <w:b/>
          <w:i/>
        </w:rPr>
        <w:t xml:space="preserve"> rozpočet, ktorý ponúka lepšie príležitosti pre všetkých občanov EÚ a zabezpečuje rast hospodárstva</w:t>
      </w:r>
    </w:p>
    <w:p w:rsidR="00E217DF" w:rsidRPr="00B552B9" w:rsidRDefault="00E217DF" w:rsidP="00E217DF">
      <w:pPr>
        <w:pStyle w:val="NormalHanging12a"/>
      </w:pPr>
      <w:r w:rsidRPr="00B552B9">
        <w:t>12.</w:t>
      </w:r>
      <w:r w:rsidRPr="00B552B9">
        <w:tab/>
        <w:t xml:space="preserve">konštatuje, že cenovo dostupný život a spoločenská súdržnosť sú naďalej pretrvávajúcimi výzvami vo všetkých členských štátoch EÚ a ich regiónoch a v tejto súvislosti pripomína úlohu kvalitných a dostupných verejných služieb; želá si posilniť </w:t>
      </w:r>
      <w:proofErr w:type="spellStart"/>
      <w:r w:rsidRPr="00B552B9">
        <w:t>inkluzívnosť</w:t>
      </w:r>
      <w:proofErr w:type="spellEnd"/>
      <w:r w:rsidRPr="00B552B9">
        <w:t xml:space="preserve"> a dostupnosť financovania vždy, keď je to vhodné a v súlade s príslušnými kritériami oprávnenosti, a maximalizovať možnosti financovania využitím existujúcich fondov; domnieva sa, že sociálny rozmer výdavkov EÚ, ktorý je nevyhnutným prvkom ich legitimity, by mal byť naďalej prierezovým kritériom pre všetky oblasti politiky; </w:t>
      </w:r>
    </w:p>
    <w:p w:rsidR="00E217DF" w:rsidRPr="00B552B9" w:rsidRDefault="00E217DF" w:rsidP="00E217DF">
      <w:pPr>
        <w:pStyle w:val="NormalHanging12a"/>
      </w:pPr>
      <w:r w:rsidRPr="00B552B9">
        <w:t>13.</w:t>
      </w:r>
      <w:r w:rsidRPr="00B552B9">
        <w:tab/>
        <w:t>zdôrazňuje, že rozpočet EÚ je predovšetkým investičným rozpočtom s pákovým efektom, ktorý dokáže po posilniť ciele Únie a tvorbu politiky, dopĺňať vnútroštátne politiky, a tak reagovať na potreby ľudí v EÚ; pripomína význam Mechanizmu na podporu obnovy a odolnosti pri zvyšovaní odolnosti Únie a zmierňovaní sociálno-ekonomických dôsledkov minulých a prebiehajúcich kríz; domnieva sa, že by sa malo vynaložiť všetko úsilie na zabezpečenie toho, aby sa tieto dva hlavné zdroje financovania EÚ vynakladali účinne a bez ďalšieho odkladu;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14.</w:t>
      </w:r>
      <w:r w:rsidRPr="00B552B9">
        <w:tab/>
        <w:t xml:space="preserve">je pevne odhodlaný využiť rozpočet EÚ na hmatateľný a viditeľný prínos pre občanov, hospodárstvo na jednotnom trhu a na dosiahnutie cieľov zelenej dohody, a to podporou vytvárania kvalitných pracovných miest v špičkových priemyselných odvetviach, zabezpečením odolnosti trhu práce voči budúcim zmenám prostredníctvom rozvoja zručností a systémov na podporu talentov, bojom proti nezamestnanosti, zvyšovaním európskej konkurencieschopnosti a zvyšovaním obrannej pripravenosti Únie; domnieva sa, že technologická nezávislosť a udržateľný rast sú kľúčom k dosiahnutiu dlhodobých cieľov Únie v oblasti energetiky a klímy; opakuje svoju výzvu na zachovanie primeraného financovania na podporu malých a stredných podnikov (MSP) ako základu európskeho hospodárstva, </w:t>
      </w:r>
      <w:proofErr w:type="spellStart"/>
      <w:r w:rsidRPr="00B552B9">
        <w:t>startupov</w:t>
      </w:r>
      <w:proofErr w:type="spellEnd"/>
      <w:r w:rsidRPr="00B552B9">
        <w:t xml:space="preserve"> a mladých ľudí, poľnohospodárov, učiteľov a pracovníkov v doprave; zdôrazňuje, že je potrebné ďalej zlepšovať energetickú a dopravnú infraštruktúru, investovať do modernizácie služieb verejného zdravia a sociálnej starostlivosti, sociálnej a územnej súdržnosti a začleňovania a do podpory zraniteľných, vzdialených a vidieckych komunít vrátane inteligentných dedín; </w:t>
      </w:r>
      <w:r w:rsidRPr="00B552B9">
        <w:lastRenderedPageBreak/>
        <w:t xml:space="preserve">poukazuje na to, že rozpočet musí zabezpečiť zelenú transformáciu a zároveň podporovať kvalitné poľnohospodárstvo a zabezpečiť prístup ku kvalitnej zdravotnej starostlivosti a vzdelávaniu; 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15.</w:t>
      </w:r>
      <w:r w:rsidRPr="00B552B9">
        <w:tab/>
        <w:t xml:space="preserve">zdôrazňuje významný vplyv výskumu a inovácií na konkurencieschopnosť, dlhodobý rast a zamestnanosť v Európskej únii; pripomína dlhodobú iniciatívu, ktorej cieľom je zvýšiť intenzitu investícií EÚ do výskumu a vývoja na úroveň 3 % HDP; uznáva existujúci rozdiel medzi cieľom a skutočne poskytnutým financovaním; zdôrazňuje, že vedúce postavenie Európy v oblasti technológií je nevyhnutné na vykonávanie Zelenej dohody a zdravotnej únie, pretože vytvára vysokokvalifikované pracovné miesta v Únii v celom hodnotovom reťazci a posilňuje </w:t>
      </w:r>
      <w:proofErr w:type="spellStart"/>
      <w:r w:rsidRPr="00B552B9">
        <w:t>excelentnosť</w:t>
      </w:r>
      <w:proofErr w:type="spellEnd"/>
      <w:r w:rsidRPr="00B552B9">
        <w:t xml:space="preserve"> výskumu a inovácií v Únii; je hlboko znepokojený tým, že dostupné finančné prostriedky pokrývajú len zlomok všetkých predložených žiadostí, čo vedie k vysokému prečerpaniu programov a odchodu výskumných pracovníkov z Únie do konkurenčných regiónov;</w:t>
      </w:r>
    </w:p>
    <w:p w:rsidR="00E217DF" w:rsidRPr="00B552B9" w:rsidRDefault="00E217DF" w:rsidP="00E217DF">
      <w:pPr>
        <w:pStyle w:val="NormalHanging12a"/>
        <w:rPr>
          <w:szCs w:val="24"/>
        </w:rPr>
      </w:pPr>
      <w:r w:rsidRPr="00B552B9">
        <w:t>16.</w:t>
      </w:r>
      <w:r w:rsidRPr="00B552B9">
        <w:tab/>
        <w:t>zdôrazňuje, že s cieľom úspešne zvládnuť štrukturálne demografické výzvy, ako aj zmierniť únik mozgov v menej rozvinutých regiónoch a mestách EÚ treba poskytnúť udržateľné a dlhodobé riešenia; zdôrazňuje, že sú potrebné finančné zdroje na oživenie regiónov poznačených poklesom populácie prostredníctvom investícií do sociálnych a demografických politík, ktoré podporujú rodiny, ako aj na poskytnutie primeranej podpory starnúcemu obyvateľstvu v Európe, pokiaľ ide o prístup k zdravotnej starostlivosti, mobilite a verejným službám;</w:t>
      </w:r>
    </w:p>
    <w:p w:rsidR="00E217DF" w:rsidRPr="00B552B9" w:rsidRDefault="00E217DF" w:rsidP="00E217DF">
      <w:pPr>
        <w:pStyle w:val="NormalHanging12a"/>
      </w:pPr>
      <w:r w:rsidRPr="00B552B9">
        <w:t>17.</w:t>
      </w:r>
      <w:r w:rsidRPr="00B552B9">
        <w:tab/>
        <w:t xml:space="preserve">trvá na tom, že prostredníctvom programov Erasmus+ a Európskeho zboru solidarity by sa mali mobilizovať maximálne možné finančné prostriedky na podporu vzdelávania a podnikania a na zlepšenie zručností, formálneho neformálneho vzdelávania a </w:t>
      </w:r>
      <w:proofErr w:type="spellStart"/>
      <w:r w:rsidRPr="00B552B9">
        <w:t>informálneho</w:t>
      </w:r>
      <w:proofErr w:type="spellEnd"/>
      <w:r w:rsidRPr="00B552B9">
        <w:t xml:space="preserve"> učenia, ako aj a </w:t>
      </w:r>
      <w:proofErr w:type="spellStart"/>
      <w:r w:rsidRPr="00B552B9">
        <w:t>zamestnateľnosti</w:t>
      </w:r>
      <w:proofErr w:type="spellEnd"/>
      <w:r w:rsidRPr="00B552B9">
        <w:t xml:space="preserve"> mladých ľudí, ako aj na podporu sociálneho začlenenia; opakuje, že je potrebné zabezpečiť, aby oba programy zaručili rovnaké príležitosti, s osobitným dôrazom na ľudí zo znevýhodneného prostredia v celej EÚ a v pridružených krajinách; zastáva názor, že granty na mobilitu v rámci programu Erasmus+ sa musia ďalej podporovať, aby mohli pokrývať zvýšenie životných nákladov, a aby sa zabezpečila dostupnosť, rovnosť príležitostí a </w:t>
      </w:r>
      <w:proofErr w:type="spellStart"/>
      <w:r w:rsidRPr="00B552B9">
        <w:t>inkluzívna</w:t>
      </w:r>
      <w:proofErr w:type="spellEnd"/>
      <w:r w:rsidRPr="00B552B9">
        <w:t xml:space="preserve"> účasť, najmä zvýšením minimálneho grantu na účastníka na primeranú úroveň;</w:t>
      </w:r>
    </w:p>
    <w:p w:rsidR="00E217DF" w:rsidRPr="00B552B9" w:rsidRDefault="00E217DF" w:rsidP="00E217DF">
      <w:pPr>
        <w:pStyle w:val="NormalHanging12a"/>
      </w:pPr>
      <w:r w:rsidRPr="00B552B9">
        <w:t>18.</w:t>
      </w:r>
      <w:r w:rsidRPr="00B552B9">
        <w:tab/>
        <w:t xml:space="preserve">zdôrazňuje význam vykonávania Európskeho piliera sociálnych práv a vyzýva Komisiu, aby začala uvažovať o metodike sledovania sociálnych výdavkov v rozpočte EÚ v budúcom programovom období; zdôrazňuje kľúčovú úlohu rozpočtu EÚ pri prispievaní k iniciatívam, ktoré zlepšujú sociálny dialóg a posilňujú miestne a regionálne sociálne opatrenia a poskytujú prístup ku kľúčovým službám pre všetkých; opätovne zdôrazňuje potrebu európskej stratégie pre starších ľudí s osobitnými opatreniami na boj proti </w:t>
      </w:r>
      <w:proofErr w:type="spellStart"/>
      <w:r w:rsidRPr="00B552B9">
        <w:t>marginalizácii</w:t>
      </w:r>
      <w:proofErr w:type="spellEnd"/>
      <w:r w:rsidRPr="00B552B9">
        <w:t>, osamelosti a izolácii; ďalej pripomína potrebu úplného vykonávania stratégie pre práva osôb so zdravotným postihnutím na roky 2021 – 2030 s cieľom zlepšiť ich životné podmienky v Únii; zdôrazňuje prípad európskych dopravcov, ktorí čelia rôznym výzvam v každom členskom štáte, od rastúcich nákladov až po nedostatok kapacít a potrebu flexibility a lepších pracovných podmienok; zdôrazňuje potrebu posilniť existujúce pravidlá na ich ochranu a prideliť dodatočné zdroje na monitorovanie ich pracovných podmienok vo všetkých členských štátoch; v tejto súvislosti zdôrazňuje výhody rozvoja IT nástrojov na úrovni EÚ, ktoré pomáhajú zlepšiť zavádzanie byrokratických požiadaviek a štandardizáciu certifikátov;</w:t>
      </w:r>
    </w:p>
    <w:p w:rsidR="00E217DF" w:rsidRPr="00B552B9" w:rsidRDefault="00E217DF" w:rsidP="00E217DF">
      <w:pPr>
        <w:pStyle w:val="NormalHanging12a"/>
      </w:pPr>
      <w:r w:rsidRPr="00B552B9">
        <w:t>19.</w:t>
      </w:r>
      <w:r w:rsidRPr="00B552B9">
        <w:tab/>
        <w:t xml:space="preserve">vyzýva Komisiu a členské štáty, aby vyčlenili primerané zdroje na účinné vykonávanie </w:t>
      </w:r>
      <w:r w:rsidRPr="00B552B9">
        <w:lastRenderedPageBreak/>
        <w:t xml:space="preserve">pravidiel EÚ týkajúcich sa koordinácie sociálneho zabezpečenia s cieľom uľahčiť mobilitu pracovnej sily a prenášanie nárokov na sociálne zabezpečenie; žiada, aby sa finančné prostriedky EÚ využívali na rozvoj systému elektronickej výmeny informácií o sociálnom zabezpečení a na podporu ďalšej digitalizácie systémov sociálneho zabezpečenia v záujme spravodlivej mobility pracovnej sily; 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20.</w:t>
      </w:r>
      <w:r w:rsidRPr="00B552B9">
        <w:tab/>
        <w:t>uznáva, že technológie a umelá inteligencia (AI) rýchlo menia prostredie v oblasti zamestnanosti; zdôrazňuje hospodársky potenciál, ktorým môžu dôveryhodné technológie umelej inteligencie zamerané na človeka prispieť k hospodárskemu rastu a konkurencieschopnosti Európy a zlepšiť život občanov v mnohých oblastiach, ako je zdravotníctvo, poľnohospodárstvo, energetika, doprava a bezpečnosť;</w:t>
      </w:r>
      <w:r w:rsidRPr="00B552B9">
        <w:rPr>
          <w:color w:val="00B0F0"/>
        </w:rPr>
        <w:t xml:space="preserve"> </w:t>
      </w:r>
      <w:r w:rsidRPr="00B552B9">
        <w:t xml:space="preserve">žiada, aby sa to premietlo do programov a politík EÚ prostredníctvom pridelenia primeraných finančných prostriedkov; zdôrazňuje, že je potrebné zlepšiť základné digitálne zručnosti občanov, aby zodpovedali potrebám spoločností a aby boli občania vybavení proti dezinformáciám; podporuje opatrenia EÚ, ktoré koordinovaným spôsobom dopĺňajú vnútroštátne stratégie zamestnanosti zamerané na </w:t>
      </w:r>
      <w:proofErr w:type="spellStart"/>
      <w:r w:rsidRPr="00B552B9">
        <w:t>rekonverziu</w:t>
      </w:r>
      <w:proofErr w:type="spellEnd"/>
      <w:r w:rsidRPr="00B552B9">
        <w:t xml:space="preserve"> pracovných miest a mobilitu na úrovni EÚ, pričom využívajú potenciál týchto zmien pre prosperujúcu a </w:t>
      </w:r>
      <w:proofErr w:type="spellStart"/>
      <w:r w:rsidRPr="00B552B9">
        <w:t>prispôsobeniaschopnú</w:t>
      </w:r>
      <w:proofErr w:type="spellEnd"/>
      <w:r w:rsidRPr="00B552B9">
        <w:t xml:space="preserve"> pracovnú silu, a to aj cez podporu rekvalifikácie a mobility pracovných miest, čím sa zabezpečí hladký prechod do nových a vznikajúcich odvetví pracovných miest;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21.</w:t>
      </w:r>
      <w:r w:rsidRPr="00B552B9">
        <w:tab/>
        <w:t>je znepokojený rastúcim počtom extrémnych poveternostných javov, ako sú vážne požiare, povodne a iné prírodné katastrofy spojené so zhoršujúcou sa zmenou klímy v celej Európe; zdôrazňuje preto potrebu zabezpečiť dostatočné financovanie mechanizmu EÚ v oblasti civilnej ochrany a vyzýva na lepšiu konsolidáciu kapacít EÚ v oblasti reakcie na núdzové situácie posilnením spoločných lekárskych a núdzových zásahových tímov; vyzýva Komisiu, aby zabezpečila, že zdroje bude možné rýchlo sprístupniť aj cez FSEÚ a EAR;</w:t>
      </w:r>
    </w:p>
    <w:p w:rsidR="00E217DF" w:rsidRPr="00B552B9" w:rsidRDefault="00E217DF" w:rsidP="00E217DF">
      <w:pPr>
        <w:pStyle w:val="NormalHanging12a"/>
      </w:pPr>
      <w:r w:rsidRPr="00B552B9">
        <w:t>22.</w:t>
      </w:r>
      <w:r w:rsidRPr="00B552B9">
        <w:tab/>
        <w:t xml:space="preserve">zdôrazňuje, že je dôležité vyčleniť primerané finančné prostriedky na činnosti stanovené v nariadení EU4Health; uznáva, že cena liekov a zdravotníckych technológií má veľký vplyv na schopnosť pacientov získať k nim prístup; zdôrazňuje, že nedostupné náklady na lieky predstavujú skutočnú prekážku liečby, a vyzýva na vykonávanie osobitných opatrení s cieľom riešiť tieto výzvy; v tejto súvislosti vyzýva na lepšiu koordináciu na úrovni EÚ a spoločné obstarávanie liekov s cieľom znížiť náklady; zdôrazňuje význam riešenia problematiky detských chorôb s osobitným dôrazom na zriedkavé choroby; zdôrazňuje v tejto súvislosti najmä význam plánu na boj proti rakovine; vyzýva na ambiciózny rozpočet klastra Zdravie v rámci programu Horizont Európa, aby sa zabezpečilo, že EÚ bude môcť účinne reagovať na budúce krízy v oblasti zdravia, pomáhať posilňovať systémy zdravotníctva a zlepšovať fyzické a duševné zdravie ľudí tým, že sa zdravotná starostlivosť stane dostupnejšou a cenovo prijateľnejšou; uznáva, že kardiovaskulárne ochorenia (KVO) sú naďalej hlavnou príčinou úmrtí v EÚ; domnieva sa, že riešenie KVO investovaním do opatrení zameraných na </w:t>
      </w:r>
      <w:proofErr w:type="spellStart"/>
      <w:r w:rsidRPr="00B552B9">
        <w:t>personalizovanú</w:t>
      </w:r>
      <w:proofErr w:type="spellEnd"/>
      <w:r w:rsidRPr="00B552B9">
        <w:t xml:space="preserve"> medicínu a elektronické zdravotníctvo je kľúčové, pretože sa tým zlepší úroveň prevencie a liečby a všetkým občanom sa umožní rovnaký prístup k zdravotnej starostlivosti; zdôrazňuje potrebu predchádzať nedostatku liekov, ktorému v posledných rokoch čelia niektoré členské štáty; uznáva, že je potrebné znížiť nerovnosti v oblasti zdravia, aby sa zabezpečilo spravodlivé zdravie pre všetky ženy vrátane prístupu k sexuálnemu a reprodukčnému zdraviu, a pripomína, že je nevyhnutné, aby zdravie žien zostalo politickou a výskumnou prioritou;</w:t>
      </w:r>
    </w:p>
    <w:p w:rsidR="00E217DF" w:rsidRPr="00B552B9" w:rsidRDefault="00E217DF" w:rsidP="00E217DF">
      <w:pPr>
        <w:pStyle w:val="NormalHanging12a"/>
      </w:pPr>
      <w:r w:rsidRPr="00B552B9">
        <w:lastRenderedPageBreak/>
        <w:t>23.</w:t>
      </w:r>
      <w:r w:rsidRPr="00B552B9">
        <w:tab/>
        <w:t>pripomína, že je potrebné riešiť nedostatok zručností, problém úniku mozgov a koreláciu medzi potrebami trhu a zručnosťami, a to nielen z hľadiska situácie v rôznych regiónoch EÚ; domnieva sa, že na to, aby pracovná sila EÚ zostala v budúcnosti konkurencieschopná, je potrebné vymedziť kľúčové oblasti odbornej prípravy a rekvalifikácie, najmä na podporu zelených a digitálnych zručností; zdôrazňuje, že sú potrebné ďalšie investície na modernizáciu vzdelávacích systémov Únie, vytvorenie systémov na podporu talentov a stimulovanie mladých podnikateľov; žiada, aby sa urýchlilo vykonávanie Európskeho roka zručností a európskeho vzdelávacieho priestoru; vyzýva Komisiu, aby urýchlene zaviedla riešenia identifikované ako kľúčové počas Európskeho roka zručností, pričom zdôrazňuje potrebu lepšej spolupráce s podnikmi vrátane mládežníckeho testu EÚ a zákazu neplatených stáží; podľa odporúčaní prijatých na Konferencii o budúcnosti Európy pripomína význam vytvorenia európskeho plánu vzdelávania s finančnými zdrojmi na podporu kvalitného vzdelávania a odbornej prípravy učiteľov a na zníženie miery predčasného ukončenia školskej dochádzky;</w:t>
      </w:r>
    </w:p>
    <w:p w:rsidR="00E217DF" w:rsidRPr="00B552B9" w:rsidRDefault="00E217DF" w:rsidP="00FA4D86">
      <w:pPr>
        <w:pStyle w:val="NormalHanging12a"/>
        <w:rPr>
          <w:color w:val="000000"/>
        </w:rPr>
      </w:pPr>
      <w:r w:rsidRPr="00B552B9">
        <w:rPr>
          <w:color w:val="000000"/>
        </w:rPr>
        <w:t>24.</w:t>
      </w:r>
      <w:r w:rsidRPr="00B552B9">
        <w:rPr>
          <w:color w:val="000000"/>
        </w:rPr>
        <w:tab/>
        <w:t xml:space="preserve">zdôrazňuje pridanú hodnotu programov financovania v oblasti demokracie a práv a hodnôt a pripomína významnú úlohu rozpočtu EÚ pri presadzovaní európskych hodnôt stanovených v článku 2 ZEÚ, kultúry a práv občanov a budovaní odolných spoločností, ako aj pri podpore kľúčových zásad demokracie, právneho štátu, solidarity, </w:t>
      </w:r>
      <w:proofErr w:type="spellStart"/>
      <w:r w:rsidRPr="00B552B9">
        <w:rPr>
          <w:color w:val="000000"/>
        </w:rPr>
        <w:t>inkluzívnosti</w:t>
      </w:r>
      <w:proofErr w:type="spellEnd"/>
      <w:r w:rsidRPr="00B552B9">
        <w:rPr>
          <w:color w:val="000000"/>
        </w:rPr>
        <w:t xml:space="preserve">, spravodlivosti, nediskriminácie a rovnosti vrátane rodovej rovnosti; želá si posilnenie príslušných rozpočtových riadkov a orgánov s cieľom riešiť polarizáciu, nárast politického extrémizmu a nízku dôveru v inštitúcie, podporovať </w:t>
      </w:r>
      <w:proofErr w:type="spellStart"/>
      <w:r w:rsidRPr="00B552B9">
        <w:rPr>
          <w:color w:val="000000"/>
        </w:rPr>
        <w:t>participatívnu</w:t>
      </w:r>
      <w:proofErr w:type="spellEnd"/>
      <w:r w:rsidRPr="00B552B9">
        <w:rPr>
          <w:color w:val="000000"/>
        </w:rPr>
        <w:t xml:space="preserve"> demokraciu, presadzovať základné práva a predchádzať úpadku demokracie, narúšaniu právneho štátu, zmenšovaniu priestoru pre organizácie občianskej spoločnosti pôsobiace v tejto oblasti na miestnej a vnútroštátnej úrovni a na úrovni Únie a zneužívaniu euroskepticizmu; vyzýva na zabezpečenie dostatočných finančných prostriedkov EÚ pre program Občania, rovnosť, práva a hodnoty (CERV) a zdôrazňuje cennú prácu vykonanú v rámci oblasti Hodnoty Únie, ktorá poskytuje priame financovanie organizáciám občianskej spoločnosti, ako aj v rámci oblastí </w:t>
      </w:r>
      <w:proofErr w:type="spellStart"/>
      <w:r w:rsidRPr="00B552B9">
        <w:rPr>
          <w:color w:val="000000"/>
        </w:rPr>
        <w:t>Daphne</w:t>
      </w:r>
      <w:proofErr w:type="spellEnd"/>
      <w:r w:rsidRPr="00B552B9">
        <w:rPr>
          <w:color w:val="000000"/>
        </w:rPr>
        <w:t xml:space="preserve"> a Rovnosť a práva; opakuje, že by sa mali vyčleniť potrebné zdroje na boj proti rodovo motivovanému násiliu a na podporu práv na bezpečné služby v oblasti sexuálneho a reprodukčného zdravia a prístupu k týmto službám, pre organizácie pre práva žien, ako aj pre iniciatívy a orgány EÚ zamerané na boj proti diskriminácii žien; vyzýva Komisiu, aby uľahčila prístup k programu CERV a tiež zaručila flexibilitu v procese opätovného prideľovania grantov miestnym organizáciám a organizáciám na miestnej úrovni zo strany príslušných subjektov v členských štátoch s cieľom zabezpečiť, aby sa finančné prostriedky dostali k tým, ktorí pracujú najbližšie k občanom; </w:t>
      </w:r>
    </w:p>
    <w:p w:rsidR="00E217DF" w:rsidRPr="00B552B9" w:rsidRDefault="00E217DF" w:rsidP="00FA4D86">
      <w:pPr>
        <w:pStyle w:val="NormalHanging12a"/>
        <w:rPr>
          <w:color w:val="000000"/>
        </w:rPr>
      </w:pPr>
      <w:r w:rsidRPr="00B552B9">
        <w:rPr>
          <w:color w:val="000000"/>
        </w:rPr>
        <w:t>25.</w:t>
      </w:r>
      <w:r w:rsidRPr="00B552B9">
        <w:rPr>
          <w:color w:val="000000"/>
        </w:rPr>
        <w:tab/>
        <w:t xml:space="preserve">vyzýva Komisiu, aby zvýšila podporu Únie s cieľom chrániť občanov, menšiny a náboženské komunity a verejné priestory pred teroristickými hrozbami a bojovať proti </w:t>
      </w:r>
      <w:proofErr w:type="spellStart"/>
      <w:r w:rsidRPr="00B552B9">
        <w:rPr>
          <w:color w:val="000000"/>
        </w:rPr>
        <w:t>radikalizácii</w:t>
      </w:r>
      <w:proofErr w:type="spellEnd"/>
      <w:r w:rsidRPr="00B552B9">
        <w:rPr>
          <w:color w:val="000000"/>
        </w:rPr>
        <w:t xml:space="preserve"> a teroristickému obsahu na internete, ako aj proti prudkému nárastu nenávistných prejavov, antisemitizmu, nenávisti voči moslimom a rasizmu v celej Európe a na celom svete;</w:t>
      </w:r>
    </w:p>
    <w:p w:rsidR="00E217DF" w:rsidRPr="00B552B9" w:rsidRDefault="00E217DF" w:rsidP="00E217DF">
      <w:pPr>
        <w:pStyle w:val="NormalHanging12a"/>
      </w:pPr>
      <w:r w:rsidRPr="00B552B9">
        <w:t>26.</w:t>
      </w:r>
      <w:r w:rsidRPr="00B552B9">
        <w:tab/>
        <w:t xml:space="preserve">zdôrazňuje čoraz väčšie hrozby a nebezpečenstvo, ktoré pre Európsku úniu predstavujú organizované a cielené dezinformačné kampane zahraničných zainteresovaných strán; žiada finančné prostriedky pre program Horizont Európa a činnosti, ktoré riadi Komisia a ESVČ, na boj proti šíreniu dezinformácií vo veľkom rozsahu a na vytvorenie účinnejších protiopatrení; vyzýva Úniu a členské štáty, aby využívali finančné prostriedky EÚ na činnosti zamerané na zvyšovanie mediálnej gramotnosti občanov; </w:t>
      </w:r>
      <w:r w:rsidRPr="00B552B9">
        <w:lastRenderedPageBreak/>
        <w:t>vyzýva na zvýšenie finančných prostriedkov na boj proti nenávistným prejavom a teroristickému obsahu na internete; zdôrazňuje, že je potrebné posilniť slobodu novinárov a pluralitu médií prostredníctvom primeraných zdrojov v súlade s príslušnými právnymi predpismi a podporovať novinárov vrátane investigatívnych novinárov, obhajcov ľudských práv a členov občianskej spoločnosti, ktorí čelia odvetným opatreniam, ako sú strategické žaloby proti verejnej účasti; vyzýva na primeranú podporu kultúrneho odvetvia vrátane podpory cezhraničného šírenia európskych filmov, hudby a videohier; vyzýva preto na zvýšenie financovania programu Kreatívna Európa;</w:t>
      </w:r>
    </w:p>
    <w:p w:rsidR="00E217DF" w:rsidRPr="00B552B9" w:rsidRDefault="00E217DF" w:rsidP="00E217DF">
      <w:pPr>
        <w:pStyle w:val="NormalHanging12a"/>
        <w:rPr>
          <w:b/>
          <w:i/>
        </w:rPr>
      </w:pPr>
      <w:r w:rsidRPr="00B552B9">
        <w:rPr>
          <w:b/>
          <w:i/>
        </w:rPr>
        <w:t>Rozpočet, ktorý plní strategické priority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27.</w:t>
      </w:r>
      <w:r w:rsidRPr="00B552B9">
        <w:rPr>
          <w:color w:val="000000"/>
        </w:rPr>
        <w:tab/>
        <w:t xml:space="preserve">zdôrazňuje význam znižovania strategickej závislosti Únie v kľúčových odvetviach; víta nové nariadenie o platforme STEP, ale poukazuje na potrebu štrukturálnej odpovede na investičné potreby strategických priemyselných odvetví s cieľom uľahčiť identifikáciu, vývoj a rozšírenie prelomových technológií; vyjadruje poľutovanie nad tým, že súčasná úroveň financovania programu Horizont Európa je v tejto súvislosti nedostatočná, a vyzýva na zvýšenie financovania programu Horizont Európa a ďalších kľúčových programov Únie v tejto oblasti, ako je Program </w:t>
      </w:r>
      <w:proofErr w:type="spellStart"/>
      <w:r w:rsidRPr="00B552B9">
        <w:rPr>
          <w:color w:val="000000"/>
        </w:rPr>
        <w:t>InvestEU</w:t>
      </w:r>
      <w:proofErr w:type="spellEnd"/>
      <w:r w:rsidRPr="00B552B9">
        <w:rPr>
          <w:color w:val="000000"/>
        </w:rPr>
        <w:t xml:space="preserve">, na dosiahnutie cieľa otvorenej strategickej autonómie; domnieva sa, že závislosť EÚ od dodávok zdrojov vyvoláva čoraz väčšie obavy; </w:t>
      </w:r>
      <w:r w:rsidRPr="00B552B9">
        <w:t>vyzýva na ďalšie investície EÚ do budovania jej otvorenej strategickej autonómie zabezpečením urýchlenia energie z obnoviteľných zdrojov, rýchlejších povoľovacích postupov, dekarbonizácie budov, prístupu ku kritickým surovinám a rozvojom odolných hodnotových reťazcov pre priemyselné ekosystémy EÚ, najmä v kľúčových oblastiach, ako je zdravie a obrana;</w:t>
      </w:r>
      <w:r w:rsidRPr="00B552B9">
        <w:rPr>
          <w:color w:val="000000"/>
        </w:rPr>
        <w:t xml:space="preserve"> </w:t>
      </w:r>
      <w:r w:rsidRPr="00B552B9">
        <w:t xml:space="preserve">požaduje primerané finančné prostriedky na zabezpečenie nepretržitého rozvoja súčasných hlavných európskych programov vo vesmírnom sektore, medzi ktoré patria programy </w:t>
      </w:r>
      <w:proofErr w:type="spellStart"/>
      <w:r w:rsidRPr="00B552B9">
        <w:t>Copernicus</w:t>
      </w:r>
      <w:proofErr w:type="spellEnd"/>
      <w:r w:rsidRPr="00B552B9">
        <w:t>, Galileo/EGNOS, európska iniciatíva v oblasti satelitnej komunikácie (GOVSATCOM) a získavanie informácií o situácii vo vesmíre (SSA);</w:t>
      </w:r>
    </w:p>
    <w:p w:rsidR="00E217DF" w:rsidRPr="00B552B9" w:rsidRDefault="00E217DF" w:rsidP="00E217DF">
      <w:pPr>
        <w:pStyle w:val="NormalHanging12a"/>
      </w:pPr>
      <w:r w:rsidRPr="00B552B9">
        <w:t>28.</w:t>
      </w:r>
      <w:r w:rsidRPr="00B552B9">
        <w:tab/>
        <w:t xml:space="preserve">zastáva názor, že digitálna transformácia ponúka množstvo príležitostí na zlepšenie digitálnej infraštruktúry a </w:t>
      </w:r>
      <w:proofErr w:type="spellStart"/>
      <w:r w:rsidRPr="00B552B9">
        <w:t>pripojiteľnosti</w:t>
      </w:r>
      <w:proofErr w:type="spellEnd"/>
      <w:r w:rsidRPr="00B552B9">
        <w:t xml:space="preserve"> a na rozvoj digitálnych zručností; v tejto súvislosti poukazuje na význam programu Digitálna Európa a Nástroja na prepájanie Európy (NPE – Digitalizácia), ako aj akčného plánu digitálneho vzdelávania; opakuje, že je potrebný vzdelávací program v oblasti umelej inteligencie, kódovania a robotiky, ktorý bude určený pre učiteľov a študentov a financovaný z príslušných programov; zdôrazňuje, že rozpočet EÚ musí primerane podporovať etické a nediskriminačné využívanie umelej inteligencie, najmä v odvetviach vzdelávania a kultúry; pripomína, že je potrebné, aby programy financované EÚ ďalej investovali do zlepšovania digitálnej gramotnosti v spoločnosti a do odstraňovania digitálnej priepasti vrátane digitálnych rozdielov medzi ženami a mužmi v oblasti vzdelávania a celoživotného vzdelávania;</w:t>
      </w:r>
    </w:p>
    <w:p w:rsidR="00E217DF" w:rsidRPr="00B552B9" w:rsidRDefault="00E217DF" w:rsidP="00E217DF">
      <w:pPr>
        <w:pStyle w:val="NormalHanging12a"/>
      </w:pPr>
      <w:r w:rsidRPr="00B552B9">
        <w:t>29.</w:t>
      </w:r>
      <w:r w:rsidRPr="00B552B9">
        <w:tab/>
        <w:t xml:space="preserve">zdôrazňuje ústrednú úlohu rozpočtu EÚ pri plnení Európskej zelenej dohody a riešení zmeny klímy znižovaním emisií, zvýšením využívania energie z obnoviteľných zdrojov, budovaním obehového hospodárstva, ochranou ekosystémov a zvrátením alarmujúceho trendu straty biodiverzity pri súčasnom zabezpečení konkurencieschopnosti a vytváraní ekologických pracovných miest, ako aj rastu v rámci EÚ; zdôrazňuje ústrednú úlohu, ktorú program LIFE zohráva pri plnení Európskej zelenej dohody a dosahovaní cieľa Únie v oblasti klimatickej neutrality v súlade s európskym právnym predpisom v oblasti klímy a Parížskou dohodou; je hlboko znepokojený vážnymi dôsledkami zmeny klímy, </w:t>
      </w:r>
      <w:r w:rsidRPr="00B552B9">
        <w:lastRenderedPageBreak/>
        <w:t>a to aj v podobe nedostatku vody;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30.</w:t>
      </w:r>
      <w:r w:rsidRPr="00B552B9">
        <w:rPr>
          <w:color w:val="000000"/>
        </w:rPr>
        <w:tab/>
        <w:t xml:space="preserve">zdôrazňuje, že obavy týkajúce sa bezpečnosti dodávok energie a vysokých cien energie spôsobujú, že energetická chudoba sa stáva zásadným problémom, ktorý predstavuje výzvy pre európsky priemysel, najmä pre MSP; v tejto súvislosti zdôrazňuje potrebu zvýšiť investície EÚ do prebiehajúceho prechodu EÚ na klimatickú neutralitu, a to aj do energetickej efektívnosti, výskumu a inovácií v oblasti udržateľných </w:t>
      </w:r>
      <w:proofErr w:type="spellStart"/>
      <w:r w:rsidRPr="00B552B9">
        <w:rPr>
          <w:color w:val="000000"/>
        </w:rPr>
        <w:t>nízkouhlíkových</w:t>
      </w:r>
      <w:proofErr w:type="spellEnd"/>
      <w:r w:rsidRPr="00B552B9">
        <w:rPr>
          <w:color w:val="000000"/>
        </w:rPr>
        <w:t xml:space="preserve"> a </w:t>
      </w:r>
      <w:proofErr w:type="spellStart"/>
      <w:r w:rsidRPr="00B552B9">
        <w:rPr>
          <w:color w:val="000000"/>
        </w:rPr>
        <w:t>bezuhlíkových</w:t>
      </w:r>
      <w:proofErr w:type="spellEnd"/>
      <w:r w:rsidRPr="00B552B9">
        <w:rPr>
          <w:color w:val="000000"/>
        </w:rPr>
        <w:t xml:space="preserve"> technológií, a najmä v oblastiach s pozitívnym vplyvom na znižovanie životných nákladov domácností, ako je zlepšenie energetickej efektívnosti budov a využívanie obnoviteľných zdrojov energie; berie na vedomie obrovské investičné potreby v oblasti dekarbonizácie dopravy a pokračujúce zvyšovanie cien stavebných materiálov a surovín; uznáva strategickú hodnotu rozšírenia siete TEN-T smerom k východnému susedstvu a väčšiu prepojenosť so strategickými partnermi EÚ; poukazuje na význam programu NPE – Doprava a na jeho pozitívnu úlohu pri dosahovaní cieľov Zelenej dohody a prechode na čistú energiu;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31.</w:t>
      </w:r>
      <w:r w:rsidRPr="00B552B9">
        <w:rPr>
          <w:color w:val="000000"/>
        </w:rPr>
        <w:tab/>
        <w:t xml:space="preserve">zdôrazňuje, že rozpočet na rok 2025 musí byť v súlade s politickými cieľmi a medzinárodnými záväzkami Únie; zdôrazňuje, že treba neustále pracovať na dosiahnutí cieľov v oblasti uplatňovania hľadiska klímy a biodiverzity, pokiaľ ide o rozpočtové výdavky Únie stanovené v MID, a to v rámci širšieho cieľa dosiahnuť klimatickú neutralitu Únie najneskôr do roku 2050; pripomína ustanovenie MID týkajúce sa určenia príslušných opatrení, ktoré sa majú prijať v prípade, keď pravidelné hodnotenie preukáže nedostatočný pokrok pri dosahovaní príslušných cieľov; je znepokojený hodnotením Komisie, že cieľ 10 % výdavkov súvisiacich s biodiverzitou v rokoch 2026 a 2027 sa s najväčšou pravdepodobnosťou nedosiahne, a tým, že neexistuje jasná cesta na dosiahnutie dohodnutých cieľov; vyzýva Komisiu, aby monitorovala vykonávanie zásady „nespôsobovať významnú škodu“ a aby v prípade potreby prijala nevyhnutné nápravné opatrenia; </w:t>
      </w:r>
    </w:p>
    <w:p w:rsidR="00E217DF" w:rsidRPr="00B552B9" w:rsidRDefault="00E217DF" w:rsidP="00E217DF">
      <w:pPr>
        <w:pStyle w:val="NormalHanging12a"/>
        <w:rPr>
          <w:color w:val="000000"/>
        </w:rPr>
      </w:pPr>
      <w:r w:rsidRPr="00B552B9">
        <w:rPr>
          <w:color w:val="000000"/>
        </w:rPr>
        <w:t>32.</w:t>
      </w:r>
      <w:r w:rsidRPr="00B552B9">
        <w:rPr>
          <w:color w:val="000000"/>
        </w:rPr>
        <w:tab/>
      </w:r>
      <w:r w:rsidRPr="00B552B9">
        <w:t>zdôrazňuje význam Európskej mestskej iniciatívy a jej primeraného financovania na splnenie všetkých jej cieľov;</w:t>
      </w:r>
      <w:r w:rsidRPr="00B552B9">
        <w:rPr>
          <w:color w:val="000000"/>
        </w:rPr>
        <w:t xml:space="preserve"> požaduje priamejšie financovanie miestnych orgánov s cieľom posilniť ich budovanie kapacít, technickú podporu a výmenu najlepších postupov; vyzýva na posilnenie zdrojov pre príslušné agentúry, ktoré musia zodpovedať pracovnej záťaži vyplývajúcej z agendy EÚ v oblasti Zelenej dohody, najmä balíka „Fit </w:t>
      </w:r>
      <w:proofErr w:type="spellStart"/>
      <w:r w:rsidRPr="00B552B9">
        <w:rPr>
          <w:color w:val="000000"/>
        </w:rPr>
        <w:t>for</w:t>
      </w:r>
      <w:proofErr w:type="spellEnd"/>
      <w:r w:rsidRPr="00B552B9">
        <w:rPr>
          <w:color w:val="000000"/>
        </w:rPr>
        <w:t xml:space="preserve"> 55“;</w:t>
      </w:r>
    </w:p>
    <w:p w:rsidR="00E217DF" w:rsidRPr="00B552B9" w:rsidRDefault="00E217DF" w:rsidP="00E217DF">
      <w:pPr>
        <w:pStyle w:val="NormalHanging12a"/>
      </w:pPr>
      <w:r w:rsidRPr="00B552B9">
        <w:t>33.</w:t>
      </w:r>
      <w:r w:rsidRPr="00B552B9">
        <w:tab/>
        <w:t xml:space="preserve">zdôrazňuje zásadný prínos poľnohospodárov a rybárov pre spoločnosť, a preto poukazuje na ústredný význam spoločnej poľnohospodárskej politiky (SPP) a spoločnej rybárskej politiky pre potravinovú bezpečnosť a väčšiu autonómiu EÚ pri výrobe kvalitných potravín; zdôrazňuje úlohu SPP pri zabezpečovaní udržateľného a dôstojného príjmu pre poľnohospodárov EÚ, najmä drobných a mladých poľnohospodárov; požaduje konkrétne opatrenia na riešenie základných príčin nespokojnosti poľnohospodárov v celej EÚ, a najmä požaduje okamžité zdroje a opatrenia s cieľom pomôcť poľnohospodárom vyrovnať sa s vplyvom inflácie, nákladov na pohonné hmoty, nových výrobných noriem a zmien na svetovom trhu s potravinami; zdôrazňuje, že je potrebné pomôcť novým a mladým poľnohospodárom, a tým zabezpečiť generačnú výmenu a zároveň riešiť nedostatok pracovných síl a zručností v agropotravinárskom odvetví; poukazuje na to, že európski poľnohospodári čelia mnohým výzvam, najmä nadmernej byrokracii a administratívnej záťaži, čoraz väčšiemu prekrývaniu právnych predpisov, nedostatku, ako aj náročným pracovným podmienkam; </w:t>
      </w:r>
      <w:r w:rsidRPr="00B552B9">
        <w:rPr>
          <w:color w:val="000000"/>
        </w:rPr>
        <w:t xml:space="preserve">zdôrazňuje, že je potrebné lepšie riešiť vplyv čoraz častejších a </w:t>
      </w:r>
      <w:r w:rsidRPr="00B552B9">
        <w:rPr>
          <w:color w:val="000000"/>
        </w:rPr>
        <w:lastRenderedPageBreak/>
        <w:t xml:space="preserve">intenzívnejších povodní, sucha a prírodných požiarov na jednotlivé odvetvia prostredníctvom osobitných podporných opatrení; </w:t>
      </w:r>
      <w:r w:rsidRPr="00B552B9">
        <w:t>požaduje primerané príjmy pre všetkých v poľnohospodárskych odvetviach; zdôrazňuje potrebu primeranej podpory výskumu a inovácií a dodržiavania pracovných noriem, ako aj primeraných investícií s cieľom ponúknuť alternatívne zdroje príjmov a uľahčiť prechod na udržateľnejší a cenovo dostupnejší potravinový systém, najmä prostredníctvom inovácií a zachovania príjmov poľnohospodárov pri súčasnom zabránení situácii, keď európski poľnohospodári čelia nekalej hospodárskej súťaži zo strany dovozu, ktorý nespĺňa naše normy;</w:t>
      </w:r>
      <w:r w:rsidRPr="00B552B9">
        <w:rPr>
          <w:color w:val="000000"/>
        </w:rPr>
        <w:t xml:space="preserve"> </w:t>
      </w:r>
      <w:r w:rsidRPr="00B552B9">
        <w:t>očakáva, že strategický dialóg o budúcnosti poľnohospodárstva sa bude zaoberať všetkými relevantnými otázkami vrátane aspektov prevencie;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t>34.</w:t>
      </w:r>
      <w:r w:rsidRPr="00B552B9">
        <w:tab/>
        <w:t xml:space="preserve">opakuje, že všetky programy, politiky a činnosti EÚ by sa mali vykonávať spôsobom, ktorý podporuje rodovú rovnosť pri dosahovaní ich cieľov; v tejto súvislosti víta prácu Komisie v oblasti rodového rozpočtovania a zdôrazňuje, že je potrebné ďalej rozvíjať jej metodiku na sledovanie rodovej rovnosti s cieľom merať vplyv výdavkov Únie na rodovú rovnosť, ako sa stanovuje v </w:t>
      </w:r>
      <w:proofErr w:type="spellStart"/>
      <w:r w:rsidRPr="00B552B9">
        <w:t>medziinštitucionálnej</w:t>
      </w:r>
      <w:proofErr w:type="spellEnd"/>
      <w:r w:rsidRPr="00B552B9">
        <w:t xml:space="preserve"> dohode;</w:t>
      </w:r>
      <w:r w:rsidRPr="00B552B9">
        <w:rPr>
          <w:color w:val="000000"/>
        </w:rPr>
        <w:t xml:space="preserve"> vyzýva Komisiu, aby preukázala výsledky tejto metodiky s ohľadom na rozpočet na rok 2025 spolu so systematickým zberom, podávaním správ a hodnotením údajov rozčlenených podľa pohlavia;</w:t>
      </w:r>
    </w:p>
    <w:p w:rsidR="00E217DF" w:rsidRPr="00B552B9" w:rsidRDefault="00E217DF" w:rsidP="00E217DF">
      <w:pPr>
        <w:pStyle w:val="NormalHanging12a"/>
        <w:rPr>
          <w:b/>
          <w:i/>
        </w:rPr>
      </w:pPr>
      <w:r w:rsidRPr="00B552B9">
        <w:rPr>
          <w:b/>
          <w:i/>
        </w:rPr>
        <w:t>Rozpočet vhodný pre budúcnosť v meniacom sa svete</w:t>
      </w:r>
    </w:p>
    <w:p w:rsidR="00E217DF" w:rsidRPr="00B552B9" w:rsidRDefault="00E217DF" w:rsidP="00E217DF">
      <w:pPr>
        <w:spacing w:after="240"/>
        <w:ind w:left="567" w:hanging="567"/>
      </w:pPr>
      <w:r w:rsidRPr="00B552B9">
        <w:t>35.</w:t>
      </w:r>
      <w:r w:rsidRPr="00B552B9">
        <w:tab/>
        <w:t>opakuje, že je potrebné vykonávať migračnú a azylovú politiku, ktorá sa zakladá na solidarite, spoločnej zodpovednosti a dodržiavaní ľudských práv v súlade s hodnotami a medzinárodnými záväzkami Únie; zdôrazňuje, že účinné, humánne a spravodlivé riadenie a ochrana vonkajších hraníc Únie majú zásadný význam pre zaistenie bezpečnosti Únie a zaručenie bezproblémového a efektívneho vykonávania migračnej a azylovej politiky Únie, najmä s cieľom pripraviť začatie uplatňovania nového paktu o migrácii a azyle, a to aj pokiaľ ide o účinné, bezpečné a dôstojné postupy prijímania, integrácie, návratu a readmisie;</w:t>
      </w:r>
      <w:r w:rsidRPr="00B552B9">
        <w:rPr>
          <w:color w:val="000000"/>
        </w:rPr>
        <w:t xml:space="preserve"> zdôrazňuje kľúčovú úlohu, ktorú v tejto súvislosti zohráva Fond pre azyl, migráciu a integráciu (AMF) a Nástroj na riadenie hraníc a víza (BMVI); </w:t>
      </w:r>
      <w:r w:rsidRPr="00B552B9">
        <w:t xml:space="preserve">pripomína, že je potrebné zachovať voľný pohyb osôb v rámci Únie; pripomína, že Rumunsko a Bulharsko sa pripoja k európskemu schengenskému priestoru bez vnútorných hraníc v marci 2024, a opätovne zdôrazňuje, že je dôležité urýchlene dokončiť a vykonať úplné pristúpenie vrátane pozemných a vlakových spojení; bude sa usilovať o maximalizáciu dostupných zdrojov v rozpočte na rok 2025 na tieto účely; domnieva sa, že EÚ musí úzko spolupracovať so svojimi susedmi a tretími krajinami, ktoré sú krajinami pôvodu a tranzitu, s cieľom podporiť stabilný, udržateľný a </w:t>
      </w:r>
      <w:proofErr w:type="spellStart"/>
      <w:r w:rsidRPr="00B552B9">
        <w:t>inkluzívny</w:t>
      </w:r>
      <w:proofErr w:type="spellEnd"/>
      <w:r w:rsidRPr="00B552B9">
        <w:t xml:space="preserve"> rozvoj a riešiť základné príčiny migrácie, a predchádzať tak neregulárnej migrácii a chrániť zraniteľné osoby pred sieťami prevádzačov a obchodníkov s ľuďmi, ako aj pred smrťou na mori; zdôrazňuje najmä zvyšujúcu sa zodpovednosť agentúr zodpovedných za hraničný dozor a riadenie hraníc, podporu členských štátov pri plnení ich úloh v rámci spoločného európskeho azylového systému a dodržiavanie základných práv;</w:t>
      </w:r>
      <w:r w:rsidRPr="00B552B9">
        <w:rPr>
          <w:color w:val="000000"/>
        </w:rPr>
        <w:t xml:space="preserve"> zdôrazňuje potrebu primeraného financovania, personálneho obsadenia a odbornej prípravy zamestnancov pre všetky agentúry pôsobiace v oblasti bezpečnosti, spravodlivosti, presadzovania práva, azylu a migrácie, ako aj riadenia hraníc, aby mohli plniť svoj mandát; žiada, aby sa osobitný dôraz kládol na presné vykonávanie a správu rozsiahlych informačných systémov EÚ, ktoré prispievajú k bezpečnostnému prostrediu Únie;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rPr>
          <w:color w:val="000000"/>
        </w:rPr>
        <w:t>36.</w:t>
      </w:r>
      <w:r w:rsidRPr="00B552B9">
        <w:rPr>
          <w:color w:val="000000"/>
        </w:rPr>
        <w:tab/>
      </w:r>
      <w:r w:rsidRPr="00B552B9">
        <w:t xml:space="preserve">zdôrazňuje, že bezpečnostné prostredie v okolí EÚ je naďalej veľmi nestabilné; </w:t>
      </w:r>
      <w:r w:rsidRPr="00B552B9">
        <w:rPr>
          <w:color w:val="000000"/>
        </w:rPr>
        <w:t xml:space="preserve"> naďalej </w:t>
      </w:r>
      <w:r w:rsidRPr="00B552B9">
        <w:rPr>
          <w:color w:val="000000"/>
        </w:rPr>
        <w:lastRenderedPageBreak/>
        <w:t xml:space="preserve">kladie veľký dôraz na európske bezpečnostné a obranné spôsobilosti, aby bolo možné lepšie reagovať na bezprecedentné geopolitické výzvy; domnieva sa, že rozpočet EÚ má zásadný význam v kontexte spoločnej obrannej stratégie EÚ a posilnenej koordinácie bezpečnosti a obrany medzi členskými štátmi; chce posilniť svoje najúspešnejšie a najrelevantnejšie programy, ako je Európsky obranný fond a súvisiace agentúry, a to s cieľom posilniť európsku suverenitu; chce poukázať na synergie a efektívnosť investícií v oblasti obrany na úrovni EÚ, najmä v oblasti vojenskej mobility, ochrany a </w:t>
      </w:r>
      <w:proofErr w:type="spellStart"/>
      <w:r w:rsidRPr="00B552B9">
        <w:rPr>
          <w:color w:val="000000"/>
        </w:rPr>
        <w:t>interoperability</w:t>
      </w:r>
      <w:proofErr w:type="spellEnd"/>
      <w:r w:rsidRPr="00B552B9">
        <w:rPr>
          <w:color w:val="000000"/>
        </w:rPr>
        <w:t xml:space="preserve"> infraštruktúry; zdôrazňuje, že je potrebné riešiť otázky, ako sú dezinformácie, ktoré predstavujú rastúcu politickú a bezpečnostnú výzvu, najmä v nadväznosti na ruskú vojnu na Ukrajine, počítačová kriminalita či organizovaná trestná činnosť s cezhraničným rozmerom; </w:t>
      </w:r>
    </w:p>
    <w:p w:rsidR="00E217DF" w:rsidRPr="00B552B9" w:rsidRDefault="00E217DF" w:rsidP="00E217DF">
      <w:pPr>
        <w:pStyle w:val="NormalHanging12a"/>
      </w:pPr>
      <w:r w:rsidRPr="00B552B9">
        <w:t>37.</w:t>
      </w:r>
      <w:r w:rsidRPr="00B552B9">
        <w:tab/>
        <w:t xml:space="preserve">opätovne odsudzuje vojnu Ruska proti Ukrajine a zdôrazňuje, že s touto vojnou sa vojna vrátila do susedstva Európskej únie a ovplyvňuje dodávateľské reťazce, obchod a hospodárske vzťahy; </w:t>
      </w:r>
      <w:r w:rsidRPr="00B552B9">
        <w:rPr>
          <w:color w:val="000000"/>
        </w:rPr>
        <w:t xml:space="preserve">opakuje, že plne podporuje Ukrajinu v boji za slobodu a demokraciu; </w:t>
      </w:r>
      <w:r w:rsidRPr="00B552B9">
        <w:t>vyjadruje poľutovanie nad strašným vplyvom na životy a nad utrpením ukrajinského ľudu, ako aj nad značnými hospodárskymi a sociálnymi dôsledkami pre obyvateľov Európy, ktoré boli spôsobené nevyprovokovanou a neodôvodnenou ruskou útočnou vojnou; domnieva sa, že rozpočet na rok 2025 by mal prispieť k zmierneniu vplyvu krízy životných nákladov a inflácie; pripomína, že niektoré členské štáty, najmä tie v prvej línii, a zraniteľné odvetvia hospodárstva sú naďalej obzvlášť vystavené dôsledkom ruskej útočnej vojny proti Ukrajine a zaslúžia si podporu v oblastiach, ako je poľnohospodárstvo alebo infraštruktúra, ale aj vojenská mobilita v duchu solidarity EÚ;</w:t>
      </w:r>
    </w:p>
    <w:p w:rsidR="00E217DF" w:rsidRPr="00B552B9" w:rsidRDefault="00E217DF" w:rsidP="00E217DF">
      <w:pPr>
        <w:pStyle w:val="NormalHanging12a"/>
      </w:pPr>
      <w:r w:rsidRPr="00B552B9">
        <w:t>38.</w:t>
      </w:r>
      <w:r w:rsidRPr="00B552B9">
        <w:tab/>
        <w:t xml:space="preserve">je naďalej odhodlaný pomáhať Ukrajine a podporovať ju prostredníctvom navrhnutého Nástroja pre Ukrajinu, ktorý bude poskytovať podporu vo forme grantov a pôžičiek na opravu, obnovu a rekonštrukciu Ukrajiny, </w:t>
      </w:r>
      <w:proofErr w:type="spellStart"/>
      <w:r w:rsidRPr="00B552B9">
        <w:t>makrofinančnú</w:t>
      </w:r>
      <w:proofErr w:type="spellEnd"/>
      <w:r w:rsidRPr="00B552B9">
        <w:t xml:space="preserve"> pomoc, inštitucionálnu, sociálnu, hospodársku a environmentálnu vzostupnú konvergenciu a verejné investície, ako aj na účely jej k pristúpenia k EÚ; zdôrazňuje naliehavosť a príležitosť skombinovať podporu pre Ukrajinu a úsilie o obnovu s konštruktívnym predvstupovým procesom, ktorý by podporoval reformy a postupný posun smerom k </w:t>
      </w:r>
      <w:proofErr w:type="spellStart"/>
      <w:r w:rsidRPr="00B552B9">
        <w:rPr>
          <w:i/>
          <w:iCs/>
        </w:rPr>
        <w:t>acquis</w:t>
      </w:r>
      <w:proofErr w:type="spellEnd"/>
      <w:r w:rsidRPr="00B552B9">
        <w:t xml:space="preserve"> EÚ; </w:t>
      </w:r>
      <w:r w:rsidRPr="00B552B9">
        <w:rPr>
          <w:color w:val="000000"/>
        </w:rPr>
        <w:t>pripomína, že humanitárna pomoc pre Ukrajinu nebude z tohto nástroja pokrytá, a preto zdôrazňuje, že dostatočné zdroje na humanitárnu pomoc bude potrebné v tejto súvislosti poskytnúť aj v rozpočte na rok 2025;</w:t>
      </w:r>
    </w:p>
    <w:p w:rsidR="00E217DF" w:rsidRPr="00B552B9" w:rsidRDefault="00E217DF" w:rsidP="00E217DF">
      <w:pPr>
        <w:pStyle w:val="NormalHanging12a"/>
      </w:pPr>
      <w:r w:rsidRPr="00B552B9">
        <w:t>39.</w:t>
      </w:r>
      <w:r w:rsidRPr="00B552B9">
        <w:tab/>
        <w:t xml:space="preserve">domnieva sa, že podpora pre krajiny západného Balkánu je naďalej dôležitá vzhľadom na rozšírenie EÚ, a víta Nový plán rastu pre západný Balkán Komisie ako dobrý krok k ďalšej podpore krajín západného Balkánu v hospodárskej konvergencii s jednotným trhom EÚ; zdôrazňuje význam trvalej podpory pre kandidátske krajiny pri vykonávaní potrebných reforiem súvisiacich s pristúpením, najmä pokiaľ ide o právny štát, boj proti korupcii a demokraciu, a zvyšovaní ich odolnosti a predchádzaní hybridným hrozbám a boji proti nim; 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rPr>
          <w:color w:val="000000"/>
        </w:rPr>
        <w:t>40.</w:t>
      </w:r>
      <w:r w:rsidRPr="00B552B9">
        <w:rPr>
          <w:color w:val="000000"/>
        </w:rPr>
        <w:tab/>
        <w:t>víta rozhodnutie udeliť Ukrajine a Moldavskej republike štatút kandidátskej krajiny a trvá na tom, že je potrebné vyčleniť potrebné finančné prostriedky na podporu ich prístupového procesu; zdôrazňuje, že prostriedky vyčlenené na nástroj predvstupovej pomoci (IPA III) a príslušné rozpočtové riadky v rámci NDICI – Globálna Európa v roku 2025 by mali urýchliť spoluprácu s Moldavskom, ako aj s Gruzínskom v súlade s dohodou o revízii VFR;</w:t>
      </w:r>
    </w:p>
    <w:p w:rsidR="00E217DF" w:rsidRPr="00B552B9" w:rsidRDefault="00E217DF" w:rsidP="00E217DF">
      <w:pPr>
        <w:pStyle w:val="NormalHanging12a"/>
      </w:pPr>
      <w:r w:rsidRPr="00B552B9">
        <w:t>41.</w:t>
      </w:r>
      <w:r w:rsidRPr="00B552B9">
        <w:tab/>
        <w:t xml:space="preserve">zdôrazňuje, že Nástroj susedstva a rozvojovej a medzinárodnej spolupráce (NDICI) – </w:t>
      </w:r>
      <w:r w:rsidRPr="00B552B9">
        <w:lastRenderedPageBreak/>
        <w:t>Globálna Európa je mimoriadne dôležitým nástrojom pre postavenie Únie ako vedúcej globálnej mocnosti a na plnenie jej úlohy mierovej stabilizačnej sily na celom svete, a posilňuje tak geopolitické záujmy Únie vo svete;</w:t>
      </w:r>
      <w:r w:rsidRPr="00B552B9">
        <w:rPr>
          <w:color w:val="000000"/>
        </w:rPr>
        <w:t xml:space="preserve"> </w:t>
      </w:r>
      <w:r w:rsidRPr="00B552B9">
        <w:t>upozorňuje na to, že jeho finančná rezerva bola vyčerpaná a mala by sa urýchlene navýšiť;</w:t>
      </w:r>
    </w:p>
    <w:p w:rsidR="00E217DF" w:rsidRPr="00B552B9" w:rsidRDefault="00E217DF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42.</w:t>
      </w:r>
      <w:r w:rsidRPr="00B552B9">
        <w:rPr>
          <w:color w:val="000000"/>
        </w:rPr>
        <w:tab/>
        <w:t>okrem toho zdôrazňuje význam programu NDICI pre podporu globálnych výziev, presadzovanie ľudských práv, slobôd a demokracie, ako aj pre budovanie kapacít organizácií občianskej spoločnosti a pre plnenie medzinárodných záväzkov Únie v oblasti klímy a biodiverzity v rámci komplexného systému monitorovania a kontroly;</w:t>
      </w:r>
    </w:p>
    <w:p w:rsidR="00694114" w:rsidRPr="00B552B9" w:rsidRDefault="00694114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t>43.</w:t>
      </w:r>
      <w:r w:rsidRPr="00B552B9">
        <w:tab/>
        <w:t>vyjadruje poľutovanie nad tým, že Komisia účinnejšie nepodmienila platby tretím krajinám ako prostriedok na presadzovanie geopolitických záujmov Únie, najmä v súvislosti s migračnou politikou Únie, obrannými záujmami a ľudskými právami; vyzýva Komisiu, aby stanovila osobitné podmienky a čiastkové ciele pre svoje platby tretím krajinám v súlade s osobitnými politickými záujmami Únie a aby bez zbytočného odkladu pozastavila príslušnú časť platieb, ak tretia krajina stanovené podmienky nesplní; očakáva, že všetci príslušní dezignovaní komisári sa pri svojich vypočutiach zaviažu k takémuto prísnejšiemu podmieňovaniu rozpočtovej podpory EÚ pre tretie krajiny na základe záujmov;</w:t>
      </w:r>
    </w:p>
    <w:p w:rsidR="00E217DF" w:rsidRPr="00B552B9" w:rsidRDefault="00694114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</w:pPr>
      <w:r w:rsidRPr="00B552B9">
        <w:rPr>
          <w:color w:val="000000"/>
        </w:rPr>
        <w:t>44</w:t>
      </w:r>
      <w:r w:rsidR="00E217DF" w:rsidRPr="00B552B9">
        <w:rPr>
          <w:color w:val="000000"/>
        </w:rPr>
        <w:t>.</w:t>
      </w:r>
      <w:r w:rsidR="00E217DF" w:rsidRPr="00B552B9">
        <w:rPr>
          <w:color w:val="000000"/>
        </w:rPr>
        <w:tab/>
        <w:t>zdôrazňuje, že je dôležité posilniť rozpočtové riadky pre južné a východné susedstvo s cieľom podporiť politické, hospodárske a sociálne reformy v regiónoch, poskytovať pomoc utečencom, najmä zabezpečením nepretržitého, posilneného a predvídateľného financovania pre príslušných aktérov a agentúry, ktoré bude zodpovedať úrovni potrieb, s cieľom dostať pomoc k ľudom na mieste prostredníctvom mechanizmu obozretného rozdeľovania v plnom súlade s pravidlami EÚ, aby sa zabránilo nezákonnému využívaniu európskych finančných prostriedkov;</w:t>
      </w:r>
    </w:p>
    <w:p w:rsidR="00E217DF" w:rsidRPr="00B552B9" w:rsidRDefault="00694114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45</w:t>
      </w:r>
      <w:r w:rsidR="00E217DF" w:rsidRPr="00B552B9">
        <w:rPr>
          <w:color w:val="000000"/>
        </w:rPr>
        <w:t>.</w:t>
      </w:r>
      <w:r w:rsidR="00E217DF" w:rsidRPr="00B552B9">
        <w:rPr>
          <w:color w:val="000000"/>
        </w:rPr>
        <w:tab/>
      </w:r>
      <w:r w:rsidR="00E217DF" w:rsidRPr="00B552B9">
        <w:t>pripomína, že humanitárna pomoc EÚ pre civilné obyvateľstvo, ktoré sa ocitlo v krajnej núdzi, je nevyhnutná a prispieva k budovaniu stability a mieru v postihnutých regiónoch, a že sa musí zaručiť poskytovanie naliehavo potrebných základných služieb a humanitárnej pomoci v súlade s medzinárodnými rozhodnutiami, ktoré budú sprevádzať postupy preverovania a monitorovania, a nesmie sa mu brániť;</w:t>
      </w:r>
      <w:r w:rsidR="00E217DF" w:rsidRPr="00B552B9">
        <w:rPr>
          <w:color w:val="000000"/>
        </w:rPr>
        <w:t xml:space="preserve"> očakáva, že finančné potreby humanitárnej pomoci sa ďalej zvýšia v dôsledku vojen, rastúcej geopolitickej nestability, pretrvávajúcej extrémnej chudoby a častejších prírodných katastrof; na základe týchto predpokladov sa domnieva, že EÚ bude musieť výrazne posilniť humanitárnu pomoc, aby reagovala na zvýšené potreby na mieste, najmä pomoc ľuďom v núdzi v regióne Blízkeho východu;</w:t>
      </w:r>
    </w:p>
    <w:p w:rsidR="00E217DF" w:rsidRPr="00B552B9" w:rsidRDefault="00694114" w:rsidP="00E217DF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color w:val="000000"/>
        </w:rPr>
      </w:pPr>
      <w:r w:rsidRPr="00B552B9">
        <w:rPr>
          <w:color w:val="000000"/>
        </w:rPr>
        <w:t>46</w:t>
      </w:r>
      <w:r w:rsidR="00E217DF" w:rsidRPr="00B552B9">
        <w:rPr>
          <w:color w:val="000000"/>
        </w:rPr>
        <w:t>.</w:t>
      </w:r>
      <w:r w:rsidR="00E217DF" w:rsidRPr="00B552B9">
        <w:rPr>
          <w:color w:val="000000"/>
        </w:rPr>
        <w:tab/>
        <w:t>opakuje, že jednoznačne odsudzuje brutálne teroristické útoky, ktoré 7. októbra</w:t>
      </w:r>
      <w:r w:rsidR="00AD4684">
        <w:rPr>
          <w:color w:val="000000"/>
        </w:rPr>
        <w:t xml:space="preserve"> 2023</w:t>
      </w:r>
      <w:r w:rsidR="00E217DF" w:rsidRPr="00B552B9">
        <w:rPr>
          <w:color w:val="000000"/>
        </w:rPr>
        <w:t xml:space="preserve"> spáchal </w:t>
      </w:r>
      <w:proofErr w:type="spellStart"/>
      <w:r w:rsidR="00E217DF" w:rsidRPr="00B552B9">
        <w:rPr>
          <w:color w:val="000000"/>
        </w:rPr>
        <w:t>Hamas</w:t>
      </w:r>
      <w:proofErr w:type="spellEnd"/>
      <w:r w:rsidR="00E217DF" w:rsidRPr="00B552B9">
        <w:rPr>
          <w:color w:val="000000"/>
        </w:rPr>
        <w:t xml:space="preserve"> proti Izraelu a jeho ľudu, a vyjadruje najhlbší zármutok nad nevinnými obeťami na oboch stranách; zdôrazňuje, že z rozpočtu Únie sa musí naďalej poskytovať podpora s cieľom budovať mier a stabilitu v regióne, bojovať proti nenávisti, politickému extrémizmu a fundamentalizmu a presadzovať ľudské práva;</w:t>
      </w:r>
    </w:p>
    <w:p w:rsidR="00E217DF" w:rsidRPr="00B552B9" w:rsidRDefault="00694114" w:rsidP="00E217DF">
      <w:pPr>
        <w:pStyle w:val="NormalHanging12a"/>
      </w:pPr>
      <w:r w:rsidRPr="00B552B9">
        <w:rPr>
          <w:color w:val="000000"/>
        </w:rPr>
        <w:t>47</w:t>
      </w:r>
      <w:r w:rsidR="00E217DF" w:rsidRPr="00B552B9">
        <w:rPr>
          <w:color w:val="000000"/>
        </w:rPr>
        <w:t>.</w:t>
      </w:r>
      <w:r w:rsidR="00E217DF" w:rsidRPr="00B552B9">
        <w:rPr>
          <w:color w:val="000000"/>
        </w:rPr>
        <w:tab/>
      </w:r>
      <w:r w:rsidR="00E217DF" w:rsidRPr="00B552B9">
        <w:t>pripomína svoje uznesenie prijaté 18. januára 2024, v ktorom uznáva úlohu Agentúry OSN pre pomoc a prácu v prospech palestínskych utečencov na Blízkom východe (UNRWA), ktorá v súčasnosti poskytuje útočisko pre viac ako milión vnútorne vysídlených osôb a je najväčšou platformou na poskytovanie humanitárnej pomoci obyvateľstvu Pásma Gazy, kde všetci obyvatelia čelia zhoršujúcim sa humanitárnym podmienkam vrátane nedostatku prístrešia, čistej vody, potravín a lekárskej pomoci;</w:t>
      </w:r>
      <w:r w:rsidR="00E217DF" w:rsidRPr="00B552B9">
        <w:rPr>
          <w:color w:val="000000"/>
        </w:rPr>
        <w:t xml:space="preserve"> </w:t>
      </w:r>
      <w:r w:rsidR="00E217DF" w:rsidRPr="00B552B9">
        <w:rPr>
          <w:color w:val="000000"/>
        </w:rPr>
        <w:lastRenderedPageBreak/>
        <w:t>preto opätovne zdôrazňuje význam pokračujúceho a predvídateľného financovania zo strany EÚ; víta skutočnosť, že OSN bezodkladne začala vyšetrovanie po závažných obvineniach týkajúcich sa jednotlivcov, ktorí patrili k zamestnancom UNRWA a boli údajne zapojení do teroristických útokov proti Izraelu 7. októbra</w:t>
      </w:r>
      <w:r w:rsidR="00AD4684">
        <w:rPr>
          <w:color w:val="000000"/>
        </w:rPr>
        <w:t xml:space="preserve"> 2023</w:t>
      </w:r>
      <w:r w:rsidR="00E217DF" w:rsidRPr="00B552B9">
        <w:rPr>
          <w:color w:val="000000"/>
        </w:rPr>
        <w:t>, a to, že agentúra poskytla informácie a okamžite prijala opatrenia, najmä s cieľom okamžite ukončiť existujúce zmluvy; berie na vedomie výzvu Komisie, aby sa vykonal externý audit, ktorým sa preskúmajú piliere kontrolných systémov OSN, s ktorým agentúra UNRWA súhlasila; podporuje systémy kontroly a monitorovania zavedené Komisiou a pripomína, že príjemcovia musia pri využívaní finančných prostriedkov EÚ dodržiavať pravidlá a záruky EÚ a medzinárodné právo; v tejto súvislosti víta skutočnosť, že Komisia v rámci preskúmania pomoci EÚ Palestíne dospela k záveru, že kontroly a existujúce a účinné záruky, ktoré boli zavedené, fungujú dobre a že sa doteraz nenašli žiadne dôkazy o tom, že peniaze boli odklonené na nezamýšľané účely, ako aj posúdenie rizika a súvisiace dodatočné opatrenia;</w:t>
      </w:r>
    </w:p>
    <w:p w:rsidR="00E217DF" w:rsidRPr="00B552B9" w:rsidRDefault="00E217DF" w:rsidP="00E217DF">
      <w:pPr>
        <w:pStyle w:val="NormalHanging12a"/>
        <w:rPr>
          <w:b/>
          <w:i/>
        </w:rPr>
      </w:pPr>
      <w:r w:rsidRPr="00B552B9">
        <w:rPr>
          <w:b/>
          <w:i/>
        </w:rPr>
        <w:t>Posilnenie vykonávania programov</w:t>
      </w:r>
    </w:p>
    <w:p w:rsidR="00E217DF" w:rsidRPr="00B552B9" w:rsidRDefault="00694114" w:rsidP="00E217DF">
      <w:pPr>
        <w:spacing w:after="240"/>
        <w:ind w:left="567" w:hanging="567"/>
      </w:pPr>
      <w:r w:rsidRPr="00B552B9">
        <w:t>48</w:t>
      </w:r>
      <w:r w:rsidR="00E217DF" w:rsidRPr="00B552B9">
        <w:t>.</w:t>
      </w:r>
      <w:r w:rsidR="00E217DF" w:rsidRPr="00B552B9">
        <w:tab/>
        <w:t xml:space="preserve">pripomína plnú podporu </w:t>
      </w:r>
      <w:r w:rsidR="00346A85" w:rsidRPr="00B552B9">
        <w:t>Európskeho p</w:t>
      </w:r>
      <w:r w:rsidR="00E217DF" w:rsidRPr="00B552B9">
        <w:t xml:space="preserve">arlamentu pre politiku súdržnosti pri plnení politických priorít EÚ a posilňovaní hospodárstva EÚ tým, že prispieva k spravodlivému, </w:t>
      </w:r>
      <w:proofErr w:type="spellStart"/>
      <w:r w:rsidR="00E217DF" w:rsidRPr="00B552B9">
        <w:t>inkluzívnemu</w:t>
      </w:r>
      <w:proofErr w:type="spellEnd"/>
      <w:r w:rsidR="00E217DF" w:rsidRPr="00B552B9">
        <w:t xml:space="preserve"> a udržateľnému rastu a rozvoju, podporuje hospodársku a sociálnu konvergenciu medzi členskými štátmi a ich regiónmi a zelenú a digitálnu transformáciu a posilňuje inovácie a zamestnanosť; opakuje svoje presvedčenie, že ciele politiky súdržnosti možno dosiahnuť len vtedy, ak sa budú priamo a naliehavo riešiť oneskorenia vo vykonávaní programov; domnieva sa, že takýto prístup k urýchleniu čerpania a vykonávaniu by bol tiež najúčinnejším spôsobom, ako zviditeľniť a zhmotniť pridanú hodnotu výdavkov EÚ pre ľudí v EÚ; pripomína, že je potrebné zvýšiť technickú pomoc s cieľom ďalej podporiť kapacity čerpania členských štátov;</w:t>
      </w:r>
    </w:p>
    <w:p w:rsidR="00E217DF" w:rsidRPr="00B552B9" w:rsidRDefault="00694114" w:rsidP="00E217DF">
      <w:pPr>
        <w:spacing w:after="240"/>
        <w:ind w:left="567" w:hanging="567"/>
      </w:pPr>
      <w:r w:rsidRPr="00B552B9">
        <w:t>49</w:t>
      </w:r>
      <w:r w:rsidR="00E217DF" w:rsidRPr="00B552B9">
        <w:t>.</w:t>
      </w:r>
      <w:r w:rsidR="00E217DF" w:rsidRPr="00B552B9">
        <w:tab/>
        <w:t>zdôrazňuje, že finančné prostriedky z rozpočtu EÚ sa musia dostať k občanom EÚ a MSP; pripomína, že zjednodušenie administratívnych postupov, používateľsky ústretové webové sídla a portály, zníženie byrokracie a vytvorenie jednotných kontaktných miest sú nevyhnutné na to, aby boli programy EÚ prístupnejšie pre miestne a regionálne orgány, organizácie občianskej spoločnosti, mladých podnikateľov a MSP;</w:t>
      </w:r>
    </w:p>
    <w:p w:rsidR="00E217DF" w:rsidRPr="00B552B9" w:rsidRDefault="00694114" w:rsidP="00E217DF">
      <w:pPr>
        <w:pStyle w:val="NormalHanging12a"/>
      </w:pPr>
      <w:r w:rsidRPr="00B552B9">
        <w:t>50</w:t>
      </w:r>
      <w:r w:rsidR="00E217DF" w:rsidRPr="00B552B9">
        <w:t>.</w:t>
      </w:r>
      <w:r w:rsidR="00E217DF" w:rsidRPr="00B552B9">
        <w:tab/>
        <w:t>naliehavo vyzýva členské štáty a Komisiu, aby urýchlili vykonávanie operačných programov v rámci fondov zdieľaného riadenia a zabezpečili rýchle plnenie rozpočtu, najmä pri kohéznych fondoch; konštatuje, že podiel finančných prostriedkov v rámci programov na roky 2014 – 2020, ktoré zostali nevyužité, by sa mal prerozdeliť medzi členské štáty s cieľom ďalej znižovať regionálne rozdiely; vyzýva na urýchlené vykonávanie plánov obnovy a odolnosti vrátane hodnotenia zo strany Komisie, pokiaľ ide o proces vykonávania, prekážky a výsledky; vyjadruje znepokojenie nad tým, že nedostatočné plnenie, pokiaľ nebude urýchlene riešené, bude mať za následok platobnú krízu, t. j. nesúlad platobných potrieb a dostupného priestoru v rámci stropu platieb VFR v rokoch 2026 a 2027;</w:t>
      </w:r>
    </w:p>
    <w:p w:rsidR="00E217DF" w:rsidRPr="00B552B9" w:rsidRDefault="00694114" w:rsidP="00E217DF">
      <w:pPr>
        <w:spacing w:after="240"/>
        <w:ind w:left="567" w:hanging="567"/>
      </w:pPr>
      <w:r w:rsidRPr="00B552B9">
        <w:t>51</w:t>
      </w:r>
      <w:r w:rsidR="00E217DF" w:rsidRPr="00B552B9">
        <w:t>.</w:t>
      </w:r>
      <w:r w:rsidR="00E217DF" w:rsidRPr="00B552B9">
        <w:tab/>
        <w:t xml:space="preserve">domnieva sa, že náležitá starostlivosť, zodpovednosť a dodržiavanie hodnôt Únie by sa mali vzťahovať na všetkých príjemcov finančných prostriedkov EÚ a implementujúcich partnerov s cieľom chrániť finančné záujmy EÚ a zabrániť nenáležitému zasahovaniu, a opätovne zdôrazňuje význam účinnej a dôkladnej práce monitorovacích a kontrolných orgánov, ktoré odhaľujú, vyšetrujú, stíhajú a postupujú súdu trestné činy proti finančným záujmom EÚ, keďže peniaze vynaložené na boj proti korupcii prinášajú </w:t>
      </w:r>
      <w:r w:rsidR="00E217DF" w:rsidRPr="00B552B9">
        <w:lastRenderedPageBreak/>
        <w:t xml:space="preserve">obrovský čistý návrat do EÚ; domnieva sa preto, že tieto orgány by mali mať primerané zdroje a dostatočný počet zamestnancov, aby mohli svoje úlohy vykonávať čo najúčinnejšie; v podobnom duchu zdôrazňuje, že na zabezpečenie toho, aby finančný sektor fungoval v prospech občanov a spotrebiteľov, je potrebný primeraný dohľad EÚ; aby bol finančný sektor zdravý, </w:t>
      </w:r>
      <w:proofErr w:type="spellStart"/>
      <w:r w:rsidR="00E217DF" w:rsidRPr="00B552B9">
        <w:t>inkluzívny</w:t>
      </w:r>
      <w:proofErr w:type="spellEnd"/>
      <w:r w:rsidR="00E217DF" w:rsidRPr="00B552B9">
        <w:t xml:space="preserve"> a odolný požaduje, aby sa zdroje pre európske úrady pre finančný dohľad a agentúry poverené úlohami dohľadu alebo vypracovaním technických regulačných noriem v tejto oblasti v plnej miere upravili tak, aby zohľadňovali všetky nové regulačné úlohy, ktoré si splnenie týchto politických cieľov vyžaduje;</w:t>
      </w:r>
    </w:p>
    <w:p w:rsidR="00E217DF" w:rsidRPr="00B552B9" w:rsidRDefault="00694114" w:rsidP="00E217DF">
      <w:pPr>
        <w:pStyle w:val="NormalHanging12a"/>
      </w:pPr>
      <w:r w:rsidRPr="00B552B9">
        <w:t>52</w:t>
      </w:r>
      <w:r w:rsidR="00E217DF" w:rsidRPr="00B552B9">
        <w:t>.</w:t>
      </w:r>
      <w:r w:rsidR="00E217DF" w:rsidRPr="00B552B9">
        <w:tab/>
        <w:t>požaduje ďalšie úsilie všetkých zapojených aktérov s cieľom podporiť realizáciu projektov a čerpanie oprávnených finančných prostriedkov, a tým znížiť abnormálne neuhradené záväzky (RAL); domnieva sa, že roky 2024 a 2025 by sa mali využiť na identifikáciu a nápravu akýchkoľvek prekážok, ktoré bránia účinnejšiemu vykonávaniu; požaduje primerané rozpočtové zdroje na urýchlenie vykonávania programov prostredníctvom ďalšieho budovania kapacít a technickej pomoci pre členské štáty, najmä tie, ktoré majú väčšie ťažkosti s čerpaním prostriedkov, a to aj v prípade finančných prostriedkov z Mechanizmu na podporu obnovy a odolnosti, ako aj opatrenia na urýchlenie spravodlivých, súťažných a efektívnych postupov obstarávania a zadávania zákazky s cieľom podporiť implementačné úsilie;</w:t>
      </w:r>
    </w:p>
    <w:p w:rsidR="00E217DF" w:rsidRPr="00B552B9" w:rsidRDefault="00694114" w:rsidP="00E217DF">
      <w:pPr>
        <w:spacing w:after="240"/>
        <w:ind w:left="567" w:hanging="567"/>
      </w:pPr>
      <w:r w:rsidRPr="00B552B9">
        <w:t>53</w:t>
      </w:r>
      <w:r w:rsidR="00E217DF" w:rsidRPr="00B552B9">
        <w:t>.</w:t>
      </w:r>
      <w:r w:rsidR="00E217DF" w:rsidRPr="00B552B9">
        <w:tab/>
        <w:t>zdôrazňuje význam účinnej komunikácie a viditeľnosti politík a programov EÚ pri zvyšovaní povedomia o pridanej hodnote, ktorú EÚ prináša občanom, podnikom a partnerom; v tejto súvislosti vyzýva na zabezpečenie primeraných prostriedkov;</w:t>
      </w:r>
    </w:p>
    <w:p w:rsidR="00E217DF" w:rsidRPr="00B552B9" w:rsidRDefault="00694114" w:rsidP="00E217DF">
      <w:pPr>
        <w:pStyle w:val="NormalHanging12a"/>
      </w:pPr>
      <w:r w:rsidRPr="00B552B9">
        <w:t>54</w:t>
      </w:r>
      <w:r w:rsidR="00E217DF" w:rsidRPr="00B552B9">
        <w:t>.</w:t>
      </w:r>
      <w:r w:rsidR="00E217DF" w:rsidRPr="00B552B9">
        <w:tab/>
        <w:t>pripomína, že riadne vykonávanie dobre navrhnutých programov je možné len s podporou špecializovanej administratívy; zdôrazňuje zásadnú prácu, ktorú vykonávajú orgány a decentralizované agentúry, a domnieva sa, že musia mať zodpovedajúci počet zamestnancov a primerané zdroje, aby mohli plniť svoje úlohy; zdôrazňuje, že ich úlohy sa vyvíjajú v súlade s politickými prioritami, ako je zelená a digitálna transformácia, a zdôrazňuje, že nové zodpovednosti, ako aj rozšírenie ich mandátov musia primerane sprevádzať nové zdroje;</w:t>
      </w:r>
    </w:p>
    <w:p w:rsidR="00346A85" w:rsidRPr="00B552B9" w:rsidRDefault="00346A85" w:rsidP="00346A85">
      <w:pPr>
        <w:pStyle w:val="NormalHanging12a"/>
        <w:widowControl/>
        <w:ind w:left="0" w:firstLine="0"/>
        <w:jc w:val="center"/>
      </w:pPr>
      <w:r w:rsidRPr="00B552B9">
        <w:t>°</w:t>
      </w:r>
    </w:p>
    <w:p w:rsidR="00346A85" w:rsidRPr="00B552B9" w:rsidRDefault="00346A85" w:rsidP="00346A85">
      <w:pPr>
        <w:pStyle w:val="NormalHanging12a"/>
        <w:widowControl/>
        <w:ind w:left="0" w:firstLine="0"/>
        <w:jc w:val="center"/>
      </w:pPr>
      <w:r w:rsidRPr="00B552B9">
        <w:t>°     °</w:t>
      </w:r>
    </w:p>
    <w:p w:rsidR="00E217DF" w:rsidRPr="00B552B9" w:rsidRDefault="00694114" w:rsidP="00E217DF">
      <w:pPr>
        <w:pStyle w:val="NormalHanging12a"/>
      </w:pPr>
      <w:r w:rsidRPr="00B552B9">
        <w:t>55</w:t>
      </w:r>
      <w:r w:rsidR="00E217DF" w:rsidRPr="00B552B9">
        <w:t>.</w:t>
      </w:r>
      <w:r w:rsidR="00E217DF" w:rsidRPr="00B552B9">
        <w:tab/>
        <w:t>poveruje svoju predsedníčku, aby postúpila toto uznesenie Rade, Komisii a Európskemu dvoru audítorov.</w:t>
      </w:r>
    </w:p>
    <w:sectPr w:rsidR="00E217DF" w:rsidRPr="00B552B9" w:rsidSect="00DD76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DA7" w:rsidRPr="00DD76F4" w:rsidRDefault="00857DA7">
      <w:r w:rsidRPr="00DD76F4">
        <w:separator/>
      </w:r>
    </w:p>
  </w:endnote>
  <w:endnote w:type="continuationSeparator" w:id="0">
    <w:p w:rsidR="00857DA7" w:rsidRPr="00DD76F4" w:rsidRDefault="00857DA7">
      <w:r w:rsidRPr="00DD76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6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6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6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DA7" w:rsidRPr="00DD76F4" w:rsidRDefault="00857DA7">
      <w:r w:rsidRPr="00DD76F4">
        <w:separator/>
      </w:r>
    </w:p>
  </w:footnote>
  <w:footnote w:type="continuationSeparator" w:id="0">
    <w:p w:rsidR="00857DA7" w:rsidRPr="00DD76F4" w:rsidRDefault="00857DA7">
      <w:r w:rsidRPr="00DD76F4">
        <w:continuationSeparator/>
      </w:r>
    </w:p>
  </w:footnote>
  <w:footnote w:id="1">
    <w:p w:rsidR="00D721B5" w:rsidRPr="00D721B5" w:rsidRDefault="00D721B5" w:rsidP="004F65AC">
      <w:pPr>
        <w:pStyle w:val="FootnoteText"/>
        <w:ind w:left="567" w:hanging="567"/>
        <w:rPr>
          <w:sz w:val="24"/>
          <w:szCs w:val="24"/>
          <w:lang w:val="fi-FI"/>
        </w:rPr>
      </w:pPr>
      <w:r w:rsidRPr="00D721B5">
        <w:rPr>
          <w:rStyle w:val="FootnoteReference"/>
          <w:sz w:val="24"/>
          <w:szCs w:val="24"/>
        </w:rPr>
        <w:footnoteRef/>
      </w:r>
      <w:r w:rsidRPr="00D721B5">
        <w:rPr>
          <w:lang w:val="fi-FI"/>
        </w:rPr>
        <w:t xml:space="preserve"> </w:t>
      </w:r>
      <w:r w:rsidRPr="00D721B5">
        <w:rPr>
          <w:lang w:val="fi-FI"/>
        </w:rPr>
        <w:tab/>
      </w:r>
      <w:r w:rsidR="004F65AC" w:rsidRPr="004F65AC">
        <w:rPr>
          <w:sz w:val="24"/>
          <w:szCs w:val="24"/>
          <w:lang w:val="fi-FI"/>
        </w:rPr>
        <w:t>Ú. v. EÚ L, 2024/765, 29.2.2024, ELI:</w:t>
      </w:r>
      <w:r w:rsidRPr="00D721B5">
        <w:rPr>
          <w:sz w:val="24"/>
          <w:szCs w:val="24"/>
          <w:lang w:val="fi-FI"/>
        </w:rPr>
        <w:t xml:space="preserve"> </w:t>
      </w:r>
      <w:hyperlink r:id="rId1" w:history="1">
        <w:r w:rsidRPr="004F65AC">
          <w:rPr>
            <w:rStyle w:val="Hyperlink"/>
            <w:sz w:val="24"/>
            <w:szCs w:val="24"/>
            <w:lang w:val="fi-FI"/>
          </w:rPr>
          <w:t>http://data.europa.eu/eli/reg/2024/765/oj</w:t>
        </w:r>
      </w:hyperlink>
      <w:bookmarkStart w:id="8" w:name="_GoBack"/>
      <w:bookmarkEnd w:id="8"/>
      <w:r>
        <w:rPr>
          <w:sz w:val="24"/>
          <w:szCs w:val="24"/>
          <w:lang w:val="fi-FI"/>
        </w:rPr>
        <w:t>.</w:t>
      </w:r>
    </w:p>
  </w:footnote>
  <w:footnote w:id="2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L 325, 20.12.2022, s. 11.</w:t>
      </w:r>
    </w:p>
  </w:footnote>
  <w:footnote w:id="3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C 445, 29.10.2021, s. 240.</w:t>
      </w:r>
    </w:p>
  </w:footnote>
  <w:footnote w:id="4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 v. EÚ L 433 I, 22.12.2020, s. 11.</w:t>
      </w:r>
    </w:p>
  </w:footnote>
  <w:footnote w:id="5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 v. EÚ C 444 I, 22.12.2020, s. 4.</w:t>
      </w:r>
    </w:p>
  </w:footnote>
  <w:footnote w:id="6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="00493E0A" w:rsidRPr="004A6E5F">
        <w:rPr>
          <w:sz w:val="24"/>
          <w:szCs w:val="24"/>
          <w:lang w:val="sk-SK"/>
        </w:rPr>
        <w:t>Ú. v. EÚ C 445, 29.10.2021, s. 252</w:t>
      </w:r>
      <w:r w:rsidRPr="004A6E5F">
        <w:rPr>
          <w:sz w:val="24"/>
          <w:szCs w:val="24"/>
          <w:lang w:val="sk-SK"/>
        </w:rPr>
        <w:t>.</w:t>
      </w:r>
    </w:p>
  </w:footnote>
  <w:footnote w:id="7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rStyle w:val="ui-provider"/>
          <w:sz w:val="24"/>
          <w:szCs w:val="24"/>
          <w:lang w:val="sk-SK"/>
        </w:rPr>
        <w:t xml:space="preserve"> </w:t>
      </w:r>
      <w:r w:rsidR="00DD76F4" w:rsidRPr="004A6E5F">
        <w:rPr>
          <w:rStyle w:val="ui-provider"/>
          <w:sz w:val="24"/>
          <w:szCs w:val="24"/>
          <w:lang w:val="sk-SK"/>
        </w:rPr>
        <w:tab/>
      </w:r>
      <w:r w:rsidR="00493E0A" w:rsidRPr="004A6E5F">
        <w:rPr>
          <w:sz w:val="24"/>
          <w:szCs w:val="24"/>
          <w:lang w:val="sk-SK"/>
        </w:rPr>
        <w:t xml:space="preserve">Ú. v. EÚ </w:t>
      </w:r>
      <w:r w:rsidR="00493E0A" w:rsidRPr="005C046D">
        <w:rPr>
          <w:rStyle w:val="ui-provider"/>
          <w:rFonts w:eastAsiaTheme="majorEastAsia"/>
          <w:sz w:val="24"/>
          <w:szCs w:val="24"/>
          <w:lang w:val="sk-SK"/>
        </w:rPr>
        <w:t xml:space="preserve">C, C/2024/1195, 23.2.2024, ELI: </w:t>
      </w:r>
      <w:hyperlink r:id="rId2" w:history="1">
        <w:r w:rsidR="00493E0A" w:rsidRPr="005C046D">
          <w:rPr>
            <w:rStyle w:val="Hyperlink"/>
            <w:rFonts w:eastAsiaTheme="majorEastAsia"/>
            <w:sz w:val="24"/>
            <w:szCs w:val="24"/>
            <w:lang w:val="sk-SK"/>
          </w:rPr>
          <w:t>http://data.europa.eu/eli/C/2024/1195/oj</w:t>
        </w:r>
      </w:hyperlink>
      <w:r w:rsidRPr="004A6E5F">
        <w:rPr>
          <w:rStyle w:val="ui-provider"/>
          <w:sz w:val="24"/>
          <w:szCs w:val="24"/>
          <w:lang w:val="sk-SK"/>
        </w:rPr>
        <w:t>.</w:t>
      </w:r>
    </w:p>
  </w:footnote>
  <w:footnote w:id="8">
    <w:p w:rsidR="00E217DF" w:rsidRPr="004A6E5F" w:rsidRDefault="00E217DF" w:rsidP="00DD76F4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Cs w:val="24"/>
        </w:rPr>
      </w:pPr>
      <w:r w:rsidRPr="004A6E5F">
        <w:rPr>
          <w:szCs w:val="24"/>
          <w:vertAlign w:val="superscript"/>
        </w:rPr>
        <w:footnoteRef/>
      </w:r>
      <w:r w:rsidR="00DD76F4" w:rsidRPr="004A6E5F">
        <w:rPr>
          <w:color w:val="000000"/>
          <w:szCs w:val="24"/>
        </w:rPr>
        <w:t xml:space="preserve"> </w:t>
      </w:r>
      <w:r w:rsidR="00DD76F4" w:rsidRPr="004A6E5F">
        <w:rPr>
          <w:color w:val="000000"/>
          <w:szCs w:val="24"/>
        </w:rPr>
        <w:tab/>
      </w:r>
      <w:r w:rsidRPr="004A6E5F">
        <w:rPr>
          <w:color w:val="000000"/>
          <w:szCs w:val="24"/>
        </w:rPr>
        <w:t>Prijaté texty, P9_TA(2024)0082.</w:t>
      </w:r>
    </w:p>
  </w:footnote>
  <w:footnote w:id="9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="00493E0A" w:rsidRPr="004A6E5F">
        <w:rPr>
          <w:sz w:val="24"/>
          <w:szCs w:val="24"/>
          <w:lang w:val="sk-SK"/>
        </w:rPr>
        <w:t xml:space="preserve">Ú. v. EÚ </w:t>
      </w:r>
      <w:r w:rsidR="00493E0A" w:rsidRPr="005C046D">
        <w:rPr>
          <w:sz w:val="24"/>
          <w:szCs w:val="24"/>
          <w:lang w:val="sk-SK"/>
        </w:rPr>
        <w:t xml:space="preserve">C, C/2023/1084, 15.12.2023, ELI: </w:t>
      </w:r>
      <w:hyperlink r:id="rId3" w:history="1">
        <w:r w:rsidR="00493E0A" w:rsidRPr="005C046D">
          <w:rPr>
            <w:rStyle w:val="Hyperlink"/>
            <w:sz w:val="24"/>
            <w:szCs w:val="24"/>
            <w:lang w:val="sk-SK"/>
          </w:rPr>
          <w:t>http://data.europa.eu/eli/C/2023/1084/oj</w:t>
        </w:r>
      </w:hyperlink>
      <w:r w:rsidRPr="004A6E5F">
        <w:rPr>
          <w:sz w:val="24"/>
          <w:szCs w:val="24"/>
          <w:lang w:val="sk-SK"/>
        </w:rPr>
        <w:t>.</w:t>
      </w:r>
    </w:p>
  </w:footnote>
  <w:footnote w:id="10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C 177, 17.5.2023, s. 115</w:t>
      </w:r>
      <w:r w:rsidRPr="004A6E5F">
        <w:rPr>
          <w:sz w:val="24"/>
          <w:szCs w:val="24"/>
          <w:shd w:val="clear" w:color="auto" w:fill="FFFFFF"/>
          <w:lang w:val="sk-SK"/>
        </w:rPr>
        <w:t>.</w:t>
      </w:r>
    </w:p>
  </w:footnote>
  <w:footnote w:id="11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L 433 I, 22.12.2020, s. 28.</w:t>
      </w:r>
    </w:p>
  </w:footnote>
  <w:footnote w:id="12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L 424, 15.12.2020, s. 1.</w:t>
      </w:r>
    </w:p>
  </w:footnote>
  <w:footnote w:id="13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C 167, 11.5.2023, s. 162.</w:t>
      </w:r>
    </w:p>
  </w:footnote>
  <w:footnote w:id="14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L 433 I, 22.12.2020, s. 23.</w:t>
      </w:r>
    </w:p>
  </w:footnote>
  <w:footnote w:id="15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 v. EÚ L 433 I, 22.12.2020, s. 1.</w:t>
      </w:r>
    </w:p>
  </w:footnote>
  <w:footnote w:id="16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C 270, 7.7.2021, s. 2.</w:t>
      </w:r>
    </w:p>
  </w:footnote>
  <w:footnote w:id="17">
    <w:p w:rsidR="00FA4D86" w:rsidRPr="005C046D" w:rsidRDefault="00FA4D86" w:rsidP="00FA4D86">
      <w:pPr>
        <w:pStyle w:val="FootnoteText"/>
        <w:ind w:left="567" w:hanging="567"/>
        <w:rPr>
          <w:sz w:val="24"/>
          <w:szCs w:val="24"/>
          <w:lang w:val="sk-SK"/>
        </w:rPr>
      </w:pPr>
      <w:r w:rsidRPr="00FA4D86">
        <w:rPr>
          <w:rStyle w:val="FootnoteReference"/>
          <w:sz w:val="24"/>
          <w:szCs w:val="24"/>
        </w:rPr>
        <w:footnoteRef/>
      </w:r>
      <w:r w:rsidRPr="005C046D">
        <w:rPr>
          <w:sz w:val="24"/>
          <w:szCs w:val="24"/>
          <w:lang w:val="sk-SK"/>
        </w:rPr>
        <w:t xml:space="preserve"> </w:t>
      </w:r>
      <w:r w:rsidRPr="00FA4D86">
        <w:rPr>
          <w:sz w:val="24"/>
          <w:szCs w:val="24"/>
          <w:lang w:val="sk-SK"/>
        </w:rPr>
        <w:tab/>
        <w:t>Ú. v. EÚ C 428, 13.12.2017, s. 10.</w:t>
      </w:r>
    </w:p>
  </w:footnote>
  <w:footnote w:id="18">
    <w:p w:rsidR="00C44AFA" w:rsidRPr="00FA4D86" w:rsidRDefault="00C44AFA" w:rsidP="00FA4D86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</w:rPr>
        <w:footnoteRef/>
      </w:r>
      <w:r w:rsidRPr="00FA4D86">
        <w:rPr>
          <w:sz w:val="24"/>
          <w:szCs w:val="24"/>
          <w:lang w:val="sk-SK"/>
        </w:rPr>
        <w:t xml:space="preserve"> </w:t>
      </w:r>
      <w:r w:rsidRPr="00FA4D86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 xml:space="preserve">Ú. v. EÚ </w:t>
      </w:r>
      <w:r w:rsidR="00E42B5E">
        <w:rPr>
          <w:sz w:val="24"/>
          <w:szCs w:val="24"/>
          <w:lang w:val="sk-SK"/>
        </w:rPr>
        <w:t xml:space="preserve">C </w:t>
      </w:r>
      <w:r w:rsidRPr="004A6E5F">
        <w:rPr>
          <w:sz w:val="24"/>
          <w:szCs w:val="24"/>
          <w:lang w:val="sk-SK"/>
        </w:rPr>
        <w:t>242, 10.7.2018, s. 24.</w:t>
      </w:r>
    </w:p>
  </w:footnote>
  <w:footnote w:id="19">
    <w:p w:rsidR="00493E0A" w:rsidRPr="00FA4D86" w:rsidRDefault="00493E0A" w:rsidP="00FA4D86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</w:rPr>
        <w:footnoteRef/>
      </w:r>
      <w:r w:rsidRPr="00FA4D86">
        <w:rPr>
          <w:sz w:val="24"/>
          <w:szCs w:val="24"/>
          <w:lang w:val="fi-FI"/>
        </w:rPr>
        <w:t xml:space="preserve"> </w:t>
      </w:r>
      <w:r w:rsidRPr="004A6E5F">
        <w:rPr>
          <w:sz w:val="24"/>
          <w:szCs w:val="24"/>
          <w:lang w:val="sk-SK"/>
        </w:rPr>
        <w:tab/>
        <w:t xml:space="preserve">Ú. v. EÚ </w:t>
      </w:r>
      <w:r w:rsidR="00AB2A86">
        <w:rPr>
          <w:sz w:val="24"/>
          <w:szCs w:val="24"/>
          <w:lang w:val="fi-FI"/>
        </w:rPr>
        <w:t>L, 2024/795, 29.</w:t>
      </w:r>
      <w:r w:rsidRPr="00FA4D86">
        <w:rPr>
          <w:sz w:val="24"/>
          <w:szCs w:val="24"/>
          <w:lang w:val="fi-FI"/>
        </w:rPr>
        <w:t xml:space="preserve">2.2024, ELI: </w:t>
      </w:r>
      <w:hyperlink r:id="rId4" w:history="1">
        <w:r w:rsidRPr="00FA4D86">
          <w:rPr>
            <w:rStyle w:val="Hyperlink"/>
            <w:sz w:val="24"/>
            <w:szCs w:val="24"/>
            <w:lang w:val="fi-FI"/>
          </w:rPr>
          <w:t>http://data.europa.eu/eli/reg/2024/795/oj</w:t>
        </w:r>
      </w:hyperlink>
      <w:r w:rsidR="004A6E5F" w:rsidRPr="004A6E5F">
        <w:rPr>
          <w:sz w:val="24"/>
          <w:szCs w:val="24"/>
          <w:lang w:val="fi-FI"/>
        </w:rPr>
        <w:t>.</w:t>
      </w:r>
    </w:p>
  </w:footnote>
  <w:footnote w:id="20">
    <w:p w:rsidR="004A6E5F" w:rsidRPr="00FA4D86" w:rsidRDefault="004A6E5F" w:rsidP="00FA4D86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</w:rPr>
        <w:footnoteRef/>
      </w:r>
      <w:r w:rsidRPr="00FA4D86">
        <w:rPr>
          <w:sz w:val="24"/>
          <w:szCs w:val="24"/>
          <w:lang w:val="fi-FI"/>
        </w:rPr>
        <w:t xml:space="preserve"> </w:t>
      </w:r>
      <w:r w:rsidRPr="004A6E5F">
        <w:rPr>
          <w:sz w:val="24"/>
          <w:szCs w:val="24"/>
          <w:lang w:val="sk-SK"/>
        </w:rPr>
        <w:tab/>
        <w:t>Ú. v. EÚ L</w:t>
      </w:r>
      <w:r w:rsidR="00AB2A86">
        <w:rPr>
          <w:sz w:val="24"/>
          <w:szCs w:val="24"/>
          <w:lang w:val="fi-FI"/>
        </w:rPr>
        <w:t>, 2024/792, 29.</w:t>
      </w:r>
      <w:r w:rsidRPr="00FA4D86">
        <w:rPr>
          <w:sz w:val="24"/>
          <w:szCs w:val="24"/>
          <w:lang w:val="fi-FI"/>
        </w:rPr>
        <w:t xml:space="preserve">2.2024, ELI: </w:t>
      </w:r>
      <w:hyperlink r:id="rId5" w:history="1">
        <w:r w:rsidRPr="00FA4D86">
          <w:rPr>
            <w:rStyle w:val="Hyperlink"/>
            <w:sz w:val="24"/>
            <w:szCs w:val="24"/>
            <w:lang w:val="fi-FI"/>
          </w:rPr>
          <w:t>http://data.europa.eu/eli/reg/2024/792/oj</w:t>
        </w:r>
      </w:hyperlink>
      <w:r w:rsidRPr="004A6E5F">
        <w:rPr>
          <w:sz w:val="24"/>
          <w:szCs w:val="24"/>
          <w:lang w:val="fi-FI"/>
        </w:rPr>
        <w:t>.</w:t>
      </w:r>
    </w:p>
  </w:footnote>
  <w:footnote w:id="21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>Ú. v. EÚ L 207, 22.2.2024, s. 1.</w:t>
      </w:r>
    </w:p>
  </w:footnote>
  <w:footnote w:id="22">
    <w:p w:rsidR="00E217DF" w:rsidRPr="004A6E5F" w:rsidRDefault="00E217DF" w:rsidP="00DD76F4">
      <w:pPr>
        <w:pStyle w:val="FootnoteText"/>
        <w:ind w:left="567" w:hanging="567"/>
        <w:rPr>
          <w:sz w:val="24"/>
          <w:szCs w:val="24"/>
          <w:lang w:val="sk-SK"/>
        </w:rPr>
      </w:pPr>
      <w:r w:rsidRPr="004A6E5F">
        <w:rPr>
          <w:rStyle w:val="FootnoteReference"/>
          <w:sz w:val="24"/>
          <w:szCs w:val="24"/>
          <w:lang w:val="sk-SK"/>
        </w:rPr>
        <w:footnoteRef/>
      </w:r>
      <w:r w:rsidR="00DD76F4" w:rsidRPr="004A6E5F">
        <w:rPr>
          <w:sz w:val="24"/>
          <w:szCs w:val="24"/>
          <w:lang w:val="sk-SK"/>
        </w:rPr>
        <w:t xml:space="preserve"> </w:t>
      </w:r>
      <w:r w:rsidR="00DD76F4" w:rsidRPr="004A6E5F">
        <w:rPr>
          <w:sz w:val="24"/>
          <w:szCs w:val="24"/>
          <w:lang w:val="sk-SK"/>
        </w:rPr>
        <w:tab/>
      </w:r>
      <w:r w:rsidRPr="004A6E5F">
        <w:rPr>
          <w:sz w:val="24"/>
          <w:szCs w:val="24"/>
          <w:lang w:val="sk-SK"/>
        </w:rPr>
        <w:t xml:space="preserve">Európska komisia, prognóza na zimu 2024, </w:t>
      </w:r>
      <w:proofErr w:type="spellStart"/>
      <w:r w:rsidRPr="004A6E5F">
        <w:rPr>
          <w:rStyle w:val="Hyperlink"/>
          <w:sz w:val="24"/>
          <w:szCs w:val="24"/>
          <w:lang w:val="sk-SK"/>
        </w:rPr>
        <w:t>Winter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2024 </w:t>
      </w:r>
      <w:proofErr w:type="spellStart"/>
      <w:r w:rsidRPr="004A6E5F">
        <w:rPr>
          <w:rStyle w:val="Hyperlink"/>
          <w:sz w:val="24"/>
          <w:szCs w:val="24"/>
          <w:lang w:val="sk-SK"/>
        </w:rPr>
        <w:t>Economic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</w:t>
      </w:r>
      <w:proofErr w:type="spellStart"/>
      <w:r w:rsidRPr="004A6E5F">
        <w:rPr>
          <w:rStyle w:val="Hyperlink"/>
          <w:sz w:val="24"/>
          <w:szCs w:val="24"/>
          <w:lang w:val="sk-SK"/>
        </w:rPr>
        <w:t>Forecast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: A </w:t>
      </w:r>
      <w:proofErr w:type="spellStart"/>
      <w:r w:rsidRPr="004A6E5F">
        <w:rPr>
          <w:rStyle w:val="Hyperlink"/>
          <w:sz w:val="24"/>
          <w:szCs w:val="24"/>
          <w:lang w:val="sk-SK"/>
        </w:rPr>
        <w:t>delayed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</w:t>
      </w:r>
      <w:proofErr w:type="spellStart"/>
      <w:r w:rsidRPr="004A6E5F">
        <w:rPr>
          <w:rStyle w:val="Hyperlink"/>
          <w:sz w:val="24"/>
          <w:szCs w:val="24"/>
          <w:lang w:val="sk-SK"/>
        </w:rPr>
        <w:t>rebound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in </w:t>
      </w:r>
      <w:proofErr w:type="spellStart"/>
      <w:r w:rsidRPr="004A6E5F">
        <w:rPr>
          <w:rStyle w:val="Hyperlink"/>
          <w:sz w:val="24"/>
          <w:szCs w:val="24"/>
          <w:lang w:val="sk-SK"/>
        </w:rPr>
        <w:t>growth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</w:t>
      </w:r>
      <w:proofErr w:type="spellStart"/>
      <w:r w:rsidRPr="004A6E5F">
        <w:rPr>
          <w:rStyle w:val="Hyperlink"/>
          <w:sz w:val="24"/>
          <w:szCs w:val="24"/>
          <w:lang w:val="sk-SK"/>
        </w:rPr>
        <w:t>amid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</w:t>
      </w:r>
      <w:proofErr w:type="spellStart"/>
      <w:r w:rsidRPr="004A6E5F">
        <w:rPr>
          <w:rStyle w:val="Hyperlink"/>
          <w:sz w:val="24"/>
          <w:szCs w:val="24"/>
          <w:lang w:val="sk-SK"/>
        </w:rPr>
        <w:t>faster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</w:t>
      </w:r>
      <w:proofErr w:type="spellStart"/>
      <w:r w:rsidRPr="004A6E5F">
        <w:rPr>
          <w:rStyle w:val="Hyperlink"/>
          <w:sz w:val="24"/>
          <w:szCs w:val="24"/>
          <w:lang w:val="sk-SK"/>
        </w:rPr>
        <w:t>easing</w:t>
      </w:r>
      <w:proofErr w:type="spellEnd"/>
      <w:r w:rsidRPr="004A6E5F">
        <w:rPr>
          <w:rStyle w:val="Hyperlink"/>
          <w:sz w:val="24"/>
          <w:szCs w:val="24"/>
          <w:lang w:val="sk-SK"/>
        </w:rPr>
        <w:t xml:space="preserve"> of </w:t>
      </w:r>
      <w:proofErr w:type="spellStart"/>
      <w:r w:rsidRPr="004A6E5F">
        <w:rPr>
          <w:rStyle w:val="Hyperlink"/>
          <w:sz w:val="24"/>
          <w:szCs w:val="24"/>
          <w:lang w:val="sk-SK"/>
        </w:rPr>
        <w:t>inflation</w:t>
      </w:r>
      <w:proofErr w:type="spellEnd"/>
      <w:r w:rsidRPr="004A6E5F">
        <w:rPr>
          <w:sz w:val="24"/>
          <w:szCs w:val="24"/>
          <w:lang w:val="sk-SK"/>
        </w:rPr>
        <w:t>’,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6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6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D76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8/2024"/>
    <w:docVar w:name="dvlangue" w:val="SK"/>
    <w:docVar w:name="dvnumam" w:val="0"/>
    <w:docVar w:name="dvpe" w:val="758.108"/>
    <w:docVar w:name="dvrapporteur" w:val="Spravodajca: "/>
    <w:docVar w:name="dvtitre" w:val="Uznesenie Európskeho parlamentu z xx. marca 2024 o všeobecných usmerneniach pre prípravu rozpočtu na rok 2025, oddiel III – Komisia(2023/2220(BUI))"/>
  </w:docVars>
  <w:rsids>
    <w:rsidRoot w:val="00857D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7D27"/>
    <w:rsid w:val="002767FF"/>
    <w:rsid w:val="002B18FE"/>
    <w:rsid w:val="002B5493"/>
    <w:rsid w:val="00343214"/>
    <w:rsid w:val="00346A85"/>
    <w:rsid w:val="00361C00"/>
    <w:rsid w:val="00395FA1"/>
    <w:rsid w:val="003E15D4"/>
    <w:rsid w:val="00411CCE"/>
    <w:rsid w:val="0041666E"/>
    <w:rsid w:val="00421060"/>
    <w:rsid w:val="00471C19"/>
    <w:rsid w:val="004867E3"/>
    <w:rsid w:val="00493E0A"/>
    <w:rsid w:val="00494A28"/>
    <w:rsid w:val="004A6E5F"/>
    <w:rsid w:val="004C0004"/>
    <w:rsid w:val="004C5D52"/>
    <w:rsid w:val="004F196D"/>
    <w:rsid w:val="004F65AC"/>
    <w:rsid w:val="0050519A"/>
    <w:rsid w:val="005072A1"/>
    <w:rsid w:val="00514517"/>
    <w:rsid w:val="00545827"/>
    <w:rsid w:val="00560270"/>
    <w:rsid w:val="005C046D"/>
    <w:rsid w:val="005C2568"/>
    <w:rsid w:val="006037C0"/>
    <w:rsid w:val="006631B6"/>
    <w:rsid w:val="00680577"/>
    <w:rsid w:val="0069411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DA7"/>
    <w:rsid w:val="00865F67"/>
    <w:rsid w:val="00881A7B"/>
    <w:rsid w:val="008840E5"/>
    <w:rsid w:val="00887B3E"/>
    <w:rsid w:val="008C2AC6"/>
    <w:rsid w:val="008F40C5"/>
    <w:rsid w:val="00901EAC"/>
    <w:rsid w:val="00930C23"/>
    <w:rsid w:val="0093193B"/>
    <w:rsid w:val="00935B3C"/>
    <w:rsid w:val="009509D8"/>
    <w:rsid w:val="00950B64"/>
    <w:rsid w:val="00981893"/>
    <w:rsid w:val="00A1687D"/>
    <w:rsid w:val="00A43E52"/>
    <w:rsid w:val="00A4678D"/>
    <w:rsid w:val="00A73E51"/>
    <w:rsid w:val="00A778C7"/>
    <w:rsid w:val="00AB2A86"/>
    <w:rsid w:val="00AB441E"/>
    <w:rsid w:val="00AB6293"/>
    <w:rsid w:val="00AD4684"/>
    <w:rsid w:val="00AE0928"/>
    <w:rsid w:val="00AF3B82"/>
    <w:rsid w:val="00B12E95"/>
    <w:rsid w:val="00B22876"/>
    <w:rsid w:val="00B552B9"/>
    <w:rsid w:val="00B558F0"/>
    <w:rsid w:val="00BD48FE"/>
    <w:rsid w:val="00BD7BD8"/>
    <w:rsid w:val="00BE6ADC"/>
    <w:rsid w:val="00C05BFE"/>
    <w:rsid w:val="00C23CD4"/>
    <w:rsid w:val="00C44AFA"/>
    <w:rsid w:val="00C61C0C"/>
    <w:rsid w:val="00C941CB"/>
    <w:rsid w:val="00CC2357"/>
    <w:rsid w:val="00CF071A"/>
    <w:rsid w:val="00D058B8"/>
    <w:rsid w:val="00D56C11"/>
    <w:rsid w:val="00D721B5"/>
    <w:rsid w:val="00D834A0"/>
    <w:rsid w:val="00D872DF"/>
    <w:rsid w:val="00D91E21"/>
    <w:rsid w:val="00DA7FCD"/>
    <w:rsid w:val="00DD76F4"/>
    <w:rsid w:val="00E217DF"/>
    <w:rsid w:val="00E365E1"/>
    <w:rsid w:val="00E42B5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D8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D44AC-BCBF-4131-AA07-ED85462E4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217DF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E217D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E217DF"/>
    <w:rPr>
      <w:sz w:val="24"/>
      <w:lang w:val="sk-SK"/>
    </w:rPr>
  </w:style>
  <w:style w:type="paragraph" w:customStyle="1" w:styleId="FootnoteReference1">
    <w:name w:val="Footnote Reference1"/>
    <w:basedOn w:val="Normal"/>
    <w:link w:val="FootnoteReference"/>
    <w:rsid w:val="00E217DF"/>
    <w:pPr>
      <w:widowControl/>
      <w:spacing w:after="160" w:line="240" w:lineRule="exact"/>
    </w:pPr>
    <w:rPr>
      <w:sz w:val="20"/>
      <w:vertAlign w:val="superscript"/>
      <w:lang w:val="en-GB"/>
    </w:rPr>
  </w:style>
  <w:style w:type="character" w:customStyle="1" w:styleId="ui-provider">
    <w:name w:val="ui-provider"/>
    <w:basedOn w:val="DefaultParagraphFont"/>
    <w:rsid w:val="00E217DF"/>
  </w:style>
  <w:style w:type="character" w:styleId="Hyperlink">
    <w:name w:val="Hyperlink"/>
    <w:basedOn w:val="DefaultParagraphFont"/>
    <w:rsid w:val="00E217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3/1084/oj" TargetMode="External"/><Relationship Id="rId2" Type="http://schemas.openxmlformats.org/officeDocument/2006/relationships/hyperlink" Target="http://data.europa.eu/eli/C/2024/1195/oj" TargetMode="External"/><Relationship Id="rId1" Type="http://schemas.openxmlformats.org/officeDocument/2006/relationships/hyperlink" Target="http://data.europa.eu/eli/reg/2024/765/oj" TargetMode="External"/><Relationship Id="rId5" Type="http://schemas.openxmlformats.org/officeDocument/2006/relationships/hyperlink" Target="http://data.europa.eu/eli/reg/2024/792/oj" TargetMode="External"/><Relationship Id="rId4" Type="http://schemas.openxmlformats.org/officeDocument/2006/relationships/hyperlink" Target="http://data.europa.eu/eli/reg/2024/79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12C65-818D-444A-AEA5-EF6D0A3D7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7113</Words>
  <Characters>44240</Characters>
  <Application>Microsoft Office Word</Application>
  <DocSecurity>4</DocSecurity>
  <Lines>368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GOROPECNIK Tina</cp:lastModifiedBy>
  <cp:revision>2</cp:revision>
  <cp:lastPrinted>2004-11-19T15:42:00Z</cp:lastPrinted>
  <dcterms:created xsi:type="dcterms:W3CDTF">2024-09-10T14:22:00Z</dcterms:created>
  <dcterms:modified xsi:type="dcterms:W3CDTF">2024-09-10T14:22:00Z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P9_TA(2024)0157_</vt:lpwstr>
  </property>
  <property fmtid="{D5CDD505-2E9C-101B-9397-08002B2CF9AE}" pid="4" name="&lt;Type&gt;">
    <vt:lpwstr>RR</vt:lpwstr>
  </property>
</Properties>
</file>