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08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0825" w:rsidRDefault="00140FF8" w:rsidP="0010095E">
            <w:pPr>
              <w:pStyle w:val="EPName"/>
            </w:pPr>
            <w:bookmarkStart w:id="0" w:name="_GoBack"/>
            <w:bookmarkEnd w:id="0"/>
            <w:r w:rsidRPr="00BA0825">
              <w:t>Evropský parlament</w:t>
            </w:r>
          </w:p>
          <w:p w:rsidR="00751A4A" w:rsidRPr="00BA08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08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A0825" w:rsidRDefault="00187494" w:rsidP="0010095E">
            <w:pPr>
              <w:pStyle w:val="EPLogo"/>
            </w:pPr>
            <w:r w:rsidRPr="00BA082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0825" w:rsidRDefault="00D058B8" w:rsidP="004C5D52">
      <w:pPr>
        <w:pStyle w:val="LineTop"/>
      </w:pPr>
    </w:p>
    <w:p w:rsidR="00680577" w:rsidRPr="00BA0825" w:rsidRDefault="00140FF8" w:rsidP="00680577">
      <w:pPr>
        <w:pStyle w:val="EPBodyTA1"/>
      </w:pPr>
      <w:r w:rsidRPr="00BA0825">
        <w:t>PŘIJATÉ TEXTY</w:t>
      </w:r>
    </w:p>
    <w:p w:rsidR="00D058B8" w:rsidRPr="00BA0825" w:rsidRDefault="00D058B8" w:rsidP="00D058B8">
      <w:pPr>
        <w:pStyle w:val="LineBottom"/>
      </w:pPr>
    </w:p>
    <w:p w:rsidR="00140FF8" w:rsidRPr="00BA0825" w:rsidRDefault="00140FF8" w:rsidP="00140FF8">
      <w:pPr>
        <w:pStyle w:val="ATHeading1"/>
      </w:pPr>
      <w:bookmarkStart w:id="1" w:name="TANumber"/>
      <w:r w:rsidRPr="00BA0825">
        <w:t>P9_TA(2024)0</w:t>
      </w:r>
      <w:r w:rsidR="00B35D8D">
        <w:t>16</w:t>
      </w:r>
      <w:r w:rsidRPr="00BA0825">
        <w:t>0</w:t>
      </w:r>
      <w:bookmarkEnd w:id="1"/>
    </w:p>
    <w:p w:rsidR="00140FF8" w:rsidRPr="00BA0825" w:rsidRDefault="00140FF8" w:rsidP="00140FF8">
      <w:pPr>
        <w:pStyle w:val="ATHeading2"/>
      </w:pPr>
      <w:bookmarkStart w:id="2" w:name="title"/>
      <w:r w:rsidRPr="00BA0825">
        <w:t>Represivní prostředí v Afghánistánu, včetně veřejných poprav a násilí na ženách</w:t>
      </w:r>
      <w:bookmarkEnd w:id="2"/>
    </w:p>
    <w:p w:rsidR="00140FF8" w:rsidRPr="00BA0825" w:rsidRDefault="00140FF8" w:rsidP="00140FF8">
      <w:pPr>
        <w:rPr>
          <w:i/>
          <w:vanish/>
        </w:rPr>
      </w:pPr>
      <w:r w:rsidRPr="00BA0825">
        <w:rPr>
          <w:i/>
        </w:rPr>
        <w:fldChar w:fldCharType="begin"/>
      </w:r>
      <w:r w:rsidRPr="00BA0825">
        <w:rPr>
          <w:i/>
        </w:rPr>
        <w:instrText xml:space="preserve"> TC"(</w:instrText>
      </w:r>
      <w:bookmarkStart w:id="3" w:name="DocNumber"/>
      <w:r w:rsidRPr="00BA0825">
        <w:rPr>
          <w:i/>
        </w:rPr>
        <w:instrText>B9-0175</w:instrText>
      </w:r>
      <w:r w:rsidR="00BE44AD">
        <w:rPr>
          <w:i/>
        </w:rPr>
        <w:instrText>, 0177, 0185, 0188 a 0193</w:instrText>
      </w:r>
      <w:r w:rsidRPr="00BA0825">
        <w:rPr>
          <w:i/>
        </w:rPr>
        <w:instrText>/2024</w:instrText>
      </w:r>
      <w:bookmarkEnd w:id="3"/>
      <w:r w:rsidRPr="00BA0825">
        <w:rPr>
          <w:i/>
        </w:rPr>
        <w:instrText xml:space="preserve">)"\l3 \n&gt; \* MERGEFORMAT </w:instrText>
      </w:r>
      <w:r w:rsidRPr="00BA0825">
        <w:rPr>
          <w:i/>
        </w:rPr>
        <w:fldChar w:fldCharType="end"/>
      </w:r>
    </w:p>
    <w:p w:rsidR="00140FF8" w:rsidRPr="00BA0825" w:rsidRDefault="00140FF8" w:rsidP="00140FF8">
      <w:pPr>
        <w:rPr>
          <w:vanish/>
        </w:rPr>
      </w:pPr>
      <w:bookmarkStart w:id="4" w:name="PE"/>
      <w:r w:rsidRPr="00BA0825">
        <w:rPr>
          <w:vanish/>
        </w:rPr>
        <w:t>PE760.486</w:t>
      </w:r>
      <w:bookmarkEnd w:id="4"/>
    </w:p>
    <w:p w:rsidR="00140FF8" w:rsidRPr="00BA0825" w:rsidRDefault="00140FF8" w:rsidP="00140FF8">
      <w:pPr>
        <w:pStyle w:val="ATHeading3"/>
      </w:pPr>
      <w:bookmarkStart w:id="5" w:name="Sujet"/>
      <w:r w:rsidRPr="00BA0825">
        <w:t>Usnesení Evropského parlamentu ze dne 14. března 2024 o represivním prostředí v Afghánistánu, včetně veřejných poprav a násilí na ženách</w:t>
      </w:r>
      <w:bookmarkEnd w:id="5"/>
      <w:r w:rsidRPr="00BA0825">
        <w:t xml:space="preserve"> </w:t>
      </w:r>
      <w:bookmarkStart w:id="6" w:name="References"/>
      <w:r w:rsidRPr="00BA0825">
        <w:t>(2024/2617(RSP))</w:t>
      </w:r>
      <w:bookmarkEnd w:id="6"/>
    </w:p>
    <w:p w:rsidR="00197AFA" w:rsidRPr="00BA0825" w:rsidRDefault="00197AFA" w:rsidP="00197AFA">
      <w:pPr>
        <w:pStyle w:val="EPComma"/>
      </w:pPr>
      <w:bookmarkStart w:id="7" w:name="TextBodyBegin"/>
      <w:bookmarkEnd w:id="7"/>
      <w:r w:rsidRPr="00BA0825">
        <w:rPr>
          <w:i/>
        </w:rPr>
        <w:t>Evropský parlament</w:t>
      </w:r>
      <w:r w:rsidRPr="00BA0825">
        <w:t>,</w:t>
      </w:r>
    </w:p>
    <w:p w:rsidR="00197AFA" w:rsidRPr="00BA0825" w:rsidRDefault="00197AFA" w:rsidP="00197AFA">
      <w:pPr>
        <w:pStyle w:val="NormalHanging12a"/>
      </w:pPr>
      <w:r w:rsidRPr="00BA0825">
        <w:t>–</w:t>
      </w:r>
      <w:r w:rsidRPr="00BA0825">
        <w:tab/>
        <w:t>s ohledem na svá předchozí usnesení o Afghánistánu,</w:t>
      </w:r>
    </w:p>
    <w:p w:rsidR="00197AFA" w:rsidRPr="00BA0825" w:rsidRDefault="00197AFA" w:rsidP="00197AFA">
      <w:pPr>
        <w:pStyle w:val="NormalHanging12a"/>
      </w:pPr>
      <w:r w:rsidRPr="00BA0825">
        <w:t>–</w:t>
      </w:r>
      <w:r w:rsidRPr="00BA0825">
        <w:tab/>
        <w:t>s ohledem na čl. 144 odst. 5 a čl. 132 odst. 4 jednacího řádu,</w:t>
      </w:r>
    </w:p>
    <w:p w:rsidR="00197AFA" w:rsidRPr="00BA0825" w:rsidRDefault="00197AFA" w:rsidP="00197AFA">
      <w:pPr>
        <w:pStyle w:val="NormalHanging12a"/>
      </w:pPr>
      <w:r w:rsidRPr="00BA0825">
        <w:t>A.</w:t>
      </w:r>
      <w:r w:rsidRPr="00BA0825">
        <w:tab/>
        <w:t>vzhledem k tomu, že poté, co Tálibán převzal v zemi moc, rozložil systém soudnictví, nařídil soudcům, aby zavedli neomezené právo šaría, a začal opět vykonávat popravy a uplatňovat surové tresty, jako je bičování a kamenování; vzhledem k tomu, že od té doby bylo vykonáno pět veřejných poprav, kterým přihlížely tisíce osob;</w:t>
      </w:r>
    </w:p>
    <w:p w:rsidR="00197AFA" w:rsidRPr="00BA0825" w:rsidRDefault="00197AFA" w:rsidP="00197AFA">
      <w:pPr>
        <w:pStyle w:val="NormalHanging12a"/>
      </w:pPr>
      <w:r w:rsidRPr="00BA0825">
        <w:t>B.</w:t>
      </w:r>
      <w:r w:rsidRPr="00BA0825">
        <w:tab/>
        <w:t>vzhledem k tomu, že Tálibán v podstatě vyloučil ženy a dívky z veřejného života; vzhledem k tomu, že omezení jejich práv spočívá mimo jiné v tom, že bez doprovodu mužského rodinného příslušníka nesmějí pracovat, cestovat ani využívat zdravotní péči, že mají zakázáno vzdělávat se po ukončení šesté třídy a vstupovat na veřejná místa a sportoviště, že jsou násilně prosazována přísná pravidla oblékání a že byl zrušen systém podpory poskytované obětem násilí;</w:t>
      </w:r>
    </w:p>
    <w:p w:rsidR="00197AFA" w:rsidRPr="00BA0825" w:rsidRDefault="00197AFA" w:rsidP="00197AFA">
      <w:pPr>
        <w:pStyle w:val="NormalHanging12a"/>
      </w:pPr>
      <w:r w:rsidRPr="00BA0825">
        <w:t>C.</w:t>
      </w:r>
      <w:r w:rsidRPr="00BA0825">
        <w:tab/>
        <w:t xml:space="preserve">vzhledem k tomu, že se menšiny, jako jsou </w:t>
      </w:r>
      <w:proofErr w:type="spellStart"/>
      <w:r w:rsidRPr="00BA0825">
        <w:t>Hazarové</w:t>
      </w:r>
      <w:proofErr w:type="spellEnd"/>
      <w:r w:rsidRPr="00BA0825">
        <w:t xml:space="preserve"> a Tádžikové, potýkají s rostoucím útlakem a diskriminací;</w:t>
      </w:r>
    </w:p>
    <w:p w:rsidR="00197AFA" w:rsidRPr="00BA0825" w:rsidRDefault="00197AFA" w:rsidP="00197AFA">
      <w:pPr>
        <w:pStyle w:val="NormalHanging12a"/>
      </w:pPr>
      <w:r w:rsidRPr="00BA0825">
        <w:t>1.</w:t>
      </w:r>
      <w:r w:rsidRPr="00BA0825">
        <w:tab/>
        <w:t>vyjadřuje své hluboké znepokojení nad humanitární krizí a krizí v oblasti lidských práv v Afghánistánu po převzetí moci Tálibánem; připomíná povinnosti této země v oblasti lidských práv; znovu poukazuje na svůj pevný závazek vůči afghánskému lidu a dodržování jejich práv a svobod, které měly zajištěny v posledních 20 letech;</w:t>
      </w:r>
    </w:p>
    <w:p w:rsidR="00197AFA" w:rsidRDefault="00197AFA" w:rsidP="00197AFA">
      <w:pPr>
        <w:pStyle w:val="NormalHanging12a"/>
      </w:pPr>
      <w:r w:rsidRPr="00BA0825">
        <w:t>2.</w:t>
      </w:r>
      <w:r w:rsidRPr="00BA0825">
        <w:tab/>
        <w:t xml:space="preserve">odsuzuje radikální výklad práva šaría a jeho prosazování ze strany Tálibánu a také pokus o vyloučení žen a dívek z veřejného života, což lze přirovnat k jejich pronásledování na základě pohlaví a genderovému apartheidu; vyzývá k tomu, aby byla okamžitě znovu zajištěna neomezená, rovná a smysluplná účast žen a dívek na veřejném životě, zejména jejich možnost studovat a pracovat; oceňuje odvahu afghánských žen </w:t>
      </w:r>
      <w:r w:rsidRPr="00BA0825">
        <w:lastRenderedPageBreak/>
        <w:t>a projevuje jim svou solidaritu;</w:t>
      </w:r>
    </w:p>
    <w:p w:rsidR="00CD77BF" w:rsidRDefault="00633E7D" w:rsidP="00197AFA">
      <w:pPr>
        <w:pStyle w:val="NormalHanging12a"/>
      </w:pPr>
      <w:r>
        <w:t>3</w:t>
      </w:r>
      <w:r w:rsidR="00CD77BF" w:rsidRPr="00FD02C6">
        <w:t>.</w:t>
      </w:r>
      <w:r w:rsidR="00CD77BF" w:rsidRPr="00FD02C6">
        <w:tab/>
        <w:t>vyzývá fakticky vládnoucí afghánské orgány, aby obětem násilí páchaného na ženách a dívkách znovu otevřely celostátní systém podpory a zajistily jim možnost vyhledat útočiště a zdravotní péči a možnost obrátit se na právníka a získat odškodnění;</w:t>
      </w:r>
    </w:p>
    <w:p w:rsidR="00CD77BF" w:rsidRPr="00CD77BF" w:rsidRDefault="00633E7D" w:rsidP="00197AFA">
      <w:pPr>
        <w:pStyle w:val="NormalHanging12a"/>
      </w:pPr>
      <w:r>
        <w:t>4</w:t>
      </w:r>
      <w:r w:rsidR="00CD77BF" w:rsidRPr="00FD02C6">
        <w:t>.</w:t>
      </w:r>
      <w:r w:rsidR="00CD77BF" w:rsidRPr="00FD02C6">
        <w:tab/>
        <w:t>vyzývá k tomu, aby byly oběti násilí proti ženám a dívkám propuštěny z vězení, kde jsou zadržovány v nelidských podmínkách, což vede k poškození jejich duševního i fyzického zdraví</w:t>
      </w:r>
      <w:r w:rsidR="00CD77BF">
        <w:rPr>
          <w:rStyle w:val="FootnoteReference"/>
        </w:rPr>
        <w:footnoteReference w:id="1"/>
      </w:r>
      <w:r w:rsidR="00CD77BF" w:rsidRPr="00FD02C6">
        <w:t xml:space="preserve">; </w:t>
      </w:r>
    </w:p>
    <w:p w:rsidR="00197AFA" w:rsidRPr="00BA0825" w:rsidRDefault="00633E7D" w:rsidP="00197AFA">
      <w:pPr>
        <w:pStyle w:val="NormalHanging12a"/>
      </w:pPr>
      <w:r>
        <w:t>5</w:t>
      </w:r>
      <w:r w:rsidR="00197AFA" w:rsidRPr="00BA0825">
        <w:t>.</w:t>
      </w:r>
      <w:r w:rsidR="00197AFA" w:rsidRPr="00BA0825">
        <w:tab/>
        <w:t>naléhavě vyzývá afghánské orgány, aby zrušily trest smrti a okamžitě zastavily provádění veřejných poprav a výkon dalších surových či nehumánních trestů stejně jako diskriminaci a barbarské pronásledování žen a dívek, zejména osob LGBTIQ+ a etnických a náboženských menšin;</w:t>
      </w:r>
    </w:p>
    <w:p w:rsidR="00197AFA" w:rsidRPr="00BA0825" w:rsidRDefault="00633E7D" w:rsidP="00197AFA">
      <w:pPr>
        <w:pStyle w:val="NormalHanging12a"/>
      </w:pPr>
      <w:r>
        <w:t>6</w:t>
      </w:r>
      <w:r w:rsidR="00197AFA" w:rsidRPr="00BA0825">
        <w:t>.</w:t>
      </w:r>
      <w:r w:rsidR="00197AFA" w:rsidRPr="00BA0825">
        <w:tab/>
        <w:t xml:space="preserve">odsuzuje svévolné zadržování obránců lidských práv, včetně </w:t>
      </w:r>
      <w:proofErr w:type="spellStart"/>
      <w:r w:rsidR="00197AFA" w:rsidRPr="00BA0825">
        <w:t>Maníži</w:t>
      </w:r>
      <w:proofErr w:type="spellEnd"/>
      <w:r w:rsidR="00197AFA" w:rsidRPr="00BA0825">
        <w:t xml:space="preserve"> </w:t>
      </w:r>
      <w:proofErr w:type="spellStart"/>
      <w:r w:rsidR="00197AFA" w:rsidRPr="00BA0825">
        <w:t>Sadíqíové</w:t>
      </w:r>
      <w:proofErr w:type="spellEnd"/>
      <w:r w:rsidR="00197AFA" w:rsidRPr="00BA0825">
        <w:t xml:space="preserve">, Ahmada </w:t>
      </w:r>
      <w:proofErr w:type="spellStart"/>
      <w:r w:rsidR="00197AFA" w:rsidRPr="00BA0825">
        <w:t>Fahíma</w:t>
      </w:r>
      <w:proofErr w:type="spellEnd"/>
      <w:r w:rsidR="00197AFA" w:rsidRPr="00BA0825">
        <w:t xml:space="preserve"> </w:t>
      </w:r>
      <w:proofErr w:type="spellStart"/>
      <w:r w:rsidR="00197AFA" w:rsidRPr="00BA0825">
        <w:t>Azímího</w:t>
      </w:r>
      <w:proofErr w:type="spellEnd"/>
      <w:r w:rsidR="00197AFA" w:rsidRPr="00BA0825">
        <w:t xml:space="preserve">, </w:t>
      </w:r>
      <w:proofErr w:type="spellStart"/>
      <w:r w:rsidR="00197AFA" w:rsidRPr="00BA0825">
        <w:t>Sadiqulláha</w:t>
      </w:r>
      <w:proofErr w:type="spellEnd"/>
      <w:r w:rsidR="00197AFA" w:rsidRPr="00BA0825">
        <w:t xml:space="preserve"> </w:t>
      </w:r>
      <w:proofErr w:type="spellStart"/>
      <w:r w:rsidR="00197AFA" w:rsidRPr="00BA0825">
        <w:t>Afghána</w:t>
      </w:r>
      <w:proofErr w:type="spellEnd"/>
      <w:r w:rsidR="00197AFA" w:rsidRPr="00BA0825">
        <w:t xml:space="preserve">, </w:t>
      </w:r>
      <w:proofErr w:type="spellStart"/>
      <w:r w:rsidR="00197AFA" w:rsidRPr="00BA0825">
        <w:t>Fardína</w:t>
      </w:r>
      <w:proofErr w:type="spellEnd"/>
      <w:r w:rsidR="00197AFA" w:rsidRPr="00BA0825">
        <w:t xml:space="preserve"> </w:t>
      </w:r>
      <w:proofErr w:type="spellStart"/>
      <w:r w:rsidR="00197AFA" w:rsidRPr="00BA0825">
        <w:t>Fedáího</w:t>
      </w:r>
      <w:proofErr w:type="spellEnd"/>
      <w:r w:rsidR="00197AFA" w:rsidRPr="00BA0825">
        <w:t xml:space="preserve"> a </w:t>
      </w:r>
      <w:proofErr w:type="spellStart"/>
      <w:r w:rsidR="00197AFA" w:rsidRPr="00BA0825">
        <w:t>Ezatulláha</w:t>
      </w:r>
      <w:proofErr w:type="spellEnd"/>
      <w:r w:rsidR="00197AFA" w:rsidRPr="00BA0825">
        <w:t xml:space="preserve"> </w:t>
      </w:r>
      <w:proofErr w:type="spellStart"/>
      <w:r w:rsidR="00197AFA" w:rsidRPr="00BA0825">
        <w:t>Zuába</w:t>
      </w:r>
      <w:proofErr w:type="spellEnd"/>
      <w:r w:rsidR="00197AFA" w:rsidRPr="00BA0825">
        <w:t>; vyzývá k jejich okamžitému a bezpodmínečnému propuštění;</w:t>
      </w:r>
    </w:p>
    <w:p w:rsidR="00197AFA" w:rsidRPr="00BA0825" w:rsidRDefault="00633E7D" w:rsidP="00197AFA">
      <w:pPr>
        <w:pStyle w:val="NormalHanging12a"/>
      </w:pPr>
      <w:r>
        <w:t>7</w:t>
      </w:r>
      <w:r w:rsidR="00197AFA" w:rsidRPr="00BA0825">
        <w:t>.</w:t>
      </w:r>
      <w:r w:rsidR="00197AFA" w:rsidRPr="00BA0825">
        <w:tab/>
        <w:t>trvá na tom, že vztahy s Tálibánem by měly splňovat přísné podmínky a měly by se zakládat na pěti ukazatelích stanovených Radou a na doporučeních zvláštního zpravodaje OSN;</w:t>
      </w:r>
    </w:p>
    <w:p w:rsidR="00197AFA" w:rsidRPr="00BA0825" w:rsidRDefault="00633E7D" w:rsidP="00197AFA">
      <w:pPr>
        <w:pStyle w:val="NormalHanging12a"/>
      </w:pPr>
      <w:r>
        <w:t>8</w:t>
      </w:r>
      <w:r w:rsidR="00197AFA" w:rsidRPr="00BA0825">
        <w:t>.</w:t>
      </w:r>
      <w:r w:rsidR="00197AFA" w:rsidRPr="00BA0825">
        <w:tab/>
        <w:t>podporuje požadavky afghánské občanské společnosti, aby byly fakticky vládnoucí afghánské orgány pohnány za své trestné činy k odpovědnosti, zejména na základě šetření Mezinárodního trestního soudu, a to tím, že dojde k vytvoření nezávislého vyšetřovacího mechanismu OSN a k rozšíření restriktivních opatření EU;</w:t>
      </w:r>
    </w:p>
    <w:p w:rsidR="00197AFA" w:rsidRPr="00BA0825" w:rsidRDefault="00633E7D" w:rsidP="00197AFA">
      <w:pPr>
        <w:pStyle w:val="NormalHanging12a"/>
      </w:pPr>
      <w:r>
        <w:t>9</w:t>
      </w:r>
      <w:r w:rsidR="00197AFA" w:rsidRPr="00BA0825">
        <w:t>.</w:t>
      </w:r>
      <w:r w:rsidR="00197AFA" w:rsidRPr="00BA0825">
        <w:tab/>
        <w:t>naléhavě vyzývá EU a členské státy, aby rozšířily humanitární pomoc a navýšily financování na podporu základních životních potřeb a afghánské občanské společnosti; naléhavě vyzývá členské státy, aby vydávaly humanitární víza pronásledovaným ženám a obráncům lidských práv a dokončily evakuaci místních afghánských pracovníků, kteří zůstali v zemi;</w:t>
      </w:r>
    </w:p>
    <w:p w:rsidR="00197AFA" w:rsidRPr="00BA0825" w:rsidRDefault="00633E7D" w:rsidP="00197AFA">
      <w:pPr>
        <w:pStyle w:val="NormalHanging12a"/>
      </w:pPr>
      <w:r>
        <w:t>10</w:t>
      </w:r>
      <w:r w:rsidR="00197AFA" w:rsidRPr="00BA0825">
        <w:t>.</w:t>
      </w:r>
      <w:r w:rsidR="00197AFA" w:rsidRPr="00BA0825">
        <w:tab/>
        <w:t>vyzývá mezinárodní společenství, zejména regionální aktéry, aby nepřestávaly vyvíjet na fakticky vládnoucí afghánské orgány tlak; poukazuje na to, že násilné navracení Afghánců pro ně představuje riziko;</w:t>
      </w:r>
    </w:p>
    <w:p w:rsidR="00197AFA" w:rsidRPr="00BA0825" w:rsidRDefault="00633E7D" w:rsidP="00197AFA">
      <w:pPr>
        <w:pStyle w:val="NormalHanging12a"/>
      </w:pPr>
      <w:r>
        <w:t>11</w:t>
      </w:r>
      <w:r w:rsidR="00197AFA" w:rsidRPr="00BA0825">
        <w:t>.</w:t>
      </w:r>
      <w:r w:rsidR="00197AFA" w:rsidRPr="00BA0825">
        <w:tab/>
        <w:t>pověřuje svou předsedkyni, aby předala toto usnesení Radě, Komisi, místopředsedovi Komise, vysokému představiteli Unie pro zahraniční věci a bezpečnostní politiku, členským státům, OSN a fakticky vládnoucím afghánským orgánům.</w:t>
      </w:r>
    </w:p>
    <w:p w:rsidR="00E365E1" w:rsidRPr="00BA0825" w:rsidRDefault="00E365E1" w:rsidP="00140FF8">
      <w:bookmarkStart w:id="8" w:name="TextBodyEnd"/>
      <w:bookmarkEnd w:id="8"/>
    </w:p>
    <w:sectPr w:rsidR="00E365E1" w:rsidRPr="00BA0825" w:rsidSect="00BA08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FF8" w:rsidRPr="00BA0825" w:rsidRDefault="00140FF8">
      <w:r w:rsidRPr="00BA0825">
        <w:separator/>
      </w:r>
    </w:p>
  </w:endnote>
  <w:endnote w:type="continuationSeparator" w:id="0">
    <w:p w:rsidR="00140FF8" w:rsidRPr="00BA0825" w:rsidRDefault="00140FF8">
      <w:r w:rsidRPr="00BA08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FF8" w:rsidRPr="00BA0825" w:rsidRDefault="00140FF8">
      <w:r w:rsidRPr="00BA0825">
        <w:separator/>
      </w:r>
    </w:p>
  </w:footnote>
  <w:footnote w:type="continuationSeparator" w:id="0">
    <w:p w:rsidR="00140FF8" w:rsidRPr="00BA0825" w:rsidRDefault="00140FF8">
      <w:r w:rsidRPr="00BA0825">
        <w:continuationSeparator/>
      </w:r>
    </w:p>
  </w:footnote>
  <w:footnote w:id="1">
    <w:p w:rsidR="00CD77BF" w:rsidRPr="00FD02C6" w:rsidRDefault="00CD77BF" w:rsidP="00FD02C6">
      <w:pPr>
        <w:pStyle w:val="FootnoteText"/>
        <w:ind w:left="567" w:hanging="567"/>
        <w:rPr>
          <w:sz w:val="24"/>
          <w:szCs w:val="24"/>
          <w:lang w:val="en-GB"/>
        </w:rPr>
      </w:pPr>
      <w:r w:rsidRPr="00FD02C6">
        <w:rPr>
          <w:rStyle w:val="FootnoteReference"/>
          <w:sz w:val="24"/>
          <w:szCs w:val="24"/>
        </w:rPr>
        <w:footnoteRef/>
      </w:r>
      <w:r w:rsidRPr="00FD02C6">
        <w:rPr>
          <w:sz w:val="24"/>
          <w:szCs w:val="24"/>
          <w:lang w:val="en-GB"/>
        </w:rPr>
        <w:t xml:space="preserve"> </w:t>
      </w:r>
      <w:r w:rsidRPr="00FD02C6">
        <w:rPr>
          <w:sz w:val="24"/>
          <w:szCs w:val="24"/>
          <w:lang w:val="cs-CZ"/>
        </w:rPr>
        <w:tab/>
      </w:r>
      <w:proofErr w:type="spellStart"/>
      <w:r w:rsidRPr="00FD02C6">
        <w:rPr>
          <w:sz w:val="24"/>
          <w:szCs w:val="24"/>
          <w:lang w:val="en-GB"/>
        </w:rPr>
        <w:t>Podpůrná</w:t>
      </w:r>
      <w:proofErr w:type="spellEnd"/>
      <w:r w:rsidRPr="00FD02C6">
        <w:rPr>
          <w:sz w:val="24"/>
          <w:szCs w:val="24"/>
          <w:lang w:val="en-GB"/>
        </w:rPr>
        <w:t xml:space="preserve"> </w:t>
      </w:r>
      <w:proofErr w:type="spellStart"/>
      <w:r w:rsidRPr="00FD02C6">
        <w:rPr>
          <w:sz w:val="24"/>
          <w:szCs w:val="24"/>
          <w:lang w:val="en-GB"/>
        </w:rPr>
        <w:t>mise</w:t>
      </w:r>
      <w:proofErr w:type="spellEnd"/>
      <w:r w:rsidRPr="00FD02C6">
        <w:rPr>
          <w:sz w:val="24"/>
          <w:szCs w:val="24"/>
          <w:lang w:val="en-GB"/>
        </w:rPr>
        <w:t xml:space="preserve"> OSN v </w:t>
      </w:r>
      <w:proofErr w:type="spellStart"/>
      <w:r w:rsidRPr="00FD02C6">
        <w:rPr>
          <w:sz w:val="24"/>
          <w:szCs w:val="24"/>
          <w:lang w:val="en-GB"/>
        </w:rPr>
        <w:t>Afghánistánu</w:t>
      </w:r>
      <w:proofErr w:type="spellEnd"/>
      <w:r w:rsidRPr="00FD02C6">
        <w:rPr>
          <w:sz w:val="24"/>
          <w:szCs w:val="24"/>
          <w:lang w:val="en-GB"/>
        </w:rPr>
        <w:t xml:space="preserve">, Divergence of Practice: The Handling of Complaints of Gender-Based Violence against Women and Girls by Afghanistan’s de facto Authorities, </w:t>
      </w:r>
      <w:proofErr w:type="spellStart"/>
      <w:r w:rsidRPr="00FD02C6">
        <w:rPr>
          <w:sz w:val="24"/>
          <w:szCs w:val="24"/>
          <w:lang w:val="en-GB"/>
        </w:rPr>
        <w:t>prosinec</w:t>
      </w:r>
      <w:proofErr w:type="spellEnd"/>
      <w:r w:rsidRPr="00FD02C6">
        <w:rPr>
          <w:sz w:val="24"/>
          <w:szCs w:val="24"/>
          <w:lang w:val="en-GB"/>
        </w:rPr>
        <w:t xml:space="preserve">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08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CS"/>
    <w:docVar w:name="dvnumam" w:val="0"/>
    <w:docVar w:name="dvpe" w:val="760.486"/>
    <w:docVar w:name="dvtitre" w:val="Usnesení Evropského parlamentu ze dne 14. března 2024 o represivním prostředí v Afghánistánu, včetně veřejných poprav a násilí na ženách(2024/2617(RSP))"/>
  </w:docVars>
  <w:rsids>
    <w:rsidRoot w:val="00140FF8"/>
    <w:rsid w:val="00002272"/>
    <w:rsid w:val="00064002"/>
    <w:rsid w:val="000677B9"/>
    <w:rsid w:val="000831BA"/>
    <w:rsid w:val="000A42CC"/>
    <w:rsid w:val="000E7DD9"/>
    <w:rsid w:val="0010095E"/>
    <w:rsid w:val="00125B37"/>
    <w:rsid w:val="00140FF8"/>
    <w:rsid w:val="00187494"/>
    <w:rsid w:val="00197AF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E7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B5B"/>
    <w:rsid w:val="00B22876"/>
    <w:rsid w:val="00B35D8D"/>
    <w:rsid w:val="00B558F0"/>
    <w:rsid w:val="00BA0825"/>
    <w:rsid w:val="00BD48FE"/>
    <w:rsid w:val="00BD7BD8"/>
    <w:rsid w:val="00BE44AD"/>
    <w:rsid w:val="00BE6ADC"/>
    <w:rsid w:val="00C05BFE"/>
    <w:rsid w:val="00C23CD4"/>
    <w:rsid w:val="00C61C0C"/>
    <w:rsid w:val="00C941CB"/>
    <w:rsid w:val="00CC2357"/>
    <w:rsid w:val="00CD77B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07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2C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60C6C-33F1-4F53-997A-F6882428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97AFA"/>
    <w:pPr>
      <w:spacing w:after="240"/>
      <w:ind w:left="567" w:hanging="567"/>
    </w:pPr>
  </w:style>
  <w:style w:type="paragraph" w:customStyle="1" w:styleId="EPComma">
    <w:name w:val="EPComma"/>
    <w:basedOn w:val="Normal"/>
    <w:rsid w:val="00197AF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97AFA"/>
    <w:rPr>
      <w:sz w:val="24"/>
      <w:lang w:val="cs-CZ"/>
    </w:rPr>
  </w:style>
  <w:style w:type="paragraph" w:styleId="BalloonText">
    <w:name w:val="Balloon Text"/>
    <w:basedOn w:val="Normal"/>
    <w:link w:val="BalloonTextChar"/>
    <w:rsid w:val="00CD77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77B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AEEA9-F032-495C-9198-7C9EBAC37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2024-03-14T13:21:00Z</dcterms:created>
  <dcterms:modified xsi:type="dcterms:W3CDTF">2024-03-14T13:21:00Z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