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RDefault="00C76226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Parlament Europejski</w:t>
            </w:r>
          </w:p>
          <w:p w:rsidR="00757DD5" w:rsidRPr="00695D15" w:rsidRDefault="00C76226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7D34BC">
              <w:rPr>
                <w:lang w:val="en-GB"/>
              </w:rPr>
              <w:t>2019</w:t>
            </w:r>
            <w:r>
              <w:rPr>
                <w:lang w:val="en-GB"/>
              </w:rPr>
              <w:t xml:space="preserve"> - </w:t>
            </w:r>
            <w:r w:rsidRPr="007D34BC">
              <w:rPr>
                <w:lang w:val="en-GB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RDefault="008E7632" w:rsidP="008E7632">
      <w:pPr>
        <w:pStyle w:val="LineTop"/>
        <w:rPr>
          <w:lang w:val="en-GB"/>
        </w:rPr>
      </w:pPr>
    </w:p>
    <w:p w:rsidR="008E7632" w:rsidRPr="00C76226" w:rsidRDefault="00C76226" w:rsidP="008E7632">
      <w:pPr>
        <w:pStyle w:val="ZSessionDoc"/>
        <w:rPr>
          <w:b/>
          <w:i w:val="0"/>
          <w:lang w:val="pl-PL"/>
        </w:rPr>
      </w:pPr>
      <w:r w:rsidRPr="00C76226">
        <w:rPr>
          <w:b/>
          <w:i w:val="0"/>
          <w:lang w:val="pl-PL"/>
        </w:rPr>
        <w:t>TEKSTY PRZYJĘTE</w:t>
      </w:r>
    </w:p>
    <w:p w:rsidR="008E7632" w:rsidRPr="00C76226" w:rsidRDefault="00C76226" w:rsidP="008E7632">
      <w:pPr>
        <w:pStyle w:val="LineBottom"/>
        <w:rPr>
          <w:lang w:val="pl-PL"/>
        </w:rPr>
      </w:pPr>
      <w:r w:rsidRPr="00C76226">
        <w:rPr>
          <w:rFonts w:cs="Arial"/>
          <w:i/>
          <w:sz w:val="20"/>
          <w:szCs w:val="22"/>
          <w:lang w:val="pl-PL"/>
        </w:rPr>
        <w:t xml:space="preserve"> </w:t>
      </w:r>
    </w:p>
    <w:p w:rsidR="009C4014" w:rsidRPr="00C76226" w:rsidRDefault="00C76226" w:rsidP="008E7632">
      <w:pPr>
        <w:pStyle w:val="ATHeading1"/>
        <w:spacing w:before="480"/>
        <w:rPr>
          <w:lang w:val="pl-PL"/>
        </w:rPr>
      </w:pPr>
      <w:bookmarkStart w:id="0" w:name="TA_Heading"/>
      <w:r w:rsidRPr="00C76226">
        <w:rPr>
          <w:lang w:val="pl-PL"/>
        </w:rPr>
        <w:t>P</w:t>
      </w:r>
      <w:r w:rsidRPr="007D34BC">
        <w:rPr>
          <w:lang w:val="pl-PL"/>
        </w:rPr>
        <w:t>9</w:t>
      </w:r>
      <w:r w:rsidRPr="00C76226">
        <w:rPr>
          <w:lang w:val="pl-PL"/>
        </w:rPr>
        <w:t>_TA(</w:t>
      </w:r>
      <w:r w:rsidRPr="007D34BC">
        <w:rPr>
          <w:lang w:val="pl-PL"/>
        </w:rPr>
        <w:t>2024</w:t>
      </w:r>
      <w:r w:rsidRPr="00C76226">
        <w:rPr>
          <w:lang w:val="pl-PL"/>
        </w:rPr>
        <w:t>)</w:t>
      </w:r>
      <w:bookmarkStart w:id="1" w:name="TANumber"/>
      <w:bookmarkEnd w:id="0"/>
      <w:r w:rsidRPr="007D34BC">
        <w:rPr>
          <w:lang w:val="pl-PL"/>
        </w:rPr>
        <w:t>0</w:t>
      </w:r>
      <w:bookmarkEnd w:id="1"/>
      <w:r w:rsidR="00645040" w:rsidRPr="007D34BC">
        <w:rPr>
          <w:lang w:val="pl-PL"/>
        </w:rPr>
        <w:t>162</w:t>
      </w:r>
    </w:p>
    <w:p w:rsidR="009C4014" w:rsidRPr="00C76226" w:rsidRDefault="00C76226" w:rsidP="00C76226">
      <w:pPr>
        <w:pStyle w:val="ATHeading2"/>
        <w:rPr>
          <w:lang w:val="pl-PL"/>
        </w:rPr>
      </w:pPr>
      <w:r w:rsidRPr="00C76226">
        <w:rPr>
          <w:bCs/>
          <w:lang w:val="pl-PL"/>
        </w:rPr>
        <w:t>Subskrypcja przez Unię dodatkowych udziałów w kapitale EBOR oraz zmiana Umowy o utworzeniu</w:t>
      </w:r>
      <w:r>
        <w:rPr>
          <w:bCs/>
          <w:lang w:val="pl-PL"/>
        </w:rPr>
        <w:t xml:space="preserve"> </w:t>
      </w:r>
      <w:r w:rsidRPr="00C76226">
        <w:rPr>
          <w:bCs/>
          <w:lang w:val="pl-PL"/>
        </w:rPr>
        <w:t>EBOR</w:t>
      </w:r>
      <w:r w:rsidR="009C4014" w:rsidRPr="00C76226">
        <w:rPr>
          <w:lang w:val="pl-PL"/>
        </w:rPr>
        <w:t xml:space="preserve"> </w:t>
      </w:r>
      <w:bookmarkStart w:id="2" w:name="Etoiles"/>
      <w:bookmarkEnd w:id="2"/>
    </w:p>
    <w:p w:rsidR="009C4014" w:rsidRPr="00C76226" w:rsidRDefault="009C4014" w:rsidP="009C4014">
      <w:pPr>
        <w:rPr>
          <w:i/>
          <w:vanish/>
          <w:lang w:val="pl-PL"/>
        </w:rPr>
      </w:pPr>
      <w:r>
        <w:rPr>
          <w:i/>
        </w:rPr>
        <w:fldChar w:fldCharType="begin"/>
      </w:r>
      <w:r w:rsidRPr="00C76226">
        <w:rPr>
          <w:i/>
          <w:lang w:val="pl-PL"/>
        </w:rPr>
        <w:instrText xml:space="preserve"> TC"</w:instrText>
      </w:r>
      <w:bookmarkStart w:id="3" w:name="DocNumber"/>
      <w:r w:rsidR="00C76226" w:rsidRPr="00C76226">
        <w:rPr>
          <w:i/>
          <w:lang w:val="pl-PL"/>
        </w:rPr>
        <w:instrText>(C</w:instrText>
      </w:r>
      <w:r w:rsidR="00C76226" w:rsidRPr="007D34BC">
        <w:rPr>
          <w:i/>
          <w:lang w:val="pl-PL"/>
        </w:rPr>
        <w:instrText>9</w:instrText>
      </w:r>
      <w:r w:rsidR="00C76226" w:rsidRPr="00C76226">
        <w:rPr>
          <w:i/>
          <w:lang w:val="pl-PL"/>
        </w:rPr>
        <w:instrText>-</w:instrText>
      </w:r>
      <w:r w:rsidR="00C76226" w:rsidRPr="007D34BC">
        <w:rPr>
          <w:i/>
          <w:lang w:val="pl-PL"/>
        </w:rPr>
        <w:instrText>0009</w:instrText>
      </w:r>
      <w:r w:rsidR="00C76226">
        <w:rPr>
          <w:i/>
          <w:lang w:val="pl-PL"/>
        </w:rPr>
        <w:instrText>/</w:instrText>
      </w:r>
      <w:r w:rsidR="00C76226" w:rsidRPr="007D34BC">
        <w:rPr>
          <w:i/>
          <w:lang w:val="pl-PL"/>
        </w:rPr>
        <w:instrText>2024</w:instrText>
      </w:r>
      <w:r w:rsidR="00C76226" w:rsidRPr="00C76226">
        <w:rPr>
          <w:i/>
          <w:lang w:val="pl-PL"/>
        </w:rPr>
        <w:instrText>)</w:instrText>
      </w:r>
      <w:bookmarkEnd w:id="3"/>
      <w:r w:rsidRPr="00C76226">
        <w:rPr>
          <w:i/>
          <w:lang w:val="pl-PL"/>
        </w:rPr>
        <w:instrText>"\l</w:instrText>
      </w:r>
      <w:r w:rsidRPr="007D34BC">
        <w:rPr>
          <w:i/>
          <w:lang w:val="pl-PL"/>
        </w:rPr>
        <w:instrText>3</w:instrText>
      </w:r>
      <w:r w:rsidRPr="00C76226">
        <w:rPr>
          <w:i/>
          <w:lang w:val="pl-PL"/>
        </w:rPr>
        <w:instrText xml:space="preserve"> \n&gt; \* MERGEFORMAT </w:instrText>
      </w:r>
      <w:r>
        <w:rPr>
          <w:i/>
        </w:rPr>
        <w:fldChar w:fldCharType="end"/>
      </w:r>
    </w:p>
    <w:p w:rsidR="00C76226" w:rsidRPr="00C76226" w:rsidRDefault="00C76226" w:rsidP="009C4014">
      <w:pPr>
        <w:rPr>
          <w:vanish/>
          <w:lang w:val="pl-PL"/>
        </w:rPr>
      </w:pPr>
      <w:bookmarkStart w:id="4" w:name="Commission"/>
      <w:r>
        <w:rPr>
          <w:vanish/>
          <w:lang w:val="pl-PL"/>
        </w:rPr>
        <w:t>Komisja Gospodarcza i Monetarna</w:t>
      </w:r>
    </w:p>
    <w:p w:rsidR="009C4014" w:rsidRPr="00C76226" w:rsidRDefault="00C76226" w:rsidP="009C4014">
      <w:pPr>
        <w:rPr>
          <w:vanish/>
          <w:lang w:val="pl-PL"/>
        </w:rPr>
      </w:pPr>
      <w:bookmarkStart w:id="5" w:name="PE"/>
      <w:bookmarkEnd w:id="4"/>
      <w:r w:rsidRPr="00C76226">
        <w:rPr>
          <w:vanish/>
          <w:lang w:val="pl-PL"/>
        </w:rPr>
        <w:t>PE</w:t>
      </w:r>
      <w:r w:rsidRPr="007D34BC">
        <w:rPr>
          <w:vanish/>
          <w:lang w:val="pl-PL"/>
        </w:rPr>
        <w:t>760</w:t>
      </w:r>
      <w:r w:rsidRPr="00C76226">
        <w:rPr>
          <w:vanish/>
          <w:lang w:val="pl-PL"/>
        </w:rPr>
        <w:t>.</w:t>
      </w:r>
      <w:r w:rsidRPr="007D34BC">
        <w:rPr>
          <w:vanish/>
          <w:lang w:val="pl-PL"/>
        </w:rPr>
        <w:t>694</w:t>
      </w:r>
      <w:bookmarkEnd w:id="5"/>
    </w:p>
    <w:p w:rsidR="009C4014" w:rsidRPr="00C76226" w:rsidRDefault="00C76226" w:rsidP="00C76226">
      <w:pPr>
        <w:pStyle w:val="ATHeading3"/>
        <w:rPr>
          <w:lang w:val="pl-PL"/>
        </w:rPr>
      </w:pPr>
      <w:r w:rsidRPr="00C76226">
        <w:rPr>
          <w:lang w:val="pl-PL"/>
        </w:rPr>
        <w:t xml:space="preserve">Rezolucja ustawodawcza Parlamentu Europejskiego i Rady z dnia </w:t>
      </w:r>
      <w:r w:rsidRPr="007D34BC">
        <w:rPr>
          <w:lang w:val="pl-PL"/>
        </w:rPr>
        <w:t>14</w:t>
      </w:r>
      <w:r w:rsidRPr="00C76226">
        <w:rPr>
          <w:lang w:val="pl-PL"/>
        </w:rPr>
        <w:t xml:space="preserve"> marca </w:t>
      </w:r>
      <w:r w:rsidRPr="007D34BC">
        <w:rPr>
          <w:lang w:val="pl-PL"/>
        </w:rPr>
        <w:t>2024</w:t>
      </w:r>
      <w:r w:rsidRPr="00C76226">
        <w:rPr>
          <w:lang w:val="pl-PL"/>
        </w:rPr>
        <w:t xml:space="preserve"> r. </w:t>
      </w:r>
      <w:r>
        <w:rPr>
          <w:lang w:val="pl-PL"/>
        </w:rPr>
        <w:t xml:space="preserve">w sprawie wniosku dotyczacego decyzji Parlamentu i Rady </w:t>
      </w:r>
      <w:r w:rsidR="00905766" w:rsidRPr="00905766">
        <w:rPr>
          <w:lang w:val="pl-PL"/>
        </w:rPr>
        <w:t>w sprawie subskrypcji przez Unię Europejską dodatkowych udziałów w kapitale Europejskiego Banku Odbudowy i Rozwoju (EBOR) oraz zmiany Umowy o utworzeniu EBOR w odniesieniu do rozszerzenia zakresu geograficznego</w:t>
      </w:r>
      <w:r w:rsidR="00905766" w:rsidRPr="00905766">
        <w:rPr>
          <w:i/>
          <w:lang w:val="pl-PL"/>
        </w:rPr>
        <w:t xml:space="preserve"> </w:t>
      </w:r>
      <w:r w:rsidR="00905766" w:rsidRPr="00905766">
        <w:rPr>
          <w:lang w:val="pl-PL"/>
        </w:rPr>
        <w:t>działalności EBOR na Afrykę Subsaharyjską i Irak w sposób ograniczony i stopniowy oraz zniesienia statutowego ograniczenia kapitałowego dotyczącego operacji zwyczajnych</w:t>
      </w:r>
      <w:r w:rsidR="00905766">
        <w:rPr>
          <w:lang w:val="pl-PL"/>
        </w:rPr>
        <w:t xml:space="preserve"> </w:t>
      </w:r>
      <w:r w:rsidRPr="00C76226">
        <w:rPr>
          <w:lang w:val="pl-PL"/>
        </w:rPr>
        <w:t>(COM(</w:t>
      </w:r>
      <w:r w:rsidRPr="007D34BC">
        <w:rPr>
          <w:lang w:val="pl-PL"/>
        </w:rPr>
        <w:t>2024</w:t>
      </w:r>
      <w:r w:rsidRPr="00C76226">
        <w:rPr>
          <w:lang w:val="pl-PL"/>
        </w:rPr>
        <w:t>)</w:t>
      </w:r>
      <w:r w:rsidRPr="007D34BC">
        <w:rPr>
          <w:lang w:val="pl-PL"/>
        </w:rPr>
        <w:t>0042</w:t>
      </w:r>
      <w:r w:rsidRPr="00C76226">
        <w:rPr>
          <w:lang w:val="pl-PL"/>
        </w:rPr>
        <w:t xml:space="preserve"> – C</w:t>
      </w:r>
      <w:r w:rsidRPr="007D34BC">
        <w:rPr>
          <w:lang w:val="pl-PL"/>
        </w:rPr>
        <w:t>9</w:t>
      </w:r>
      <w:r w:rsidRPr="00C76226">
        <w:rPr>
          <w:lang w:val="pl-PL"/>
        </w:rPr>
        <w:t>-</w:t>
      </w:r>
      <w:r w:rsidRPr="007D34BC">
        <w:rPr>
          <w:lang w:val="pl-PL"/>
        </w:rPr>
        <w:t>0009</w:t>
      </w:r>
      <w:r w:rsidRPr="00C76226">
        <w:rPr>
          <w:lang w:val="pl-PL"/>
        </w:rPr>
        <w:t>/</w:t>
      </w:r>
      <w:r w:rsidRPr="007D34BC">
        <w:rPr>
          <w:lang w:val="pl-PL"/>
        </w:rPr>
        <w:t>2024</w:t>
      </w:r>
      <w:r w:rsidRPr="00C76226">
        <w:rPr>
          <w:lang w:val="pl-PL"/>
        </w:rPr>
        <w:t xml:space="preserve"> – </w:t>
      </w:r>
      <w:r w:rsidRPr="007D34BC">
        <w:rPr>
          <w:lang w:val="pl-PL"/>
        </w:rPr>
        <w:t>2024</w:t>
      </w:r>
      <w:r w:rsidRPr="00C76226">
        <w:rPr>
          <w:lang w:val="pl-PL"/>
        </w:rPr>
        <w:t>/</w:t>
      </w:r>
      <w:r w:rsidRPr="007D34BC">
        <w:rPr>
          <w:lang w:val="pl-PL"/>
        </w:rPr>
        <w:t>0019</w:t>
      </w:r>
      <w:r w:rsidRPr="00C76226">
        <w:rPr>
          <w:lang w:val="pl-PL"/>
        </w:rPr>
        <w:t>(COD))</w:t>
      </w:r>
    </w:p>
    <w:p w:rsidR="00C76226" w:rsidRPr="00C76226" w:rsidRDefault="00C76226" w:rsidP="00C76226">
      <w:pPr>
        <w:pStyle w:val="NormalBold"/>
        <w:rPr>
          <w:lang w:val="pl-PL"/>
        </w:rPr>
      </w:pPr>
      <w:bookmarkStart w:id="6" w:name="TextBodyBegin"/>
      <w:bookmarkEnd w:id="6"/>
      <w:r w:rsidRPr="00C76226">
        <w:rPr>
          <w:lang w:val="pl-PL"/>
        </w:rPr>
        <w:t>(Zwykła procedura ustawodawcza: pierwsze czytanie)</w:t>
      </w:r>
    </w:p>
    <w:p w:rsidR="006E5420" w:rsidRPr="00C76226" w:rsidRDefault="00C76226" w:rsidP="008B1C2E">
      <w:pPr>
        <w:pStyle w:val="Normal12"/>
        <w:spacing w:before="360"/>
        <w:rPr>
          <w:i/>
          <w:szCs w:val="24"/>
          <w:lang w:val="pl-PL"/>
        </w:rPr>
      </w:pPr>
      <w:r w:rsidRPr="00C76226">
        <w:rPr>
          <w:i/>
          <w:szCs w:val="24"/>
          <w:lang w:val="pl-PL"/>
        </w:rPr>
        <w:t>Parlament Europejski,</w:t>
      </w:r>
    </w:p>
    <w:p w:rsidR="00C76226" w:rsidRPr="00BE425C" w:rsidRDefault="00C76226" w:rsidP="00C76226">
      <w:pPr>
        <w:pStyle w:val="NormalHanging12a"/>
      </w:pPr>
      <w:r w:rsidRPr="00BE425C">
        <w:t>–</w:t>
      </w:r>
      <w:r w:rsidRPr="00BE425C">
        <w:tab/>
        <w:t xml:space="preserve">uwzględniając wniosek Komisji przedstawiony Parlamentowi </w:t>
      </w:r>
      <w:r>
        <w:t>Europejskiemu i Radzie (COM(</w:t>
      </w:r>
      <w:r w:rsidRPr="007D34BC">
        <w:t>2024</w:t>
      </w:r>
      <w:r>
        <w:t>)</w:t>
      </w:r>
      <w:r w:rsidRPr="007D34BC">
        <w:t>0042</w:t>
      </w:r>
      <w:r w:rsidRPr="00BE425C">
        <w:t>),</w:t>
      </w:r>
    </w:p>
    <w:p w:rsidR="00C76226" w:rsidRPr="00BE425C" w:rsidRDefault="00C76226" w:rsidP="00971BFA">
      <w:pPr>
        <w:pStyle w:val="NormalHanging12a"/>
      </w:pPr>
      <w:r w:rsidRPr="00BE425C">
        <w:t>–</w:t>
      </w:r>
      <w:r w:rsidRPr="00BE425C">
        <w:tab/>
        <w:t>uwzględ</w:t>
      </w:r>
      <w:r>
        <w:t xml:space="preserve">niając art. </w:t>
      </w:r>
      <w:r w:rsidRPr="007D34BC">
        <w:t>294</w:t>
      </w:r>
      <w:r>
        <w:t xml:space="preserve"> ust. </w:t>
      </w:r>
      <w:r w:rsidRPr="007D34BC">
        <w:t>2</w:t>
      </w:r>
      <w:r>
        <w:t xml:space="preserve"> i art. </w:t>
      </w:r>
      <w:r w:rsidRPr="007D34BC">
        <w:t>212</w:t>
      </w:r>
      <w:r w:rsidRPr="00BE425C">
        <w:t xml:space="preserve"> Traktatu o funkcjonowaniu Unii Europejskiej, zgodnie z którymi wniosek został przedstawiony Par</w:t>
      </w:r>
      <w:r>
        <w:t>lamentowi przez Komisję (C</w:t>
      </w:r>
      <w:r w:rsidRPr="007D34BC">
        <w:t>9</w:t>
      </w:r>
      <w:r>
        <w:noBreakHyphen/>
      </w:r>
      <w:r w:rsidRPr="007D34BC">
        <w:t>0009</w:t>
      </w:r>
      <w:r>
        <w:t>/</w:t>
      </w:r>
      <w:r w:rsidRPr="007D34BC">
        <w:t>2024</w:t>
      </w:r>
      <w:r w:rsidRPr="00BE425C">
        <w:t>),</w:t>
      </w:r>
    </w:p>
    <w:p w:rsidR="00C76226" w:rsidRPr="00BE425C" w:rsidRDefault="00C76226" w:rsidP="00C76226">
      <w:pPr>
        <w:pStyle w:val="NormalHanging12a"/>
      </w:pPr>
      <w:r w:rsidRPr="00BE425C">
        <w:t>–</w:t>
      </w:r>
      <w:r w:rsidRPr="00BE425C">
        <w:tab/>
        <w:t>uwzględniając art. </w:t>
      </w:r>
      <w:r w:rsidRPr="007D34BC">
        <w:t>294</w:t>
      </w:r>
      <w:r w:rsidRPr="00BE425C">
        <w:t xml:space="preserve"> ust. </w:t>
      </w:r>
      <w:r w:rsidRPr="007D34BC">
        <w:t>3</w:t>
      </w:r>
      <w:r w:rsidRPr="00BE425C">
        <w:t xml:space="preserve"> Traktatu o funkcjonowaniu Unii Europejskiej,</w:t>
      </w:r>
    </w:p>
    <w:p w:rsidR="00C76226" w:rsidRDefault="00C76226" w:rsidP="00895CF4">
      <w:pPr>
        <w:pStyle w:val="NormalHanging12a"/>
      </w:pPr>
      <w:r w:rsidRPr="00BE425C">
        <w:t>–</w:t>
      </w:r>
      <w:r w:rsidRPr="00BE425C">
        <w:tab/>
      </w:r>
      <w:r w:rsidRPr="00710F4D">
        <w:t xml:space="preserve">uwzględniając </w:t>
      </w:r>
      <w:r w:rsidR="00895CF4">
        <w:t>przekazane pismem</w:t>
      </w:r>
      <w:r w:rsidR="00895CF4" w:rsidRPr="00710F4D">
        <w:t xml:space="preserve"> z dnia </w:t>
      </w:r>
      <w:r w:rsidR="00895CF4" w:rsidRPr="007D34BC">
        <w:t>28</w:t>
      </w:r>
      <w:r w:rsidR="00895CF4" w:rsidRPr="00710F4D">
        <w:t xml:space="preserve"> </w:t>
      </w:r>
      <w:r w:rsidR="00895CF4">
        <w:t xml:space="preserve">lutego </w:t>
      </w:r>
      <w:r w:rsidR="00895CF4" w:rsidRPr="007D34BC">
        <w:t>2024</w:t>
      </w:r>
      <w:r w:rsidR="00895CF4" w:rsidRPr="00710F4D">
        <w:t xml:space="preserve"> r.</w:t>
      </w:r>
      <w:r w:rsidR="00895CF4">
        <w:t xml:space="preserve"> </w:t>
      </w:r>
      <w:r w:rsidRPr="00710F4D">
        <w:t>zobowiązanie przedstawiciela Rady</w:t>
      </w:r>
      <w:r w:rsidR="00895CF4">
        <w:t xml:space="preserve"> </w:t>
      </w:r>
      <w:r w:rsidRPr="00710F4D">
        <w:t>do zatwierdzenia stanowiska Parlamentu</w:t>
      </w:r>
      <w:r>
        <w:t xml:space="preserve">, </w:t>
      </w:r>
      <w:r w:rsidRPr="00710F4D">
        <w:t xml:space="preserve">zgodnie z art. </w:t>
      </w:r>
      <w:r w:rsidRPr="007D34BC">
        <w:t>294</w:t>
      </w:r>
      <w:r w:rsidRPr="00710F4D">
        <w:t xml:space="preserve"> ust. </w:t>
      </w:r>
      <w:r w:rsidRPr="007D34BC">
        <w:t>4</w:t>
      </w:r>
      <w:r w:rsidRPr="00710F4D">
        <w:t xml:space="preserve"> Traktatu o funkcjonowaniu Unii Europejskiej,</w:t>
      </w:r>
    </w:p>
    <w:p w:rsidR="00C76226" w:rsidRPr="00C91FF6" w:rsidRDefault="00C76226" w:rsidP="00C76226">
      <w:pPr>
        <w:pStyle w:val="NormalHanging12a"/>
      </w:pPr>
      <w:r w:rsidRPr="00C91FF6">
        <w:t>–</w:t>
      </w:r>
      <w:r w:rsidRPr="00C91FF6">
        <w:tab/>
        <w:t>uwzględniając art. </w:t>
      </w:r>
      <w:r w:rsidRPr="007D34BC">
        <w:t>59</w:t>
      </w:r>
      <w:r w:rsidRPr="00C91FF6">
        <w:t xml:space="preserve"> </w:t>
      </w:r>
      <w:r w:rsidR="003E5D84">
        <w:t xml:space="preserve">i 163 </w:t>
      </w:r>
      <w:r w:rsidRPr="00C91FF6">
        <w:t>Regulaminu,</w:t>
      </w:r>
    </w:p>
    <w:p w:rsidR="00C76226" w:rsidRPr="00BE425C" w:rsidRDefault="00C76226" w:rsidP="00C76226">
      <w:pPr>
        <w:pStyle w:val="NormalHanging12a"/>
      </w:pPr>
      <w:r w:rsidRPr="007D34BC">
        <w:t>1</w:t>
      </w:r>
      <w:r w:rsidRPr="00BE425C">
        <w:t>.</w:t>
      </w:r>
      <w:r w:rsidRPr="00BE425C">
        <w:tab/>
        <w:t>przyjmuje poniższe stanowisko w pierwszym czytaniu;</w:t>
      </w:r>
    </w:p>
    <w:p w:rsidR="00C76226" w:rsidRPr="00BE425C" w:rsidRDefault="00C76226" w:rsidP="00C76226">
      <w:pPr>
        <w:pStyle w:val="NormalHanging12a"/>
      </w:pPr>
      <w:r w:rsidRPr="007D34BC">
        <w:t>2</w:t>
      </w:r>
      <w:r w:rsidRPr="00BE425C">
        <w:t>.</w:t>
      </w:r>
      <w:r w:rsidRPr="00BE425C">
        <w:tab/>
        <w:t>zwraca się do Komisji o ponowne przekazanie mu sprawy, jeśli zastąpi ona pierwotny wniosek, wprowadzi w nim istotne zmiany lub planuje ich wprowadzenie;</w:t>
      </w:r>
    </w:p>
    <w:p w:rsidR="00C76226" w:rsidRPr="00BE425C" w:rsidRDefault="00C76226" w:rsidP="00C76226">
      <w:pPr>
        <w:pStyle w:val="NormalHanging12a"/>
      </w:pPr>
      <w:r w:rsidRPr="007D34BC">
        <w:t>3</w:t>
      </w:r>
      <w:r w:rsidRPr="00BE425C">
        <w:t>.</w:t>
      </w:r>
      <w:r w:rsidRPr="00BE425C">
        <w:tab/>
        <w:t>zobowiązuje swoją przewodniczącą do przekazania stanowiska Parlamentu Radzie i Komisji oraz parlamentom narodowym.</w:t>
      </w:r>
    </w:p>
    <w:p w:rsidR="00C76226" w:rsidRDefault="00C76226" w:rsidP="009F28EF">
      <w:pPr>
        <w:pStyle w:val="Normal12"/>
        <w:rPr>
          <w:szCs w:val="24"/>
          <w:lang w:val="pl-PL"/>
        </w:rPr>
        <w:sectPr w:rsidR="00C76226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905766" w:rsidRDefault="00905766" w:rsidP="00905766">
      <w:pPr>
        <w:spacing w:after="240"/>
        <w:rPr>
          <w:b/>
          <w:lang w:val="pl-PL"/>
        </w:rPr>
      </w:pPr>
      <w:r>
        <w:rPr>
          <w:b/>
          <w:lang w:val="pl-PL"/>
        </w:rPr>
        <w:lastRenderedPageBreak/>
        <w:t>P</w:t>
      </w:r>
      <w:r w:rsidRPr="007D34BC">
        <w:rPr>
          <w:b/>
          <w:lang w:val="pl-PL"/>
        </w:rPr>
        <w:t>9</w:t>
      </w:r>
      <w:r>
        <w:rPr>
          <w:b/>
          <w:lang w:val="pl-PL"/>
        </w:rPr>
        <w:t>_TC</w:t>
      </w:r>
      <w:r w:rsidRPr="007D34BC">
        <w:rPr>
          <w:b/>
          <w:lang w:val="pl-PL"/>
        </w:rPr>
        <w:t>1</w:t>
      </w:r>
      <w:r>
        <w:rPr>
          <w:b/>
          <w:lang w:val="pl-PL"/>
        </w:rPr>
        <w:t>-COD(</w:t>
      </w:r>
      <w:r w:rsidRPr="007D34BC">
        <w:rPr>
          <w:b/>
          <w:lang w:val="pl-PL"/>
        </w:rPr>
        <w:t>2024</w:t>
      </w:r>
      <w:r>
        <w:rPr>
          <w:b/>
          <w:lang w:val="pl-PL"/>
        </w:rPr>
        <w:t>)</w:t>
      </w:r>
      <w:r w:rsidRPr="007D34BC">
        <w:rPr>
          <w:b/>
          <w:lang w:val="pl-PL"/>
        </w:rPr>
        <w:t>0019</w:t>
      </w:r>
    </w:p>
    <w:p w:rsidR="00C76226" w:rsidRPr="00C76226" w:rsidRDefault="00905766" w:rsidP="00905766">
      <w:pPr>
        <w:rPr>
          <w:rFonts w:eastAsia="Calibri"/>
          <w:b/>
          <w:szCs w:val="22"/>
          <w:lang w:val="pl-PL"/>
        </w:rPr>
      </w:pPr>
      <w:r>
        <w:rPr>
          <w:b/>
          <w:lang w:val="pl-PL"/>
        </w:rPr>
        <w:t xml:space="preserve">Stanowisko Parlamentu Europejskiego </w:t>
      </w:r>
      <w:r w:rsidRPr="00291A00">
        <w:rPr>
          <w:b/>
          <w:lang w:val="pl-PL"/>
        </w:rPr>
        <w:t xml:space="preserve">przyjęte w pierwszym czytaniu w dniu </w:t>
      </w:r>
      <w:r w:rsidRPr="007D34BC">
        <w:rPr>
          <w:b/>
          <w:lang w:val="pl-PL"/>
        </w:rPr>
        <w:t>14</w:t>
      </w:r>
      <w:r>
        <w:rPr>
          <w:b/>
          <w:lang w:val="pl-PL"/>
        </w:rPr>
        <w:t xml:space="preserve"> marca </w:t>
      </w:r>
      <w:r w:rsidRPr="007D34BC">
        <w:rPr>
          <w:b/>
          <w:lang w:val="pl-PL"/>
        </w:rPr>
        <w:t>2024</w:t>
      </w:r>
      <w:r>
        <w:rPr>
          <w:b/>
          <w:lang w:val="pl-PL"/>
        </w:rPr>
        <w:t xml:space="preserve"> r.</w:t>
      </w:r>
      <w:r w:rsidRPr="00291A00">
        <w:rPr>
          <w:b/>
          <w:lang w:val="pl-PL"/>
        </w:rPr>
        <w:t xml:space="preserve"> </w:t>
      </w:r>
      <w:r w:rsidRPr="00741191">
        <w:rPr>
          <w:b/>
          <w:lang w:val="pl-PL"/>
        </w:rPr>
        <w:t xml:space="preserve">w celu przyjęcia decyzji Parlamentu </w:t>
      </w:r>
      <w:r>
        <w:rPr>
          <w:b/>
          <w:lang w:val="pl-PL"/>
        </w:rPr>
        <w:t xml:space="preserve">Europejskiego i Rady (UE) </w:t>
      </w:r>
      <w:r w:rsidRPr="007D34BC">
        <w:rPr>
          <w:b/>
          <w:lang w:val="pl-PL"/>
        </w:rPr>
        <w:t>2024</w:t>
      </w:r>
      <w:r>
        <w:rPr>
          <w:b/>
          <w:lang w:val="pl-PL"/>
        </w:rPr>
        <w:t xml:space="preserve">/... </w:t>
      </w:r>
      <w:r w:rsidR="0005297B" w:rsidRPr="0005297B">
        <w:rPr>
          <w:rFonts w:eastAsia="Calibri"/>
          <w:b/>
          <w:szCs w:val="22"/>
          <w:lang w:val="pl-PL"/>
        </w:rPr>
        <w:t>w sprawie subskrypcji przez Unię Europejską dodatkowych udziałów w kapitale Europejskiego Banku Odbudowy i Rozwoju (EBOR) oraz zmiany umowy o utworzeniu EBOR w odniesieniu do rozszerzenia zakresu geograficznego działalności EBOR na Afrykę Subsaharyjską i Irak oraz zniesienia statutowego ograniczenia kapitałowego dotyczącego operacji zwyczajnych</w:t>
      </w:r>
    </w:p>
    <w:p w:rsidR="00C76226" w:rsidRDefault="00C76226" w:rsidP="00C76226">
      <w:pPr>
        <w:tabs>
          <w:tab w:val="left" w:pos="567"/>
          <w:tab w:val="left" w:pos="1134"/>
          <w:tab w:val="left" w:pos="1701"/>
        </w:tabs>
        <w:spacing w:before="120" w:after="120" w:line="360" w:lineRule="auto"/>
        <w:ind w:right="741"/>
        <w:jc w:val="right"/>
        <w:rPr>
          <w:rFonts w:eastAsia="Calibri"/>
          <w:szCs w:val="22"/>
          <w:lang w:val="pl-PL"/>
        </w:rPr>
      </w:pPr>
    </w:p>
    <w:p w:rsidR="0005297B" w:rsidRPr="00C76226" w:rsidRDefault="0005297B" w:rsidP="0005297B">
      <w:pPr>
        <w:tabs>
          <w:tab w:val="left" w:pos="567"/>
          <w:tab w:val="left" w:pos="1134"/>
          <w:tab w:val="left" w:pos="1701"/>
        </w:tabs>
        <w:spacing w:before="120" w:after="120" w:line="360" w:lineRule="auto"/>
        <w:ind w:right="741"/>
        <w:rPr>
          <w:b/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 xml:space="preserve">, </w:t>
      </w:r>
      <w:r w:rsidRPr="00B149BB">
        <w:rPr>
          <w:i/>
          <w:lang w:val="pl-PL"/>
        </w:rPr>
        <w:t>decyz</w:t>
      </w:r>
      <w:bookmarkStart w:id="7" w:name="_GoBack"/>
      <w:bookmarkEnd w:id="7"/>
      <w:r w:rsidRPr="00B149BB">
        <w:rPr>
          <w:i/>
          <w:lang w:val="pl-PL"/>
        </w:rPr>
        <w:t xml:space="preserve">ji </w:t>
      </w:r>
      <w:r>
        <w:rPr>
          <w:i/>
          <w:lang w:val="pl-PL"/>
        </w:rPr>
        <w:t>(UE) 2024/</w:t>
      </w:r>
      <w:r>
        <w:rPr>
          <w:i/>
          <w:lang w:val="pl-PL"/>
        </w:rPr>
        <w:t>1246</w:t>
      </w:r>
      <w:r>
        <w:rPr>
          <w:i/>
          <w:lang w:val="pl-PL"/>
        </w:rPr>
        <w:t>.</w:t>
      </w:r>
      <w:r w:rsidRPr="0044243D">
        <w:rPr>
          <w:i/>
          <w:lang w:val="pl-PL"/>
        </w:rPr>
        <w:t>)</w:t>
      </w:r>
    </w:p>
    <w:sectPr w:rsidR="0005297B" w:rsidRPr="00C76226" w:rsidSect="00C762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226" w:rsidRDefault="00C76226" w:rsidP="009C4014">
      <w:r>
        <w:separator/>
      </w:r>
    </w:p>
  </w:endnote>
  <w:endnote w:type="continuationSeparator" w:id="0">
    <w:p w:rsidR="00C76226" w:rsidRDefault="00C7622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A46" w:rsidRDefault="000529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905766" w:rsidRDefault="0005297B" w:rsidP="0090576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A46" w:rsidRDefault="000529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226" w:rsidRDefault="00C76226" w:rsidP="009C4014">
      <w:r>
        <w:separator/>
      </w:r>
    </w:p>
  </w:footnote>
  <w:footnote w:type="continuationSeparator" w:id="0">
    <w:p w:rsidR="00C76226" w:rsidRDefault="00C76226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A46" w:rsidRDefault="000529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A46" w:rsidRDefault="000529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A46" w:rsidRDefault="000529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226"/>
    <w:rsid w:val="00013B2A"/>
    <w:rsid w:val="0005297B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E5D84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45040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D34BC"/>
    <w:rsid w:val="008512F3"/>
    <w:rsid w:val="00857458"/>
    <w:rsid w:val="00873A0F"/>
    <w:rsid w:val="00895CF4"/>
    <w:rsid w:val="00895FA0"/>
    <w:rsid w:val="008B1C2E"/>
    <w:rsid w:val="008D7C16"/>
    <w:rsid w:val="008E7632"/>
    <w:rsid w:val="008F0108"/>
    <w:rsid w:val="008F7F1C"/>
    <w:rsid w:val="00905766"/>
    <w:rsid w:val="00907FE0"/>
    <w:rsid w:val="00971BFA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76226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FE3A7"/>
  <w15:chartTrackingRefBased/>
  <w15:docId w15:val="{348A5AA2-AB45-4831-99DB-B51BF04F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link w:val="NormalBoldChar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C76226"/>
    <w:rPr>
      <w:b/>
      <w:snapToGrid w:val="0"/>
      <w:sz w:val="24"/>
    </w:rPr>
  </w:style>
  <w:style w:type="character" w:customStyle="1" w:styleId="FootnoteTextChar">
    <w:name w:val="Footnote Text Char"/>
    <w:link w:val="FootnoteText"/>
    <w:uiPriority w:val="99"/>
    <w:rsid w:val="00C76226"/>
    <w:rPr>
      <w:sz w:val="22"/>
      <w:lang w:val="fr-FR"/>
    </w:rPr>
  </w:style>
  <w:style w:type="paragraph" w:customStyle="1" w:styleId="NormalHanging12a">
    <w:name w:val="NormalHanging12a"/>
    <w:basedOn w:val="Normal"/>
    <w:rsid w:val="00C76226"/>
    <w:pPr>
      <w:widowControl w:val="0"/>
      <w:spacing w:after="240"/>
      <w:ind w:left="567" w:hanging="567"/>
    </w:pPr>
    <w:rPr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C76226"/>
    <w:rPr>
      <w:b/>
      <w:kern w:val="28"/>
      <w:sz w:val="28"/>
      <w:lang w:val="fr-FR"/>
    </w:rPr>
  </w:style>
  <w:style w:type="character" w:customStyle="1" w:styleId="HeaderChar">
    <w:name w:val="Header Char"/>
    <w:basedOn w:val="DefaultParagraphFont"/>
    <w:link w:val="Header"/>
    <w:rsid w:val="00C76226"/>
    <w:rPr>
      <w:sz w:val="24"/>
      <w:lang w:val="fr-FR"/>
    </w:rPr>
  </w:style>
  <w:style w:type="paragraph" w:customStyle="1" w:styleId="EPFooter2">
    <w:name w:val="EPFooter2"/>
    <w:basedOn w:val="Normal"/>
    <w:next w:val="Normal"/>
    <w:rsid w:val="00C76226"/>
    <w:pPr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  <w:lang w:val="pl-PL"/>
    </w:rPr>
  </w:style>
  <w:style w:type="character" w:customStyle="1" w:styleId="HideTWBInt">
    <w:name w:val="HideTWBInt"/>
    <w:rsid w:val="00C76226"/>
    <w:rPr>
      <w:rFonts w:ascii="Arial" w:hAnsi="Arial"/>
      <w:vanish/>
      <w:color w:val="808080"/>
      <w:sz w:val="20"/>
    </w:rPr>
  </w:style>
  <w:style w:type="paragraph" w:customStyle="1" w:styleId="AmOrLang">
    <w:name w:val="AmOrLang"/>
    <w:basedOn w:val="Normal"/>
    <w:rsid w:val="00C76226"/>
    <w:pPr>
      <w:widowControl w:val="0"/>
      <w:spacing w:before="240" w:after="240"/>
      <w:jc w:val="right"/>
    </w:pPr>
    <w:rPr>
      <w:lang w:val="pl-PL"/>
    </w:rPr>
  </w:style>
  <w:style w:type="paragraph" w:customStyle="1" w:styleId="NormalCenter12a">
    <w:name w:val="NormalCenter12a"/>
    <w:basedOn w:val="Normal"/>
    <w:rsid w:val="00C76226"/>
    <w:pPr>
      <w:widowControl w:val="0"/>
      <w:spacing w:after="240"/>
      <w:jc w:val="center"/>
    </w:pPr>
    <w:rPr>
      <w:lang w:val="pl-PL"/>
    </w:rPr>
  </w:style>
  <w:style w:type="paragraph" w:customStyle="1" w:styleId="EPFooter">
    <w:name w:val="EPFooter"/>
    <w:basedOn w:val="Normal"/>
    <w:rsid w:val="00C76226"/>
    <w:pPr>
      <w:widowControl w:val="0"/>
      <w:tabs>
        <w:tab w:val="center" w:pos="4535"/>
        <w:tab w:val="right" w:pos="9071"/>
      </w:tabs>
      <w:spacing w:before="240" w:after="240"/>
    </w:pPr>
    <w:rPr>
      <w:sz w:val="22"/>
      <w:lang w:val="pl-PL"/>
    </w:rPr>
  </w:style>
  <w:style w:type="character" w:customStyle="1" w:styleId="FooterChar">
    <w:name w:val="Footer Char"/>
    <w:basedOn w:val="DefaultParagraphFont"/>
    <w:link w:val="Footer"/>
    <w:rsid w:val="00C76226"/>
    <w:rPr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0EC0D-FA45-4447-A8EB-D5C5DB378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2</Pages>
  <Words>306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BOZYK-MAZURENKO Agnieszka</dc:creator>
  <cp:keywords/>
  <cp:lastModifiedBy>ZALESKI Tomasz</cp:lastModifiedBy>
  <cp:revision>2</cp:revision>
  <cp:lastPrinted>2014-08-07T13:15:00Z</cp:lastPrinted>
  <dcterms:created xsi:type="dcterms:W3CDTF">2024-06-19T09:20:00Z</dcterms:created>
  <dcterms:modified xsi:type="dcterms:W3CDTF">2024-06-19T09:20:00Z</dcterms:modified>
</cp:coreProperties>
</file>