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1B05" w:rsidTr="0010095E">
        <w:trPr>
          <w:trHeight w:hRule="exact" w:val="1418"/>
        </w:trPr>
        <w:tc>
          <w:tcPr>
            <w:tcW w:w="6804" w:type="dxa"/>
            <w:shd w:val="clear" w:color="auto" w:fill="auto"/>
            <w:vAlign w:val="center"/>
          </w:tcPr>
          <w:p w:rsidR="00751A4A" w:rsidRPr="00661B05" w:rsidRDefault="00A8424B" w:rsidP="0010095E">
            <w:pPr>
              <w:pStyle w:val="EPName"/>
            </w:pPr>
            <w:r w:rsidRPr="00661B05">
              <w:t>Европейски</w:t>
            </w:r>
            <w:r w:rsidR="003B468B" w:rsidRPr="00661B05">
              <w:t xml:space="preserve"> парламент</w:t>
            </w:r>
          </w:p>
          <w:p w:rsidR="00751A4A" w:rsidRPr="00661B05" w:rsidRDefault="00817416" w:rsidP="00756632">
            <w:pPr>
              <w:pStyle w:val="EPTerm"/>
              <w:rPr>
                <w:rStyle w:val="HideTWBExt"/>
                <w:noProof w:val="0"/>
                <w:vanish w:val="0"/>
                <w:color w:val="auto"/>
              </w:rPr>
            </w:pPr>
            <w:r w:rsidRPr="00661B05">
              <w:t>2019</w:t>
            </w:r>
            <w:r w:rsidR="00A8424B" w:rsidRPr="00661B05">
              <w:rPr>
                <w:lang w:val="fr-BE"/>
              </w:rPr>
              <w:t> – </w:t>
            </w:r>
            <w:r w:rsidRPr="00661B05">
              <w:t>2024</w:t>
            </w:r>
          </w:p>
        </w:tc>
        <w:tc>
          <w:tcPr>
            <w:tcW w:w="2268" w:type="dxa"/>
            <w:shd w:val="clear" w:color="auto" w:fill="auto"/>
          </w:tcPr>
          <w:p w:rsidR="00751A4A" w:rsidRPr="00661B05" w:rsidRDefault="00187494" w:rsidP="0010095E">
            <w:pPr>
              <w:pStyle w:val="EPLogo"/>
            </w:pPr>
            <w:r w:rsidRPr="00661B0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61B05" w:rsidRDefault="00D058B8" w:rsidP="00D94666">
      <w:pPr>
        <w:pStyle w:val="LineTop"/>
      </w:pPr>
    </w:p>
    <w:p w:rsidR="00680577" w:rsidRPr="00661B05" w:rsidRDefault="003B468B" w:rsidP="00D94666">
      <w:pPr>
        <w:pStyle w:val="EPBodyTA1"/>
      </w:pPr>
      <w:r w:rsidRPr="00661B05">
        <w:t>ПРИЕТИ ТЕКСТОВЕ</w:t>
      </w:r>
    </w:p>
    <w:p w:rsidR="00D058B8" w:rsidRPr="00661B05" w:rsidRDefault="00D058B8" w:rsidP="00D94666">
      <w:pPr>
        <w:pStyle w:val="LineBottom"/>
      </w:pPr>
    </w:p>
    <w:p w:rsidR="003B468B" w:rsidRPr="00661B05" w:rsidRDefault="003B468B" w:rsidP="00661B05">
      <w:pPr>
        <w:pStyle w:val="ATHeading1"/>
      </w:pPr>
      <w:bookmarkStart w:id="0" w:name="TANumber"/>
      <w:r w:rsidRPr="00661B05">
        <w:t>P9_TA(2024)</w:t>
      </w:r>
      <w:bookmarkEnd w:id="0"/>
      <w:r w:rsidR="00661B05" w:rsidRPr="00661B05">
        <w:t>0163</w:t>
      </w:r>
    </w:p>
    <w:p w:rsidR="003B468B" w:rsidRPr="00661B05" w:rsidRDefault="003B468B" w:rsidP="003B468B">
      <w:pPr>
        <w:pStyle w:val="ATHeading2"/>
      </w:pPr>
      <w:bookmarkStart w:id="1" w:name="title"/>
      <w:r w:rsidRPr="00661B05">
        <w:t>Финансови правила, приложими за общия бюджет на Съюза (преработен текст)</w:t>
      </w:r>
      <w:bookmarkEnd w:id="1"/>
    </w:p>
    <w:p w:rsidR="003B468B" w:rsidRPr="00661B05" w:rsidRDefault="003B468B" w:rsidP="003B468B">
      <w:pPr>
        <w:rPr>
          <w:i/>
          <w:vanish/>
        </w:rPr>
      </w:pPr>
      <w:r w:rsidRPr="00661B05">
        <w:rPr>
          <w:i/>
        </w:rPr>
        <w:fldChar w:fldCharType="begin"/>
      </w:r>
      <w:r w:rsidRPr="00661B05">
        <w:rPr>
          <w:i/>
        </w:rPr>
        <w:instrText xml:space="preserve"> TC"(</w:instrText>
      </w:r>
      <w:bookmarkStart w:id="2" w:name="DocNumber"/>
      <w:r w:rsidRPr="00661B05">
        <w:rPr>
          <w:i/>
        </w:rPr>
        <w:instrText>A9-0180/2023</w:instrText>
      </w:r>
      <w:bookmarkEnd w:id="2"/>
      <w:r w:rsidRPr="00661B05">
        <w:rPr>
          <w:i/>
        </w:rPr>
        <w:instrText xml:space="preserve"> - Докладчик: Нилс Ушаковс, Моника Холмайер)"\l3 \n&gt; \* MERGEFORMAT </w:instrText>
      </w:r>
      <w:r w:rsidRPr="00661B05">
        <w:rPr>
          <w:i/>
        </w:rPr>
        <w:fldChar w:fldCharType="end"/>
      </w:r>
    </w:p>
    <w:p w:rsidR="003B468B" w:rsidRPr="00661B05" w:rsidRDefault="003B468B" w:rsidP="003B468B">
      <w:pPr>
        <w:rPr>
          <w:vanish/>
        </w:rPr>
      </w:pPr>
      <w:bookmarkStart w:id="3" w:name="Commission"/>
      <w:r w:rsidRPr="00661B05">
        <w:rPr>
          <w:vanish/>
        </w:rPr>
        <w:t>Комисия по бюджети</w:t>
      </w:r>
      <w:bookmarkEnd w:id="3"/>
      <w:r w:rsidR="005A3E76" w:rsidRPr="00661B05">
        <w:rPr>
          <w:vanish/>
        </w:rPr>
        <w:t>, Комисия по бюджетен контрол</w:t>
      </w:r>
      <w:r w:rsidR="005A3E76" w:rsidRPr="00661B05">
        <w:t xml:space="preserve"> </w:t>
      </w:r>
    </w:p>
    <w:p w:rsidR="003B468B" w:rsidRPr="00661B05" w:rsidRDefault="003B468B" w:rsidP="003B468B">
      <w:pPr>
        <w:rPr>
          <w:vanish/>
        </w:rPr>
      </w:pPr>
      <w:bookmarkStart w:id="4" w:name="PE"/>
      <w:r w:rsidRPr="00661B05">
        <w:rPr>
          <w:vanish/>
        </w:rPr>
        <w:t>PE740.802</w:t>
      </w:r>
      <w:bookmarkEnd w:id="4"/>
    </w:p>
    <w:p w:rsidR="003B468B" w:rsidRPr="00661B05" w:rsidRDefault="003B468B" w:rsidP="003B468B">
      <w:pPr>
        <w:pStyle w:val="ATHeading3"/>
      </w:pPr>
      <w:bookmarkStart w:id="5" w:name="Sujet"/>
      <w:r w:rsidRPr="00661B05">
        <w:t xml:space="preserve">Законодателна резолюция на Европейския парламент от </w:t>
      </w:r>
      <w:r w:rsidR="005A3E76" w:rsidRPr="00661B05">
        <w:t>14</w:t>
      </w:r>
      <w:r w:rsidR="00A8424B" w:rsidRPr="00661B05">
        <w:t xml:space="preserve"> март</w:t>
      </w:r>
      <w:r w:rsidRPr="00661B05">
        <w:t xml:space="preserve"> 2024 г. относно предложението за регламент на Европейския парламент и на Съвета за финансовите правила, приложими за общия бюджет на Съюза (преработен текст)</w:t>
      </w:r>
      <w:bookmarkEnd w:id="5"/>
      <w:r w:rsidRPr="00661B05">
        <w:t xml:space="preserve"> </w:t>
      </w:r>
      <w:bookmarkStart w:id="6" w:name="References"/>
      <w:r w:rsidRPr="00661B05">
        <w:t>(COM(2022)0223 – C9-0179/2022 – 2022/0162(COD))</w:t>
      </w:r>
      <w:bookmarkEnd w:id="6"/>
    </w:p>
    <w:p w:rsidR="00C77835" w:rsidRPr="00661B05" w:rsidRDefault="00C77835" w:rsidP="00C77835">
      <w:pPr>
        <w:pStyle w:val="NormalBold"/>
      </w:pPr>
      <w:bookmarkStart w:id="7" w:name="TextBodyBegin"/>
      <w:bookmarkEnd w:id="7"/>
      <w:r w:rsidRPr="00661B05">
        <w:t>(Обикновена законодателна процедура – преработка)</w:t>
      </w:r>
    </w:p>
    <w:p w:rsidR="00C77835" w:rsidRPr="00661B05" w:rsidRDefault="00C77835" w:rsidP="00C77835">
      <w:pPr>
        <w:pStyle w:val="EPComma"/>
      </w:pPr>
      <w:r w:rsidRPr="00661B05">
        <w:rPr>
          <w:i/>
          <w:iCs/>
        </w:rPr>
        <w:t>Европейският парламент,</w:t>
      </w:r>
    </w:p>
    <w:p w:rsidR="00C77835" w:rsidRPr="00661B05" w:rsidRDefault="00C77835" w:rsidP="00A8424B">
      <w:pPr>
        <w:pStyle w:val="NormalHanging12a"/>
      </w:pPr>
      <w:r w:rsidRPr="00661B05">
        <w:t>–</w:t>
      </w:r>
      <w:r w:rsidRPr="00661B05">
        <w:tab/>
        <w:t xml:space="preserve">като взе предвид предложението на Комисията до </w:t>
      </w:r>
      <w:r w:rsidR="00A8424B" w:rsidRPr="00661B05">
        <w:t>П</w:t>
      </w:r>
      <w:r w:rsidRPr="00661B05">
        <w:t>арламент</w:t>
      </w:r>
      <w:r w:rsidR="00A8424B" w:rsidRPr="00661B05">
        <w:t>а</w:t>
      </w:r>
      <w:r w:rsidRPr="00661B05">
        <w:t xml:space="preserve"> и до Съвета (COM(2022)0223),</w:t>
      </w:r>
    </w:p>
    <w:p w:rsidR="00C77835" w:rsidRPr="00661B05" w:rsidRDefault="00C77835" w:rsidP="00C77835">
      <w:pPr>
        <w:pStyle w:val="NormalHanging12a"/>
      </w:pPr>
      <w:r w:rsidRPr="00661B05">
        <w:t>–</w:t>
      </w:r>
      <w:r w:rsidRPr="00661B05">
        <w:tab/>
        <w:t>като взе предвид член 294, параграф 2 и член 322 от Договора за функционирането на Европейския Съюз, както и член 106а от Договора за създаване на Европейската общност за атомна енергия, съгласно които Комисията е внесла предложението в Парламента (C9</w:t>
      </w:r>
      <w:r w:rsidRPr="00661B05">
        <w:noBreakHyphen/>
        <w:t>0179/2022),</w:t>
      </w:r>
    </w:p>
    <w:p w:rsidR="00C77835" w:rsidRPr="00661B05" w:rsidRDefault="00C77835" w:rsidP="00C77835">
      <w:pPr>
        <w:pStyle w:val="NormalHanging12a"/>
      </w:pPr>
      <w:r w:rsidRPr="00661B05">
        <w:t>–</w:t>
      </w:r>
      <w:r w:rsidRPr="00661B05">
        <w:tab/>
        <w:t>като взе предвид член 294, параграф 3 от Договора за функционирането на Европейския съюз,</w:t>
      </w:r>
    </w:p>
    <w:p w:rsidR="00C77835" w:rsidRPr="00661B05" w:rsidRDefault="00C77835" w:rsidP="00C77835">
      <w:pPr>
        <w:pStyle w:val="NormalHanging12a"/>
      </w:pPr>
      <w:r w:rsidRPr="00661B05">
        <w:t>–</w:t>
      </w:r>
      <w:r w:rsidRPr="00661B05">
        <w:tab/>
        <w:t>като взе предвид становището на Сметната палата от 31 октомври 2022 г.</w:t>
      </w:r>
      <w:r w:rsidRPr="00661B05">
        <w:rPr>
          <w:rStyle w:val="FootnoteReference"/>
        </w:rPr>
        <w:footnoteReference w:id="1"/>
      </w:r>
      <w:r w:rsidRPr="00661B05">
        <w:t>,</w:t>
      </w:r>
    </w:p>
    <w:p w:rsidR="00C77835" w:rsidRPr="00661B05" w:rsidRDefault="00C77835" w:rsidP="00C77835">
      <w:pPr>
        <w:pStyle w:val="NormalHanging12a"/>
      </w:pPr>
      <w:r w:rsidRPr="00661B05">
        <w:t>–</w:t>
      </w:r>
      <w:r w:rsidRPr="00661B05">
        <w:tab/>
        <w:t>като взе предвид Междуинституционалното споразумение от 28 ноември 2001 г. относно по-структурирано използване на техниката за преработване на нормативни актове</w:t>
      </w:r>
      <w:r w:rsidRPr="00661B05">
        <w:rPr>
          <w:rStyle w:val="FootnoteReference"/>
        </w:rPr>
        <w:footnoteReference w:id="2"/>
      </w:r>
      <w:r w:rsidRPr="00661B05">
        <w:t>,</w:t>
      </w:r>
    </w:p>
    <w:p w:rsidR="00C77835" w:rsidRPr="00661B05" w:rsidRDefault="00C77835" w:rsidP="00C77835">
      <w:pPr>
        <w:pStyle w:val="NormalHanging12a"/>
      </w:pPr>
      <w:r w:rsidRPr="00661B05">
        <w:t>–</w:t>
      </w:r>
      <w:r w:rsidRPr="00661B05">
        <w:tab/>
        <w:t xml:space="preserve">като взе предвид писмото от 25 април 2023 г., изпратено от комисията по правни въпроси до комисията по бюджети и комисията по бюджетен контрол в съответствие с член 110, параграф 3 от </w:t>
      </w:r>
      <w:r w:rsidR="00A8424B" w:rsidRPr="00661B05">
        <w:t xml:space="preserve">своя </w:t>
      </w:r>
      <w:r w:rsidRPr="00661B05">
        <w:t>Правилник за дейността,</w:t>
      </w:r>
    </w:p>
    <w:p w:rsidR="00D16588" w:rsidRPr="00661B05" w:rsidRDefault="00D16588" w:rsidP="00D16588">
      <w:pPr>
        <w:pStyle w:val="NormalHanging12a"/>
      </w:pPr>
      <w:r w:rsidRPr="00661B05">
        <w:t>—</w:t>
      </w:r>
      <w:r w:rsidRPr="00661B05">
        <w:tab/>
        <w:t xml:space="preserve">като взе предвид </w:t>
      </w:r>
      <w:r w:rsidRPr="00661B05">
        <w:rPr>
          <w:bCs/>
        </w:rPr>
        <w:t>временното споразумение</w:t>
      </w:r>
      <w:r w:rsidRPr="00661B05">
        <w:t xml:space="preserve">, одобрено от компетентната комисия </w:t>
      </w:r>
      <w:r w:rsidRPr="00661B05">
        <w:lastRenderedPageBreak/>
        <w:t xml:space="preserve">съгласно член 74, параграф 4 </w:t>
      </w:r>
      <w:r w:rsidRPr="00661B05">
        <w:rPr>
          <w:bCs/>
        </w:rPr>
        <w:t>от своя Правилник за дейността,</w:t>
      </w:r>
      <w:r w:rsidRPr="00661B05">
        <w:t xml:space="preserve"> и поетия с писмо от 20 декември 2023 г. ангажимент на представителя на Съвета за одобряване на позицията на Парламента в съответствие с член 294, параграф 4 от Договора за функционирането на Европейския съюз,</w:t>
      </w:r>
    </w:p>
    <w:p w:rsidR="00C77835" w:rsidRPr="00661B05" w:rsidRDefault="00C77835" w:rsidP="00C77835">
      <w:pPr>
        <w:pStyle w:val="NormalHanging12a"/>
        <w:rPr>
          <w:szCs w:val="24"/>
        </w:rPr>
      </w:pPr>
      <w:r w:rsidRPr="00661B05">
        <w:t>–</w:t>
      </w:r>
      <w:r w:rsidRPr="00661B05">
        <w:tab/>
        <w:t>като взе предвид съвместните разисквания на комисията по бюджети и комисията по бюджетен контрол в съответствие с член 58 от Правилника за дейността,</w:t>
      </w:r>
    </w:p>
    <w:p w:rsidR="00C77835" w:rsidRPr="00661B05" w:rsidRDefault="00C77835" w:rsidP="00C77835">
      <w:pPr>
        <w:pStyle w:val="NormalHanging12a"/>
      </w:pPr>
      <w:r w:rsidRPr="00661B05">
        <w:t>–</w:t>
      </w:r>
      <w:r w:rsidRPr="00661B05">
        <w:tab/>
        <w:t>като взе предвид член 110 и член 59 от своя Правилник за дейността,</w:t>
      </w:r>
    </w:p>
    <w:p w:rsidR="00C77835" w:rsidRPr="00661B05" w:rsidRDefault="00C77835" w:rsidP="00C77835">
      <w:pPr>
        <w:pStyle w:val="NormalHanging12a"/>
      </w:pPr>
      <w:r w:rsidRPr="00661B05">
        <w:t>–</w:t>
      </w:r>
      <w:r w:rsidRPr="00661B05">
        <w:tab/>
        <w:t>като взе предвид становището на комисията по регионално развитие,</w:t>
      </w:r>
    </w:p>
    <w:p w:rsidR="00C77835" w:rsidRPr="00661B05" w:rsidRDefault="00C77835" w:rsidP="00C77835">
      <w:pPr>
        <w:pStyle w:val="NormalHanging12a"/>
      </w:pPr>
      <w:r w:rsidRPr="00661B05">
        <w:t>–</w:t>
      </w:r>
      <w:r w:rsidRPr="00661B05">
        <w:tab/>
        <w:t>като взе предвид писмото от комисията по промишленост, изследвания и енергетика,</w:t>
      </w:r>
    </w:p>
    <w:p w:rsidR="00C77835" w:rsidRPr="00661B05" w:rsidRDefault="00C77835" w:rsidP="00C77835">
      <w:pPr>
        <w:pStyle w:val="NormalHanging12a"/>
      </w:pPr>
      <w:r w:rsidRPr="00661B05">
        <w:t>–</w:t>
      </w:r>
      <w:r w:rsidRPr="00661B05">
        <w:tab/>
        <w:t>като взе предвид доклада на комисията по бюджети и комисията по бюджетен контрол (A9-0180/2023),</w:t>
      </w:r>
    </w:p>
    <w:p w:rsidR="00C77835" w:rsidRPr="00661B05" w:rsidRDefault="00C77835" w:rsidP="00C77835">
      <w:pPr>
        <w:pStyle w:val="NormalHanging12a"/>
      </w:pPr>
      <w:r w:rsidRPr="00661B05">
        <w:t>А.</w:t>
      </w:r>
      <w:r w:rsidRPr="00661B05">
        <w:tab/>
        <w:t>като има предвид, че съгласно становището на консултативната група на правните служби на Европейския парламент, Съвета и Комисията предложението на Комисията не съдържа никакви изменения по същество освен тези, които са идентифицирани като такива в предложението, и че по отношение на кодификацията на непроменените разпоредби на предишните актове с въпросните изменения предложението се свежда до обикновена кодификация на съществуващите актове, без промяна по същество;</w:t>
      </w:r>
    </w:p>
    <w:p w:rsidR="00C77835" w:rsidRPr="00661B05" w:rsidRDefault="00C77835" w:rsidP="00C77835">
      <w:pPr>
        <w:pStyle w:val="NormalHanging12a"/>
      </w:pPr>
      <w:r w:rsidRPr="00661B05">
        <w:t>1.</w:t>
      </w:r>
      <w:r w:rsidRPr="00661B05">
        <w:tab/>
        <w:t>приема изложената по-долу позиция на първо четене, като взема предвид препоръките на консултативната група на правните служби на Европейския парламент, Съвета и Комисията;</w:t>
      </w:r>
    </w:p>
    <w:p w:rsidR="005A3E76" w:rsidRPr="00661B05" w:rsidRDefault="005A3E76" w:rsidP="005A3E76">
      <w:pPr>
        <w:pStyle w:val="NormalHanging12a"/>
      </w:pPr>
      <w:r w:rsidRPr="00661B05">
        <w:t>2.</w:t>
      </w:r>
      <w:r w:rsidRPr="00661B05">
        <w:tab/>
        <w:t xml:space="preserve">одобрява съвместното изявление на Парламента и на Съвета, приложено към настоящата резолюция, </w:t>
      </w:r>
      <w:r w:rsidRPr="00661B05">
        <w:rPr>
          <w:bCs/>
        </w:rPr>
        <w:t xml:space="preserve">което ще бъде публикувано в серия С на </w:t>
      </w:r>
      <w:r w:rsidRPr="00661B05">
        <w:rPr>
          <w:bCs/>
          <w:i/>
          <w:iCs/>
        </w:rPr>
        <w:t>Официален вестник на Европейския съюз</w:t>
      </w:r>
      <w:r w:rsidRPr="00661B05">
        <w:t>;</w:t>
      </w:r>
    </w:p>
    <w:p w:rsidR="005A3E76" w:rsidRPr="00661B05" w:rsidRDefault="005A3E76" w:rsidP="005A3E76">
      <w:pPr>
        <w:pStyle w:val="NormalHanging12a"/>
      </w:pPr>
      <w:r w:rsidRPr="00661B05">
        <w:t>3.</w:t>
      </w:r>
      <w:r w:rsidRPr="00661B05">
        <w:tab/>
        <w:t xml:space="preserve">одобрява съвместното изявление на Парламента, Съвета и Комисията, приложено към настоящата резолюция, </w:t>
      </w:r>
      <w:r w:rsidRPr="00661B05">
        <w:rPr>
          <w:bCs/>
        </w:rPr>
        <w:t xml:space="preserve">което ще бъде публикувано в серия С на </w:t>
      </w:r>
      <w:r w:rsidRPr="00661B05">
        <w:rPr>
          <w:bCs/>
          <w:i/>
          <w:iCs/>
        </w:rPr>
        <w:t>Официален вестник на Европейския съюз</w:t>
      </w:r>
      <w:r w:rsidRPr="00661B05">
        <w:t>;</w:t>
      </w:r>
    </w:p>
    <w:p w:rsidR="005A3E76" w:rsidRPr="00661B05" w:rsidRDefault="005A3E76" w:rsidP="005A3E76">
      <w:pPr>
        <w:pStyle w:val="NormalHanging12a"/>
      </w:pPr>
      <w:r w:rsidRPr="00661B05">
        <w:t>4.</w:t>
      </w:r>
      <w:r w:rsidRPr="00661B05">
        <w:tab/>
        <w:t>приема за сведение изявленията на Комисията, приложени към настоящата резолюция;</w:t>
      </w:r>
    </w:p>
    <w:p w:rsidR="00C77835" w:rsidRPr="00661B05" w:rsidRDefault="005A3E76" w:rsidP="00C77835">
      <w:pPr>
        <w:pStyle w:val="NormalHanging12a"/>
      </w:pPr>
      <w:r w:rsidRPr="00661B05">
        <w:t>5</w:t>
      </w:r>
      <w:r w:rsidR="00C77835" w:rsidRPr="00661B05">
        <w:t>.</w:t>
      </w:r>
      <w:r w:rsidR="00C77835" w:rsidRPr="00661B05">
        <w:tab/>
        <w:t>приканва Комисията да се отнесе до него отново, в случай че замени своето предложение с друг текст</w:t>
      </w:r>
      <w:r w:rsidR="00A8424B" w:rsidRPr="00661B05">
        <w:t>,</w:t>
      </w:r>
      <w:r w:rsidR="00C77835" w:rsidRPr="00661B05">
        <w:t xml:space="preserve"> внесе или възнамерява да внесе съществени промени в това предложение;</w:t>
      </w:r>
    </w:p>
    <w:p w:rsidR="00C77835" w:rsidRPr="00661B05" w:rsidRDefault="005A3E76" w:rsidP="00C77835">
      <w:pPr>
        <w:pStyle w:val="NormalHanging12a"/>
      </w:pPr>
      <w:r w:rsidRPr="00661B05">
        <w:t>6</w:t>
      </w:r>
      <w:r w:rsidR="00C77835" w:rsidRPr="00661B05">
        <w:t>.</w:t>
      </w:r>
      <w:r w:rsidR="00C77835" w:rsidRPr="00661B05">
        <w:tab/>
        <w:t>възлага на своя председател да предаде позицията на Парламента съответно на Съвета и на Комисията, както и на националните парламенти.</w:t>
      </w:r>
    </w:p>
    <w:p w:rsidR="005A3E76" w:rsidRPr="00661B05" w:rsidRDefault="005A3E76" w:rsidP="00C77835">
      <w:pPr>
        <w:sectPr w:rsidR="005A3E76" w:rsidRPr="00661B05" w:rsidSect="007A53AB">
          <w:footnotePr>
            <w:numRestart w:val="eachSect"/>
          </w:footnotePr>
          <w:pgSz w:w="11906" w:h="16838" w:code="9"/>
          <w:pgMar w:top="1134" w:right="1418" w:bottom="1418" w:left="1418" w:header="1134" w:footer="567" w:gutter="0"/>
          <w:cols w:space="720"/>
          <w:noEndnote/>
          <w:docGrid w:linePitch="326"/>
        </w:sectPr>
      </w:pPr>
    </w:p>
    <w:p w:rsidR="005A3E76" w:rsidRPr="00661B05" w:rsidRDefault="005A3E76" w:rsidP="005A3E76">
      <w:pPr>
        <w:rPr>
          <w:b/>
          <w:bCs/>
        </w:rPr>
      </w:pPr>
      <w:r w:rsidRPr="00661B05">
        <w:rPr>
          <w:b/>
          <w:bCs/>
          <w:lang w:val="en-GB"/>
        </w:rPr>
        <w:lastRenderedPageBreak/>
        <w:t>P</w:t>
      </w:r>
      <w:r w:rsidRPr="00661B05">
        <w:rPr>
          <w:b/>
          <w:bCs/>
        </w:rPr>
        <w:t>9_</w:t>
      </w:r>
      <w:r w:rsidRPr="00661B05">
        <w:rPr>
          <w:b/>
          <w:bCs/>
          <w:lang w:val="en-GB"/>
        </w:rPr>
        <w:t>TC</w:t>
      </w:r>
      <w:r w:rsidRPr="00661B05">
        <w:rPr>
          <w:b/>
          <w:bCs/>
        </w:rPr>
        <w:t>1-</w:t>
      </w:r>
      <w:r w:rsidRPr="00661B05">
        <w:rPr>
          <w:b/>
          <w:bCs/>
          <w:lang w:val="en-GB"/>
        </w:rPr>
        <w:t>COD</w:t>
      </w:r>
      <w:r w:rsidRPr="00661B05">
        <w:rPr>
          <w:b/>
          <w:bCs/>
        </w:rPr>
        <w:t>(2022)0162</w:t>
      </w:r>
    </w:p>
    <w:p w:rsidR="00F80BCF" w:rsidRDefault="005A3E76" w:rsidP="00C15C7E">
      <w:pPr>
        <w:spacing w:before="120" w:after="240"/>
        <w:rPr>
          <w:rFonts w:eastAsia="Calibri"/>
          <w:b/>
          <w:szCs w:val="24"/>
          <w:lang w:eastAsia="en-US"/>
        </w:rPr>
      </w:pPr>
      <w:r w:rsidRPr="00661B05">
        <w:rPr>
          <w:b/>
          <w:szCs w:val="24"/>
        </w:rPr>
        <w:t>Позиция на Европейския парламент, приета на първо четене на 14 март 2024 г. с оглед на приемането на Регламент (ЕС</w:t>
      </w:r>
      <w:r w:rsidR="00A10853" w:rsidRPr="00A10853">
        <w:rPr>
          <w:b/>
          <w:szCs w:val="24"/>
        </w:rPr>
        <w:t>, Евратом</w:t>
      </w:r>
      <w:r w:rsidRPr="00661B05">
        <w:rPr>
          <w:b/>
          <w:szCs w:val="24"/>
        </w:rPr>
        <w:t xml:space="preserve">) 2024/... на Европейския парламент и на Съвета </w:t>
      </w:r>
      <w:r w:rsidRPr="00661B05">
        <w:rPr>
          <w:rFonts w:eastAsia="Calibri"/>
          <w:b/>
          <w:szCs w:val="24"/>
          <w:lang w:eastAsia="en-US"/>
        </w:rPr>
        <w:t>за финансовите правила, приложими за общия бюджет на Съюза</w:t>
      </w:r>
      <w:r w:rsidR="00D94666" w:rsidRPr="00D94666">
        <w:rPr>
          <w:rFonts w:eastAsia="Calibri"/>
          <w:b/>
          <w:szCs w:val="24"/>
          <w:lang w:eastAsia="en-US"/>
        </w:rPr>
        <w:t xml:space="preserve"> </w:t>
      </w:r>
      <w:r w:rsidR="00D94666" w:rsidRPr="00661B05">
        <w:rPr>
          <w:rFonts w:eastAsia="Calibri"/>
          <w:b/>
          <w:szCs w:val="24"/>
          <w:lang w:eastAsia="en-US"/>
        </w:rPr>
        <w:t>(преработен текст)</w:t>
      </w:r>
      <w:r w:rsidRPr="00661B05">
        <w:rPr>
          <w:rFonts w:eastAsia="Calibri"/>
          <w:b/>
          <w:szCs w:val="24"/>
          <w:lang w:eastAsia="en-US"/>
        </w:rPr>
        <w:t xml:space="preserve"> </w:t>
      </w:r>
    </w:p>
    <w:p w:rsidR="00F80BCF" w:rsidRPr="00F80BCF" w:rsidRDefault="00F80BCF" w:rsidP="00F80BCF">
      <w:pPr>
        <w:spacing w:before="240"/>
        <w:rPr>
          <w:i/>
        </w:rPr>
      </w:pPr>
      <w:r w:rsidRPr="00F80BCF">
        <w:rPr>
          <w:i/>
        </w:rPr>
        <w:t>(Тъй като беше постигнато споразумение между Парламента и Съвета, позицията на Парламента съответства на окончателния законодателен акт, Регламент</w:t>
      </w:r>
      <w:r w:rsidRPr="00F80BCF">
        <w:rPr>
          <w:i/>
          <w:lang w:val="en-GB"/>
        </w:rPr>
        <w:t xml:space="preserve"> </w:t>
      </w:r>
      <w:r w:rsidRPr="00F80BCF">
        <w:rPr>
          <w:i/>
          <w:szCs w:val="24"/>
        </w:rPr>
        <w:t xml:space="preserve">(ЕС, Евратом) </w:t>
      </w:r>
      <w:r w:rsidRPr="00F80BCF">
        <w:rPr>
          <w:i/>
          <w:lang w:val="fr-FR"/>
        </w:rPr>
        <w:t>202</w:t>
      </w:r>
      <w:r w:rsidRPr="00F80BCF">
        <w:rPr>
          <w:i/>
        </w:rPr>
        <w:t>4</w:t>
      </w:r>
      <w:r w:rsidRPr="00F80BCF">
        <w:rPr>
          <w:i/>
        </w:rPr>
        <w:t>/2</w:t>
      </w:r>
      <w:r w:rsidRPr="00F80BCF">
        <w:rPr>
          <w:i/>
          <w:lang w:val="en-GB"/>
        </w:rPr>
        <w:t>509</w:t>
      </w:r>
      <w:r w:rsidRPr="00F80BCF">
        <w:rPr>
          <w:i/>
        </w:rPr>
        <w:t>.)</w:t>
      </w:r>
    </w:p>
    <w:p w:rsidR="00F80BCF" w:rsidRPr="00F80BCF" w:rsidRDefault="00F80BCF" w:rsidP="00C15C7E">
      <w:pPr>
        <w:spacing w:before="120" w:after="240"/>
        <w:rPr>
          <w:rFonts w:eastAsia="Calibri"/>
          <w:i/>
          <w:szCs w:val="24"/>
          <w:lang w:val="en-GB" w:eastAsia="en-US"/>
        </w:rPr>
      </w:pPr>
    </w:p>
    <w:p w:rsidR="00F80BCF" w:rsidRDefault="00F80BCF">
      <w:pPr>
        <w:widowControl/>
        <w:rPr>
          <w:rFonts w:eastAsia="Calibri"/>
          <w:b/>
          <w:szCs w:val="24"/>
          <w:lang w:eastAsia="en-US"/>
        </w:rPr>
      </w:pPr>
      <w:r>
        <w:rPr>
          <w:rFonts w:eastAsia="Calibri"/>
          <w:b/>
          <w:szCs w:val="24"/>
          <w:lang w:eastAsia="en-US"/>
        </w:rPr>
        <w:br w:type="page"/>
      </w:r>
    </w:p>
    <w:p w:rsidR="005A3E76" w:rsidRPr="00D94666" w:rsidRDefault="005A3E76" w:rsidP="00C15C7E">
      <w:pPr>
        <w:spacing w:before="120" w:after="240"/>
        <w:rPr>
          <w:b/>
          <w:szCs w:val="24"/>
        </w:rPr>
      </w:pPr>
    </w:p>
    <w:p w:rsidR="00CA4E5E" w:rsidRPr="00661B05" w:rsidRDefault="00CA4E5E" w:rsidP="00CA4E5E">
      <w:pPr>
        <w:jc w:val="right"/>
      </w:pPr>
      <w:r w:rsidRPr="00661B05">
        <w:t>ПРИЛОЖЕНИЕ КЪМ ЗАКОНОДАТЕЛНАТА РЕЗОЛЮЦИЯ</w:t>
      </w:r>
    </w:p>
    <w:p w:rsidR="00CA4E5E" w:rsidRPr="00661B05" w:rsidRDefault="00CA4E5E" w:rsidP="00CA4E5E"/>
    <w:p w:rsidR="00CA4E5E" w:rsidRPr="00661B05" w:rsidRDefault="00CA4E5E" w:rsidP="00F80BCF">
      <w:pPr>
        <w:spacing w:before="120" w:after="120" w:line="360" w:lineRule="auto"/>
        <w:jc w:val="center"/>
        <w:rPr>
          <w:rFonts w:eastAsiaTheme="minorHAnsi"/>
          <w:b/>
          <w:szCs w:val="24"/>
          <w:u w:val="single"/>
          <w:lang w:eastAsia="en-US"/>
        </w:rPr>
      </w:pPr>
      <w:r w:rsidRPr="00661B05">
        <w:rPr>
          <w:rFonts w:eastAsiaTheme="minorHAnsi"/>
          <w:b/>
          <w:szCs w:val="24"/>
          <w:u w:val="single"/>
          <w:lang w:eastAsia="en-US"/>
        </w:rPr>
        <w:t>Съвместно изявление относно бюджетното третиране на дължими лихви или други такси във връзка с отменени или намалени глоби или други санкции по повод на приемането на Регламент (</w:t>
      </w:r>
      <w:r w:rsidR="00F80BCF" w:rsidRPr="00F80BCF">
        <w:rPr>
          <w:rFonts w:eastAsiaTheme="minorHAnsi"/>
          <w:b/>
          <w:szCs w:val="24"/>
          <w:u w:val="single"/>
          <w:lang w:eastAsia="en-US"/>
        </w:rPr>
        <w:t>(ЕС, Евратом) 2024/2509</w:t>
      </w:r>
    </w:p>
    <w:p w:rsidR="00CA4E5E" w:rsidRPr="00661B05" w:rsidRDefault="00CA4E5E" w:rsidP="00CA4E5E">
      <w:pPr>
        <w:widowControl/>
        <w:spacing w:before="120" w:after="120" w:line="360" w:lineRule="auto"/>
        <w:rPr>
          <w:rFonts w:eastAsiaTheme="minorHAnsi"/>
          <w:szCs w:val="24"/>
          <w:lang w:eastAsia="en-US"/>
        </w:rPr>
      </w:pPr>
      <w:r w:rsidRPr="00661B05">
        <w:rPr>
          <w:rFonts w:eastAsiaTheme="minorHAnsi"/>
          <w:szCs w:val="24"/>
          <w:lang w:eastAsia="en-US"/>
        </w:rPr>
        <w:t>„Европейският парламент и Съветът постигнаха съгласие, че всякакви дължими лихви или други такси във връзка с отменени или намалени глоби или други санкции ще се записват като отрицателни приходи за срока на действащата многогодишна рамка. Това е изключение от забраната за отрицателни приходи, което се отнася само за това специфично, непредвидимо положение.</w:t>
      </w:r>
    </w:p>
    <w:p w:rsidR="00CA4E5E" w:rsidRPr="00661B05" w:rsidRDefault="00CA4E5E" w:rsidP="00CA4E5E">
      <w:pPr>
        <w:pStyle w:val="Normal12a"/>
        <w:spacing w:line="360" w:lineRule="auto"/>
      </w:pPr>
      <w:r w:rsidRPr="00661B05">
        <w:rPr>
          <w:rFonts w:eastAsiaTheme="minorHAnsi"/>
          <w:szCs w:val="24"/>
          <w:lang w:eastAsia="en-US"/>
        </w:rPr>
        <w:t>Без да се засягат съответните правомощия, Европейският парламент, Съветът и Комисията се споразумяват, като вземат предвид опита от миналото и очакваните бъдещи промени, да проучат дългосрочно устойчиво решение, в съответствие с прилагането на бюджетните принципи на Финансовия регламент, за финансирането на подобни лихви или други такси, което да се прилага след 2027 г., включително по отношение на дължимите лихви върху сумите на глобите или другите санкции, които трябва да бъдат платени като подходящо обезщетение за предприятията получатели в такива ситуации.</w:t>
      </w:r>
      <w:r w:rsidRPr="00661B05">
        <w:t>“</w:t>
      </w:r>
    </w:p>
    <w:p w:rsidR="00CA4E5E" w:rsidRPr="00661B05" w:rsidRDefault="00CA4E5E" w:rsidP="00F80BCF">
      <w:pPr>
        <w:spacing w:before="120" w:after="120" w:line="360" w:lineRule="auto"/>
        <w:jc w:val="center"/>
        <w:rPr>
          <w:rFonts w:eastAsiaTheme="minorHAnsi"/>
          <w:b/>
          <w:szCs w:val="24"/>
          <w:u w:val="single"/>
          <w:lang w:eastAsia="en-US"/>
        </w:rPr>
      </w:pPr>
      <w:r w:rsidRPr="00661B05">
        <w:rPr>
          <w:rFonts w:eastAsiaTheme="minorHAnsi"/>
          <w:b/>
          <w:szCs w:val="24"/>
          <w:u w:val="single"/>
          <w:lang w:eastAsia="en-US"/>
        </w:rPr>
        <w:t xml:space="preserve">Съвместно изявление на Европейския парламент, Съвета и Комисията относно единния инструмент за извличане на данни и измерване на риска, предвиден в член 36 от Финансовия регламент по повод на приемането на Регламент </w:t>
      </w:r>
      <w:r w:rsidR="00F80BCF" w:rsidRPr="00661B05">
        <w:rPr>
          <w:rFonts w:eastAsiaTheme="minorHAnsi"/>
          <w:b/>
          <w:szCs w:val="24"/>
          <w:u w:val="single"/>
          <w:lang w:eastAsia="en-US"/>
        </w:rPr>
        <w:t>(</w:t>
      </w:r>
      <w:r w:rsidR="00F80BCF" w:rsidRPr="00F80BCF">
        <w:rPr>
          <w:rFonts w:eastAsiaTheme="minorHAnsi"/>
          <w:b/>
          <w:szCs w:val="24"/>
          <w:u w:val="single"/>
          <w:lang w:eastAsia="en-US"/>
        </w:rPr>
        <w:t>(ЕС, Евратом) 2024/2509</w:t>
      </w:r>
    </w:p>
    <w:p w:rsidR="00CA4E5E" w:rsidRPr="00661B05" w:rsidRDefault="00CA4E5E" w:rsidP="00CA4E5E">
      <w:pPr>
        <w:widowControl/>
        <w:spacing w:before="120" w:after="120" w:line="360" w:lineRule="auto"/>
        <w:rPr>
          <w:rFonts w:eastAsiaTheme="minorHAnsi"/>
          <w:szCs w:val="24"/>
          <w:lang w:eastAsia="en-US"/>
        </w:rPr>
      </w:pPr>
      <w:r w:rsidRPr="00661B05">
        <w:rPr>
          <w:rFonts w:eastAsiaTheme="minorHAnsi"/>
          <w:szCs w:val="24"/>
          <w:lang w:eastAsia="en-US"/>
        </w:rPr>
        <w:t>„Европейският парламент, Съветът и Комисията („трите институции“) признават значението на подобряването на защитата на финансовите интереси на Съюза, както се потвърждава в Междуинституционалното споразумение („МИС“) от 16 декември 2020 г. и както е посочено в член 325 от ДФЕС.</w:t>
      </w:r>
    </w:p>
    <w:p w:rsidR="00CA4E5E" w:rsidRPr="00661B05" w:rsidRDefault="00CA4E5E" w:rsidP="00CA4E5E">
      <w:pPr>
        <w:widowControl/>
        <w:spacing w:before="120" w:after="120" w:line="360" w:lineRule="auto"/>
        <w:rPr>
          <w:rFonts w:eastAsiaTheme="minorHAnsi"/>
          <w:szCs w:val="24"/>
          <w:lang w:eastAsia="en-US"/>
        </w:rPr>
      </w:pPr>
      <w:r w:rsidRPr="00661B05">
        <w:rPr>
          <w:rFonts w:eastAsiaTheme="minorHAnsi"/>
          <w:szCs w:val="24"/>
          <w:lang w:eastAsia="en-US"/>
        </w:rPr>
        <w:t>Трите институции са съгласни, че е необходимо инструментът да бъде доразвит в съответствие с правилата за информационна сигурност и защита на данните. С цел да се намали административната тежест и да се избегнат непропорционални разходи за информационни технологии за държавите членки и другите потребители, ще бъдат взети предвид установените в държавите членки одобрени системи.</w:t>
      </w:r>
    </w:p>
    <w:p w:rsidR="00CA4E5E" w:rsidRPr="00661B05" w:rsidRDefault="00CA4E5E" w:rsidP="00CA4E5E">
      <w:pPr>
        <w:widowControl/>
        <w:spacing w:before="120" w:after="120" w:line="360" w:lineRule="auto"/>
        <w:rPr>
          <w:rFonts w:eastAsiaTheme="minorHAnsi"/>
          <w:szCs w:val="24"/>
          <w:lang w:eastAsia="en-US"/>
        </w:rPr>
      </w:pPr>
      <w:r w:rsidRPr="00661B05">
        <w:rPr>
          <w:rFonts w:eastAsiaTheme="minorHAnsi"/>
          <w:szCs w:val="24"/>
          <w:lang w:eastAsia="en-US"/>
        </w:rPr>
        <w:t xml:space="preserve">Трите институции поемат ангажимент да си сътрудничат за по-нататъшното развитие на инструмента. Комисията потвърждава, че ще продължи да развива инструмента в </w:t>
      </w:r>
      <w:r w:rsidRPr="00661B05">
        <w:rPr>
          <w:rFonts w:eastAsiaTheme="minorHAnsi"/>
          <w:szCs w:val="24"/>
          <w:lang w:eastAsia="en-US"/>
        </w:rPr>
        <w:lastRenderedPageBreak/>
        <w:t>консултация с неговите потребители и да предлага на държавите членки подкрепа във връзка с всякакви технически запитвания. Държавите членки ще си сътрудничат с Комисията, за да се създадат условия за полезни взаимодействия, необходими за оперативната съвместимост със съответните информационни системи и бази данни.</w:t>
      </w:r>
    </w:p>
    <w:p w:rsidR="00CA4E5E" w:rsidRPr="00661B05" w:rsidRDefault="00CA4E5E" w:rsidP="00CA4E5E">
      <w:pPr>
        <w:pStyle w:val="Normal12a"/>
        <w:spacing w:line="360" w:lineRule="auto"/>
      </w:pPr>
      <w:r w:rsidRPr="00661B05">
        <w:rPr>
          <w:rFonts w:eastAsiaTheme="minorHAnsi"/>
          <w:szCs w:val="24"/>
          <w:lang w:eastAsia="en-US"/>
        </w:rPr>
        <w:t>След оценка от страна на Комисията, с която се установява готовността на инструмента въз основа на критериите, посочени в член 36, параграф 6 от Финансовия регламент, трите институции, без да се засягат съответните им правомощия, се ангажират да разгледат и обсъдят отново задължителното използване на инструмента при изпълнението на многогодишната финансова рамка за периода след 2027 г.</w:t>
      </w:r>
      <w:r w:rsidRPr="00661B05">
        <w:t>“</w:t>
      </w:r>
    </w:p>
    <w:p w:rsidR="00CA4E5E" w:rsidRPr="00661B05" w:rsidRDefault="00CA4E5E" w:rsidP="00F80BCF">
      <w:pPr>
        <w:spacing w:before="120" w:after="120" w:line="360" w:lineRule="auto"/>
        <w:jc w:val="center"/>
        <w:rPr>
          <w:rFonts w:eastAsiaTheme="minorHAnsi"/>
          <w:b/>
          <w:szCs w:val="24"/>
          <w:u w:val="single"/>
          <w:lang w:eastAsia="en-US"/>
        </w:rPr>
      </w:pPr>
      <w:r w:rsidRPr="00661B05">
        <w:rPr>
          <w:rFonts w:eastAsiaTheme="minorHAnsi"/>
          <w:b/>
          <w:szCs w:val="24"/>
          <w:u w:val="single"/>
          <w:lang w:eastAsia="en-US"/>
        </w:rPr>
        <w:t xml:space="preserve">Едностранно изявление на Комисията относно отменените бюджетни кредити по повод на приемането на Регламент </w:t>
      </w:r>
      <w:r w:rsidR="00F80BCF" w:rsidRPr="00661B05">
        <w:rPr>
          <w:rFonts w:eastAsiaTheme="minorHAnsi"/>
          <w:b/>
          <w:szCs w:val="24"/>
          <w:u w:val="single"/>
          <w:lang w:eastAsia="en-US"/>
        </w:rPr>
        <w:t>(</w:t>
      </w:r>
      <w:r w:rsidR="00F80BCF" w:rsidRPr="00F80BCF">
        <w:rPr>
          <w:rFonts w:eastAsiaTheme="minorHAnsi"/>
          <w:b/>
          <w:szCs w:val="24"/>
          <w:u w:val="single"/>
          <w:lang w:eastAsia="en-US"/>
        </w:rPr>
        <w:t>(ЕС, Евратом) 2024/2509</w:t>
      </w:r>
    </w:p>
    <w:p w:rsidR="00CA4E5E" w:rsidRPr="00661B05" w:rsidRDefault="00CA4E5E" w:rsidP="00CA4E5E">
      <w:pPr>
        <w:widowControl/>
        <w:spacing w:before="120" w:after="120" w:line="360" w:lineRule="auto"/>
        <w:rPr>
          <w:rFonts w:eastAsiaTheme="minorHAnsi"/>
          <w:szCs w:val="24"/>
          <w:lang w:eastAsia="en-US"/>
        </w:rPr>
      </w:pPr>
      <w:r w:rsidRPr="00661B05">
        <w:rPr>
          <w:rFonts w:eastAsiaTheme="minorHAnsi"/>
          <w:szCs w:val="24"/>
          <w:lang w:eastAsia="en-US"/>
        </w:rPr>
        <w:t>„В контекста на подготовката за многогодишната финансова рамка за периода след 2027 г. Комисията ще разгледа въпроса за разширяване на обхвата на повторното предоставяне на бюджетните кредити, съответстващи на отменените бюджетни кредити. Това не засяга бъдещото предложение на Комисията относно многогодишната финансова рамка за периода след 2027 г. и правото на законодателна инициатива на Комисията, установено в Договорите.“</w:t>
      </w:r>
    </w:p>
    <w:p w:rsidR="00CA4E5E" w:rsidRPr="00661B05" w:rsidRDefault="00CA4E5E" w:rsidP="00CA4E5E">
      <w:pPr>
        <w:widowControl/>
        <w:spacing w:before="120" w:after="120" w:line="360" w:lineRule="auto"/>
        <w:jc w:val="center"/>
        <w:rPr>
          <w:rFonts w:eastAsiaTheme="minorHAnsi"/>
          <w:b/>
          <w:szCs w:val="24"/>
          <w:u w:val="single"/>
          <w:lang w:eastAsia="en-US"/>
        </w:rPr>
      </w:pPr>
    </w:p>
    <w:p w:rsidR="00CA4E5E" w:rsidRPr="00661B05" w:rsidRDefault="00CA4E5E" w:rsidP="00F80BCF">
      <w:pPr>
        <w:widowControl/>
        <w:spacing w:before="120" w:after="120" w:line="360" w:lineRule="auto"/>
        <w:jc w:val="center"/>
        <w:rPr>
          <w:rFonts w:eastAsiaTheme="minorHAnsi"/>
          <w:b/>
          <w:szCs w:val="24"/>
          <w:u w:val="single"/>
          <w:lang w:eastAsia="en-US"/>
        </w:rPr>
      </w:pPr>
      <w:r w:rsidRPr="00661B05">
        <w:rPr>
          <w:rFonts w:eastAsiaTheme="minorHAnsi"/>
          <w:b/>
          <w:szCs w:val="24"/>
          <w:u w:val="single"/>
          <w:lang w:eastAsia="en-US"/>
        </w:rPr>
        <w:t xml:space="preserve">Едностранно изявление на Комисията относно системата за ранно откриване и отстраняване по повод на приемането на Регламент </w:t>
      </w:r>
      <w:r w:rsidR="00F80BCF" w:rsidRPr="00661B05">
        <w:rPr>
          <w:rFonts w:eastAsiaTheme="minorHAnsi"/>
          <w:b/>
          <w:szCs w:val="24"/>
          <w:u w:val="single"/>
          <w:lang w:eastAsia="en-US"/>
        </w:rPr>
        <w:t>(</w:t>
      </w:r>
      <w:r w:rsidR="00F80BCF" w:rsidRPr="00F80BCF">
        <w:rPr>
          <w:rFonts w:eastAsiaTheme="minorHAnsi"/>
          <w:b/>
          <w:szCs w:val="24"/>
          <w:u w:val="single"/>
          <w:lang w:eastAsia="en-US"/>
        </w:rPr>
        <w:t>(ЕС, Евратом) 2024/2509</w:t>
      </w:r>
      <w:bookmarkStart w:id="8" w:name="_GoBack"/>
      <w:bookmarkEnd w:id="8"/>
    </w:p>
    <w:p w:rsidR="00CA4E5E" w:rsidRPr="00661B05" w:rsidRDefault="00CA4E5E" w:rsidP="00CA4E5E">
      <w:pPr>
        <w:widowControl/>
        <w:spacing w:before="120" w:after="120" w:line="360" w:lineRule="auto"/>
        <w:rPr>
          <w:rFonts w:eastAsiaTheme="minorHAnsi"/>
          <w:szCs w:val="24"/>
          <w:lang w:eastAsia="en-US"/>
        </w:rPr>
      </w:pPr>
      <w:r w:rsidRPr="00661B05">
        <w:rPr>
          <w:rFonts w:eastAsiaTheme="minorHAnsi"/>
          <w:szCs w:val="24"/>
          <w:lang w:eastAsia="en-US"/>
        </w:rPr>
        <w:t xml:space="preserve">„Европейската комисия признава, че е важно да се сведе до минимум административната тежест за органите на държавите членки в контекста на целенасоченото разширяване на системата за ранно откриване и отстраняване (EDES), така че да обхване споделеното управление и прякото управление с държавите членки. </w:t>
      </w:r>
    </w:p>
    <w:p w:rsidR="00CA4E5E" w:rsidRPr="00661B05" w:rsidRDefault="00CA4E5E" w:rsidP="00CA4E5E">
      <w:pPr>
        <w:widowControl/>
        <w:spacing w:before="120" w:after="120" w:line="360" w:lineRule="auto"/>
        <w:rPr>
          <w:rFonts w:eastAsiaTheme="minorHAnsi"/>
          <w:szCs w:val="24"/>
          <w:lang w:eastAsia="en-US"/>
        </w:rPr>
      </w:pPr>
      <w:r w:rsidRPr="00661B05">
        <w:rPr>
          <w:rFonts w:eastAsiaTheme="minorHAnsi"/>
          <w:szCs w:val="24"/>
          <w:lang w:eastAsia="en-US"/>
        </w:rPr>
        <w:t xml:space="preserve">Комисията се ангажира да разработи всеобхватни насоки и да предложи обучения на държавите членки относно прилагането на EDES и използването на базата данни на тази система. </w:t>
      </w:r>
    </w:p>
    <w:p w:rsidR="00CA4E5E" w:rsidRPr="00661B05" w:rsidRDefault="00CA4E5E" w:rsidP="00CA4E5E">
      <w:pPr>
        <w:widowControl/>
        <w:spacing w:before="120" w:after="120" w:line="360" w:lineRule="auto"/>
        <w:rPr>
          <w:rFonts w:eastAsiaTheme="minorHAnsi"/>
          <w:szCs w:val="24"/>
          <w:lang w:eastAsia="en-US"/>
        </w:rPr>
      </w:pPr>
      <w:r w:rsidRPr="00661B05">
        <w:rPr>
          <w:rFonts w:eastAsiaTheme="minorHAnsi"/>
          <w:szCs w:val="24"/>
          <w:lang w:eastAsia="en-US"/>
        </w:rPr>
        <w:t>Комисията ще продължи да подобрява базата данни на EDES, например като позволява търсенето на множество субекти и усъвършенства структурата на базата данни.</w:t>
      </w:r>
    </w:p>
    <w:p w:rsidR="00CA4E5E" w:rsidRPr="00661B05" w:rsidRDefault="00CA4E5E" w:rsidP="00CA4E5E">
      <w:pPr>
        <w:widowControl/>
        <w:spacing w:before="120" w:after="120" w:line="360" w:lineRule="auto"/>
        <w:rPr>
          <w:rFonts w:eastAsiaTheme="minorHAnsi"/>
          <w:szCs w:val="24"/>
          <w:lang w:eastAsia="en-US"/>
        </w:rPr>
      </w:pPr>
      <w:r w:rsidRPr="00661B05">
        <w:rPr>
          <w:rFonts w:eastAsiaTheme="minorHAnsi"/>
          <w:szCs w:val="24"/>
          <w:lang w:eastAsia="en-US"/>
        </w:rPr>
        <w:t xml:space="preserve">Комисията ще се стреми да осигури ИТ оперативна съвместимост между EDES и съответните национални системи, за да се рационализира процесът и да се даде възможност </w:t>
      </w:r>
      <w:r w:rsidRPr="00661B05">
        <w:rPr>
          <w:rFonts w:eastAsiaTheme="minorHAnsi"/>
          <w:szCs w:val="24"/>
          <w:lang w:eastAsia="en-US"/>
        </w:rPr>
        <w:lastRenderedPageBreak/>
        <w:t>за по-бързи проверки на налагащите отстраняване положения на съответните лица или субекти.</w:t>
      </w:r>
    </w:p>
    <w:p w:rsidR="00CA4E5E" w:rsidRPr="00661B05" w:rsidRDefault="00CA4E5E" w:rsidP="00CA4E5E">
      <w:pPr>
        <w:widowControl/>
        <w:spacing w:before="120" w:after="120" w:line="360" w:lineRule="auto"/>
        <w:rPr>
          <w:rFonts w:eastAsiaTheme="minorHAnsi"/>
          <w:szCs w:val="24"/>
          <w:lang w:eastAsia="en-US"/>
        </w:rPr>
      </w:pPr>
      <w:r w:rsidRPr="00661B05">
        <w:rPr>
          <w:rFonts w:eastAsiaTheme="minorHAnsi"/>
          <w:szCs w:val="24"/>
          <w:lang w:eastAsia="en-US"/>
        </w:rPr>
        <w:t>Комисията потвърждава, че всяко искане за допълнителна информация за целите на EDES няма да надхвърля строго необходимото и пропорционалното и ще бъде обработено в съответствие с приложимите правила за защита на данните. Припомня се, че становището на Европейския надзорен орган по защита на данните относно предложението на Комисията за преработване на Финансовия регламент не поражда никакви опасения по отношение на EDES.</w:t>
      </w:r>
    </w:p>
    <w:p w:rsidR="00CA4E5E" w:rsidRPr="00EF31F8" w:rsidRDefault="00CA4E5E" w:rsidP="00CA4E5E">
      <w:pPr>
        <w:pStyle w:val="Normal12a"/>
        <w:spacing w:line="360" w:lineRule="auto"/>
      </w:pPr>
      <w:r w:rsidRPr="00661B05">
        <w:rPr>
          <w:rFonts w:eastAsiaTheme="minorHAnsi"/>
          <w:szCs w:val="24"/>
          <w:lang w:eastAsia="en-US"/>
        </w:rPr>
        <w:t>Комисията се ангажира да улесни плавния преход към прилагането на EDES в пълно сътрудничество с държавите членки.</w:t>
      </w:r>
      <w:r w:rsidRPr="00661B05">
        <w:t>“</w:t>
      </w:r>
    </w:p>
    <w:p w:rsidR="00CA4E5E" w:rsidRPr="00E46BC2" w:rsidRDefault="00CA4E5E" w:rsidP="00CA4E5E"/>
    <w:p w:rsidR="00C15C7E" w:rsidRPr="00776AD9" w:rsidRDefault="00C15C7E" w:rsidP="00C15C7E">
      <w:pPr>
        <w:spacing w:after="240"/>
      </w:pPr>
    </w:p>
    <w:p w:rsidR="00C15C7E" w:rsidRPr="00C15C7E" w:rsidRDefault="00C15C7E" w:rsidP="00C15C7E"/>
    <w:p w:rsidR="00E12CE6" w:rsidRPr="00E46BC2" w:rsidRDefault="00E12CE6" w:rsidP="00C15C7E">
      <w:pPr>
        <w:widowControl/>
        <w:spacing w:before="600" w:after="120" w:line="360" w:lineRule="auto"/>
        <w:jc w:val="both"/>
      </w:pPr>
    </w:p>
    <w:sectPr w:rsidR="00E12CE6" w:rsidRPr="00E46BC2" w:rsidSect="00C15C7E">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334D" w:rsidRPr="007A53AB" w:rsidRDefault="0069334D">
      <w:r w:rsidRPr="007A53AB">
        <w:separator/>
      </w:r>
    </w:p>
  </w:endnote>
  <w:endnote w:type="continuationSeparator" w:id="0">
    <w:p w:rsidR="0069334D" w:rsidRPr="007A53AB" w:rsidRDefault="0069334D">
      <w:r w:rsidRPr="007A53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34D" w:rsidRDefault="006933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34D" w:rsidRPr="005A3E76" w:rsidRDefault="0069334D" w:rsidP="005A3E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34D" w:rsidRDefault="006933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334D" w:rsidRPr="007A53AB" w:rsidRDefault="0069334D">
      <w:r w:rsidRPr="007A53AB">
        <w:separator/>
      </w:r>
    </w:p>
  </w:footnote>
  <w:footnote w:type="continuationSeparator" w:id="0">
    <w:p w:rsidR="0069334D" w:rsidRPr="007A53AB" w:rsidRDefault="0069334D">
      <w:r w:rsidRPr="007A53AB">
        <w:continuationSeparator/>
      </w:r>
    </w:p>
  </w:footnote>
  <w:footnote w:id="1">
    <w:p w:rsidR="0069334D" w:rsidRPr="00C15C7E" w:rsidRDefault="0069334D" w:rsidP="00C15C7E">
      <w:pPr>
        <w:pStyle w:val="FootnoteText"/>
        <w:tabs>
          <w:tab w:val="left" w:pos="709"/>
          <w:tab w:val="left" w:pos="851"/>
        </w:tabs>
        <w:ind w:left="709" w:hanging="709"/>
        <w:rPr>
          <w:sz w:val="24"/>
          <w:szCs w:val="24"/>
          <w:lang w:val="bg-BG"/>
        </w:rPr>
      </w:pPr>
      <w:r w:rsidRPr="00C15C7E">
        <w:rPr>
          <w:rStyle w:val="FootnoteReference"/>
          <w:sz w:val="24"/>
          <w:szCs w:val="24"/>
          <w:lang w:val="bg-BG"/>
        </w:rPr>
        <w:footnoteRef/>
      </w:r>
      <w:r w:rsidRPr="00C15C7E">
        <w:rPr>
          <w:sz w:val="24"/>
          <w:szCs w:val="24"/>
          <w:lang w:val="bg-BG"/>
        </w:rPr>
        <w:t xml:space="preserve"> </w:t>
      </w:r>
      <w:r w:rsidRPr="00C15C7E">
        <w:rPr>
          <w:sz w:val="24"/>
          <w:szCs w:val="24"/>
          <w:lang w:val="bg-BG"/>
        </w:rPr>
        <w:tab/>
        <w:t>ОВ C 446, 24.11.2022 г., стр. 26.</w:t>
      </w:r>
    </w:p>
  </w:footnote>
  <w:footnote w:id="2">
    <w:p w:rsidR="0069334D" w:rsidRPr="00C15C7E" w:rsidRDefault="0069334D" w:rsidP="00C15C7E">
      <w:pPr>
        <w:pStyle w:val="FootnoteText"/>
        <w:tabs>
          <w:tab w:val="left" w:pos="709"/>
          <w:tab w:val="left" w:pos="851"/>
        </w:tabs>
        <w:ind w:left="709" w:hanging="709"/>
        <w:rPr>
          <w:sz w:val="24"/>
          <w:szCs w:val="24"/>
          <w:lang w:val="bg-BG"/>
        </w:rPr>
      </w:pPr>
      <w:r w:rsidRPr="00C15C7E">
        <w:rPr>
          <w:rStyle w:val="FootnoteReference"/>
          <w:sz w:val="24"/>
          <w:szCs w:val="24"/>
          <w:lang w:val="bg-BG"/>
        </w:rPr>
        <w:footnoteRef/>
      </w:r>
      <w:r w:rsidRPr="00C15C7E">
        <w:rPr>
          <w:sz w:val="24"/>
          <w:szCs w:val="24"/>
          <w:lang w:val="bg-BG"/>
        </w:rPr>
        <w:t xml:space="preserve"> </w:t>
      </w:r>
      <w:r w:rsidRPr="00C15C7E">
        <w:rPr>
          <w:sz w:val="24"/>
          <w:szCs w:val="24"/>
          <w:lang w:val="bg-BG"/>
        </w:rPr>
        <w:tab/>
        <w:t>ОВ C 77, 28.3.2002 г., стр.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34D" w:rsidRDefault="006933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34D" w:rsidRDefault="006933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34D" w:rsidRDefault="006933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33A4B62"/>
    <w:multiLevelType w:val="hybridMultilevel"/>
    <w:tmpl w:val="09C2C142"/>
    <w:lvl w:ilvl="0" w:tplc="5D342FA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A4535B1"/>
    <w:multiLevelType w:val="hybridMultilevel"/>
    <w:tmpl w:val="228A622E"/>
    <w:lvl w:ilvl="0" w:tplc="255A5890">
      <w:start w:val="1"/>
      <w:numFmt w:val="bullet"/>
      <w:lvlText w:val=""/>
      <w:lvlJc w:val="left"/>
      <w:pPr>
        <w:ind w:left="360" w:hanging="360"/>
      </w:pPr>
      <w:rPr>
        <w:rFonts w:ascii="Symbol" w:hAnsi="Symbol" w:hint="default"/>
      </w:rPr>
    </w:lvl>
    <w:lvl w:ilvl="1" w:tplc="F79A71E6" w:tentative="1">
      <w:start w:val="1"/>
      <w:numFmt w:val="bullet"/>
      <w:lvlText w:val="o"/>
      <w:lvlJc w:val="left"/>
      <w:pPr>
        <w:ind w:left="1080" w:hanging="360"/>
      </w:pPr>
      <w:rPr>
        <w:rFonts w:ascii="Courier New" w:hAnsi="Courier New" w:cs="Courier New" w:hint="default"/>
      </w:rPr>
    </w:lvl>
    <w:lvl w:ilvl="2" w:tplc="0E20434C" w:tentative="1">
      <w:start w:val="1"/>
      <w:numFmt w:val="bullet"/>
      <w:lvlText w:val=""/>
      <w:lvlJc w:val="left"/>
      <w:pPr>
        <w:ind w:left="1800" w:hanging="360"/>
      </w:pPr>
      <w:rPr>
        <w:rFonts w:ascii="Wingdings" w:hAnsi="Wingdings" w:hint="default"/>
      </w:rPr>
    </w:lvl>
    <w:lvl w:ilvl="3" w:tplc="45006AD6" w:tentative="1">
      <w:start w:val="1"/>
      <w:numFmt w:val="bullet"/>
      <w:lvlText w:val=""/>
      <w:lvlJc w:val="left"/>
      <w:pPr>
        <w:ind w:left="2520" w:hanging="360"/>
      </w:pPr>
      <w:rPr>
        <w:rFonts w:ascii="Symbol" w:hAnsi="Symbol" w:hint="default"/>
      </w:rPr>
    </w:lvl>
    <w:lvl w:ilvl="4" w:tplc="06DEEEBE" w:tentative="1">
      <w:start w:val="1"/>
      <w:numFmt w:val="bullet"/>
      <w:lvlText w:val="o"/>
      <w:lvlJc w:val="left"/>
      <w:pPr>
        <w:ind w:left="3240" w:hanging="360"/>
      </w:pPr>
      <w:rPr>
        <w:rFonts w:ascii="Courier New" w:hAnsi="Courier New" w:cs="Courier New" w:hint="default"/>
      </w:rPr>
    </w:lvl>
    <w:lvl w:ilvl="5" w:tplc="AE5A58B4" w:tentative="1">
      <w:start w:val="1"/>
      <w:numFmt w:val="bullet"/>
      <w:lvlText w:val=""/>
      <w:lvlJc w:val="left"/>
      <w:pPr>
        <w:ind w:left="3960" w:hanging="360"/>
      </w:pPr>
      <w:rPr>
        <w:rFonts w:ascii="Wingdings" w:hAnsi="Wingdings" w:hint="default"/>
      </w:rPr>
    </w:lvl>
    <w:lvl w:ilvl="6" w:tplc="8676E504" w:tentative="1">
      <w:start w:val="1"/>
      <w:numFmt w:val="bullet"/>
      <w:lvlText w:val=""/>
      <w:lvlJc w:val="left"/>
      <w:pPr>
        <w:ind w:left="4680" w:hanging="360"/>
      </w:pPr>
      <w:rPr>
        <w:rFonts w:ascii="Symbol" w:hAnsi="Symbol" w:hint="default"/>
      </w:rPr>
    </w:lvl>
    <w:lvl w:ilvl="7" w:tplc="48E628B4" w:tentative="1">
      <w:start w:val="1"/>
      <w:numFmt w:val="bullet"/>
      <w:lvlText w:val="o"/>
      <w:lvlJc w:val="left"/>
      <w:pPr>
        <w:ind w:left="5400" w:hanging="360"/>
      </w:pPr>
      <w:rPr>
        <w:rFonts w:ascii="Courier New" w:hAnsi="Courier New" w:cs="Courier New" w:hint="default"/>
      </w:rPr>
    </w:lvl>
    <w:lvl w:ilvl="8" w:tplc="0FFECFC0" w:tentative="1">
      <w:start w:val="1"/>
      <w:numFmt w:val="bullet"/>
      <w:lvlText w:val=""/>
      <w:lvlJc w:val="left"/>
      <w:pPr>
        <w:ind w:left="612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81"/>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0/2023"/>
    <w:docVar w:name="dvlangue" w:val="BG"/>
    <w:docVar w:name="dvnumam" w:val="212"/>
    <w:docVar w:name="dvpe" w:val="740.802"/>
    <w:docVar w:name="dvrapporteur" w:val="Докладчик: "/>
    <w:docVar w:name="dvstar" w:val="***I"/>
    <w:docVar w:name="dvtitre" w:val="Законодателна резолюция на Европейския парламент от ... 2024 г. относно предложението за регламент на Европейския парламент и на Съвета за финансовите правила, приложими за общия бюджет на Съюза (преработен текст)(COM(2022)0223 – C9-0179/2022 – 2022/0162(COD))"/>
  </w:docVars>
  <w:rsids>
    <w:rsidRoot w:val="003B468B"/>
    <w:rsid w:val="00002272"/>
    <w:rsid w:val="00064002"/>
    <w:rsid w:val="000677B9"/>
    <w:rsid w:val="000831BA"/>
    <w:rsid w:val="00093AE1"/>
    <w:rsid w:val="000A42CC"/>
    <w:rsid w:val="000E7DD9"/>
    <w:rsid w:val="0010095E"/>
    <w:rsid w:val="00114805"/>
    <w:rsid w:val="00125B37"/>
    <w:rsid w:val="00187494"/>
    <w:rsid w:val="001F32AE"/>
    <w:rsid w:val="002767FF"/>
    <w:rsid w:val="002B18FE"/>
    <w:rsid w:val="002B5493"/>
    <w:rsid w:val="002F2B10"/>
    <w:rsid w:val="00343214"/>
    <w:rsid w:val="00361C00"/>
    <w:rsid w:val="00395FA1"/>
    <w:rsid w:val="003B468B"/>
    <w:rsid w:val="003D16B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3E76"/>
    <w:rsid w:val="005C2568"/>
    <w:rsid w:val="006037C0"/>
    <w:rsid w:val="00661B05"/>
    <w:rsid w:val="006631B6"/>
    <w:rsid w:val="00680577"/>
    <w:rsid w:val="0069334D"/>
    <w:rsid w:val="006F74FA"/>
    <w:rsid w:val="00731ADD"/>
    <w:rsid w:val="00734777"/>
    <w:rsid w:val="00747932"/>
    <w:rsid w:val="00751A4A"/>
    <w:rsid w:val="00756632"/>
    <w:rsid w:val="00762C74"/>
    <w:rsid w:val="00776AD9"/>
    <w:rsid w:val="00786EC0"/>
    <w:rsid w:val="007A53AB"/>
    <w:rsid w:val="007D1690"/>
    <w:rsid w:val="007E22AD"/>
    <w:rsid w:val="00817416"/>
    <w:rsid w:val="00842779"/>
    <w:rsid w:val="00865F67"/>
    <w:rsid w:val="00881A7B"/>
    <w:rsid w:val="008840E5"/>
    <w:rsid w:val="00887B3E"/>
    <w:rsid w:val="008C2AC6"/>
    <w:rsid w:val="00930C23"/>
    <w:rsid w:val="0093193B"/>
    <w:rsid w:val="009509D8"/>
    <w:rsid w:val="00950B64"/>
    <w:rsid w:val="00973802"/>
    <w:rsid w:val="00981893"/>
    <w:rsid w:val="00A10853"/>
    <w:rsid w:val="00A1687D"/>
    <w:rsid w:val="00A43E52"/>
    <w:rsid w:val="00A4678D"/>
    <w:rsid w:val="00A778C7"/>
    <w:rsid w:val="00A8424B"/>
    <w:rsid w:val="00AB441E"/>
    <w:rsid w:val="00AB6293"/>
    <w:rsid w:val="00AE0928"/>
    <w:rsid w:val="00AF3B82"/>
    <w:rsid w:val="00B12E95"/>
    <w:rsid w:val="00B22876"/>
    <w:rsid w:val="00B558F0"/>
    <w:rsid w:val="00BD48FE"/>
    <w:rsid w:val="00BD7BD8"/>
    <w:rsid w:val="00BE6ADC"/>
    <w:rsid w:val="00C05BFE"/>
    <w:rsid w:val="00C15C7E"/>
    <w:rsid w:val="00C23CD4"/>
    <w:rsid w:val="00C61C0C"/>
    <w:rsid w:val="00C77835"/>
    <w:rsid w:val="00C941CB"/>
    <w:rsid w:val="00CA4E5E"/>
    <w:rsid w:val="00CC2357"/>
    <w:rsid w:val="00CF071A"/>
    <w:rsid w:val="00D058B8"/>
    <w:rsid w:val="00D16588"/>
    <w:rsid w:val="00D26CEF"/>
    <w:rsid w:val="00D56C11"/>
    <w:rsid w:val="00D834A0"/>
    <w:rsid w:val="00D872DF"/>
    <w:rsid w:val="00D91E21"/>
    <w:rsid w:val="00D94666"/>
    <w:rsid w:val="00DA7FCD"/>
    <w:rsid w:val="00E12CE6"/>
    <w:rsid w:val="00E365E1"/>
    <w:rsid w:val="00E46BC2"/>
    <w:rsid w:val="00E820A4"/>
    <w:rsid w:val="00EB006A"/>
    <w:rsid w:val="00EB4772"/>
    <w:rsid w:val="00ED169E"/>
    <w:rsid w:val="00ED4235"/>
    <w:rsid w:val="00F04346"/>
    <w:rsid w:val="00F075DC"/>
    <w:rsid w:val="00F149E9"/>
    <w:rsid w:val="00F5134D"/>
    <w:rsid w:val="00F74202"/>
    <w:rsid w:val="00F80BCF"/>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1725E931"/>
  <w15:chartTrackingRefBased/>
  <w15:docId w15:val="{AF510BB4-DA9C-4762-9A9E-4EE7A64EE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77835"/>
    <w:rPr>
      <w:b/>
      <w:kern w:val="28"/>
      <w:sz w:val="28"/>
      <w:lang w:val="fr-FR" w:eastAsia="fr-FR"/>
    </w:rPr>
  </w:style>
  <w:style w:type="character" w:customStyle="1" w:styleId="Heading2Char">
    <w:name w:val="Heading 2 Char"/>
    <w:basedOn w:val="DefaultParagraphFont"/>
    <w:link w:val="Heading2"/>
    <w:uiPriority w:val="9"/>
    <w:semiHidden/>
    <w:rsid w:val="00C77835"/>
    <w:rPr>
      <w:sz w:val="24"/>
      <w:lang w:val="fr-FR" w:eastAsia="fr-FR"/>
    </w:rPr>
  </w:style>
  <w:style w:type="character" w:customStyle="1" w:styleId="Heading3Char">
    <w:name w:val="Heading 3 Char"/>
    <w:basedOn w:val="DefaultParagraphFont"/>
    <w:link w:val="Heading3"/>
    <w:uiPriority w:val="9"/>
    <w:semiHidden/>
    <w:rsid w:val="00C77835"/>
    <w:rPr>
      <w:rFonts w:ascii="Arial" w:hAnsi="Arial"/>
      <w:sz w:val="24"/>
      <w:lang w:val="fr-FR" w:eastAsia="fr-FR"/>
    </w:rPr>
  </w:style>
  <w:style w:type="character" w:customStyle="1" w:styleId="Heading4Char">
    <w:name w:val="Heading 4 Char"/>
    <w:basedOn w:val="DefaultParagraphFont"/>
    <w:link w:val="Heading4"/>
    <w:uiPriority w:val="9"/>
    <w:semiHidden/>
    <w:rsid w:val="00C77835"/>
    <w:rPr>
      <w:sz w:val="24"/>
      <w:lang w:val="en-US" w:eastAsia="fr-FR"/>
    </w:rPr>
  </w:style>
  <w:style w:type="character" w:customStyle="1" w:styleId="Heading5Char">
    <w:name w:val="Heading 5 Char"/>
    <w:basedOn w:val="DefaultParagraphFont"/>
    <w:link w:val="Heading5"/>
    <w:uiPriority w:val="9"/>
    <w:semiHidden/>
    <w:rsid w:val="00C77835"/>
    <w:rPr>
      <w:sz w:val="24"/>
      <w:lang w:val="en-US" w:eastAsia="fr-FR"/>
    </w:rPr>
  </w:style>
  <w:style w:type="character" w:customStyle="1" w:styleId="Heading6Char">
    <w:name w:val="Heading 6 Char"/>
    <w:basedOn w:val="DefaultParagraphFont"/>
    <w:link w:val="Heading6"/>
    <w:uiPriority w:val="9"/>
    <w:semiHidden/>
    <w:rsid w:val="00C77835"/>
    <w:rPr>
      <w:i/>
      <w:sz w:val="22"/>
      <w:lang w:val="bg-BG"/>
    </w:rPr>
  </w:style>
  <w:style w:type="character" w:customStyle="1" w:styleId="Heading7Char">
    <w:name w:val="Heading 7 Char"/>
    <w:basedOn w:val="DefaultParagraphFont"/>
    <w:link w:val="Heading7"/>
    <w:uiPriority w:val="9"/>
    <w:semiHidden/>
    <w:rsid w:val="00C77835"/>
    <w:rPr>
      <w:rFonts w:ascii="Arial" w:hAnsi="Arial"/>
      <w:sz w:val="24"/>
      <w:lang w:val="bg-BG"/>
    </w:rPr>
  </w:style>
  <w:style w:type="character" w:customStyle="1" w:styleId="Heading8Char">
    <w:name w:val="Heading 8 Char"/>
    <w:basedOn w:val="DefaultParagraphFont"/>
    <w:link w:val="Heading8"/>
    <w:uiPriority w:val="9"/>
    <w:semiHidden/>
    <w:rsid w:val="00C77835"/>
    <w:rPr>
      <w:rFonts w:ascii="Arial" w:hAnsi="Arial"/>
      <w:i/>
      <w:sz w:val="24"/>
      <w:lang w:val="bg-BG"/>
    </w:rPr>
  </w:style>
  <w:style w:type="character" w:customStyle="1" w:styleId="Heading9Char">
    <w:name w:val="Heading 9 Char"/>
    <w:basedOn w:val="DefaultParagraphFont"/>
    <w:link w:val="Heading9"/>
    <w:uiPriority w:val="9"/>
    <w:semiHidden/>
    <w:rsid w:val="00C77835"/>
    <w:rPr>
      <w:rFonts w:ascii="Arial" w:hAnsi="Arial"/>
      <w:b/>
      <w:i/>
      <w:sz w:val="18"/>
      <w:lang w:val="bg-BG"/>
    </w:rPr>
  </w:style>
  <w:style w:type="paragraph" w:styleId="TOCHeading">
    <w:name w:val="TOC Heading"/>
    <w:basedOn w:val="Normal"/>
    <w:next w:val="Normal"/>
    <w:uiPriority w:val="39"/>
    <w:unhideWhenUsed/>
    <w:qFormat/>
    <w:rsid w:val="00C77835"/>
    <w:pPr>
      <w:widowControl/>
      <w:spacing w:after="240"/>
    </w:pPr>
    <w:rPr>
      <w:lang w:val="en-GB"/>
    </w:rPr>
  </w:style>
  <w:style w:type="paragraph" w:customStyle="1" w:styleId="PageHeading">
    <w:name w:val="PageHeading"/>
    <w:basedOn w:val="Normal"/>
    <w:rsid w:val="00C77835"/>
    <w:pPr>
      <w:keepNext/>
      <w:spacing w:after="480"/>
      <w:jc w:val="center"/>
    </w:pPr>
    <w:rPr>
      <w:rFonts w:ascii="Arial" w:hAnsi="Arial" w:cs="Arial"/>
      <w:b/>
    </w:rPr>
  </w:style>
  <w:style w:type="paragraph" w:customStyle="1" w:styleId="EPFooter2">
    <w:name w:val="EPFooter2"/>
    <w:basedOn w:val="Normal"/>
    <w:next w:val="Normal"/>
    <w:link w:val="EPFooter2Char"/>
    <w:rsid w:val="00C77835"/>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C77835"/>
    <w:pPr>
      <w:spacing w:after="240"/>
    </w:pPr>
  </w:style>
  <w:style w:type="paragraph" w:customStyle="1" w:styleId="TOCPage">
    <w:name w:val="TOC Page"/>
    <w:basedOn w:val="Normal"/>
    <w:next w:val="TOC1"/>
    <w:rsid w:val="00C77835"/>
    <w:pPr>
      <w:keepNext/>
      <w:spacing w:after="240"/>
      <w:jc w:val="right"/>
    </w:pPr>
    <w:rPr>
      <w:rFonts w:ascii="Arial" w:hAnsi="Arial"/>
      <w:b/>
    </w:rPr>
  </w:style>
  <w:style w:type="paragraph" w:customStyle="1" w:styleId="Normal6a">
    <w:name w:val="Normal6a"/>
    <w:basedOn w:val="Normal"/>
    <w:rsid w:val="00C77835"/>
    <w:pPr>
      <w:spacing w:after="120"/>
    </w:pPr>
  </w:style>
  <w:style w:type="paragraph" w:customStyle="1" w:styleId="NormalBold">
    <w:name w:val="NormalBold"/>
    <w:basedOn w:val="Normal"/>
    <w:link w:val="NormalBoldChar"/>
    <w:rsid w:val="00C77835"/>
    <w:rPr>
      <w:b/>
    </w:rPr>
  </w:style>
  <w:style w:type="character" w:customStyle="1" w:styleId="NormalBoldChar">
    <w:name w:val="NormalBold Char"/>
    <w:link w:val="NormalBold"/>
    <w:locked/>
    <w:rsid w:val="00C77835"/>
    <w:rPr>
      <w:b/>
      <w:sz w:val="24"/>
      <w:lang w:val="bg-BG"/>
    </w:rPr>
  </w:style>
  <w:style w:type="paragraph" w:customStyle="1" w:styleId="NormalBold12a">
    <w:name w:val="NormalBold12a"/>
    <w:basedOn w:val="Normal"/>
    <w:rsid w:val="00C77835"/>
    <w:pPr>
      <w:spacing w:after="240"/>
    </w:pPr>
    <w:rPr>
      <w:b/>
    </w:rPr>
  </w:style>
  <w:style w:type="paragraph" w:customStyle="1" w:styleId="NormalHanging12a">
    <w:name w:val="NormalHanging12a"/>
    <w:basedOn w:val="Normal"/>
    <w:rsid w:val="00C77835"/>
    <w:pPr>
      <w:spacing w:after="240"/>
      <w:ind w:left="567" w:hanging="567"/>
    </w:pPr>
  </w:style>
  <w:style w:type="paragraph" w:customStyle="1" w:styleId="CoverNormal24a">
    <w:name w:val="CoverNormal24a"/>
    <w:basedOn w:val="Normal"/>
    <w:rsid w:val="00C77835"/>
    <w:pPr>
      <w:spacing w:after="480"/>
      <w:ind w:left="1417"/>
    </w:pPr>
  </w:style>
  <w:style w:type="paragraph" w:customStyle="1" w:styleId="CoverNormal">
    <w:name w:val="CoverNormal"/>
    <w:basedOn w:val="Normal"/>
    <w:rsid w:val="00C77835"/>
    <w:pPr>
      <w:ind w:left="1418"/>
    </w:pPr>
  </w:style>
  <w:style w:type="paragraph" w:customStyle="1" w:styleId="CoverReference">
    <w:name w:val="CoverReference"/>
    <w:basedOn w:val="Normal"/>
    <w:rsid w:val="00C77835"/>
    <w:pPr>
      <w:spacing w:before="1080"/>
      <w:jc w:val="right"/>
    </w:pPr>
    <w:rPr>
      <w:rFonts w:ascii="Arial" w:hAnsi="Arial" w:cs="Arial"/>
      <w:b/>
    </w:rPr>
  </w:style>
  <w:style w:type="paragraph" w:customStyle="1" w:styleId="CoverDocType">
    <w:name w:val="CoverDocType"/>
    <w:basedOn w:val="Normal"/>
    <w:rsid w:val="00C77835"/>
    <w:pPr>
      <w:ind w:left="1418"/>
    </w:pPr>
    <w:rPr>
      <w:rFonts w:ascii="Arial" w:hAnsi="Arial"/>
      <w:b/>
      <w:sz w:val="48"/>
    </w:rPr>
  </w:style>
  <w:style w:type="paragraph" w:customStyle="1" w:styleId="CoverDocType24a">
    <w:name w:val="CoverDocType24a"/>
    <w:basedOn w:val="Normal"/>
    <w:rsid w:val="00C77835"/>
    <w:pPr>
      <w:spacing w:after="480"/>
      <w:ind w:left="1418"/>
    </w:pPr>
    <w:rPr>
      <w:rFonts w:ascii="Arial" w:hAnsi="Arial"/>
      <w:b/>
      <w:sz w:val="48"/>
    </w:rPr>
  </w:style>
  <w:style w:type="paragraph" w:customStyle="1" w:styleId="CoverDate">
    <w:name w:val="CoverDate"/>
    <w:basedOn w:val="Normal"/>
    <w:rsid w:val="00C77835"/>
    <w:pPr>
      <w:spacing w:before="240" w:after="1200"/>
    </w:pPr>
  </w:style>
  <w:style w:type="paragraph" w:styleId="Header">
    <w:name w:val="header"/>
    <w:basedOn w:val="Normal"/>
    <w:link w:val="HeaderChar"/>
    <w:uiPriority w:val="99"/>
    <w:rsid w:val="00C77835"/>
    <w:pPr>
      <w:tabs>
        <w:tab w:val="center" w:pos="4513"/>
        <w:tab w:val="right" w:pos="9026"/>
      </w:tabs>
    </w:pPr>
  </w:style>
  <w:style w:type="character" w:customStyle="1" w:styleId="HeaderChar">
    <w:name w:val="Header Char"/>
    <w:basedOn w:val="DefaultParagraphFont"/>
    <w:link w:val="Header"/>
    <w:uiPriority w:val="99"/>
    <w:rsid w:val="00C77835"/>
    <w:rPr>
      <w:sz w:val="24"/>
      <w:lang w:val="bg-BG"/>
    </w:rPr>
  </w:style>
  <w:style w:type="paragraph" w:customStyle="1" w:styleId="AnnexWPTabs">
    <w:name w:val="AnnexWPTabs"/>
    <w:basedOn w:val="Normal"/>
    <w:rsid w:val="00C77835"/>
    <w:pPr>
      <w:tabs>
        <w:tab w:val="right" w:pos="3686"/>
        <w:tab w:val="left" w:pos="3827"/>
      </w:tabs>
    </w:pPr>
    <w:rPr>
      <w:b/>
    </w:rPr>
  </w:style>
  <w:style w:type="paragraph" w:customStyle="1" w:styleId="AnnexWPDate">
    <w:name w:val="AnnexWPDate"/>
    <w:basedOn w:val="Normal"/>
    <w:rsid w:val="00C77835"/>
    <w:pPr>
      <w:spacing w:before="240" w:after="480"/>
      <w:jc w:val="right"/>
    </w:pPr>
  </w:style>
  <w:style w:type="paragraph" w:customStyle="1" w:styleId="AnnexWPSmall">
    <w:name w:val="AnnexWPSmall"/>
    <w:basedOn w:val="Normal"/>
    <w:rsid w:val="00C77835"/>
    <w:rPr>
      <w:smallCaps/>
      <w:sz w:val="20"/>
    </w:rPr>
  </w:style>
  <w:style w:type="paragraph" w:customStyle="1" w:styleId="AnnexWPDocType">
    <w:name w:val="AnnexWPDocType"/>
    <w:basedOn w:val="Normal"/>
    <w:rsid w:val="00C77835"/>
    <w:pPr>
      <w:spacing w:after="240"/>
      <w:jc w:val="center"/>
    </w:pPr>
    <w:rPr>
      <w:b/>
    </w:rPr>
  </w:style>
  <w:style w:type="paragraph" w:customStyle="1" w:styleId="AnnexWPTitle">
    <w:name w:val="AnnexWPTitle"/>
    <w:basedOn w:val="Normal"/>
    <w:rsid w:val="00C77835"/>
    <w:pPr>
      <w:spacing w:before="480"/>
    </w:pPr>
    <w:rPr>
      <w:b/>
    </w:rPr>
  </w:style>
  <w:style w:type="paragraph" w:customStyle="1" w:styleId="AmJustText">
    <w:name w:val="AmJustText"/>
    <w:basedOn w:val="Normal"/>
    <w:rsid w:val="00C77835"/>
    <w:pPr>
      <w:spacing w:after="240"/>
    </w:pPr>
    <w:rPr>
      <w:i/>
    </w:rPr>
  </w:style>
  <w:style w:type="paragraph" w:customStyle="1" w:styleId="AmCrossRef">
    <w:name w:val="AmCrossRef"/>
    <w:basedOn w:val="Normal"/>
    <w:rsid w:val="00C77835"/>
    <w:pPr>
      <w:spacing w:before="240" w:after="240"/>
      <w:jc w:val="center"/>
    </w:pPr>
    <w:rPr>
      <w:i/>
    </w:rPr>
  </w:style>
  <w:style w:type="paragraph" w:customStyle="1" w:styleId="AmJustTitle">
    <w:name w:val="AmJustTitle"/>
    <w:basedOn w:val="Normal"/>
    <w:next w:val="AmJustText"/>
    <w:rsid w:val="00C77835"/>
    <w:pPr>
      <w:keepNext/>
      <w:spacing w:before="240" w:after="240"/>
      <w:jc w:val="center"/>
    </w:pPr>
    <w:rPr>
      <w:i/>
    </w:rPr>
  </w:style>
  <w:style w:type="paragraph" w:customStyle="1" w:styleId="AmOrLang">
    <w:name w:val="AmOrLang"/>
    <w:basedOn w:val="Normal"/>
    <w:rsid w:val="00C77835"/>
    <w:pPr>
      <w:spacing w:before="240" w:after="240"/>
      <w:jc w:val="right"/>
    </w:pPr>
  </w:style>
  <w:style w:type="paragraph" w:customStyle="1" w:styleId="AmColumnHeading">
    <w:name w:val="AmColumnHeading"/>
    <w:basedOn w:val="Normal"/>
    <w:rsid w:val="00C77835"/>
    <w:pPr>
      <w:spacing w:after="240"/>
      <w:jc w:val="center"/>
    </w:pPr>
    <w:rPr>
      <w:i/>
    </w:rPr>
  </w:style>
  <w:style w:type="paragraph" w:customStyle="1" w:styleId="AmNumberTabs">
    <w:name w:val="AmNumberTabs"/>
    <w:basedOn w:val="Normal"/>
    <w:link w:val="AmNumberTabsChar"/>
    <w:rsid w:val="00C778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C77835"/>
    <w:rPr>
      <w:b/>
      <w:sz w:val="24"/>
      <w:lang w:val="bg-BG"/>
    </w:rPr>
  </w:style>
  <w:style w:type="paragraph" w:customStyle="1" w:styleId="NormalBold12b">
    <w:name w:val="NormalBold12b"/>
    <w:basedOn w:val="Normal"/>
    <w:link w:val="NormalBold12bChar"/>
    <w:rsid w:val="00C77835"/>
    <w:pPr>
      <w:spacing w:before="240"/>
    </w:pPr>
    <w:rPr>
      <w:b/>
    </w:rPr>
  </w:style>
  <w:style w:type="character" w:customStyle="1" w:styleId="NormalBold12bChar">
    <w:name w:val="NormalBold12b Char"/>
    <w:basedOn w:val="AmNumberTabsChar"/>
    <w:link w:val="NormalBold12b"/>
    <w:rsid w:val="00C77835"/>
    <w:rPr>
      <w:b/>
      <w:sz w:val="24"/>
      <w:lang w:val="bg-BG"/>
    </w:rPr>
  </w:style>
  <w:style w:type="paragraph" w:customStyle="1" w:styleId="EPBody">
    <w:name w:val="EPBody"/>
    <w:basedOn w:val="Normal"/>
    <w:rsid w:val="00C77835"/>
    <w:pPr>
      <w:jc w:val="center"/>
    </w:pPr>
    <w:rPr>
      <w:rFonts w:ascii="Arial" w:hAnsi="Arial" w:cs="Arial"/>
      <w:i/>
      <w:sz w:val="22"/>
      <w:szCs w:val="22"/>
    </w:rPr>
  </w:style>
  <w:style w:type="paragraph" w:customStyle="1" w:styleId="AnnexWPLogo">
    <w:name w:val="AnnexWPLogo"/>
    <w:basedOn w:val="Normal"/>
    <w:rsid w:val="00C77835"/>
    <w:pPr>
      <w:spacing w:before="120" w:after="120"/>
    </w:pPr>
  </w:style>
  <w:style w:type="paragraph" w:customStyle="1" w:styleId="EPFooter">
    <w:name w:val="EPFooter"/>
    <w:basedOn w:val="Normal"/>
    <w:rsid w:val="00C77835"/>
    <w:pPr>
      <w:tabs>
        <w:tab w:val="center" w:pos="4535"/>
        <w:tab w:val="right" w:pos="9071"/>
      </w:tabs>
      <w:spacing w:before="240" w:after="240"/>
    </w:pPr>
    <w:rPr>
      <w:color w:val="010000"/>
      <w:sz w:val="22"/>
    </w:rPr>
  </w:style>
  <w:style w:type="paragraph" w:customStyle="1" w:styleId="EPComma">
    <w:name w:val="EPComma"/>
    <w:basedOn w:val="Normal"/>
    <w:rsid w:val="00C77835"/>
    <w:pPr>
      <w:spacing w:before="480" w:after="240"/>
    </w:pPr>
  </w:style>
  <w:style w:type="paragraph" w:customStyle="1" w:styleId="Lgendesigne">
    <w:name w:val="Légende signe"/>
    <w:basedOn w:val="Normal"/>
    <w:rsid w:val="00C77835"/>
    <w:pPr>
      <w:tabs>
        <w:tab w:val="right" w:pos="454"/>
        <w:tab w:val="left" w:pos="737"/>
      </w:tabs>
      <w:ind w:left="737" w:hanging="737"/>
    </w:pPr>
    <w:rPr>
      <w:snapToGrid w:val="0"/>
      <w:sz w:val="18"/>
      <w:lang w:eastAsia="en-US"/>
    </w:rPr>
  </w:style>
  <w:style w:type="paragraph" w:customStyle="1" w:styleId="Lgendetitre">
    <w:name w:val="Légende titre"/>
    <w:basedOn w:val="Normal"/>
    <w:rsid w:val="00C77835"/>
    <w:pPr>
      <w:spacing w:before="240" w:after="240"/>
    </w:pPr>
    <w:rPr>
      <w:b/>
      <w:i/>
      <w:snapToGrid w:val="0"/>
      <w:lang w:eastAsia="en-US"/>
    </w:rPr>
  </w:style>
  <w:style w:type="paragraph" w:customStyle="1" w:styleId="Lgendestandard">
    <w:name w:val="Légende standard"/>
    <w:basedOn w:val="Normal"/>
    <w:rsid w:val="00C77835"/>
    <w:rPr>
      <w:sz w:val="18"/>
    </w:rPr>
  </w:style>
  <w:style w:type="paragraph" w:customStyle="1" w:styleId="msonormal0">
    <w:name w:val="msonormal"/>
    <w:basedOn w:val="Normal"/>
    <w:rsid w:val="00C77835"/>
    <w:pPr>
      <w:widowControl/>
      <w:spacing w:before="100" w:beforeAutospacing="1" w:after="100" w:afterAutospacing="1"/>
    </w:pPr>
    <w:rPr>
      <w:szCs w:val="24"/>
    </w:rPr>
  </w:style>
  <w:style w:type="paragraph" w:customStyle="1" w:styleId="PageHeadingNotTOC">
    <w:name w:val="PageHeadingNotTOC"/>
    <w:basedOn w:val="Normal"/>
    <w:rsid w:val="00C77835"/>
    <w:pPr>
      <w:keepNext/>
      <w:spacing w:after="480"/>
      <w:jc w:val="center"/>
    </w:pPr>
    <w:rPr>
      <w:rFonts w:ascii="Arial" w:hAnsi="Arial" w:cs="Arial"/>
      <w:b/>
    </w:rPr>
  </w:style>
  <w:style w:type="paragraph" w:customStyle="1" w:styleId="AmHeadingPA">
    <w:name w:val="AmHeadingPA"/>
    <w:basedOn w:val="Normal"/>
    <w:next w:val="Normal"/>
    <w:rsid w:val="00C77835"/>
    <w:pPr>
      <w:spacing w:before="480" w:after="240"/>
      <w:jc w:val="center"/>
    </w:pPr>
    <w:rPr>
      <w:rFonts w:ascii="Arial" w:hAnsi="Arial"/>
      <w:b/>
      <w:caps/>
      <w:snapToGrid w:val="0"/>
      <w:szCs w:val="24"/>
      <w:lang w:eastAsia="en-US"/>
    </w:rPr>
  </w:style>
  <w:style w:type="character" w:customStyle="1" w:styleId="Normal12Char">
    <w:name w:val="Normal12 Char"/>
    <w:link w:val="Normal12"/>
    <w:locked/>
    <w:rsid w:val="00C77835"/>
    <w:rPr>
      <w:noProof/>
      <w:sz w:val="24"/>
    </w:rPr>
  </w:style>
  <w:style w:type="paragraph" w:customStyle="1" w:styleId="Normal12">
    <w:name w:val="Normal12"/>
    <w:basedOn w:val="Normal"/>
    <w:link w:val="Normal12Char"/>
    <w:rsid w:val="00C77835"/>
    <w:pPr>
      <w:spacing w:after="240"/>
    </w:pPr>
    <w:rPr>
      <w:noProof/>
      <w:lang w:val="en-GB"/>
    </w:rPr>
  </w:style>
  <w:style w:type="paragraph" w:customStyle="1" w:styleId="CommitteeAM">
    <w:name w:val="CommitteeAM"/>
    <w:basedOn w:val="Normal"/>
    <w:rsid w:val="00C77835"/>
    <w:pPr>
      <w:spacing w:before="240" w:after="600"/>
      <w:jc w:val="center"/>
    </w:pPr>
    <w:rPr>
      <w:i/>
    </w:rPr>
  </w:style>
  <w:style w:type="paragraph" w:customStyle="1" w:styleId="ZDateAM">
    <w:name w:val="ZDateAM"/>
    <w:basedOn w:val="Normal"/>
    <w:rsid w:val="00C77835"/>
    <w:pPr>
      <w:tabs>
        <w:tab w:val="right" w:pos="9356"/>
      </w:tabs>
      <w:spacing w:after="480"/>
    </w:pPr>
    <w:rPr>
      <w:noProof/>
    </w:rPr>
  </w:style>
  <w:style w:type="paragraph" w:customStyle="1" w:styleId="ProjRap">
    <w:name w:val="ProjRap"/>
    <w:basedOn w:val="Normal"/>
    <w:rsid w:val="00C77835"/>
    <w:pPr>
      <w:tabs>
        <w:tab w:val="right" w:pos="9356"/>
      </w:tabs>
    </w:pPr>
    <w:rPr>
      <w:b/>
      <w:noProof/>
    </w:rPr>
  </w:style>
  <w:style w:type="paragraph" w:customStyle="1" w:styleId="PELeft">
    <w:name w:val="PELeft"/>
    <w:basedOn w:val="Normal"/>
    <w:rsid w:val="00C77835"/>
    <w:pPr>
      <w:spacing w:before="40" w:after="40"/>
    </w:pPr>
    <w:rPr>
      <w:rFonts w:ascii="Arial" w:hAnsi="Arial" w:cs="Arial"/>
      <w:sz w:val="22"/>
      <w:szCs w:val="22"/>
    </w:rPr>
  </w:style>
  <w:style w:type="paragraph" w:customStyle="1" w:styleId="PERight">
    <w:name w:val="PERight"/>
    <w:basedOn w:val="Normal"/>
    <w:next w:val="Normal"/>
    <w:rsid w:val="00C77835"/>
    <w:pPr>
      <w:jc w:val="right"/>
    </w:pPr>
    <w:rPr>
      <w:rFonts w:ascii="Arial" w:hAnsi="Arial" w:cs="Arial"/>
      <w:sz w:val="22"/>
      <w:szCs w:val="22"/>
    </w:rPr>
  </w:style>
  <w:style w:type="character" w:customStyle="1" w:styleId="Normal6Char">
    <w:name w:val="Normal6 Char"/>
    <w:link w:val="Normal6"/>
    <w:locked/>
    <w:rsid w:val="00C77835"/>
    <w:rPr>
      <w:sz w:val="24"/>
      <w:lang w:val="bg-BG"/>
    </w:rPr>
  </w:style>
  <w:style w:type="paragraph" w:customStyle="1" w:styleId="Normal6">
    <w:name w:val="Normal6"/>
    <w:basedOn w:val="Normal"/>
    <w:link w:val="Normal6Char"/>
    <w:rsid w:val="00C77835"/>
    <w:pPr>
      <w:spacing w:after="120"/>
    </w:pPr>
  </w:style>
  <w:style w:type="paragraph" w:customStyle="1" w:styleId="Normal12Italic">
    <w:name w:val="Normal12Italic"/>
    <w:basedOn w:val="Normal12"/>
    <w:rsid w:val="00C77835"/>
    <w:rPr>
      <w:i/>
    </w:rPr>
  </w:style>
  <w:style w:type="paragraph" w:customStyle="1" w:styleId="JustificationTitle">
    <w:name w:val="JustificationTitle"/>
    <w:basedOn w:val="Normal"/>
    <w:next w:val="Normal12"/>
    <w:rsid w:val="00C77835"/>
    <w:pPr>
      <w:keepNext/>
      <w:spacing w:before="240" w:after="240"/>
      <w:jc w:val="center"/>
    </w:pPr>
    <w:rPr>
      <w:i/>
      <w:noProof/>
    </w:rPr>
  </w:style>
  <w:style w:type="paragraph" w:customStyle="1" w:styleId="Olang">
    <w:name w:val="Olang"/>
    <w:basedOn w:val="Normal"/>
    <w:rsid w:val="00C77835"/>
    <w:pPr>
      <w:spacing w:before="240" w:after="240"/>
      <w:jc w:val="right"/>
    </w:pPr>
    <w:rPr>
      <w:noProof/>
      <w:szCs w:val="24"/>
    </w:rPr>
  </w:style>
  <w:style w:type="paragraph" w:customStyle="1" w:styleId="ColumnHeading">
    <w:name w:val="ColumnHeading"/>
    <w:basedOn w:val="Normal"/>
    <w:rsid w:val="00C77835"/>
    <w:pPr>
      <w:spacing w:after="240"/>
      <w:jc w:val="center"/>
    </w:pPr>
    <w:rPr>
      <w:i/>
    </w:rPr>
  </w:style>
  <w:style w:type="paragraph" w:customStyle="1" w:styleId="AMNumberTabs0">
    <w:name w:val="AMNumberTabs"/>
    <w:basedOn w:val="Normal"/>
    <w:rsid w:val="00C778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C77835"/>
    <w:pPr>
      <w:spacing w:before="240"/>
      <w:jc w:val="center"/>
    </w:pPr>
    <w:rPr>
      <w:i/>
    </w:rPr>
  </w:style>
  <w:style w:type="character" w:customStyle="1" w:styleId="Footer2Middle">
    <w:name w:val="Footer2Middle"/>
    <w:rsid w:val="00C77835"/>
    <w:rPr>
      <w:rFonts w:ascii="Arial" w:hAnsi="Arial" w:cs="Arial" w:hint="default"/>
      <w:b w:val="0"/>
      <w:bCs w:val="0"/>
      <w:i/>
      <w:iCs w:val="0"/>
      <w:color w:val="C0C0C0"/>
      <w:sz w:val="22"/>
    </w:rPr>
  </w:style>
  <w:style w:type="paragraph" w:customStyle="1" w:styleId="EntPE">
    <w:name w:val="EntPE"/>
    <w:basedOn w:val="Normal12"/>
    <w:rsid w:val="00C77835"/>
    <w:pPr>
      <w:jc w:val="center"/>
    </w:pPr>
    <w:rPr>
      <w:noProof w:val="0"/>
      <w:sz w:val="56"/>
    </w:rPr>
  </w:style>
  <w:style w:type="character" w:styleId="CommentReference">
    <w:name w:val="annotation reference"/>
    <w:basedOn w:val="DefaultParagraphFont"/>
    <w:uiPriority w:val="99"/>
    <w:rsid w:val="00C77835"/>
    <w:rPr>
      <w:sz w:val="16"/>
      <w:szCs w:val="16"/>
    </w:rPr>
  </w:style>
  <w:style w:type="paragraph" w:styleId="CommentText">
    <w:name w:val="annotation text"/>
    <w:basedOn w:val="Normal"/>
    <w:link w:val="CommentTextChar"/>
    <w:uiPriority w:val="99"/>
    <w:rsid w:val="00C77835"/>
    <w:rPr>
      <w:sz w:val="20"/>
    </w:rPr>
  </w:style>
  <w:style w:type="character" w:customStyle="1" w:styleId="CommentTextChar">
    <w:name w:val="Comment Text Char"/>
    <w:basedOn w:val="DefaultParagraphFont"/>
    <w:link w:val="CommentText"/>
    <w:uiPriority w:val="99"/>
    <w:rsid w:val="00C77835"/>
    <w:rPr>
      <w:lang w:val="bg-BG"/>
    </w:rPr>
  </w:style>
  <w:style w:type="paragraph" w:styleId="CommentSubject">
    <w:name w:val="annotation subject"/>
    <w:basedOn w:val="CommentText"/>
    <w:next w:val="CommentText"/>
    <w:link w:val="CommentSubjectChar"/>
    <w:uiPriority w:val="99"/>
    <w:unhideWhenUsed/>
    <w:rsid w:val="00C77835"/>
    <w:rPr>
      <w:b/>
      <w:bCs/>
    </w:rPr>
  </w:style>
  <w:style w:type="character" w:customStyle="1" w:styleId="CommentSubjectChar">
    <w:name w:val="Comment Subject Char"/>
    <w:basedOn w:val="CommentTextChar"/>
    <w:link w:val="CommentSubject"/>
    <w:uiPriority w:val="99"/>
    <w:rsid w:val="00C77835"/>
    <w:rPr>
      <w:b/>
      <w:bCs/>
      <w:lang w:val="bg-BG"/>
    </w:rPr>
  </w:style>
  <w:style w:type="paragraph" w:styleId="BalloonText">
    <w:name w:val="Balloon Text"/>
    <w:basedOn w:val="Normal"/>
    <w:link w:val="BalloonTextChar"/>
    <w:uiPriority w:val="99"/>
    <w:unhideWhenUsed/>
    <w:rsid w:val="00C77835"/>
    <w:rPr>
      <w:rFonts w:ascii="Segoe UI" w:hAnsi="Segoe UI" w:cs="Segoe UI"/>
      <w:sz w:val="18"/>
      <w:szCs w:val="18"/>
    </w:rPr>
  </w:style>
  <w:style w:type="character" w:customStyle="1" w:styleId="BalloonTextChar">
    <w:name w:val="Balloon Text Char"/>
    <w:basedOn w:val="DefaultParagraphFont"/>
    <w:link w:val="BalloonText"/>
    <w:uiPriority w:val="99"/>
    <w:rsid w:val="00C77835"/>
    <w:rPr>
      <w:rFonts w:ascii="Segoe UI" w:hAnsi="Segoe UI" w:cs="Segoe UI"/>
      <w:sz w:val="18"/>
      <w:szCs w:val="18"/>
      <w:lang w:val="bg-BG"/>
    </w:rPr>
  </w:style>
  <w:style w:type="paragraph" w:styleId="ListParagraph">
    <w:name w:val="List Paragraph"/>
    <w:basedOn w:val="Normal"/>
    <w:uiPriority w:val="34"/>
    <w:qFormat/>
    <w:rsid w:val="00C77835"/>
    <w:pPr>
      <w:widowControl/>
      <w:ind w:left="720"/>
      <w:contextualSpacing/>
      <w:jc w:val="both"/>
    </w:pPr>
    <w:rPr>
      <w:rFonts w:eastAsiaTheme="minorHAnsi"/>
      <w:szCs w:val="24"/>
      <w:lang w:eastAsia="en-US"/>
    </w:rPr>
  </w:style>
  <w:style w:type="character" w:customStyle="1" w:styleId="Sup">
    <w:name w:val="Sup"/>
    <w:uiPriority w:val="1"/>
    <w:qFormat/>
    <w:rsid w:val="00C77835"/>
    <w:rPr>
      <w:vertAlign w:val="superscript"/>
    </w:rPr>
  </w:style>
  <w:style w:type="character" w:styleId="Hyperlink">
    <w:name w:val="Hyperlink"/>
    <w:basedOn w:val="DefaultParagraphFont"/>
    <w:uiPriority w:val="99"/>
    <w:rsid w:val="00C77835"/>
    <w:rPr>
      <w:color w:val="0563C1" w:themeColor="hyperlink"/>
      <w:u w:val="single"/>
    </w:rPr>
  </w:style>
  <w:style w:type="paragraph" w:customStyle="1" w:styleId="LetterSalutation">
    <w:name w:val="LetterSalutation"/>
    <w:basedOn w:val="Normal"/>
    <w:rsid w:val="00C77835"/>
    <w:pPr>
      <w:spacing w:before="600" w:after="360"/>
    </w:pPr>
  </w:style>
  <w:style w:type="paragraph" w:customStyle="1" w:styleId="LetterSubject">
    <w:name w:val="LetterSubject"/>
    <w:basedOn w:val="Normal"/>
    <w:rsid w:val="00C77835"/>
    <w:pPr>
      <w:spacing w:before="480"/>
      <w:ind w:left="1134" w:hanging="1134"/>
    </w:pPr>
  </w:style>
  <w:style w:type="paragraph" w:customStyle="1" w:styleId="Normal24a">
    <w:name w:val="Normal24a"/>
    <w:basedOn w:val="Normal"/>
    <w:link w:val="Normal24aChar"/>
    <w:rsid w:val="00C77835"/>
    <w:pPr>
      <w:spacing w:after="480"/>
    </w:pPr>
  </w:style>
  <w:style w:type="character" w:customStyle="1" w:styleId="Normal24aChar">
    <w:name w:val="Normal24a Char"/>
    <w:basedOn w:val="DefaultParagraphFont"/>
    <w:link w:val="Normal24a"/>
    <w:rsid w:val="00C77835"/>
    <w:rPr>
      <w:sz w:val="24"/>
      <w:lang w:val="bg-BG"/>
    </w:rPr>
  </w:style>
  <w:style w:type="paragraph" w:customStyle="1" w:styleId="CoverBold">
    <w:name w:val="CoverBold"/>
    <w:basedOn w:val="Normal"/>
    <w:rsid w:val="00C77835"/>
    <w:pPr>
      <w:ind w:left="1417"/>
    </w:pPr>
    <w:rPr>
      <w:b/>
    </w:rPr>
  </w:style>
  <w:style w:type="paragraph" w:customStyle="1" w:styleId="Normal2">
    <w:name w:val="Normal2"/>
    <w:basedOn w:val="Normal"/>
    <w:qFormat/>
    <w:rsid w:val="00C77835"/>
    <w:pPr>
      <w:spacing w:line="120" w:lineRule="auto"/>
    </w:pPr>
    <w:rPr>
      <w:sz w:val="4"/>
    </w:rPr>
  </w:style>
  <w:style w:type="paragraph" w:customStyle="1" w:styleId="NormalItalic6a">
    <w:name w:val="NormalItalic6a"/>
    <w:basedOn w:val="Normal6a"/>
    <w:qFormat/>
    <w:rsid w:val="00C77835"/>
    <w:rPr>
      <w:i/>
    </w:rPr>
  </w:style>
  <w:style w:type="paragraph" w:customStyle="1" w:styleId="NormalBoldItalic6a">
    <w:name w:val="NormalBoldItalic6a"/>
    <w:basedOn w:val="Normal6a"/>
    <w:qFormat/>
    <w:rsid w:val="00C77835"/>
    <w:rPr>
      <w:b/>
      <w:i/>
    </w:rPr>
  </w:style>
  <w:style w:type="paragraph" w:customStyle="1" w:styleId="NormalBoldItalicCenter6a">
    <w:name w:val="NormalBoldItalicCenter6a"/>
    <w:basedOn w:val="Normal6a"/>
    <w:qFormat/>
    <w:rsid w:val="00C77835"/>
    <w:pPr>
      <w:jc w:val="center"/>
    </w:pPr>
    <w:rPr>
      <w:b/>
      <w:i/>
    </w:rPr>
  </w:style>
  <w:style w:type="paragraph" w:customStyle="1" w:styleId="AnnexRight">
    <w:name w:val="AnnexRight"/>
    <w:basedOn w:val="Normal"/>
    <w:rsid w:val="00C77835"/>
    <w:pPr>
      <w:spacing w:after="480"/>
      <w:jc w:val="right"/>
    </w:pPr>
  </w:style>
  <w:style w:type="paragraph" w:customStyle="1" w:styleId="RollCallSymbols14pt">
    <w:name w:val="RollCallSymbols14pt"/>
    <w:basedOn w:val="Normal"/>
    <w:rsid w:val="00C7783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77835"/>
    <w:pPr>
      <w:tabs>
        <w:tab w:val="center" w:pos="284"/>
        <w:tab w:val="left" w:pos="426"/>
      </w:tabs>
    </w:pPr>
    <w:rPr>
      <w:snapToGrid w:val="0"/>
      <w:lang w:eastAsia="en-US"/>
    </w:rPr>
  </w:style>
  <w:style w:type="paragraph" w:customStyle="1" w:styleId="RollCallVotes">
    <w:name w:val="RollCallVotes"/>
    <w:basedOn w:val="Normal"/>
    <w:rsid w:val="00C77835"/>
    <w:pPr>
      <w:spacing w:before="120" w:after="120"/>
      <w:jc w:val="center"/>
    </w:pPr>
    <w:rPr>
      <w:b/>
      <w:bCs/>
      <w:snapToGrid w:val="0"/>
      <w:sz w:val="16"/>
      <w:lang w:eastAsia="en-US"/>
    </w:rPr>
  </w:style>
  <w:style w:type="paragraph" w:customStyle="1" w:styleId="RollCallTable">
    <w:name w:val="RollCallTable"/>
    <w:basedOn w:val="Normal"/>
    <w:rsid w:val="00C77835"/>
    <w:pPr>
      <w:spacing w:before="120" w:after="120"/>
    </w:pPr>
    <w:rPr>
      <w:snapToGrid w:val="0"/>
      <w:sz w:val="16"/>
      <w:lang w:eastAsia="en-US"/>
    </w:rPr>
  </w:style>
  <w:style w:type="character" w:customStyle="1" w:styleId="NormalBI">
    <w:name w:val="NormalBI"/>
    <w:basedOn w:val="DefaultParagraphFont"/>
    <w:uiPriority w:val="1"/>
    <w:qFormat/>
    <w:rsid w:val="00C77835"/>
    <w:rPr>
      <w:rFonts w:ascii="Times New Roman" w:hAnsi="Times New Roman"/>
      <w:b/>
      <w:i/>
      <w:sz w:val="24"/>
    </w:rPr>
  </w:style>
  <w:style w:type="paragraph" w:customStyle="1" w:styleId="EPFooter2Landscape">
    <w:name w:val="EPFooter2Landscape"/>
    <w:qFormat/>
    <w:rsid w:val="00C77835"/>
    <w:pPr>
      <w:tabs>
        <w:tab w:val="center" w:pos="4536"/>
        <w:tab w:val="center" w:pos="9923"/>
        <w:tab w:val="right" w:pos="15026"/>
      </w:tabs>
    </w:pPr>
    <w:rPr>
      <w:rFonts w:ascii="Arial" w:hAnsi="Arial" w:cs="Arial"/>
      <w:b/>
      <w:sz w:val="48"/>
      <w:szCs w:val="22"/>
      <w:lang w:val="bg-BG"/>
    </w:rPr>
  </w:style>
  <w:style w:type="character" w:customStyle="1" w:styleId="EPFooter2Motto">
    <w:name w:val="EPFooter2Motto"/>
    <w:uiPriority w:val="1"/>
    <w:qFormat/>
    <w:rsid w:val="00C77835"/>
    <w:rPr>
      <w:rFonts w:ascii="Arial" w:hAnsi="Arial"/>
      <w:b/>
      <w:i/>
      <w:color w:val="C0C0C0"/>
      <w:sz w:val="22"/>
    </w:rPr>
  </w:style>
  <w:style w:type="character" w:customStyle="1" w:styleId="Bold">
    <w:name w:val="Bold"/>
    <w:uiPriority w:val="1"/>
    <w:qFormat/>
    <w:rsid w:val="00C77835"/>
    <w:rPr>
      <w:b/>
    </w:rPr>
  </w:style>
  <w:style w:type="character" w:customStyle="1" w:styleId="Italic">
    <w:name w:val="Italic"/>
    <w:uiPriority w:val="1"/>
    <w:qFormat/>
    <w:rsid w:val="00C77835"/>
    <w:rPr>
      <w:i/>
    </w:rPr>
  </w:style>
  <w:style w:type="character" w:customStyle="1" w:styleId="BoldItalic">
    <w:name w:val="BoldItalic"/>
    <w:uiPriority w:val="1"/>
    <w:qFormat/>
    <w:rsid w:val="00C77835"/>
    <w:rPr>
      <w:b/>
      <w:i/>
    </w:rPr>
  </w:style>
  <w:style w:type="character" w:customStyle="1" w:styleId="Underline">
    <w:name w:val="Underline"/>
    <w:uiPriority w:val="1"/>
    <w:qFormat/>
    <w:rsid w:val="00C77835"/>
    <w:rPr>
      <w:u w:val="single"/>
    </w:rPr>
  </w:style>
  <w:style w:type="character" w:customStyle="1" w:styleId="Sub">
    <w:name w:val="Sub"/>
    <w:uiPriority w:val="1"/>
    <w:qFormat/>
    <w:rsid w:val="00C77835"/>
    <w:rPr>
      <w:vertAlign w:val="subscript"/>
    </w:rPr>
  </w:style>
  <w:style w:type="character" w:customStyle="1" w:styleId="SupBoldItalic">
    <w:name w:val="SupBoldItalic"/>
    <w:uiPriority w:val="1"/>
    <w:qFormat/>
    <w:rsid w:val="00C77835"/>
    <w:rPr>
      <w:b/>
      <w:i/>
      <w:vertAlign w:val="superscript"/>
    </w:rPr>
  </w:style>
  <w:style w:type="character" w:customStyle="1" w:styleId="SubBoldItalic">
    <w:name w:val="SubBoldItalic"/>
    <w:uiPriority w:val="1"/>
    <w:qFormat/>
    <w:rsid w:val="00C77835"/>
    <w:rPr>
      <w:b/>
      <w:i/>
      <w:vertAlign w:val="subscript"/>
    </w:rPr>
  </w:style>
  <w:style w:type="paragraph" w:customStyle="1" w:styleId="EPFooterLandscape">
    <w:name w:val="EPFooterLandscape"/>
    <w:qFormat/>
    <w:rsid w:val="00C77835"/>
    <w:pPr>
      <w:tabs>
        <w:tab w:val="center" w:pos="6804"/>
        <w:tab w:val="right" w:pos="15026"/>
      </w:tabs>
    </w:pPr>
    <w:rPr>
      <w:sz w:val="22"/>
      <w:lang w:val="bg-BG"/>
    </w:rPr>
  </w:style>
  <w:style w:type="paragraph" w:styleId="Footer">
    <w:name w:val="footer"/>
    <w:basedOn w:val="Normal"/>
    <w:link w:val="FooterChar"/>
    <w:uiPriority w:val="99"/>
    <w:rsid w:val="00C77835"/>
    <w:pPr>
      <w:tabs>
        <w:tab w:val="center" w:pos="4513"/>
        <w:tab w:val="right" w:pos="9026"/>
      </w:tabs>
    </w:pPr>
  </w:style>
  <w:style w:type="character" w:customStyle="1" w:styleId="FooterChar">
    <w:name w:val="Footer Char"/>
    <w:basedOn w:val="DefaultParagraphFont"/>
    <w:link w:val="Footer"/>
    <w:uiPriority w:val="99"/>
    <w:rsid w:val="00C77835"/>
    <w:rPr>
      <w:sz w:val="24"/>
      <w:lang w:val="bg-BG"/>
    </w:rPr>
  </w:style>
  <w:style w:type="paragraph" w:customStyle="1" w:styleId="AmDocTypeTab">
    <w:name w:val="AmDocTypeTab"/>
    <w:basedOn w:val="Normal"/>
    <w:rsid w:val="005A3E76"/>
    <w:pPr>
      <w:tabs>
        <w:tab w:val="right" w:pos="9072"/>
      </w:tabs>
    </w:pPr>
    <w:rPr>
      <w:b/>
    </w:rPr>
  </w:style>
  <w:style w:type="paragraph" w:customStyle="1" w:styleId="NormalCenter12a">
    <w:name w:val="NormalCenter12a"/>
    <w:basedOn w:val="Normal"/>
    <w:rsid w:val="005A3E76"/>
    <w:pPr>
      <w:spacing w:after="240"/>
      <w:jc w:val="center"/>
    </w:pPr>
  </w:style>
  <w:style w:type="paragraph" w:customStyle="1" w:styleId="AmDateTab">
    <w:name w:val="AmDateTab"/>
    <w:basedOn w:val="Normal"/>
    <w:rsid w:val="005A3E76"/>
    <w:pPr>
      <w:tabs>
        <w:tab w:val="right" w:pos="9072"/>
      </w:tabs>
    </w:pPr>
  </w:style>
  <w:style w:type="paragraph" w:customStyle="1" w:styleId="AmHeadingConsam">
    <w:name w:val="AmHeadingConsam"/>
    <w:basedOn w:val="Normal"/>
    <w:next w:val="NormalCenter12a"/>
    <w:rsid w:val="005A3E76"/>
    <w:pPr>
      <w:spacing w:before="720" w:after="240"/>
      <w:jc w:val="center"/>
    </w:pPr>
  </w:style>
  <w:style w:type="numbering" w:customStyle="1" w:styleId="NoList1">
    <w:name w:val="No List1"/>
    <w:next w:val="NoList"/>
    <w:uiPriority w:val="99"/>
    <w:semiHidden/>
    <w:unhideWhenUsed/>
    <w:rsid w:val="005A3E76"/>
  </w:style>
  <w:style w:type="paragraph" w:customStyle="1" w:styleId="Title1">
    <w:name w:val="Title1"/>
    <w:basedOn w:val="Normal"/>
    <w:next w:val="Normal"/>
    <w:uiPriority w:val="10"/>
    <w:qFormat/>
    <w:rsid w:val="005A3E76"/>
    <w:pPr>
      <w:widowControl/>
      <w:spacing w:before="240" w:after="60"/>
      <w:jc w:val="center"/>
      <w:outlineLvl w:val="0"/>
    </w:pPr>
    <w:rPr>
      <w:rFonts w:ascii="Arial" w:hAnsi="Arial" w:cs="Arial"/>
      <w:b/>
      <w:bCs/>
      <w:kern w:val="28"/>
      <w:sz w:val="32"/>
      <w:szCs w:val="32"/>
      <w:lang w:eastAsia="en-US"/>
    </w:rPr>
  </w:style>
  <w:style w:type="character" w:customStyle="1" w:styleId="TitleChar">
    <w:name w:val="Title Char"/>
    <w:basedOn w:val="DefaultParagraphFont"/>
    <w:link w:val="Title"/>
    <w:uiPriority w:val="10"/>
    <w:rsid w:val="005A3E76"/>
    <w:rPr>
      <w:rFonts w:ascii="Arial" w:hAnsi="Arial" w:cs="Arial"/>
      <w:b/>
      <w:bCs/>
      <w:kern w:val="28"/>
      <w:sz w:val="32"/>
      <w:szCs w:val="32"/>
    </w:rPr>
  </w:style>
  <w:style w:type="paragraph" w:customStyle="1" w:styleId="Subtitle1">
    <w:name w:val="Subtitle1"/>
    <w:basedOn w:val="Normal"/>
    <w:next w:val="Normal"/>
    <w:uiPriority w:val="11"/>
    <w:qFormat/>
    <w:rsid w:val="005A3E76"/>
    <w:pPr>
      <w:widowControl/>
      <w:spacing w:after="60"/>
      <w:jc w:val="center"/>
      <w:outlineLvl w:val="1"/>
    </w:pPr>
    <w:rPr>
      <w:rFonts w:ascii="Arial" w:hAnsi="Arial" w:cs="Arial"/>
      <w:szCs w:val="24"/>
      <w:lang w:eastAsia="en-US"/>
    </w:rPr>
  </w:style>
  <w:style w:type="character" w:customStyle="1" w:styleId="SubtitleChar">
    <w:name w:val="Subtitle Char"/>
    <w:basedOn w:val="DefaultParagraphFont"/>
    <w:link w:val="Subtitle"/>
    <w:uiPriority w:val="11"/>
    <w:rsid w:val="005A3E76"/>
    <w:rPr>
      <w:rFonts w:ascii="Arial" w:hAnsi="Arial" w:cs="Arial"/>
      <w:sz w:val="24"/>
      <w:szCs w:val="24"/>
    </w:rPr>
  </w:style>
  <w:style w:type="character" w:styleId="Strong">
    <w:name w:val="Strong"/>
    <w:basedOn w:val="DefaultParagraphFont"/>
    <w:uiPriority w:val="22"/>
    <w:qFormat/>
    <w:rsid w:val="005A3E76"/>
    <w:rPr>
      <w:b/>
      <w:bCs/>
    </w:rPr>
  </w:style>
  <w:style w:type="character" w:customStyle="1" w:styleId="Emphasis1">
    <w:name w:val="Emphasis1"/>
    <w:basedOn w:val="DefaultParagraphFont"/>
    <w:uiPriority w:val="20"/>
    <w:qFormat/>
    <w:rsid w:val="005A3E76"/>
    <w:rPr>
      <w:rFonts w:ascii="Calibri" w:hAnsi="Calibri"/>
      <w:b/>
      <w:i/>
      <w:iCs/>
    </w:rPr>
  </w:style>
  <w:style w:type="paragraph" w:styleId="NoSpacing">
    <w:name w:val="No Spacing"/>
    <w:basedOn w:val="Normal"/>
    <w:uiPriority w:val="1"/>
    <w:qFormat/>
    <w:rsid w:val="005A3E76"/>
    <w:pPr>
      <w:widowControl/>
      <w:jc w:val="both"/>
    </w:pPr>
    <w:rPr>
      <w:rFonts w:eastAsia="Calibri"/>
      <w:szCs w:val="32"/>
      <w:lang w:eastAsia="en-US"/>
    </w:rPr>
  </w:style>
  <w:style w:type="paragraph" w:styleId="Quote">
    <w:name w:val="Quote"/>
    <w:basedOn w:val="Normal"/>
    <w:next w:val="Normal"/>
    <w:link w:val="QuoteChar"/>
    <w:uiPriority w:val="29"/>
    <w:qFormat/>
    <w:rsid w:val="005A3E76"/>
    <w:pPr>
      <w:widowControl/>
      <w:jc w:val="both"/>
    </w:pPr>
    <w:rPr>
      <w:rFonts w:eastAsia="Calibri"/>
      <w:i/>
      <w:szCs w:val="24"/>
      <w:lang w:eastAsia="en-US"/>
    </w:rPr>
  </w:style>
  <w:style w:type="character" w:customStyle="1" w:styleId="QuoteChar">
    <w:name w:val="Quote Char"/>
    <w:basedOn w:val="DefaultParagraphFont"/>
    <w:link w:val="Quote"/>
    <w:uiPriority w:val="29"/>
    <w:rsid w:val="005A3E76"/>
    <w:rPr>
      <w:rFonts w:eastAsia="Calibri"/>
      <w:i/>
      <w:sz w:val="24"/>
      <w:szCs w:val="24"/>
      <w:lang w:val="bg-BG" w:eastAsia="en-US"/>
    </w:rPr>
  </w:style>
  <w:style w:type="paragraph" w:styleId="IntenseQuote">
    <w:name w:val="Intense Quote"/>
    <w:basedOn w:val="Normal"/>
    <w:next w:val="Normal"/>
    <w:link w:val="IntenseQuoteChar"/>
    <w:uiPriority w:val="30"/>
    <w:qFormat/>
    <w:rsid w:val="005A3E76"/>
    <w:pPr>
      <w:widowControl/>
      <w:ind w:left="720" w:right="720"/>
      <w:jc w:val="both"/>
    </w:pPr>
    <w:rPr>
      <w:rFonts w:eastAsia="Calibri"/>
      <w:b/>
      <w:i/>
      <w:szCs w:val="22"/>
      <w:lang w:eastAsia="en-US"/>
    </w:rPr>
  </w:style>
  <w:style w:type="character" w:customStyle="1" w:styleId="IntenseQuoteChar">
    <w:name w:val="Intense Quote Char"/>
    <w:basedOn w:val="DefaultParagraphFont"/>
    <w:link w:val="IntenseQuote"/>
    <w:uiPriority w:val="30"/>
    <w:rsid w:val="005A3E76"/>
    <w:rPr>
      <w:rFonts w:eastAsia="Calibri"/>
      <w:b/>
      <w:i/>
      <w:sz w:val="24"/>
      <w:szCs w:val="22"/>
      <w:lang w:val="bg-BG" w:eastAsia="en-US"/>
    </w:rPr>
  </w:style>
  <w:style w:type="character" w:customStyle="1" w:styleId="SubtleEmphasis1">
    <w:name w:val="Subtle Emphasis1"/>
    <w:uiPriority w:val="19"/>
    <w:qFormat/>
    <w:rsid w:val="005A3E76"/>
    <w:rPr>
      <w:i/>
      <w:color w:val="5A5A5A"/>
    </w:rPr>
  </w:style>
  <w:style w:type="character" w:styleId="IntenseEmphasis">
    <w:name w:val="Intense Emphasis"/>
    <w:basedOn w:val="DefaultParagraphFont"/>
    <w:uiPriority w:val="21"/>
    <w:qFormat/>
    <w:rsid w:val="005A3E76"/>
    <w:rPr>
      <w:b/>
      <w:i/>
      <w:sz w:val="24"/>
      <w:szCs w:val="24"/>
      <w:u w:val="single"/>
    </w:rPr>
  </w:style>
  <w:style w:type="character" w:styleId="SubtleReference">
    <w:name w:val="Subtle Reference"/>
    <w:basedOn w:val="DefaultParagraphFont"/>
    <w:uiPriority w:val="31"/>
    <w:qFormat/>
    <w:rsid w:val="005A3E76"/>
    <w:rPr>
      <w:sz w:val="24"/>
      <w:szCs w:val="24"/>
      <w:u w:val="single"/>
    </w:rPr>
  </w:style>
  <w:style w:type="character" w:styleId="IntenseReference">
    <w:name w:val="Intense Reference"/>
    <w:basedOn w:val="DefaultParagraphFont"/>
    <w:uiPriority w:val="32"/>
    <w:qFormat/>
    <w:rsid w:val="005A3E76"/>
    <w:rPr>
      <w:b/>
      <w:sz w:val="24"/>
      <w:u w:val="single"/>
    </w:rPr>
  </w:style>
  <w:style w:type="character" w:customStyle="1" w:styleId="BookTitle1">
    <w:name w:val="Book Title1"/>
    <w:basedOn w:val="DefaultParagraphFont"/>
    <w:uiPriority w:val="33"/>
    <w:qFormat/>
    <w:rsid w:val="005A3E76"/>
    <w:rPr>
      <w:rFonts w:ascii="Calibri Light" w:eastAsia="Times New Roman" w:hAnsi="Calibri Light"/>
      <w:b/>
      <w:i/>
      <w:sz w:val="24"/>
      <w:szCs w:val="24"/>
    </w:rPr>
  </w:style>
  <w:style w:type="paragraph" w:customStyle="1" w:styleId="Typedudocument">
    <w:name w:val="Type du document"/>
    <w:basedOn w:val="Normal"/>
    <w:next w:val="Normal"/>
    <w:rsid w:val="005A3E76"/>
    <w:pPr>
      <w:widowControl/>
      <w:spacing w:before="360" w:line="360" w:lineRule="auto"/>
      <w:jc w:val="center"/>
    </w:pPr>
    <w:rPr>
      <w:rFonts w:eastAsia="Calibri"/>
      <w:b/>
      <w:szCs w:val="22"/>
      <w:lang w:eastAsia="en-US"/>
    </w:rPr>
  </w:style>
  <w:style w:type="paragraph" w:customStyle="1" w:styleId="SectionTitle">
    <w:name w:val="SectionTitle"/>
    <w:basedOn w:val="Normal"/>
    <w:next w:val="Heading1"/>
    <w:rsid w:val="005A3E76"/>
    <w:pPr>
      <w:keepNext/>
      <w:widowControl/>
      <w:spacing w:before="120" w:after="360"/>
      <w:jc w:val="center"/>
    </w:pPr>
    <w:rPr>
      <w:rFonts w:eastAsia="Calibri"/>
      <w:b/>
      <w:smallCaps/>
      <w:sz w:val="28"/>
      <w:szCs w:val="22"/>
      <w:lang w:eastAsia="en-US"/>
    </w:rPr>
  </w:style>
  <w:style w:type="paragraph" w:customStyle="1" w:styleId="Titrearticle">
    <w:name w:val="Titre article"/>
    <w:basedOn w:val="Normal"/>
    <w:next w:val="Normal"/>
    <w:rsid w:val="005A3E76"/>
    <w:pPr>
      <w:keepNext/>
      <w:widowControl/>
      <w:spacing w:before="360" w:after="120"/>
      <w:jc w:val="center"/>
    </w:pPr>
    <w:rPr>
      <w:rFonts w:eastAsia="Calibri"/>
      <w:i/>
      <w:szCs w:val="22"/>
      <w:lang w:eastAsia="en-US"/>
    </w:rPr>
  </w:style>
  <w:style w:type="paragraph" w:customStyle="1" w:styleId="Point0">
    <w:name w:val="Point 0"/>
    <w:basedOn w:val="Normal"/>
    <w:rsid w:val="005A3E76"/>
    <w:pPr>
      <w:widowControl/>
      <w:spacing w:before="120" w:after="120"/>
      <w:ind w:left="850" w:hanging="850"/>
      <w:jc w:val="both"/>
    </w:pPr>
    <w:rPr>
      <w:rFonts w:eastAsia="Calibri"/>
      <w:szCs w:val="22"/>
      <w:lang w:eastAsia="en-US"/>
    </w:rPr>
  </w:style>
  <w:style w:type="paragraph" w:customStyle="1" w:styleId="Fait">
    <w:name w:val="Fait à"/>
    <w:basedOn w:val="Normal"/>
    <w:next w:val="Institutionquisigne"/>
    <w:rsid w:val="005A3E76"/>
    <w:pPr>
      <w:keepNext/>
      <w:widowControl/>
      <w:spacing w:before="120"/>
      <w:jc w:val="both"/>
    </w:pPr>
    <w:rPr>
      <w:rFonts w:eastAsia="Calibri"/>
      <w:szCs w:val="22"/>
      <w:lang w:eastAsia="en-US"/>
    </w:rPr>
  </w:style>
  <w:style w:type="paragraph" w:customStyle="1" w:styleId="Institutionquisigne">
    <w:name w:val="Institution qui signe"/>
    <w:basedOn w:val="Normal"/>
    <w:next w:val="Normal"/>
    <w:rsid w:val="005A3E76"/>
    <w:pPr>
      <w:keepNext/>
      <w:widowControl/>
      <w:tabs>
        <w:tab w:val="left" w:pos="4252"/>
      </w:tabs>
      <w:spacing w:before="720"/>
      <w:jc w:val="both"/>
    </w:pPr>
    <w:rPr>
      <w:rFonts w:eastAsia="Calibri"/>
      <w:i/>
      <w:szCs w:val="22"/>
      <w:lang w:eastAsia="en-US"/>
    </w:rPr>
  </w:style>
  <w:style w:type="paragraph" w:customStyle="1" w:styleId="NormalCentered">
    <w:name w:val="Normal Centered"/>
    <w:basedOn w:val="Normal"/>
    <w:rsid w:val="005A3E76"/>
    <w:pPr>
      <w:widowControl/>
      <w:spacing w:before="120" w:after="120"/>
      <w:jc w:val="center"/>
    </w:pPr>
    <w:rPr>
      <w:rFonts w:eastAsia="Calibri"/>
      <w:szCs w:val="22"/>
      <w:lang w:eastAsia="en-US"/>
    </w:rPr>
  </w:style>
  <w:style w:type="paragraph" w:customStyle="1" w:styleId="NormalLeft">
    <w:name w:val="Normal Left"/>
    <w:basedOn w:val="Normal"/>
    <w:rsid w:val="005A3E76"/>
    <w:pPr>
      <w:widowControl/>
      <w:spacing w:before="120" w:after="120"/>
    </w:pPr>
    <w:rPr>
      <w:rFonts w:eastAsia="Calibri"/>
      <w:szCs w:val="22"/>
      <w:lang w:eastAsia="en-US"/>
    </w:rPr>
  </w:style>
  <w:style w:type="paragraph" w:styleId="Revision">
    <w:name w:val="Revision"/>
    <w:hidden/>
    <w:uiPriority w:val="99"/>
    <w:semiHidden/>
    <w:rsid w:val="005A3E76"/>
    <w:rPr>
      <w:rFonts w:eastAsia="Calibri"/>
      <w:sz w:val="24"/>
      <w:szCs w:val="24"/>
      <w:lang w:eastAsia="en-US"/>
    </w:rPr>
  </w:style>
  <w:style w:type="paragraph" w:styleId="NormalWeb">
    <w:name w:val="Normal (Web)"/>
    <w:basedOn w:val="Normal"/>
    <w:uiPriority w:val="99"/>
    <w:unhideWhenUsed/>
    <w:rsid w:val="005A3E76"/>
    <w:pPr>
      <w:widowControl/>
      <w:spacing w:before="100" w:beforeAutospacing="1" w:after="100" w:afterAutospacing="1"/>
    </w:pPr>
    <w:rPr>
      <w:szCs w:val="24"/>
      <w:lang w:val="pl-PL" w:eastAsia="pl-PL"/>
    </w:rPr>
  </w:style>
  <w:style w:type="character" w:styleId="FollowedHyperlink">
    <w:name w:val="FollowedHyperlink"/>
    <w:basedOn w:val="DefaultParagraphFont"/>
    <w:uiPriority w:val="99"/>
    <w:unhideWhenUsed/>
    <w:rsid w:val="005A3E76"/>
    <w:rPr>
      <w:color w:val="954F72"/>
      <w:u w:val="single"/>
    </w:rPr>
  </w:style>
  <w:style w:type="paragraph" w:customStyle="1" w:styleId="xl65">
    <w:name w:val="xl65"/>
    <w:basedOn w:val="Normal"/>
    <w:rsid w:val="005A3E76"/>
    <w:pPr>
      <w:widowControl/>
      <w:pBdr>
        <w:left w:val="single" w:sz="4" w:space="0" w:color="auto"/>
      </w:pBdr>
      <w:spacing w:before="100" w:beforeAutospacing="1" w:after="100" w:afterAutospacing="1"/>
    </w:pPr>
    <w:rPr>
      <w:szCs w:val="24"/>
      <w:lang w:val="en-IE" w:eastAsia="en-IE"/>
    </w:rPr>
  </w:style>
  <w:style w:type="paragraph" w:customStyle="1" w:styleId="xl66">
    <w:name w:val="xl66"/>
    <w:basedOn w:val="Normal"/>
    <w:rsid w:val="005A3E76"/>
    <w:pPr>
      <w:widowControl/>
      <w:pBdr>
        <w:right w:val="single" w:sz="4" w:space="0" w:color="auto"/>
      </w:pBdr>
      <w:spacing w:before="100" w:beforeAutospacing="1" w:after="100" w:afterAutospacing="1"/>
    </w:pPr>
    <w:rPr>
      <w:szCs w:val="24"/>
      <w:lang w:val="en-IE" w:eastAsia="en-IE"/>
    </w:rPr>
  </w:style>
  <w:style w:type="paragraph" w:styleId="Title">
    <w:name w:val="Title"/>
    <w:basedOn w:val="Normal"/>
    <w:next w:val="Normal"/>
    <w:link w:val="TitleChar"/>
    <w:uiPriority w:val="10"/>
    <w:qFormat/>
    <w:rsid w:val="005A3E76"/>
    <w:pPr>
      <w:contextualSpacing/>
    </w:pPr>
    <w:rPr>
      <w:rFonts w:ascii="Arial" w:hAnsi="Arial" w:cs="Arial"/>
      <w:b/>
      <w:bCs/>
      <w:kern w:val="28"/>
      <w:sz w:val="32"/>
      <w:szCs w:val="32"/>
      <w:lang w:val="en-GB"/>
    </w:rPr>
  </w:style>
  <w:style w:type="character" w:customStyle="1" w:styleId="TitleChar1">
    <w:name w:val="Title Char1"/>
    <w:basedOn w:val="DefaultParagraphFont"/>
    <w:rsid w:val="005A3E76"/>
    <w:rPr>
      <w:rFonts w:asciiTheme="majorHAnsi" w:eastAsiaTheme="majorEastAsia" w:hAnsiTheme="majorHAnsi" w:cstheme="majorBidi"/>
      <w:spacing w:val="-10"/>
      <w:kern w:val="28"/>
      <w:sz w:val="56"/>
      <w:szCs w:val="56"/>
      <w:lang w:val="bg-BG"/>
    </w:rPr>
  </w:style>
  <w:style w:type="paragraph" w:styleId="Subtitle">
    <w:name w:val="Subtitle"/>
    <w:basedOn w:val="Normal"/>
    <w:next w:val="Normal"/>
    <w:link w:val="SubtitleChar"/>
    <w:uiPriority w:val="11"/>
    <w:qFormat/>
    <w:rsid w:val="005A3E76"/>
    <w:pPr>
      <w:numPr>
        <w:ilvl w:val="1"/>
      </w:numPr>
      <w:spacing w:after="160"/>
    </w:pPr>
    <w:rPr>
      <w:rFonts w:ascii="Arial" w:hAnsi="Arial" w:cs="Arial"/>
      <w:szCs w:val="24"/>
      <w:lang w:val="en-GB"/>
    </w:rPr>
  </w:style>
  <w:style w:type="character" w:customStyle="1" w:styleId="SubtitleChar1">
    <w:name w:val="Subtitle Char1"/>
    <w:basedOn w:val="DefaultParagraphFont"/>
    <w:rsid w:val="005A3E76"/>
    <w:rPr>
      <w:rFonts w:asciiTheme="minorHAnsi" w:eastAsiaTheme="minorEastAsia" w:hAnsiTheme="minorHAnsi" w:cstheme="minorBidi"/>
      <w:color w:val="5A5A5A" w:themeColor="text1" w:themeTint="A5"/>
      <w:spacing w:val="15"/>
      <w:sz w:val="22"/>
      <w:szCs w:val="22"/>
      <w:lang w:val="bg-BG"/>
    </w:rPr>
  </w:style>
  <w:style w:type="character" w:styleId="Emphasis">
    <w:name w:val="Emphasis"/>
    <w:basedOn w:val="DefaultParagraphFont"/>
    <w:uiPriority w:val="20"/>
    <w:qFormat/>
    <w:rsid w:val="005A3E76"/>
    <w:rPr>
      <w:i/>
      <w:iCs/>
    </w:rPr>
  </w:style>
  <w:style w:type="character" w:styleId="SubtleEmphasis">
    <w:name w:val="Subtle Emphasis"/>
    <w:basedOn w:val="DefaultParagraphFont"/>
    <w:uiPriority w:val="19"/>
    <w:qFormat/>
    <w:rsid w:val="005A3E76"/>
    <w:rPr>
      <w:i/>
      <w:iCs/>
      <w:color w:val="404040" w:themeColor="text1" w:themeTint="BF"/>
    </w:rPr>
  </w:style>
  <w:style w:type="character" w:styleId="BookTitle">
    <w:name w:val="Book Title"/>
    <w:basedOn w:val="DefaultParagraphFont"/>
    <w:uiPriority w:val="33"/>
    <w:qFormat/>
    <w:rsid w:val="005A3E76"/>
    <w:rPr>
      <w:b/>
      <w:bCs/>
      <w:i/>
      <w:iCs/>
      <w:spacing w:val="5"/>
    </w:rPr>
  </w:style>
  <w:style w:type="numbering" w:customStyle="1" w:styleId="NoList2">
    <w:name w:val="No List2"/>
    <w:next w:val="NoList"/>
    <w:uiPriority w:val="99"/>
    <w:semiHidden/>
    <w:unhideWhenUsed/>
    <w:rsid w:val="005A3E76"/>
  </w:style>
  <w:style w:type="paragraph" w:customStyle="1" w:styleId="HeadingDocType24a">
    <w:name w:val="HeadingDocType24a"/>
    <w:basedOn w:val="Normal"/>
    <w:rsid w:val="00C15C7E"/>
    <w:pPr>
      <w:spacing w:after="480"/>
      <w:jc w:val="center"/>
    </w:pPr>
    <w:rPr>
      <w:rFonts w:ascii="Arial" w:hAnsi="Arial"/>
      <w:b/>
      <w:sz w:val="48"/>
    </w:rPr>
  </w:style>
  <w:style w:type="paragraph" w:customStyle="1" w:styleId="HeadingReferenceERCO">
    <w:name w:val="HeadingReferenceERCO"/>
    <w:basedOn w:val="Normal"/>
    <w:rsid w:val="00C15C7E"/>
    <w:pPr>
      <w:spacing w:before="360" w:after="240"/>
      <w:jc w:val="right"/>
    </w:pPr>
    <w:rPr>
      <w:rFonts w:ascii="Arial" w:hAnsi="Arial"/>
      <w:b/>
    </w:rPr>
  </w:style>
  <w:style w:type="paragraph" w:customStyle="1" w:styleId="NormalCenter">
    <w:name w:val="NormalCenter"/>
    <w:basedOn w:val="Normal"/>
    <w:rsid w:val="00C15C7E"/>
    <w:pPr>
      <w:jc w:val="center"/>
    </w:pPr>
  </w:style>
  <w:style w:type="paragraph" w:customStyle="1" w:styleId="LineSingle">
    <w:name w:val="LineSingle"/>
    <w:basedOn w:val="Normal"/>
    <w:next w:val="Normal"/>
    <w:rsid w:val="00C15C7E"/>
    <w:pPr>
      <w:pBdr>
        <w:bottom w:val="single" w:sz="4" w:space="1" w:color="auto"/>
      </w:pBdr>
      <w:spacing w:after="240"/>
    </w:pPr>
  </w:style>
  <w:style w:type="paragraph" w:customStyle="1" w:styleId="HeadingDate">
    <w:name w:val="HeadingDate"/>
    <w:basedOn w:val="Normal"/>
    <w:rsid w:val="00C15C7E"/>
    <w:pPr>
      <w:spacing w:before="240" w:after="240"/>
    </w:pPr>
  </w:style>
  <w:style w:type="character" w:customStyle="1" w:styleId="EPFooter2Char">
    <w:name w:val="EPFooter2 Char"/>
    <w:basedOn w:val="DefaultParagraphFont"/>
    <w:link w:val="EPFooter2"/>
    <w:rsid w:val="00C15C7E"/>
    <w:rPr>
      <w:rFonts w:ascii="Arial" w:hAnsi="Arial" w:cs="Arial"/>
      <w:b/>
      <w:sz w:val="4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56582-7363-4B32-9CEA-1787FA80B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1314</Words>
  <Characters>7970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Maria Minkova</cp:lastModifiedBy>
  <cp:revision>2</cp:revision>
  <cp:lastPrinted>2004-11-19T15:42:00Z</cp:lastPrinted>
  <dcterms:created xsi:type="dcterms:W3CDTF">2024-12-02T13:27:00Z</dcterms:created>
  <dcterms:modified xsi:type="dcterms:W3CDTF">2024-12-02T13:27:00Z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P9_TA(2024)0163_</vt:lpwstr>
  </property>
  <property fmtid="{D5CDD505-2E9C-101B-9397-08002B2CF9AE}" pid="4" name="&lt;Type&gt;">
    <vt:lpwstr>RR</vt:lpwstr>
  </property>
</Properties>
</file>