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35800" w:rsidTr="0010095E">
        <w:trPr>
          <w:trHeight w:hRule="exact" w:val="1418"/>
        </w:trPr>
        <w:tc>
          <w:tcPr>
            <w:tcW w:w="6804" w:type="dxa"/>
            <w:shd w:val="clear" w:color="auto" w:fill="auto"/>
            <w:vAlign w:val="center"/>
          </w:tcPr>
          <w:p w:rsidR="00751A4A" w:rsidRPr="00335800" w:rsidRDefault="00341670" w:rsidP="0010095E">
            <w:pPr>
              <w:pStyle w:val="EPName"/>
            </w:pPr>
            <w:r w:rsidRPr="00335800">
              <w:t>Evropský parlament</w:t>
            </w:r>
          </w:p>
          <w:p w:rsidR="00751A4A" w:rsidRPr="00335800" w:rsidRDefault="00817416" w:rsidP="00756632">
            <w:pPr>
              <w:pStyle w:val="EPTerm"/>
              <w:rPr>
                <w:rStyle w:val="HideTWBExt"/>
                <w:noProof w:val="0"/>
                <w:vanish w:val="0"/>
                <w:color w:val="auto"/>
              </w:rPr>
            </w:pPr>
            <w:r w:rsidRPr="00335800">
              <w:t>2019-2024</w:t>
            </w:r>
          </w:p>
        </w:tc>
        <w:tc>
          <w:tcPr>
            <w:tcW w:w="2268" w:type="dxa"/>
            <w:shd w:val="clear" w:color="auto" w:fill="auto"/>
          </w:tcPr>
          <w:p w:rsidR="00751A4A" w:rsidRPr="00335800" w:rsidRDefault="00187494" w:rsidP="0010095E">
            <w:pPr>
              <w:pStyle w:val="EPLogo"/>
            </w:pPr>
            <w:r w:rsidRPr="00335800">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335800" w:rsidRDefault="00D058B8" w:rsidP="004C5D52">
      <w:pPr>
        <w:pStyle w:val="LineTop"/>
      </w:pPr>
    </w:p>
    <w:p w:rsidR="00680577" w:rsidRPr="00335800" w:rsidRDefault="00341670" w:rsidP="00680577">
      <w:pPr>
        <w:pStyle w:val="EPBodyTA1"/>
      </w:pPr>
      <w:r w:rsidRPr="00335800">
        <w:t>PŘIJATÉ TEXTY</w:t>
      </w:r>
    </w:p>
    <w:p w:rsidR="00D058B8" w:rsidRPr="00335800" w:rsidRDefault="00D058B8" w:rsidP="00D058B8">
      <w:pPr>
        <w:pStyle w:val="LineBottom"/>
      </w:pPr>
    </w:p>
    <w:p w:rsidR="00341670" w:rsidRPr="00335800" w:rsidRDefault="00341670" w:rsidP="00341670">
      <w:pPr>
        <w:pStyle w:val="ATHeading1"/>
      </w:pPr>
      <w:r w:rsidRPr="00335800">
        <w:t>P9_TA(2024)0</w:t>
      </w:r>
      <w:r w:rsidR="006C4DF5">
        <w:t>163</w:t>
      </w:r>
    </w:p>
    <w:p w:rsidR="00341670" w:rsidRPr="00335800" w:rsidRDefault="00341670" w:rsidP="00341670">
      <w:pPr>
        <w:pStyle w:val="ATHeading2"/>
      </w:pPr>
      <w:r w:rsidRPr="00335800">
        <w:t>Finanční pravidla pro souhrnný rozpočet Unie (přepracování)</w:t>
      </w:r>
    </w:p>
    <w:p w:rsidR="00341670" w:rsidRPr="00335800" w:rsidRDefault="00341670" w:rsidP="00341670">
      <w:pPr>
        <w:rPr>
          <w:i/>
          <w:vanish/>
        </w:rPr>
      </w:pPr>
      <w:r w:rsidRPr="00335800">
        <w:rPr>
          <w:i/>
        </w:rPr>
        <w:fldChar w:fldCharType="begin"/>
      </w:r>
      <w:r w:rsidRPr="00335800">
        <w:rPr>
          <w:i/>
        </w:rPr>
        <w:instrText xml:space="preserve"> TC"(A9-0180/2023 - Zpravodajové: Nils Ušakovs, Monika Hohlmeier)"\l3 \n&gt; \* MERGEFORMAT </w:instrText>
      </w:r>
      <w:r w:rsidRPr="00335800">
        <w:rPr>
          <w:i/>
        </w:rPr>
        <w:fldChar w:fldCharType="end"/>
      </w:r>
    </w:p>
    <w:p w:rsidR="00341670" w:rsidRPr="00335800" w:rsidRDefault="00341670" w:rsidP="00341670">
      <w:pPr>
        <w:rPr>
          <w:vanish/>
        </w:rPr>
      </w:pPr>
      <w:r w:rsidRPr="00335800">
        <w:rPr>
          <w:vanish/>
        </w:rPr>
        <w:t>Rozpočtový výbor, Výbor pro rozpočtovou kontrolu</w:t>
      </w:r>
    </w:p>
    <w:p w:rsidR="00341670" w:rsidRPr="00335800" w:rsidRDefault="00341670" w:rsidP="00341670">
      <w:pPr>
        <w:rPr>
          <w:vanish/>
        </w:rPr>
      </w:pPr>
      <w:r w:rsidRPr="00335800">
        <w:rPr>
          <w:vanish/>
        </w:rPr>
        <w:t>PE740.802</w:t>
      </w:r>
    </w:p>
    <w:p w:rsidR="00341670" w:rsidRPr="00335800" w:rsidRDefault="00341670" w:rsidP="00341670">
      <w:pPr>
        <w:pStyle w:val="ATHeading3"/>
      </w:pPr>
      <w:r w:rsidRPr="00335800">
        <w:t xml:space="preserve">Legislativní usnesení </w:t>
      </w:r>
      <w:r w:rsidR="00A30477">
        <w:t>Evropského parlamentu ze dne 14</w:t>
      </w:r>
      <w:r w:rsidR="0009615B">
        <w:t>. března</w:t>
      </w:r>
      <w:r w:rsidRPr="00335800">
        <w:t xml:space="preserve"> 2024 o návrhu nařízení Evropského parlamentu a Rady, kterým se stanoví finanční pravidla pro souhrnný rozpočet Unie (přepracované znění) (</w:t>
      </w:r>
      <w:proofErr w:type="gramStart"/>
      <w:r w:rsidRPr="00335800">
        <w:t>COM(2022</w:t>
      </w:r>
      <w:proofErr w:type="gramEnd"/>
      <w:r w:rsidRPr="00335800">
        <w:t>)0223 – C9-0179/2022 – 2022/0162(COD))</w:t>
      </w:r>
    </w:p>
    <w:p w:rsidR="00341670" w:rsidRPr="00335800" w:rsidRDefault="00341670" w:rsidP="00341670"/>
    <w:p w:rsidR="00A25102" w:rsidRPr="00335800" w:rsidRDefault="00A25102" w:rsidP="00A25102">
      <w:pPr>
        <w:pStyle w:val="NormalBold"/>
      </w:pPr>
      <w:r w:rsidRPr="00335800">
        <w:t>(Řádný legislativní postup – přepracování)</w:t>
      </w:r>
    </w:p>
    <w:p w:rsidR="00A25102" w:rsidRPr="00335800" w:rsidRDefault="00A25102" w:rsidP="00A25102">
      <w:pPr>
        <w:pStyle w:val="EPComma"/>
      </w:pPr>
      <w:r w:rsidRPr="00335800">
        <w:rPr>
          <w:i/>
        </w:rPr>
        <w:t>Evropský parlament</w:t>
      </w:r>
      <w:r w:rsidRPr="00335800">
        <w:t>,</w:t>
      </w:r>
    </w:p>
    <w:p w:rsidR="00A25102" w:rsidRPr="00335800" w:rsidRDefault="00A25102" w:rsidP="00A25102">
      <w:pPr>
        <w:pStyle w:val="NormalHanging12a"/>
      </w:pPr>
      <w:r w:rsidRPr="00335800">
        <w:t>–</w:t>
      </w:r>
      <w:r w:rsidRPr="00335800">
        <w:tab/>
        <w:t>s ohledem na návrh Komise předložený Evropskému parlamentu a Radě (</w:t>
      </w:r>
      <w:proofErr w:type="gramStart"/>
      <w:r w:rsidRPr="00335800">
        <w:t>COM(2022</w:t>
      </w:r>
      <w:proofErr w:type="gramEnd"/>
      <w:r w:rsidRPr="00335800">
        <w:t>)0223),</w:t>
      </w:r>
    </w:p>
    <w:p w:rsidR="00A25102" w:rsidRPr="00335800" w:rsidRDefault="00A25102" w:rsidP="00A25102">
      <w:pPr>
        <w:pStyle w:val="NormalHanging12a"/>
      </w:pPr>
      <w:r w:rsidRPr="00335800">
        <w:t>–</w:t>
      </w:r>
      <w:r w:rsidRPr="00335800">
        <w:tab/>
        <w:t xml:space="preserve">s ohledem na čl. 294 odst. 2 a čl. 322 odst. 1 Smlouvy o fungování Evropské unie a na článek 106a Smlouvy o založení Evropského společenství pro atomovou energii, v souladu </w:t>
      </w:r>
      <w:r w:rsidR="0009615B">
        <w:t>se kterými</w:t>
      </w:r>
      <w:r w:rsidRPr="00335800">
        <w:t xml:space="preserve"> Komise předložila svůj návrh Parlamentu (C9</w:t>
      </w:r>
      <w:r w:rsidRPr="00335800">
        <w:noBreakHyphen/>
        <w:t>0179/2022),</w:t>
      </w:r>
    </w:p>
    <w:p w:rsidR="00A25102" w:rsidRPr="00335800" w:rsidRDefault="00A25102" w:rsidP="00A25102">
      <w:pPr>
        <w:pStyle w:val="NormalHanging12a"/>
      </w:pPr>
      <w:r w:rsidRPr="00335800">
        <w:t>–</w:t>
      </w:r>
      <w:r w:rsidRPr="00335800">
        <w:tab/>
        <w:t>s ohledem na čl. 294 odst. 3 a Smlouvy o fungování Evropské unie,</w:t>
      </w:r>
    </w:p>
    <w:p w:rsidR="00A25102" w:rsidRPr="00335800" w:rsidRDefault="00A25102" w:rsidP="00A25102">
      <w:pPr>
        <w:pStyle w:val="NormalHanging12a"/>
      </w:pPr>
      <w:r w:rsidRPr="00335800">
        <w:t>–</w:t>
      </w:r>
      <w:r w:rsidRPr="00335800">
        <w:tab/>
        <w:t>s ohledem na stanovisko Účetního dvora ze dne 31. října 2022</w:t>
      </w:r>
      <w:r w:rsidRPr="00335800">
        <w:rPr>
          <w:rStyle w:val="FootnoteReference"/>
        </w:rPr>
        <w:footnoteReference w:id="1"/>
      </w:r>
      <w:r w:rsidRPr="00335800">
        <w:t>,</w:t>
      </w:r>
    </w:p>
    <w:p w:rsidR="00A25102" w:rsidRPr="00335800" w:rsidRDefault="00A25102" w:rsidP="00A25102">
      <w:pPr>
        <w:pStyle w:val="NormalHanging12a"/>
      </w:pPr>
      <w:r w:rsidRPr="00335800">
        <w:t>–</w:t>
      </w:r>
      <w:r w:rsidRPr="00335800">
        <w:tab/>
        <w:t>s ohledem na interinstitucionální dohodu ze dne 28. listopadu 2001 o systematičtějším využívání metody přepracování právních aktů</w:t>
      </w:r>
      <w:r w:rsidRPr="00335800">
        <w:rPr>
          <w:rStyle w:val="FootnoteReference"/>
        </w:rPr>
        <w:footnoteReference w:id="2"/>
      </w:r>
      <w:r w:rsidRPr="00335800">
        <w:t>,</w:t>
      </w:r>
    </w:p>
    <w:p w:rsidR="00A25102" w:rsidRDefault="00A25102" w:rsidP="00A25102">
      <w:pPr>
        <w:pStyle w:val="NormalHanging12a"/>
      </w:pPr>
      <w:r w:rsidRPr="00335800">
        <w:t>–</w:t>
      </w:r>
      <w:r w:rsidRPr="00335800">
        <w:tab/>
        <w:t xml:space="preserve">s ohledem na dopis, který </w:t>
      </w:r>
      <w:r w:rsidR="00AB6894" w:rsidRPr="00335800">
        <w:t>dne 25. dubna 2023</w:t>
      </w:r>
      <w:r w:rsidR="00AB6894">
        <w:t xml:space="preserve"> </w:t>
      </w:r>
      <w:r w:rsidRPr="00335800">
        <w:t>zaslal Výbor pro právní záležitosti Rozpočtovému výboru a Výboru pro rozpočtovou kontrolu</w:t>
      </w:r>
      <w:r w:rsidR="00AB6894" w:rsidRPr="00AB6894">
        <w:t xml:space="preserve"> </w:t>
      </w:r>
      <w:r w:rsidR="00AB6894" w:rsidRPr="00335800">
        <w:t>podle čl. 110 odst. 3 jednacího řádu</w:t>
      </w:r>
      <w:r w:rsidRPr="00335800">
        <w:t>,</w:t>
      </w:r>
    </w:p>
    <w:p w:rsidR="00BB3E6C" w:rsidRPr="00335800" w:rsidRDefault="00BB3E6C" w:rsidP="00A25102">
      <w:pPr>
        <w:pStyle w:val="NormalHanging12a"/>
      </w:pPr>
      <w:r w:rsidRPr="00BB3E6C">
        <w:t>–</w:t>
      </w:r>
      <w:r w:rsidRPr="00BB3E6C">
        <w:tab/>
        <w:t xml:space="preserve">ohledem na předběžnou dohodu přijatou příslušnými výbory podle čl. 74 odst. 4 jednacího řádu a s ohledem na to, že se </w:t>
      </w:r>
      <w:r>
        <w:t>zástupce Rady dopisem ze dne 20. prosince 2023</w:t>
      </w:r>
      <w:r w:rsidRPr="00BB3E6C">
        <w:t xml:space="preserve"> zavázal schválit postoj Parlamentu v souladu s čl. 294 odst. 4 Smlouvy o </w:t>
      </w:r>
      <w:r w:rsidRPr="00BB3E6C">
        <w:lastRenderedPageBreak/>
        <w:t>fungování Evropské unie,</w:t>
      </w:r>
    </w:p>
    <w:p w:rsidR="00A25102" w:rsidRPr="00335800" w:rsidRDefault="00A25102" w:rsidP="00A25102">
      <w:pPr>
        <w:pStyle w:val="NormalHanging12a"/>
        <w:rPr>
          <w:szCs w:val="24"/>
        </w:rPr>
      </w:pPr>
      <w:r w:rsidRPr="00335800">
        <w:t>–</w:t>
      </w:r>
      <w:r w:rsidRPr="00335800">
        <w:tab/>
        <w:t>s ohledem na společné schůze Rozpočtového výboru a Výboru pro rozpočtovou kontrolu podle článku 58 jednacího řádu,</w:t>
      </w:r>
    </w:p>
    <w:p w:rsidR="00A25102" w:rsidRPr="00335800" w:rsidRDefault="00A25102" w:rsidP="00A25102">
      <w:pPr>
        <w:pStyle w:val="NormalHanging12a"/>
      </w:pPr>
      <w:r w:rsidRPr="00335800">
        <w:t>–</w:t>
      </w:r>
      <w:r w:rsidRPr="00335800">
        <w:tab/>
        <w:t>s ohledem na články 110 a 59 jednacího řádu,</w:t>
      </w:r>
    </w:p>
    <w:p w:rsidR="00A25102" w:rsidRPr="00335800" w:rsidRDefault="00A25102" w:rsidP="00A25102">
      <w:pPr>
        <w:pStyle w:val="NormalHanging12a"/>
      </w:pPr>
      <w:r w:rsidRPr="00335800">
        <w:t>–</w:t>
      </w:r>
      <w:r w:rsidRPr="00335800">
        <w:tab/>
        <w:t>s ohledem na stanovisko Výboru pro regionální rozvoj,</w:t>
      </w:r>
    </w:p>
    <w:p w:rsidR="00A25102" w:rsidRPr="00335800" w:rsidRDefault="00A25102" w:rsidP="00A25102">
      <w:pPr>
        <w:pStyle w:val="NormalHanging12a"/>
      </w:pPr>
      <w:r w:rsidRPr="00335800">
        <w:t>–</w:t>
      </w:r>
      <w:r w:rsidRPr="00335800">
        <w:tab/>
        <w:t>s ohledem dopis Výboru pro průmysl, výzkum a energetiku,</w:t>
      </w:r>
    </w:p>
    <w:p w:rsidR="00A25102" w:rsidRPr="00335800" w:rsidRDefault="00A25102" w:rsidP="00A25102">
      <w:pPr>
        <w:pStyle w:val="NormalHanging12a"/>
      </w:pPr>
      <w:r w:rsidRPr="00335800">
        <w:t>–</w:t>
      </w:r>
      <w:r w:rsidRPr="00335800">
        <w:tab/>
        <w:t>s ohledem na zprávu Rozpočtového výboru a Výboru pro rozpočtovou kontrolu (A9</w:t>
      </w:r>
      <w:r w:rsidRPr="00335800">
        <w:noBreakHyphen/>
        <w:t>0180/2023),</w:t>
      </w:r>
    </w:p>
    <w:p w:rsidR="00A25102" w:rsidRPr="00335800" w:rsidRDefault="00A25102" w:rsidP="00A25102">
      <w:pPr>
        <w:pStyle w:val="NormalHanging12a"/>
      </w:pPr>
      <w:r w:rsidRPr="00335800">
        <w:t>A.</w:t>
      </w:r>
      <w:r w:rsidRPr="00335800">
        <w:tab/>
        <w:t>vzhledem k tomu, že podle poradní skupiny složené z právních služeb Evropského parlamentu, Rady a Komise neobsahuje návrh Komise žádnou věcnou změnu kromě těch, které v něm byly jako takové označeny, a vzhledem k tomu, že pokud jde o nezměněná ustanovení stávajících znění, je návrh jejich prostou kodifikací bez jakékoli změny jejich věcného obsahu;</w:t>
      </w:r>
    </w:p>
    <w:p w:rsidR="00A25102" w:rsidRDefault="00A25102" w:rsidP="00A25102">
      <w:pPr>
        <w:pStyle w:val="NormalHanging12a"/>
      </w:pPr>
      <w:r w:rsidRPr="00335800">
        <w:t>1.</w:t>
      </w:r>
      <w:r w:rsidRPr="00335800">
        <w:tab/>
        <w:t>přijímá níže uvedený postoj v prvním čtení a bere na vědomí doporučení poradní skupiny složené z právních služeb Evropského parlamentu, Rady a Komise;</w:t>
      </w:r>
    </w:p>
    <w:p w:rsidR="00A30477" w:rsidRDefault="00A30477" w:rsidP="00A25102">
      <w:pPr>
        <w:pStyle w:val="NormalHanging12a"/>
      </w:pPr>
      <w:r>
        <w:t>2.</w:t>
      </w:r>
      <w:r>
        <w:tab/>
      </w:r>
      <w:r w:rsidR="005F578E" w:rsidRPr="005F578E">
        <w:t xml:space="preserve">schvaluje společné prohlášení Evropského parlamentu a Rady, jež je přílohou tohoto usnesení a bude zveřejněno v řadě C </w:t>
      </w:r>
      <w:r w:rsidR="005F578E" w:rsidRPr="00ED518B">
        <w:rPr>
          <w:i/>
        </w:rPr>
        <w:t>Úředního věstníku Evropské unie</w:t>
      </w:r>
      <w:r w:rsidR="005F578E" w:rsidRPr="005F578E">
        <w:t>;</w:t>
      </w:r>
    </w:p>
    <w:p w:rsidR="00A30477" w:rsidRPr="005F578E" w:rsidRDefault="00A30477" w:rsidP="00A25102">
      <w:pPr>
        <w:pStyle w:val="NormalHanging12a"/>
      </w:pPr>
      <w:r>
        <w:t>3.</w:t>
      </w:r>
      <w:r>
        <w:tab/>
      </w:r>
      <w:r w:rsidR="005F578E" w:rsidRPr="006C4DF5">
        <w:t xml:space="preserve">schvaluje společné prohlášení Evropského parlamentu, Rady a Komise, jež je přílohou tohoto usnesení a bude zveřejněno v řadě C </w:t>
      </w:r>
      <w:r w:rsidR="005F578E" w:rsidRPr="00ED518B">
        <w:rPr>
          <w:i/>
        </w:rPr>
        <w:t>Úředního věstníku Evropské unie</w:t>
      </w:r>
      <w:r w:rsidR="005F578E" w:rsidRPr="006C4DF5">
        <w:t>;</w:t>
      </w:r>
    </w:p>
    <w:p w:rsidR="00A30477" w:rsidRPr="00356F02" w:rsidRDefault="00A30477" w:rsidP="00A25102">
      <w:pPr>
        <w:pStyle w:val="NormalHanging12a"/>
      </w:pPr>
      <w:r>
        <w:t>4.</w:t>
      </w:r>
      <w:r>
        <w:tab/>
      </w:r>
      <w:r w:rsidR="005F578E" w:rsidRPr="006C4DF5">
        <w:t>bere na vědomí prohlášení Komise, která jsou přílohou tohoto usnesení;</w:t>
      </w:r>
    </w:p>
    <w:p w:rsidR="00A25102" w:rsidRPr="00335800" w:rsidRDefault="00A30477" w:rsidP="00A25102">
      <w:pPr>
        <w:pStyle w:val="NormalHanging12a"/>
      </w:pPr>
      <w:r>
        <w:t>5</w:t>
      </w:r>
      <w:r w:rsidR="00A25102" w:rsidRPr="00335800">
        <w:t>.</w:t>
      </w:r>
      <w:r w:rsidR="00A25102" w:rsidRPr="00335800">
        <w:tab/>
        <w:t>vyzývá Komisi, aby věc znovu postoupila Parlamentu, jestliže svůj návrh nahradí jiným textem, podstatně jej změní nebo má v úmyslu jej podstatně změnit;</w:t>
      </w:r>
    </w:p>
    <w:p w:rsidR="00A25102" w:rsidRPr="00335800" w:rsidRDefault="00A30477" w:rsidP="00A25102">
      <w:pPr>
        <w:pStyle w:val="NormalHanging12a"/>
      </w:pPr>
      <w:r>
        <w:t>6</w:t>
      </w:r>
      <w:r w:rsidR="00A25102" w:rsidRPr="00335800">
        <w:t>.</w:t>
      </w:r>
      <w:r w:rsidR="00A25102" w:rsidRPr="00335800">
        <w:tab/>
        <w:t>pověřuje svou předsedkyni, aby předala postoj Parlamentu Radě, Komisi, jakož i vnitrostátním parlamentům.</w:t>
      </w:r>
    </w:p>
    <w:p w:rsidR="00A30477" w:rsidRDefault="00A30477">
      <w:pPr>
        <w:widowControl/>
        <w:sectPr w:rsidR="00A30477" w:rsidSect="004D0514">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pPr>
    </w:p>
    <w:p w:rsidR="004D0514" w:rsidRDefault="00A30477" w:rsidP="006C4DF5">
      <w:pPr>
        <w:pStyle w:val="Typedudocument"/>
        <w:spacing w:before="0" w:after="240"/>
        <w:jc w:val="left"/>
      </w:pPr>
      <w:r w:rsidRPr="00A30477">
        <w:lastRenderedPageBreak/>
        <w:t>P9_TC1-COD(2022)0162</w:t>
      </w:r>
    </w:p>
    <w:p w:rsidR="004D0514" w:rsidRDefault="004D0514" w:rsidP="006C4DF5">
      <w:pPr>
        <w:pStyle w:val="Typedudocument"/>
        <w:spacing w:before="240" w:line="240" w:lineRule="auto"/>
        <w:jc w:val="left"/>
      </w:pPr>
      <w:r>
        <w:t>Postoj Evropského parlamentu přijatý v prv</w:t>
      </w:r>
      <w:r w:rsidR="00A30477">
        <w:t>n</w:t>
      </w:r>
      <w:r>
        <w:t xml:space="preserve">ím čtení dne </w:t>
      </w:r>
      <w:r w:rsidR="00A30477">
        <w:t>14</w:t>
      </w:r>
      <w:r>
        <w:t xml:space="preserve">. března 2024 k přijetí nařízení </w:t>
      </w:r>
      <w:r w:rsidR="00A30477">
        <w:t>Evropského parlamentu a Rady</w:t>
      </w:r>
      <w:r w:rsidRPr="00B44D95">
        <w:t xml:space="preserve"> (EU</w:t>
      </w:r>
      <w:r w:rsidR="00846755" w:rsidRPr="001646C5">
        <w:rPr>
          <w:szCs w:val="24"/>
        </w:rPr>
        <w:t>, Euratom</w:t>
      </w:r>
      <w:r w:rsidRPr="00B44D95">
        <w:t>) 2024</w:t>
      </w:r>
      <w:r w:rsidRPr="00A30477">
        <w:t>/...</w:t>
      </w:r>
      <w:r w:rsidR="00A30477" w:rsidRPr="00A30477">
        <w:t xml:space="preserve">, </w:t>
      </w:r>
      <w:r w:rsidRPr="00A30477">
        <w:t xml:space="preserve">kterým se stanoví finanční pravidla pro souhrnný rozpočet Unie </w:t>
      </w:r>
      <w:r w:rsidRPr="00B44D95">
        <w:t>(přepracované znění)</w:t>
      </w:r>
      <w:r w:rsidR="00ED518B">
        <w:t xml:space="preserve"> </w:t>
      </w:r>
    </w:p>
    <w:p w:rsidR="00702316" w:rsidRPr="00702316" w:rsidRDefault="00702316" w:rsidP="00702316">
      <w:pPr>
        <w:pStyle w:val="Normal12a"/>
        <w:spacing w:before="360"/>
        <w:rPr>
          <w:i/>
        </w:rPr>
      </w:pPr>
      <w:r w:rsidRPr="00702316">
        <w:t>(</w:t>
      </w:r>
      <w:r w:rsidRPr="00702316">
        <w:rPr>
          <w:i/>
        </w:rPr>
        <w:t>Vzhledem k tomu, že bylo dosaženo dohody mezi Parlamentem a Radou, postoj Parlamentu odpovídá konečnému znění legislativního aktu, nařízení (EU</w:t>
      </w:r>
      <w:r>
        <w:rPr>
          <w:i/>
        </w:rPr>
        <w:t>, Euratom) 2024/2509</w:t>
      </w:r>
      <w:r w:rsidRPr="00702316">
        <w:rPr>
          <w:i/>
        </w:rPr>
        <w:t>.)</w:t>
      </w:r>
    </w:p>
    <w:p w:rsidR="00956DD1" w:rsidRDefault="00956DD1">
      <w:pPr>
        <w:widowControl/>
      </w:pPr>
      <w:r>
        <w:br w:type="page"/>
      </w:r>
    </w:p>
    <w:p w:rsidR="00956DD1" w:rsidRDefault="00956DD1" w:rsidP="00956DD1">
      <w:pPr>
        <w:jc w:val="right"/>
        <w:rPr>
          <w:szCs w:val="24"/>
        </w:rPr>
      </w:pPr>
      <w:r>
        <w:rPr>
          <w:szCs w:val="24"/>
        </w:rPr>
        <w:lastRenderedPageBreak/>
        <w:t>PŘÍLOHA K LEGISLATIVNÍMU USNESENÍ</w:t>
      </w:r>
    </w:p>
    <w:p w:rsidR="00956DD1" w:rsidRDefault="00956DD1" w:rsidP="00956DD1">
      <w:pPr>
        <w:spacing w:before="480" w:after="120" w:line="360" w:lineRule="auto"/>
        <w:jc w:val="center"/>
        <w:rPr>
          <w:b/>
          <w:szCs w:val="24"/>
          <w:u w:val="single"/>
        </w:rPr>
      </w:pPr>
      <w:r>
        <w:rPr>
          <w:b/>
          <w:szCs w:val="24"/>
          <w:u w:val="single"/>
        </w:rPr>
        <w:t xml:space="preserve">Společné prohlášení o rozpočtovém zacházení s úroky nebo jinými splatnými poplatky ze zrušených nebo snížených pokut, jiných pokut nebo sankcí u příležitosti přijetí nařízení </w:t>
      </w:r>
      <w:r w:rsidR="00702316">
        <w:rPr>
          <w:b/>
          <w:szCs w:val="24"/>
          <w:u w:val="single"/>
        </w:rPr>
        <w:t xml:space="preserve">(EU, Euratom) </w:t>
      </w:r>
      <w:r>
        <w:rPr>
          <w:b/>
          <w:szCs w:val="24"/>
          <w:u w:val="single"/>
        </w:rPr>
        <w:t>2024/</w:t>
      </w:r>
      <w:r w:rsidR="00702316">
        <w:rPr>
          <w:b/>
          <w:szCs w:val="24"/>
          <w:u w:val="single"/>
        </w:rPr>
        <w:t>2509</w:t>
      </w:r>
    </w:p>
    <w:p w:rsidR="00956DD1" w:rsidRDefault="00956DD1" w:rsidP="00956DD1">
      <w:pPr>
        <w:spacing w:before="120" w:after="120" w:line="360" w:lineRule="auto"/>
        <w:rPr>
          <w:szCs w:val="24"/>
        </w:rPr>
      </w:pPr>
      <w:r>
        <w:rPr>
          <w:szCs w:val="24"/>
        </w:rPr>
        <w:t>„Evropský parlament a Rada se dohodly, že veškeré úroky nebo jiné poplatky splatné ze zrušených nebo snížených pokut, jiných pokut nebo sankcí budou po dobu trvání stávajícího víceletého rámce zaznamenávány jako záporný výnos. Jedná se o výjimku ze zákazu záporných výnosů, která je omezena na tuto konkrétní a nepředvídatelnou situaci.</w:t>
      </w:r>
    </w:p>
    <w:p w:rsidR="00956DD1" w:rsidRDefault="00956DD1" w:rsidP="00956DD1">
      <w:pPr>
        <w:spacing w:before="120" w:after="120" w:line="360" w:lineRule="auto"/>
        <w:rPr>
          <w:szCs w:val="24"/>
        </w:rPr>
      </w:pPr>
      <w:r>
        <w:rPr>
          <w:szCs w:val="24"/>
        </w:rPr>
        <w:t>Aniž by byly dotčeny jejich příslušné pravomoci, Evropský parlament, Rada a Komise se s přihlédnutím k dosavadním zkušenostem a očekávanému budoucímu vývoji dohodly, že v souladu s uplatňováním rozpočtových zásad finančního nařízení zváží dlouhodobě udržitelné řešení financování těchto úroků nebo jiných poplatků s cílem použít je po roce 2027, a to i s ohledem na úrokovou sazbu, která má být zaplacena z částky pokut nebo jiných sankcí, jež mají být v takových situacích vyplaceny přijímajícím podnikům jako přiměřená náhrada.“</w:t>
      </w:r>
    </w:p>
    <w:p w:rsidR="00956DD1" w:rsidRDefault="00956DD1" w:rsidP="00956DD1">
      <w:pPr>
        <w:spacing w:before="120" w:after="120" w:line="360" w:lineRule="auto"/>
        <w:jc w:val="center"/>
        <w:rPr>
          <w:b/>
          <w:szCs w:val="24"/>
          <w:u w:val="single"/>
        </w:rPr>
      </w:pPr>
    </w:p>
    <w:p w:rsidR="00956DD1" w:rsidRDefault="00956DD1" w:rsidP="00956DD1">
      <w:pPr>
        <w:spacing w:before="120" w:after="120" w:line="360" w:lineRule="auto"/>
        <w:jc w:val="center"/>
        <w:rPr>
          <w:b/>
          <w:szCs w:val="24"/>
          <w:u w:val="single"/>
        </w:rPr>
      </w:pPr>
    </w:p>
    <w:p w:rsidR="00702316" w:rsidRPr="00702316" w:rsidRDefault="00956DD1" w:rsidP="00702316">
      <w:pPr>
        <w:spacing w:before="120" w:after="120" w:line="360" w:lineRule="auto"/>
        <w:jc w:val="center"/>
        <w:rPr>
          <w:b/>
          <w:szCs w:val="24"/>
          <w:u w:val="single"/>
          <w:vertAlign w:val="superscript"/>
        </w:rPr>
      </w:pPr>
      <w:r>
        <w:rPr>
          <w:b/>
          <w:szCs w:val="24"/>
          <w:u w:val="single"/>
        </w:rPr>
        <w:t xml:space="preserve">Společné prohlášení Evropského parlamentu, Rady a Komise o jednotném nástroji pro vytěžování dat a hodnocení rizik podle článku 36 finančního nařízení u příležitosti přijetí nařízení </w:t>
      </w:r>
      <w:r w:rsidR="00702316">
        <w:rPr>
          <w:b/>
          <w:szCs w:val="24"/>
          <w:u w:val="single"/>
        </w:rPr>
        <w:t>(EU, Euratom) 2024/2509</w:t>
      </w:r>
    </w:p>
    <w:p w:rsidR="00956DD1" w:rsidRDefault="00956DD1" w:rsidP="00956DD1">
      <w:pPr>
        <w:spacing w:before="120" w:after="120" w:line="360" w:lineRule="auto"/>
        <w:rPr>
          <w:szCs w:val="24"/>
        </w:rPr>
      </w:pPr>
      <w:r>
        <w:rPr>
          <w:szCs w:val="24"/>
        </w:rPr>
        <w:t>„Evropský parlament, Rada a Komise (dále jen „všechny tři orgány“) uznávají význam zpřísnění ochrany finančních zájmů Unie, jak je uvedeno v interinstitucionální dohodě ze dne 16. prosince 2020 a jak je stanoveno v článku 325 Smlouvy o fungování Evropské unie.</w:t>
      </w:r>
    </w:p>
    <w:p w:rsidR="00956DD1" w:rsidRDefault="00956DD1" w:rsidP="00956DD1">
      <w:pPr>
        <w:spacing w:before="120" w:after="120" w:line="360" w:lineRule="auto"/>
        <w:rPr>
          <w:szCs w:val="24"/>
        </w:rPr>
      </w:pPr>
      <w:r>
        <w:rPr>
          <w:szCs w:val="24"/>
        </w:rPr>
        <w:t>Všechny tři orgány se shodují na tom, že je nezbytné tento nástroj dále rozvíjet v souladu s pravidly pro bezpečnost informačních technologií a ochranu údajů. Ve snaze snížit administrativní zátěž členských států a ostatních uživatelů a vyhnout se jejich nepřiměřeným nákladům na informační technologie, budou zohledněny schválené systémy, které již byly v členských státech zavedeny.</w:t>
      </w:r>
    </w:p>
    <w:p w:rsidR="00956DD1" w:rsidRDefault="00956DD1" w:rsidP="00956DD1">
      <w:pPr>
        <w:spacing w:before="120" w:after="120" w:line="360" w:lineRule="auto"/>
        <w:rPr>
          <w:szCs w:val="24"/>
        </w:rPr>
      </w:pPr>
      <w:r>
        <w:rPr>
          <w:szCs w:val="24"/>
        </w:rPr>
        <w:t xml:space="preserve">Všechny tři orgány se zavazují, že budou na dalším vývoji tohoto nástroje spolupracovat. Komise potvrzuje, že bude pokračovat na vývoji tohoto nástroje po konzultaci s jeho uživateli a bude členským státům nabízet podporu při řešení případných technických dotazů. Členské státy budou spolupracovat s Komisí s cílem umožnit součinnost nezbytnou pro </w:t>
      </w:r>
      <w:r>
        <w:rPr>
          <w:szCs w:val="24"/>
        </w:rPr>
        <w:lastRenderedPageBreak/>
        <w:t>interoperabilitu s příslušnými informačními systémy a databázemi.</w:t>
      </w:r>
    </w:p>
    <w:p w:rsidR="00956DD1" w:rsidRDefault="00956DD1" w:rsidP="00956DD1">
      <w:pPr>
        <w:spacing w:before="120" w:after="120" w:line="360" w:lineRule="auto"/>
        <w:rPr>
          <w:szCs w:val="24"/>
        </w:rPr>
      </w:pPr>
      <w:r>
        <w:rPr>
          <w:szCs w:val="24"/>
        </w:rPr>
        <w:t>Na základě posouzení Komise potvrzujícího vhodnost nástroje na základě kritérií uvedených v čl. 36 odst. 6 finančního nařízení, se všechny tři orgány zavazují, aniž jsou dotčeny jejich příslušné pravomoci, přezkoumat a znovu projednat povinné používání tohoto nástroje během víceletého finančního rámce po roce 2027.“</w:t>
      </w:r>
    </w:p>
    <w:p w:rsidR="00956DD1" w:rsidRDefault="00956DD1" w:rsidP="00956DD1">
      <w:pPr>
        <w:spacing w:before="120" w:after="120" w:line="360" w:lineRule="auto"/>
        <w:rPr>
          <w:szCs w:val="24"/>
        </w:rPr>
      </w:pPr>
    </w:p>
    <w:p w:rsidR="00956DD1" w:rsidRDefault="00956DD1" w:rsidP="00956DD1">
      <w:pPr>
        <w:spacing w:before="120" w:after="120" w:line="360" w:lineRule="auto"/>
        <w:jc w:val="center"/>
        <w:rPr>
          <w:b/>
          <w:szCs w:val="24"/>
          <w:u w:val="single"/>
        </w:rPr>
      </w:pPr>
      <w:r>
        <w:rPr>
          <w:b/>
          <w:szCs w:val="24"/>
          <w:u w:val="single"/>
        </w:rPr>
        <w:t xml:space="preserve">Jednostranné prohlášení Komise ke zrušení přidělení prostředků na závazky u příležitosti přijetí nařízení </w:t>
      </w:r>
      <w:r w:rsidR="00702316" w:rsidRPr="00702316">
        <w:rPr>
          <w:b/>
          <w:szCs w:val="24"/>
          <w:u w:val="single"/>
        </w:rPr>
        <w:t>(EU, Euratom) 2024/2509</w:t>
      </w:r>
    </w:p>
    <w:p w:rsidR="00956DD1" w:rsidRDefault="00956DD1" w:rsidP="00956DD1">
      <w:pPr>
        <w:spacing w:before="120" w:after="120" w:line="360" w:lineRule="auto"/>
        <w:rPr>
          <w:szCs w:val="24"/>
        </w:rPr>
      </w:pPr>
      <w:r>
        <w:rPr>
          <w:szCs w:val="24"/>
        </w:rPr>
        <w:t>„V souvislosti s přípravou víceletého finančního rámce na období po roce 2027 Komise přezkoumá otázku rozšíření rozsahu, v jakém lze opětovně poskytnout prostředky, jejichž přidělení na závazek bylo zrušeno. Tím není dotčen budoucí návrh Komise týkající se víceletého finančního rámce na období po roce 2027 ani právo legislativního podnětu Komise, jak je stanoveno ve Smlouvách.“</w:t>
      </w:r>
    </w:p>
    <w:p w:rsidR="00956DD1" w:rsidRDefault="00956DD1" w:rsidP="00956DD1">
      <w:pPr>
        <w:spacing w:before="120" w:after="120" w:line="360" w:lineRule="auto"/>
        <w:jc w:val="center"/>
        <w:rPr>
          <w:b/>
          <w:szCs w:val="24"/>
          <w:u w:val="single"/>
        </w:rPr>
      </w:pPr>
    </w:p>
    <w:p w:rsidR="00956DD1" w:rsidRDefault="00956DD1" w:rsidP="00956DD1">
      <w:pPr>
        <w:spacing w:before="120" w:after="120" w:line="360" w:lineRule="auto"/>
        <w:jc w:val="center"/>
        <w:rPr>
          <w:b/>
          <w:szCs w:val="24"/>
          <w:u w:val="single"/>
        </w:rPr>
      </w:pPr>
      <w:r>
        <w:rPr>
          <w:b/>
          <w:szCs w:val="24"/>
          <w:u w:val="single"/>
        </w:rPr>
        <w:t xml:space="preserve">Jednostranné prohlášení Komise k systému včasného odhalování rizik a vylučování hospodářských subjektů u příležitosti přijetí nařízení </w:t>
      </w:r>
      <w:r w:rsidR="00702316">
        <w:rPr>
          <w:b/>
          <w:u w:val="single"/>
        </w:rPr>
        <w:t xml:space="preserve">(EU, Euratom) </w:t>
      </w:r>
      <w:r w:rsidR="00702316" w:rsidRPr="008E5425">
        <w:rPr>
          <w:b/>
          <w:u w:val="single"/>
        </w:rPr>
        <w:t>2024/</w:t>
      </w:r>
      <w:r w:rsidR="00702316">
        <w:rPr>
          <w:b/>
          <w:u w:val="single"/>
        </w:rPr>
        <w:t>2509</w:t>
      </w:r>
    </w:p>
    <w:p w:rsidR="00956DD1" w:rsidRDefault="00956DD1" w:rsidP="00956DD1">
      <w:pPr>
        <w:spacing w:before="120" w:after="120" w:line="360" w:lineRule="auto"/>
        <w:rPr>
          <w:szCs w:val="24"/>
        </w:rPr>
      </w:pPr>
      <w:r>
        <w:rPr>
          <w:szCs w:val="24"/>
        </w:rPr>
        <w:t xml:space="preserve">„Evropská komise uznává, že je důležité minimalizovat administrativní zátěž orgánů členských států v souvislosti s cíleným rozšířením systému včasného odhalování rizik a vylučování hospodářských subjektů (EDES) na sdílené řízení a přímé řízení s členskými státy. </w:t>
      </w:r>
    </w:p>
    <w:p w:rsidR="00956DD1" w:rsidRDefault="00956DD1" w:rsidP="00956DD1">
      <w:pPr>
        <w:spacing w:before="120" w:after="120" w:line="360" w:lineRule="auto"/>
        <w:rPr>
          <w:szCs w:val="24"/>
        </w:rPr>
      </w:pPr>
      <w:r>
        <w:rPr>
          <w:szCs w:val="24"/>
        </w:rPr>
        <w:t xml:space="preserve">Komise je odhodlána vypracovat podrobné pokyny a nabídnout členským státům školení o tom, jak systém uplatňovat a jak používat jeho databázi. </w:t>
      </w:r>
    </w:p>
    <w:p w:rsidR="00956DD1" w:rsidRDefault="00956DD1" w:rsidP="00956DD1">
      <w:pPr>
        <w:spacing w:before="120" w:after="120" w:line="360" w:lineRule="auto"/>
        <w:rPr>
          <w:szCs w:val="24"/>
        </w:rPr>
      </w:pPr>
      <w:r>
        <w:rPr>
          <w:szCs w:val="24"/>
        </w:rPr>
        <w:t>Komise bude databázi EDES dále zdokonalovat, například tím, že umožní vyhledávat několik subjektů najednou a zlepší její grafické rozvržení.</w:t>
      </w:r>
    </w:p>
    <w:p w:rsidR="00956DD1" w:rsidRDefault="00956DD1" w:rsidP="00956DD1">
      <w:pPr>
        <w:spacing w:before="120" w:after="120" w:line="360" w:lineRule="auto"/>
        <w:rPr>
          <w:szCs w:val="24"/>
        </w:rPr>
      </w:pPr>
      <w:r>
        <w:rPr>
          <w:szCs w:val="24"/>
        </w:rPr>
        <w:t>Komise bude usilovat o zajištění IT interoperability mezi systémem EDES a příslušnými vnitrostátními systémy, aby se proces zefektivnil a bylo možné provádět rychlejší kontroly situací zakládajících vyloučení příslušných osob nebo subjektů.</w:t>
      </w:r>
    </w:p>
    <w:p w:rsidR="00956DD1" w:rsidRDefault="00956DD1" w:rsidP="00956DD1">
      <w:pPr>
        <w:spacing w:before="120" w:after="120" w:line="360" w:lineRule="auto"/>
        <w:rPr>
          <w:szCs w:val="24"/>
        </w:rPr>
      </w:pPr>
      <w:r>
        <w:rPr>
          <w:szCs w:val="24"/>
        </w:rPr>
        <w:t xml:space="preserve">Komise potvrzuje, že případné žádosti o dodatečné informace pro účely systému EDES nepřekročí rámec toho, co je nezbytně nutné a přiměřené, a budou zpracovávány v souladu s platnými pravidly pro ochranu údajů. V této souvislosti je vhodné připomenout, že evropský inspektor ochrany údajů ve svém stanovisku k návrhu Komise na přepracování finančního </w:t>
      </w:r>
      <w:r>
        <w:rPr>
          <w:szCs w:val="24"/>
        </w:rPr>
        <w:lastRenderedPageBreak/>
        <w:t>nařízení nevyjádřil ohledně systému EDES žádné obavy.</w:t>
      </w:r>
    </w:p>
    <w:p w:rsidR="00956DD1" w:rsidRDefault="00956DD1" w:rsidP="00956DD1">
      <w:pPr>
        <w:spacing w:before="120" w:after="120" w:line="360" w:lineRule="auto"/>
        <w:rPr>
          <w:szCs w:val="24"/>
        </w:rPr>
      </w:pPr>
      <w:r>
        <w:rPr>
          <w:szCs w:val="24"/>
        </w:rPr>
        <w:t>Komise je odhodlána napomoci tomu, aby byl přechod k uplatňování systému EDES hladký, a bude za tímto účelem plně spolupracovat s členskými státy.“</w:t>
      </w:r>
    </w:p>
    <w:p w:rsidR="00956DD1" w:rsidRDefault="00956DD1" w:rsidP="00956DD1"/>
    <w:p w:rsidR="00ED518B" w:rsidRPr="002E02F3" w:rsidRDefault="00ED518B" w:rsidP="000F59C2"/>
    <w:p w:rsidR="00ED518B" w:rsidRPr="00ED518B" w:rsidRDefault="00ED518B" w:rsidP="00ED518B">
      <w:pPr>
        <w:rPr>
          <w:lang w:eastAsia="en-US"/>
        </w:rPr>
      </w:pPr>
    </w:p>
    <w:sectPr w:rsidR="00ED518B" w:rsidRPr="00ED518B" w:rsidSect="00335800">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C219D" w:rsidRPr="00335800" w:rsidRDefault="00CC219D">
      <w:r w:rsidRPr="00335800">
        <w:separator/>
      </w:r>
    </w:p>
  </w:endnote>
  <w:endnote w:type="continuationSeparator" w:id="0">
    <w:p w:rsidR="00CC219D" w:rsidRPr="00335800" w:rsidRDefault="00CC219D">
      <w:r w:rsidRPr="0033580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219D" w:rsidRDefault="00CC219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219D" w:rsidRDefault="00CC219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219D" w:rsidRDefault="00CC219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C219D" w:rsidRPr="00335800" w:rsidRDefault="00CC219D">
      <w:r w:rsidRPr="00335800">
        <w:separator/>
      </w:r>
    </w:p>
  </w:footnote>
  <w:footnote w:type="continuationSeparator" w:id="0">
    <w:p w:rsidR="00CC219D" w:rsidRPr="00335800" w:rsidRDefault="00CC219D">
      <w:r w:rsidRPr="00335800">
        <w:continuationSeparator/>
      </w:r>
    </w:p>
  </w:footnote>
  <w:footnote w:id="1">
    <w:p w:rsidR="00CC219D" w:rsidRPr="00A30477" w:rsidRDefault="00CC219D" w:rsidP="00616C8F">
      <w:pPr>
        <w:pStyle w:val="FootnoteText"/>
        <w:ind w:left="851" w:hanging="851"/>
        <w:rPr>
          <w:sz w:val="24"/>
          <w:szCs w:val="24"/>
          <w:lang w:val="cs-CZ"/>
        </w:rPr>
      </w:pPr>
      <w:r w:rsidRPr="00A30477">
        <w:rPr>
          <w:rStyle w:val="FootnoteReference"/>
          <w:sz w:val="24"/>
          <w:szCs w:val="24"/>
          <w:lang w:val="cs-CZ"/>
        </w:rPr>
        <w:footnoteRef/>
      </w:r>
      <w:r w:rsidRPr="00A30477">
        <w:rPr>
          <w:sz w:val="24"/>
          <w:szCs w:val="24"/>
          <w:lang w:val="cs-CZ"/>
        </w:rPr>
        <w:t xml:space="preserve"> </w:t>
      </w:r>
      <w:r w:rsidRPr="00A30477">
        <w:rPr>
          <w:sz w:val="24"/>
          <w:szCs w:val="24"/>
          <w:lang w:val="cs-CZ"/>
        </w:rPr>
        <w:tab/>
      </w:r>
      <w:proofErr w:type="spellStart"/>
      <w:r w:rsidRPr="00A30477">
        <w:rPr>
          <w:sz w:val="24"/>
          <w:szCs w:val="24"/>
          <w:lang w:val="cs-CZ"/>
        </w:rPr>
        <w:t>Úř</w:t>
      </w:r>
      <w:proofErr w:type="spellEnd"/>
      <w:r w:rsidRPr="00A30477">
        <w:rPr>
          <w:sz w:val="24"/>
          <w:szCs w:val="24"/>
          <w:lang w:val="cs-CZ"/>
        </w:rPr>
        <w:t xml:space="preserve">. </w:t>
      </w:r>
      <w:proofErr w:type="spellStart"/>
      <w:proofErr w:type="gramStart"/>
      <w:r w:rsidRPr="00A30477">
        <w:rPr>
          <w:sz w:val="24"/>
          <w:szCs w:val="24"/>
          <w:lang w:val="cs-CZ"/>
        </w:rPr>
        <w:t>věst</w:t>
      </w:r>
      <w:proofErr w:type="spellEnd"/>
      <w:proofErr w:type="gramEnd"/>
      <w:r w:rsidRPr="00A30477">
        <w:rPr>
          <w:sz w:val="24"/>
          <w:szCs w:val="24"/>
          <w:lang w:val="cs-CZ"/>
        </w:rPr>
        <w:t>. C 446</w:t>
      </w:r>
      <w:bookmarkStart w:id="0" w:name="_GoBack"/>
      <w:bookmarkEnd w:id="0"/>
      <w:r w:rsidRPr="00A30477">
        <w:rPr>
          <w:sz w:val="24"/>
          <w:szCs w:val="24"/>
          <w:lang w:val="cs-CZ"/>
        </w:rPr>
        <w:t>, 24.11.2022, s. 26.</w:t>
      </w:r>
    </w:p>
  </w:footnote>
  <w:footnote w:id="2">
    <w:p w:rsidR="00CC219D" w:rsidRPr="00A30477" w:rsidRDefault="00CC219D" w:rsidP="006C4DF5">
      <w:pPr>
        <w:pStyle w:val="FootnoteText"/>
        <w:ind w:left="851" w:hanging="851"/>
        <w:rPr>
          <w:sz w:val="24"/>
          <w:szCs w:val="24"/>
          <w:lang w:val="cs-CZ"/>
        </w:rPr>
      </w:pPr>
      <w:r w:rsidRPr="00A30477">
        <w:rPr>
          <w:rStyle w:val="FootnoteReference"/>
          <w:sz w:val="24"/>
          <w:szCs w:val="24"/>
          <w:lang w:val="cs-CZ"/>
        </w:rPr>
        <w:footnoteRef/>
      </w:r>
      <w:r w:rsidRPr="00A30477">
        <w:rPr>
          <w:sz w:val="24"/>
          <w:szCs w:val="24"/>
          <w:lang w:val="cs-CZ"/>
        </w:rPr>
        <w:t xml:space="preserve"> </w:t>
      </w:r>
      <w:r w:rsidRPr="00A30477">
        <w:rPr>
          <w:sz w:val="24"/>
          <w:szCs w:val="24"/>
          <w:lang w:val="cs-CZ"/>
        </w:rPr>
        <w:tab/>
      </w:r>
      <w:proofErr w:type="spellStart"/>
      <w:r w:rsidRPr="00A30477">
        <w:rPr>
          <w:sz w:val="24"/>
          <w:szCs w:val="24"/>
          <w:lang w:val="cs-CZ"/>
        </w:rPr>
        <w:t>Úř</w:t>
      </w:r>
      <w:proofErr w:type="spellEnd"/>
      <w:r w:rsidRPr="00A30477">
        <w:rPr>
          <w:sz w:val="24"/>
          <w:szCs w:val="24"/>
          <w:lang w:val="cs-CZ"/>
        </w:rPr>
        <w:t xml:space="preserve">. </w:t>
      </w:r>
      <w:proofErr w:type="spellStart"/>
      <w:proofErr w:type="gramStart"/>
      <w:r w:rsidRPr="00A30477">
        <w:rPr>
          <w:sz w:val="24"/>
          <w:szCs w:val="24"/>
          <w:lang w:val="cs-CZ"/>
        </w:rPr>
        <w:t>věst</w:t>
      </w:r>
      <w:proofErr w:type="spellEnd"/>
      <w:proofErr w:type="gramEnd"/>
      <w:r w:rsidRPr="00A30477">
        <w:rPr>
          <w:sz w:val="24"/>
          <w:szCs w:val="24"/>
          <w:lang w:val="cs-CZ"/>
        </w:rPr>
        <w:t xml:space="preserve">. C 77, </w:t>
      </w:r>
      <w:proofErr w:type="gramStart"/>
      <w:r w:rsidRPr="00A30477">
        <w:rPr>
          <w:sz w:val="24"/>
          <w:szCs w:val="24"/>
          <w:lang w:val="cs-CZ"/>
        </w:rPr>
        <w:t>28.3.2002</w:t>
      </w:r>
      <w:proofErr w:type="gramEnd"/>
      <w:r w:rsidRPr="00A30477">
        <w:rPr>
          <w:sz w:val="24"/>
          <w:szCs w:val="24"/>
          <w:lang w:val="cs-CZ"/>
        </w:rPr>
        <w:t>, s. 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219D" w:rsidRDefault="00CC219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219D" w:rsidRDefault="00CC219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219D" w:rsidRDefault="00CC219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6A4535B1"/>
    <w:multiLevelType w:val="hybridMultilevel"/>
    <w:tmpl w:val="228A622E"/>
    <w:lvl w:ilvl="0" w:tplc="10586FA6">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 w:numId="4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80/2023"/>
    <w:docVar w:name="dvlangue" w:val="CS"/>
    <w:docVar w:name="dvnumam" w:val="212"/>
    <w:docVar w:name="dvpe" w:val="740.802"/>
    <w:docVar w:name="dvrapporteur" w:val="Zpravodajové: "/>
    <w:docVar w:name="dvstar" w:val="***I"/>
    <w:docVar w:name="dvtitre" w:val="Legislativní usnesení Evropského parlamentu ze dne.... 2024 o návrhu nařízení Evropského parlamentu a Rady, kterým se stanoví finanční pravidla pro souhrnný rozpočet Unie (přepracované znění)(COM(2022)0223 – C9-0179/2022 – 2022/0162(COD))"/>
  </w:docVars>
  <w:rsids>
    <w:rsidRoot w:val="00341670"/>
    <w:rsid w:val="00002272"/>
    <w:rsid w:val="00064002"/>
    <w:rsid w:val="000677B9"/>
    <w:rsid w:val="000831BA"/>
    <w:rsid w:val="0009615B"/>
    <w:rsid w:val="000A42CC"/>
    <w:rsid w:val="000E7DD9"/>
    <w:rsid w:val="0010095E"/>
    <w:rsid w:val="00125B37"/>
    <w:rsid w:val="00187494"/>
    <w:rsid w:val="001F32AE"/>
    <w:rsid w:val="00247DBE"/>
    <w:rsid w:val="002767FF"/>
    <w:rsid w:val="00293EDC"/>
    <w:rsid w:val="002B18FE"/>
    <w:rsid w:val="002B5493"/>
    <w:rsid w:val="00335800"/>
    <w:rsid w:val="00341670"/>
    <w:rsid w:val="00343214"/>
    <w:rsid w:val="00356F02"/>
    <w:rsid w:val="00361C00"/>
    <w:rsid w:val="00395FA1"/>
    <w:rsid w:val="003C2AA2"/>
    <w:rsid w:val="003E15D4"/>
    <w:rsid w:val="00411CCE"/>
    <w:rsid w:val="0041666E"/>
    <w:rsid w:val="00421060"/>
    <w:rsid w:val="00471C19"/>
    <w:rsid w:val="004867E3"/>
    <w:rsid w:val="00494A28"/>
    <w:rsid w:val="004C0004"/>
    <w:rsid w:val="004C5D52"/>
    <w:rsid w:val="004D0514"/>
    <w:rsid w:val="0050519A"/>
    <w:rsid w:val="005072A1"/>
    <w:rsid w:val="00514517"/>
    <w:rsid w:val="00545827"/>
    <w:rsid w:val="00560270"/>
    <w:rsid w:val="005C2568"/>
    <w:rsid w:val="005F578E"/>
    <w:rsid w:val="006037C0"/>
    <w:rsid w:val="00616C8F"/>
    <w:rsid w:val="006631B6"/>
    <w:rsid w:val="00680577"/>
    <w:rsid w:val="006C4DF5"/>
    <w:rsid w:val="006F74FA"/>
    <w:rsid w:val="00702316"/>
    <w:rsid w:val="00731ADD"/>
    <w:rsid w:val="00734777"/>
    <w:rsid w:val="00747932"/>
    <w:rsid w:val="00751A4A"/>
    <w:rsid w:val="00756632"/>
    <w:rsid w:val="00762C74"/>
    <w:rsid w:val="00786EC0"/>
    <w:rsid w:val="007D1690"/>
    <w:rsid w:val="007E22AD"/>
    <w:rsid w:val="00817416"/>
    <w:rsid w:val="00842779"/>
    <w:rsid w:val="00846755"/>
    <w:rsid w:val="00865F67"/>
    <w:rsid w:val="00881A7B"/>
    <w:rsid w:val="008840E5"/>
    <w:rsid w:val="00887B3E"/>
    <w:rsid w:val="008C2AC6"/>
    <w:rsid w:val="008D223C"/>
    <w:rsid w:val="00930C23"/>
    <w:rsid w:val="0093193B"/>
    <w:rsid w:val="009509D8"/>
    <w:rsid w:val="00950B64"/>
    <w:rsid w:val="00956DD1"/>
    <w:rsid w:val="00981893"/>
    <w:rsid w:val="00992392"/>
    <w:rsid w:val="0099466B"/>
    <w:rsid w:val="009C722A"/>
    <w:rsid w:val="00A1687D"/>
    <w:rsid w:val="00A22028"/>
    <w:rsid w:val="00A25102"/>
    <w:rsid w:val="00A30477"/>
    <w:rsid w:val="00A43E52"/>
    <w:rsid w:val="00A4678D"/>
    <w:rsid w:val="00A778C7"/>
    <w:rsid w:val="00AB441E"/>
    <w:rsid w:val="00AB6293"/>
    <w:rsid w:val="00AB6894"/>
    <w:rsid w:val="00AD176A"/>
    <w:rsid w:val="00AE0928"/>
    <w:rsid w:val="00AF3B82"/>
    <w:rsid w:val="00AF5715"/>
    <w:rsid w:val="00B12E95"/>
    <w:rsid w:val="00B22876"/>
    <w:rsid w:val="00B558F0"/>
    <w:rsid w:val="00BB3E6C"/>
    <w:rsid w:val="00BD48FE"/>
    <w:rsid w:val="00BD7BD8"/>
    <w:rsid w:val="00BE6ADC"/>
    <w:rsid w:val="00BF30F6"/>
    <w:rsid w:val="00C05BFE"/>
    <w:rsid w:val="00C23CD4"/>
    <w:rsid w:val="00C60F7C"/>
    <w:rsid w:val="00C61C0C"/>
    <w:rsid w:val="00C67D18"/>
    <w:rsid w:val="00C941CB"/>
    <w:rsid w:val="00CA5056"/>
    <w:rsid w:val="00CC219D"/>
    <w:rsid w:val="00CC2357"/>
    <w:rsid w:val="00CF071A"/>
    <w:rsid w:val="00D058B8"/>
    <w:rsid w:val="00D56C11"/>
    <w:rsid w:val="00D834A0"/>
    <w:rsid w:val="00D872DF"/>
    <w:rsid w:val="00D91E21"/>
    <w:rsid w:val="00DA7FCD"/>
    <w:rsid w:val="00DC75A2"/>
    <w:rsid w:val="00DE56E9"/>
    <w:rsid w:val="00E365E1"/>
    <w:rsid w:val="00E820A4"/>
    <w:rsid w:val="00EB006A"/>
    <w:rsid w:val="00EB4772"/>
    <w:rsid w:val="00ED169E"/>
    <w:rsid w:val="00ED4235"/>
    <w:rsid w:val="00ED518B"/>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FEF825EC-1707-4A8B-B69F-E400211DFB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footnote text" w:uiPriority="99"/>
    <w:lsdException w:name="annotation text" w:uiPriority="99"/>
    <w:lsdException w:name="header" w:uiPriority="99"/>
    <w:lsdException w:name="footer" w:uiPriority="99"/>
    <w:lsdException w:name="caption" w:semiHidden="1" w:unhideWhenUsed="1" w:qFormat="1"/>
    <w:lsdException w:name="footnote reference" w:uiPriority="99"/>
    <w:lsdException w:name="annotation reference" w:uiPriority="99"/>
    <w:lsdException w:name="Title" w:uiPriority="10" w:qFormat="1"/>
    <w:lsdException w:name="Subtitle" w:uiPriority="11" w:qFormat="1"/>
    <w:lsdException w:name="Hyperlink" w:uiPriority="99"/>
    <w:lsdException w:name="FollowedHyperlink" w:uiPriority="99"/>
    <w:lsdException w:name="Strong" w:uiPriority="22" w:qFormat="1"/>
    <w:lsdException w:name="Emphasis" w:uiPriority="20" w:qFormat="1"/>
    <w:lsdException w:name="Normal (Web)" w:uiPriority="99"/>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cs-CZ"/>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uiPriority w:val="9"/>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uiPriority w:val="9"/>
    <w:semiHidden/>
    <w:qFormat/>
    <w:pPr>
      <w:spacing w:before="240" w:after="60"/>
      <w:outlineLvl w:val="7"/>
    </w:pPr>
    <w:rPr>
      <w:rFonts w:ascii="Arial" w:hAnsi="Arial"/>
      <w:i/>
    </w:rPr>
  </w:style>
  <w:style w:type="paragraph" w:styleId="Heading9">
    <w:name w:val="heading 9"/>
    <w:basedOn w:val="Normal"/>
    <w:next w:val="Normal"/>
    <w:link w:val="Heading9Char"/>
    <w:uiPriority w:val="9"/>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25102"/>
    <w:rPr>
      <w:b/>
      <w:kern w:val="28"/>
      <w:sz w:val="28"/>
      <w:lang w:val="fr-FR" w:eastAsia="fr-FR"/>
    </w:rPr>
  </w:style>
  <w:style w:type="character" w:customStyle="1" w:styleId="Heading2Char">
    <w:name w:val="Heading 2 Char"/>
    <w:basedOn w:val="DefaultParagraphFont"/>
    <w:link w:val="Heading2"/>
    <w:uiPriority w:val="9"/>
    <w:semiHidden/>
    <w:rsid w:val="00A25102"/>
    <w:rPr>
      <w:sz w:val="24"/>
      <w:lang w:val="fr-FR" w:eastAsia="fr-FR"/>
    </w:rPr>
  </w:style>
  <w:style w:type="character" w:customStyle="1" w:styleId="Heading3Char">
    <w:name w:val="Heading 3 Char"/>
    <w:basedOn w:val="DefaultParagraphFont"/>
    <w:link w:val="Heading3"/>
    <w:uiPriority w:val="9"/>
    <w:semiHidden/>
    <w:rsid w:val="00A25102"/>
    <w:rPr>
      <w:rFonts w:ascii="Arial" w:hAnsi="Arial"/>
      <w:sz w:val="24"/>
      <w:lang w:val="fr-FR" w:eastAsia="fr-FR"/>
    </w:rPr>
  </w:style>
  <w:style w:type="character" w:customStyle="1" w:styleId="Heading4Char">
    <w:name w:val="Heading 4 Char"/>
    <w:basedOn w:val="DefaultParagraphFont"/>
    <w:link w:val="Heading4"/>
    <w:uiPriority w:val="9"/>
    <w:semiHidden/>
    <w:rsid w:val="00A25102"/>
    <w:rPr>
      <w:sz w:val="24"/>
      <w:lang w:val="en-US" w:eastAsia="fr-FR"/>
    </w:rPr>
  </w:style>
  <w:style w:type="character" w:customStyle="1" w:styleId="Heading5Char">
    <w:name w:val="Heading 5 Char"/>
    <w:basedOn w:val="DefaultParagraphFont"/>
    <w:link w:val="Heading5"/>
    <w:uiPriority w:val="9"/>
    <w:semiHidden/>
    <w:rsid w:val="00A25102"/>
    <w:rPr>
      <w:sz w:val="24"/>
      <w:lang w:val="en-US" w:eastAsia="fr-FR"/>
    </w:rPr>
  </w:style>
  <w:style w:type="character" w:customStyle="1" w:styleId="Heading6Char">
    <w:name w:val="Heading 6 Char"/>
    <w:basedOn w:val="DefaultParagraphFont"/>
    <w:link w:val="Heading6"/>
    <w:uiPriority w:val="9"/>
    <w:semiHidden/>
    <w:rsid w:val="00A25102"/>
    <w:rPr>
      <w:i/>
      <w:sz w:val="22"/>
      <w:lang w:val="cs-CZ"/>
    </w:rPr>
  </w:style>
  <w:style w:type="character" w:customStyle="1" w:styleId="Heading7Char">
    <w:name w:val="Heading 7 Char"/>
    <w:basedOn w:val="DefaultParagraphFont"/>
    <w:link w:val="Heading7"/>
    <w:uiPriority w:val="9"/>
    <w:semiHidden/>
    <w:rsid w:val="00A25102"/>
    <w:rPr>
      <w:rFonts w:ascii="Arial" w:hAnsi="Arial"/>
      <w:sz w:val="24"/>
      <w:lang w:val="cs-CZ"/>
    </w:rPr>
  </w:style>
  <w:style w:type="character" w:customStyle="1" w:styleId="Heading8Char">
    <w:name w:val="Heading 8 Char"/>
    <w:basedOn w:val="DefaultParagraphFont"/>
    <w:link w:val="Heading8"/>
    <w:uiPriority w:val="9"/>
    <w:semiHidden/>
    <w:rsid w:val="00A25102"/>
    <w:rPr>
      <w:rFonts w:ascii="Arial" w:hAnsi="Arial"/>
      <w:i/>
      <w:sz w:val="24"/>
      <w:lang w:val="cs-CZ"/>
    </w:rPr>
  </w:style>
  <w:style w:type="character" w:customStyle="1" w:styleId="Heading9Char">
    <w:name w:val="Heading 9 Char"/>
    <w:basedOn w:val="DefaultParagraphFont"/>
    <w:link w:val="Heading9"/>
    <w:uiPriority w:val="9"/>
    <w:semiHidden/>
    <w:rsid w:val="00A25102"/>
    <w:rPr>
      <w:rFonts w:ascii="Arial" w:hAnsi="Arial"/>
      <w:b/>
      <w:i/>
      <w:sz w:val="18"/>
      <w:lang w:val="cs-CZ"/>
    </w:rPr>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rsid w:val="00395FA1"/>
    <w:pPr>
      <w:keepNext/>
      <w:keepLines/>
      <w:widowControl/>
    </w:pPr>
    <w:rPr>
      <w:b/>
      <w:noProof/>
      <w:lang w:val="fr-FR" w:eastAsia="fr-FR"/>
    </w:rPr>
  </w:style>
  <w:style w:type="paragraph" w:styleId="TOC3">
    <w:name w:val="toc 3"/>
    <w:basedOn w:val="Normal"/>
    <w:next w:val="Normal"/>
    <w:autoRedefine/>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styleId="TOCHeading">
    <w:name w:val="TOC Heading"/>
    <w:basedOn w:val="Normal"/>
    <w:next w:val="Normal"/>
    <w:uiPriority w:val="39"/>
    <w:unhideWhenUsed/>
    <w:qFormat/>
    <w:rsid w:val="00A25102"/>
    <w:pPr>
      <w:widowControl/>
      <w:spacing w:after="240"/>
    </w:pPr>
    <w:rPr>
      <w:lang w:val="en-GB"/>
    </w:rPr>
  </w:style>
  <w:style w:type="paragraph" w:customStyle="1" w:styleId="PageHeading">
    <w:name w:val="PageHeading"/>
    <w:basedOn w:val="Normal"/>
    <w:rsid w:val="00A25102"/>
    <w:pPr>
      <w:keepNext/>
      <w:spacing w:after="480"/>
      <w:jc w:val="center"/>
    </w:pPr>
    <w:rPr>
      <w:rFonts w:ascii="Arial" w:hAnsi="Arial" w:cs="Arial"/>
      <w:b/>
    </w:rPr>
  </w:style>
  <w:style w:type="paragraph" w:customStyle="1" w:styleId="EPFooter2">
    <w:name w:val="EPFooter2"/>
    <w:basedOn w:val="Normal"/>
    <w:next w:val="Normal"/>
    <w:rsid w:val="00A25102"/>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A25102"/>
    <w:pPr>
      <w:spacing w:after="240"/>
    </w:pPr>
  </w:style>
  <w:style w:type="paragraph" w:customStyle="1" w:styleId="TOCPage">
    <w:name w:val="TOC Page"/>
    <w:basedOn w:val="Normal"/>
    <w:next w:val="TOC1"/>
    <w:rsid w:val="00A25102"/>
    <w:pPr>
      <w:keepNext/>
      <w:spacing w:after="240"/>
      <w:jc w:val="right"/>
    </w:pPr>
    <w:rPr>
      <w:rFonts w:ascii="Arial" w:hAnsi="Arial"/>
      <w:b/>
    </w:rPr>
  </w:style>
  <w:style w:type="paragraph" w:customStyle="1" w:styleId="Normal6a">
    <w:name w:val="Normal6a"/>
    <w:basedOn w:val="Normal"/>
    <w:rsid w:val="00A25102"/>
    <w:pPr>
      <w:spacing w:after="120"/>
    </w:pPr>
  </w:style>
  <w:style w:type="paragraph" w:customStyle="1" w:styleId="NormalBold">
    <w:name w:val="NormalBold"/>
    <w:basedOn w:val="Normal"/>
    <w:link w:val="NormalBoldChar"/>
    <w:rsid w:val="00A25102"/>
    <w:rPr>
      <w:b/>
    </w:rPr>
  </w:style>
  <w:style w:type="character" w:customStyle="1" w:styleId="NormalBoldChar">
    <w:name w:val="NormalBold Char"/>
    <w:link w:val="NormalBold"/>
    <w:locked/>
    <w:rsid w:val="00A25102"/>
    <w:rPr>
      <w:b/>
      <w:sz w:val="24"/>
      <w:lang w:val="cs-CZ"/>
    </w:rPr>
  </w:style>
  <w:style w:type="paragraph" w:customStyle="1" w:styleId="NormalBold12a">
    <w:name w:val="NormalBold12a"/>
    <w:basedOn w:val="Normal"/>
    <w:rsid w:val="00A25102"/>
    <w:pPr>
      <w:spacing w:after="240"/>
    </w:pPr>
    <w:rPr>
      <w:b/>
    </w:rPr>
  </w:style>
  <w:style w:type="paragraph" w:customStyle="1" w:styleId="NormalHanging12a">
    <w:name w:val="NormalHanging12a"/>
    <w:basedOn w:val="Normal"/>
    <w:rsid w:val="00A25102"/>
    <w:pPr>
      <w:spacing w:after="240"/>
      <w:ind w:left="567" w:hanging="567"/>
    </w:pPr>
  </w:style>
  <w:style w:type="paragraph" w:customStyle="1" w:styleId="CoverNormal24a">
    <w:name w:val="CoverNormal24a"/>
    <w:basedOn w:val="Normal"/>
    <w:rsid w:val="00A25102"/>
    <w:pPr>
      <w:spacing w:after="480"/>
      <w:ind w:left="1417"/>
    </w:pPr>
  </w:style>
  <w:style w:type="paragraph" w:customStyle="1" w:styleId="CoverNormal">
    <w:name w:val="CoverNormal"/>
    <w:basedOn w:val="Normal"/>
    <w:rsid w:val="00A25102"/>
    <w:pPr>
      <w:ind w:left="1418"/>
    </w:pPr>
  </w:style>
  <w:style w:type="paragraph" w:customStyle="1" w:styleId="CoverReference">
    <w:name w:val="CoverReference"/>
    <w:basedOn w:val="Normal"/>
    <w:rsid w:val="00A25102"/>
    <w:pPr>
      <w:spacing w:before="1080"/>
      <w:jc w:val="right"/>
    </w:pPr>
    <w:rPr>
      <w:rFonts w:ascii="Arial" w:hAnsi="Arial" w:cs="Arial"/>
      <w:b/>
    </w:rPr>
  </w:style>
  <w:style w:type="paragraph" w:customStyle="1" w:styleId="CoverDocType">
    <w:name w:val="CoverDocType"/>
    <w:basedOn w:val="Normal"/>
    <w:rsid w:val="00A25102"/>
    <w:pPr>
      <w:ind w:left="1418"/>
    </w:pPr>
    <w:rPr>
      <w:rFonts w:ascii="Arial" w:hAnsi="Arial"/>
      <w:b/>
      <w:sz w:val="48"/>
    </w:rPr>
  </w:style>
  <w:style w:type="paragraph" w:customStyle="1" w:styleId="CoverDocType24a">
    <w:name w:val="CoverDocType24a"/>
    <w:basedOn w:val="Normal"/>
    <w:rsid w:val="00A25102"/>
    <w:pPr>
      <w:spacing w:after="480"/>
      <w:ind w:left="1418"/>
    </w:pPr>
    <w:rPr>
      <w:rFonts w:ascii="Arial" w:hAnsi="Arial"/>
      <w:b/>
      <w:sz w:val="48"/>
    </w:rPr>
  </w:style>
  <w:style w:type="paragraph" w:customStyle="1" w:styleId="CoverDate">
    <w:name w:val="CoverDate"/>
    <w:basedOn w:val="Normal"/>
    <w:rsid w:val="00A25102"/>
    <w:pPr>
      <w:spacing w:before="240" w:after="1200"/>
    </w:pPr>
  </w:style>
  <w:style w:type="paragraph" w:styleId="Header">
    <w:name w:val="header"/>
    <w:basedOn w:val="Normal"/>
    <w:link w:val="HeaderChar"/>
    <w:uiPriority w:val="99"/>
    <w:rsid w:val="00A25102"/>
    <w:pPr>
      <w:tabs>
        <w:tab w:val="center" w:pos="4513"/>
        <w:tab w:val="right" w:pos="9026"/>
      </w:tabs>
    </w:pPr>
  </w:style>
  <w:style w:type="character" w:customStyle="1" w:styleId="HeaderChar">
    <w:name w:val="Header Char"/>
    <w:basedOn w:val="DefaultParagraphFont"/>
    <w:link w:val="Header"/>
    <w:uiPriority w:val="99"/>
    <w:rsid w:val="00A25102"/>
    <w:rPr>
      <w:sz w:val="24"/>
      <w:lang w:val="cs-CZ"/>
    </w:rPr>
  </w:style>
  <w:style w:type="paragraph" w:customStyle="1" w:styleId="AnnexWPTabs">
    <w:name w:val="AnnexWPTabs"/>
    <w:basedOn w:val="Normal"/>
    <w:rsid w:val="00A25102"/>
    <w:pPr>
      <w:tabs>
        <w:tab w:val="right" w:pos="3686"/>
        <w:tab w:val="left" w:pos="3827"/>
      </w:tabs>
    </w:pPr>
    <w:rPr>
      <w:b/>
    </w:rPr>
  </w:style>
  <w:style w:type="paragraph" w:customStyle="1" w:styleId="AnnexWPDate">
    <w:name w:val="AnnexWPDate"/>
    <w:basedOn w:val="Normal"/>
    <w:rsid w:val="00A25102"/>
    <w:pPr>
      <w:spacing w:before="240" w:after="480"/>
      <w:jc w:val="right"/>
    </w:pPr>
  </w:style>
  <w:style w:type="paragraph" w:customStyle="1" w:styleId="AnnexWPSmall">
    <w:name w:val="AnnexWPSmall"/>
    <w:basedOn w:val="Normal"/>
    <w:rsid w:val="00A25102"/>
    <w:rPr>
      <w:smallCaps/>
      <w:sz w:val="20"/>
    </w:rPr>
  </w:style>
  <w:style w:type="paragraph" w:customStyle="1" w:styleId="AnnexWPDocType">
    <w:name w:val="AnnexWPDocType"/>
    <w:basedOn w:val="Normal"/>
    <w:rsid w:val="00A25102"/>
    <w:pPr>
      <w:spacing w:after="240"/>
      <w:jc w:val="center"/>
    </w:pPr>
    <w:rPr>
      <w:b/>
    </w:rPr>
  </w:style>
  <w:style w:type="paragraph" w:customStyle="1" w:styleId="AnnexWPTitle">
    <w:name w:val="AnnexWPTitle"/>
    <w:basedOn w:val="Normal"/>
    <w:rsid w:val="00A25102"/>
    <w:pPr>
      <w:spacing w:before="480"/>
    </w:pPr>
    <w:rPr>
      <w:b/>
    </w:rPr>
  </w:style>
  <w:style w:type="paragraph" w:customStyle="1" w:styleId="AmJustText">
    <w:name w:val="AmJustText"/>
    <w:basedOn w:val="Normal"/>
    <w:rsid w:val="00A25102"/>
    <w:pPr>
      <w:spacing w:after="240"/>
    </w:pPr>
    <w:rPr>
      <w:i/>
    </w:rPr>
  </w:style>
  <w:style w:type="paragraph" w:customStyle="1" w:styleId="AmCrossRef">
    <w:name w:val="AmCrossRef"/>
    <w:basedOn w:val="Normal"/>
    <w:rsid w:val="00A25102"/>
    <w:pPr>
      <w:spacing w:before="240" w:after="240"/>
      <w:jc w:val="center"/>
    </w:pPr>
    <w:rPr>
      <w:i/>
    </w:rPr>
  </w:style>
  <w:style w:type="paragraph" w:customStyle="1" w:styleId="AmJustTitle">
    <w:name w:val="AmJustTitle"/>
    <w:basedOn w:val="Normal"/>
    <w:next w:val="AmJustText"/>
    <w:rsid w:val="00A25102"/>
    <w:pPr>
      <w:keepNext/>
      <w:spacing w:before="240" w:after="240"/>
      <w:jc w:val="center"/>
    </w:pPr>
    <w:rPr>
      <w:i/>
    </w:rPr>
  </w:style>
  <w:style w:type="paragraph" w:customStyle="1" w:styleId="AmOrLang">
    <w:name w:val="AmOrLang"/>
    <w:basedOn w:val="Normal"/>
    <w:rsid w:val="00A25102"/>
    <w:pPr>
      <w:spacing w:before="240" w:after="240"/>
      <w:jc w:val="right"/>
    </w:pPr>
  </w:style>
  <w:style w:type="paragraph" w:customStyle="1" w:styleId="AmColumnHeading">
    <w:name w:val="AmColumnHeading"/>
    <w:basedOn w:val="Normal"/>
    <w:rsid w:val="00A25102"/>
    <w:pPr>
      <w:spacing w:after="240"/>
      <w:jc w:val="center"/>
    </w:pPr>
    <w:rPr>
      <w:i/>
    </w:rPr>
  </w:style>
  <w:style w:type="paragraph" w:customStyle="1" w:styleId="AmNumberTabs">
    <w:name w:val="AmNumberTabs"/>
    <w:basedOn w:val="Normal"/>
    <w:link w:val="AmNumberTabsChar"/>
    <w:rsid w:val="00A2510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character" w:customStyle="1" w:styleId="AmNumberTabsChar">
    <w:name w:val="AmNumberTabs Char"/>
    <w:basedOn w:val="DefaultParagraphFont"/>
    <w:link w:val="AmNumberTabs"/>
    <w:rsid w:val="00A25102"/>
    <w:rPr>
      <w:b/>
      <w:sz w:val="24"/>
      <w:lang w:val="cs-CZ"/>
    </w:rPr>
  </w:style>
  <w:style w:type="paragraph" w:customStyle="1" w:styleId="NormalBold12b">
    <w:name w:val="NormalBold12b"/>
    <w:basedOn w:val="Normal"/>
    <w:link w:val="NormalBold12bChar"/>
    <w:rsid w:val="00A25102"/>
    <w:pPr>
      <w:spacing w:before="240"/>
    </w:pPr>
    <w:rPr>
      <w:b/>
    </w:rPr>
  </w:style>
  <w:style w:type="character" w:customStyle="1" w:styleId="NormalBold12bChar">
    <w:name w:val="NormalBold12b Char"/>
    <w:basedOn w:val="AmNumberTabsChar"/>
    <w:link w:val="NormalBold12b"/>
    <w:rsid w:val="00A25102"/>
    <w:rPr>
      <w:b/>
      <w:sz w:val="24"/>
      <w:lang w:val="cs-CZ"/>
    </w:rPr>
  </w:style>
  <w:style w:type="paragraph" w:customStyle="1" w:styleId="EPBody">
    <w:name w:val="EPBody"/>
    <w:basedOn w:val="Normal"/>
    <w:rsid w:val="00A25102"/>
    <w:pPr>
      <w:jc w:val="center"/>
    </w:pPr>
    <w:rPr>
      <w:rFonts w:ascii="Arial" w:hAnsi="Arial" w:cs="Arial"/>
      <w:i/>
      <w:sz w:val="22"/>
      <w:szCs w:val="22"/>
    </w:rPr>
  </w:style>
  <w:style w:type="paragraph" w:customStyle="1" w:styleId="AnnexWPLogo">
    <w:name w:val="AnnexWPLogo"/>
    <w:basedOn w:val="Normal"/>
    <w:rsid w:val="00A25102"/>
    <w:pPr>
      <w:spacing w:before="120" w:after="120"/>
    </w:pPr>
  </w:style>
  <w:style w:type="paragraph" w:customStyle="1" w:styleId="EPFooter">
    <w:name w:val="EPFooter"/>
    <w:basedOn w:val="Normal"/>
    <w:rsid w:val="00A25102"/>
    <w:pPr>
      <w:tabs>
        <w:tab w:val="center" w:pos="4535"/>
        <w:tab w:val="right" w:pos="9071"/>
      </w:tabs>
      <w:spacing w:before="240" w:after="240"/>
    </w:pPr>
    <w:rPr>
      <w:color w:val="010000"/>
      <w:sz w:val="22"/>
    </w:rPr>
  </w:style>
  <w:style w:type="paragraph" w:customStyle="1" w:styleId="EPComma">
    <w:name w:val="EPComma"/>
    <w:basedOn w:val="Normal"/>
    <w:rsid w:val="00A25102"/>
    <w:pPr>
      <w:spacing w:before="480" w:after="240"/>
    </w:pPr>
  </w:style>
  <w:style w:type="paragraph" w:customStyle="1" w:styleId="Lgendesigne">
    <w:name w:val="Légende signe"/>
    <w:basedOn w:val="Normal"/>
    <w:rsid w:val="00A25102"/>
    <w:pPr>
      <w:tabs>
        <w:tab w:val="right" w:pos="454"/>
        <w:tab w:val="left" w:pos="737"/>
      </w:tabs>
      <w:ind w:left="737" w:hanging="737"/>
    </w:pPr>
    <w:rPr>
      <w:snapToGrid w:val="0"/>
      <w:sz w:val="18"/>
      <w:lang w:val="en-GB" w:eastAsia="en-US"/>
    </w:rPr>
  </w:style>
  <w:style w:type="paragraph" w:customStyle="1" w:styleId="Lgendetitre">
    <w:name w:val="Légende titre"/>
    <w:basedOn w:val="Normal"/>
    <w:rsid w:val="00A25102"/>
    <w:pPr>
      <w:spacing w:before="240" w:after="240"/>
    </w:pPr>
    <w:rPr>
      <w:b/>
      <w:i/>
      <w:snapToGrid w:val="0"/>
      <w:lang w:val="en-GB" w:eastAsia="en-US"/>
    </w:rPr>
  </w:style>
  <w:style w:type="paragraph" w:customStyle="1" w:styleId="Lgendestandard">
    <w:name w:val="Légende standard"/>
    <w:basedOn w:val="Normal"/>
    <w:rsid w:val="00A25102"/>
    <w:rPr>
      <w:sz w:val="18"/>
      <w:lang w:val="en-GB"/>
    </w:rPr>
  </w:style>
  <w:style w:type="paragraph" w:customStyle="1" w:styleId="msonormal0">
    <w:name w:val="msonormal"/>
    <w:basedOn w:val="Normal"/>
    <w:rsid w:val="00A25102"/>
    <w:pPr>
      <w:widowControl/>
      <w:spacing w:before="100" w:beforeAutospacing="1" w:after="100" w:afterAutospacing="1"/>
    </w:pPr>
    <w:rPr>
      <w:szCs w:val="24"/>
      <w:lang w:val="en-GB"/>
    </w:rPr>
  </w:style>
  <w:style w:type="paragraph" w:styleId="Footer">
    <w:name w:val="footer"/>
    <w:basedOn w:val="Normal"/>
    <w:link w:val="FooterChar"/>
    <w:uiPriority w:val="99"/>
    <w:rsid w:val="00A25102"/>
    <w:pPr>
      <w:tabs>
        <w:tab w:val="center" w:pos="4513"/>
        <w:tab w:val="right" w:pos="9026"/>
      </w:tabs>
    </w:pPr>
  </w:style>
  <w:style w:type="character" w:customStyle="1" w:styleId="FooterChar">
    <w:name w:val="Footer Char"/>
    <w:basedOn w:val="DefaultParagraphFont"/>
    <w:link w:val="Footer"/>
    <w:uiPriority w:val="99"/>
    <w:rsid w:val="00A25102"/>
    <w:rPr>
      <w:sz w:val="24"/>
      <w:lang w:val="cs-CZ"/>
    </w:rPr>
  </w:style>
  <w:style w:type="paragraph" w:customStyle="1" w:styleId="LetterSignature66b">
    <w:name w:val="LetterSignature66b"/>
    <w:basedOn w:val="Normal"/>
    <w:next w:val="Normal"/>
    <w:rsid w:val="00A25102"/>
    <w:pPr>
      <w:spacing w:before="1320"/>
    </w:pPr>
  </w:style>
  <w:style w:type="character" w:customStyle="1" w:styleId="Normal12Char">
    <w:name w:val="Normal12 Char"/>
    <w:link w:val="Normal12"/>
    <w:locked/>
    <w:rsid w:val="00A25102"/>
    <w:rPr>
      <w:noProof/>
      <w:sz w:val="24"/>
    </w:rPr>
  </w:style>
  <w:style w:type="paragraph" w:customStyle="1" w:styleId="Normal12">
    <w:name w:val="Normal12"/>
    <w:basedOn w:val="Normal"/>
    <w:link w:val="Normal12Char"/>
    <w:rsid w:val="00A25102"/>
    <w:pPr>
      <w:spacing w:after="240"/>
    </w:pPr>
    <w:rPr>
      <w:noProof/>
      <w:lang w:val="en-GB"/>
    </w:rPr>
  </w:style>
  <w:style w:type="paragraph" w:customStyle="1" w:styleId="CommitteeAM">
    <w:name w:val="CommitteeAM"/>
    <w:basedOn w:val="Normal"/>
    <w:rsid w:val="00A25102"/>
    <w:pPr>
      <w:spacing w:before="240" w:after="600"/>
      <w:jc w:val="center"/>
    </w:pPr>
    <w:rPr>
      <w:i/>
      <w:lang w:val="en-GB"/>
    </w:rPr>
  </w:style>
  <w:style w:type="paragraph" w:customStyle="1" w:styleId="ZDateAM">
    <w:name w:val="ZDateAM"/>
    <w:basedOn w:val="Normal"/>
    <w:rsid w:val="00A25102"/>
    <w:pPr>
      <w:tabs>
        <w:tab w:val="right" w:pos="9356"/>
      </w:tabs>
      <w:spacing w:after="480"/>
    </w:pPr>
    <w:rPr>
      <w:noProof/>
      <w:lang w:val="en-GB"/>
    </w:rPr>
  </w:style>
  <w:style w:type="paragraph" w:customStyle="1" w:styleId="ProjRap">
    <w:name w:val="ProjRap"/>
    <w:basedOn w:val="Normal"/>
    <w:rsid w:val="00A25102"/>
    <w:pPr>
      <w:tabs>
        <w:tab w:val="right" w:pos="9356"/>
      </w:tabs>
    </w:pPr>
    <w:rPr>
      <w:b/>
      <w:noProof/>
      <w:lang w:val="en-GB"/>
    </w:rPr>
  </w:style>
  <w:style w:type="paragraph" w:customStyle="1" w:styleId="PELeft">
    <w:name w:val="PELeft"/>
    <w:basedOn w:val="Normal"/>
    <w:rsid w:val="00A25102"/>
    <w:pPr>
      <w:spacing w:before="40" w:after="40"/>
    </w:pPr>
    <w:rPr>
      <w:rFonts w:ascii="Arial" w:hAnsi="Arial" w:cs="Arial"/>
      <w:sz w:val="22"/>
      <w:szCs w:val="22"/>
      <w:lang w:val="fr-FR"/>
    </w:rPr>
  </w:style>
  <w:style w:type="paragraph" w:customStyle="1" w:styleId="PERight">
    <w:name w:val="PERight"/>
    <w:basedOn w:val="Normal"/>
    <w:next w:val="Normal"/>
    <w:rsid w:val="00A25102"/>
    <w:pPr>
      <w:jc w:val="right"/>
    </w:pPr>
    <w:rPr>
      <w:rFonts w:ascii="Arial" w:hAnsi="Arial" w:cs="Arial"/>
      <w:sz w:val="22"/>
      <w:szCs w:val="22"/>
      <w:lang w:val="fr-FR"/>
    </w:rPr>
  </w:style>
  <w:style w:type="character" w:customStyle="1" w:styleId="Normal6Char">
    <w:name w:val="Normal6 Char"/>
    <w:link w:val="Normal6"/>
    <w:locked/>
    <w:rsid w:val="00A25102"/>
    <w:rPr>
      <w:sz w:val="24"/>
      <w:lang w:val="fr-FR"/>
    </w:rPr>
  </w:style>
  <w:style w:type="paragraph" w:customStyle="1" w:styleId="Normal6">
    <w:name w:val="Normal6"/>
    <w:basedOn w:val="Normal"/>
    <w:link w:val="Normal6Char"/>
    <w:rsid w:val="00A25102"/>
    <w:pPr>
      <w:spacing w:after="120"/>
    </w:pPr>
    <w:rPr>
      <w:lang w:val="fr-FR"/>
    </w:rPr>
  </w:style>
  <w:style w:type="paragraph" w:customStyle="1" w:styleId="Normal12Italic">
    <w:name w:val="Normal12Italic"/>
    <w:basedOn w:val="Normal12"/>
    <w:rsid w:val="00A25102"/>
    <w:rPr>
      <w:i/>
      <w:lang w:val="fr-FR"/>
    </w:rPr>
  </w:style>
  <w:style w:type="paragraph" w:customStyle="1" w:styleId="JustificationTitle">
    <w:name w:val="JustificationTitle"/>
    <w:basedOn w:val="Normal"/>
    <w:next w:val="Normal12"/>
    <w:rsid w:val="00A25102"/>
    <w:pPr>
      <w:keepNext/>
      <w:spacing w:before="240" w:after="240"/>
      <w:jc w:val="center"/>
    </w:pPr>
    <w:rPr>
      <w:i/>
      <w:noProof/>
      <w:lang w:val="fr-FR"/>
    </w:rPr>
  </w:style>
  <w:style w:type="paragraph" w:customStyle="1" w:styleId="Olang">
    <w:name w:val="Olang"/>
    <w:basedOn w:val="Normal"/>
    <w:rsid w:val="00A25102"/>
    <w:pPr>
      <w:spacing w:before="240" w:after="240"/>
      <w:jc w:val="right"/>
    </w:pPr>
    <w:rPr>
      <w:noProof/>
      <w:szCs w:val="24"/>
      <w:lang w:val="fr-FR"/>
    </w:rPr>
  </w:style>
  <w:style w:type="paragraph" w:customStyle="1" w:styleId="ColumnHeading">
    <w:name w:val="ColumnHeading"/>
    <w:basedOn w:val="Normal"/>
    <w:rsid w:val="00A25102"/>
    <w:pPr>
      <w:spacing w:after="240"/>
      <w:jc w:val="center"/>
    </w:pPr>
    <w:rPr>
      <w:i/>
      <w:lang w:val="fr-FR"/>
    </w:rPr>
  </w:style>
  <w:style w:type="paragraph" w:customStyle="1" w:styleId="AMNumberTabs0">
    <w:name w:val="AMNumberTabs"/>
    <w:basedOn w:val="Normal"/>
    <w:rsid w:val="00A2510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fr-FR"/>
    </w:rPr>
  </w:style>
  <w:style w:type="paragraph" w:customStyle="1" w:styleId="CrossRef">
    <w:name w:val="CrossRef"/>
    <w:basedOn w:val="Normal"/>
    <w:rsid w:val="00A25102"/>
    <w:pPr>
      <w:spacing w:before="240"/>
      <w:jc w:val="center"/>
    </w:pPr>
    <w:rPr>
      <w:i/>
      <w:lang w:val="fr-FR"/>
    </w:rPr>
  </w:style>
  <w:style w:type="character" w:customStyle="1" w:styleId="Footer2Middle">
    <w:name w:val="Footer2Middle"/>
    <w:rsid w:val="00A25102"/>
    <w:rPr>
      <w:rFonts w:ascii="Arial" w:hAnsi="Arial" w:cs="Arial" w:hint="default"/>
      <w:b w:val="0"/>
      <w:bCs w:val="0"/>
      <w:i/>
      <w:iCs w:val="0"/>
      <w:color w:val="C0C0C0"/>
      <w:sz w:val="22"/>
    </w:rPr>
  </w:style>
  <w:style w:type="paragraph" w:customStyle="1" w:styleId="EntPE">
    <w:name w:val="EntPE"/>
    <w:basedOn w:val="Normal12"/>
    <w:rsid w:val="00A25102"/>
    <w:pPr>
      <w:jc w:val="center"/>
    </w:pPr>
    <w:rPr>
      <w:noProof w:val="0"/>
      <w:sz w:val="56"/>
    </w:rPr>
  </w:style>
  <w:style w:type="character" w:styleId="CommentReference">
    <w:name w:val="annotation reference"/>
    <w:basedOn w:val="DefaultParagraphFont"/>
    <w:uiPriority w:val="99"/>
    <w:rsid w:val="00A25102"/>
    <w:rPr>
      <w:sz w:val="16"/>
      <w:szCs w:val="16"/>
    </w:rPr>
  </w:style>
  <w:style w:type="paragraph" w:styleId="CommentText">
    <w:name w:val="annotation text"/>
    <w:basedOn w:val="Normal"/>
    <w:link w:val="CommentTextChar"/>
    <w:uiPriority w:val="99"/>
    <w:rsid w:val="00A25102"/>
    <w:rPr>
      <w:sz w:val="20"/>
      <w:lang w:val="en-GB"/>
    </w:rPr>
  </w:style>
  <w:style w:type="character" w:customStyle="1" w:styleId="CommentTextChar">
    <w:name w:val="Comment Text Char"/>
    <w:basedOn w:val="DefaultParagraphFont"/>
    <w:link w:val="CommentText"/>
    <w:uiPriority w:val="99"/>
    <w:rsid w:val="00A25102"/>
  </w:style>
  <w:style w:type="paragraph" w:styleId="CommentSubject">
    <w:name w:val="annotation subject"/>
    <w:basedOn w:val="CommentText"/>
    <w:next w:val="CommentText"/>
    <w:link w:val="CommentSubjectChar"/>
    <w:uiPriority w:val="99"/>
    <w:unhideWhenUsed/>
    <w:rsid w:val="00A25102"/>
    <w:rPr>
      <w:b/>
      <w:bCs/>
    </w:rPr>
  </w:style>
  <w:style w:type="character" w:customStyle="1" w:styleId="CommentSubjectChar">
    <w:name w:val="Comment Subject Char"/>
    <w:basedOn w:val="CommentTextChar"/>
    <w:link w:val="CommentSubject"/>
    <w:uiPriority w:val="99"/>
    <w:rsid w:val="00A25102"/>
    <w:rPr>
      <w:b/>
      <w:bCs/>
    </w:rPr>
  </w:style>
  <w:style w:type="paragraph" w:styleId="BalloonText">
    <w:name w:val="Balloon Text"/>
    <w:basedOn w:val="Normal"/>
    <w:link w:val="BalloonTextChar"/>
    <w:uiPriority w:val="99"/>
    <w:unhideWhenUsed/>
    <w:rsid w:val="00A25102"/>
    <w:rPr>
      <w:rFonts w:ascii="Segoe UI" w:hAnsi="Segoe UI" w:cs="Segoe UI"/>
      <w:sz w:val="18"/>
      <w:szCs w:val="18"/>
      <w:lang w:val="en-GB"/>
    </w:rPr>
  </w:style>
  <w:style w:type="character" w:customStyle="1" w:styleId="BalloonTextChar">
    <w:name w:val="Balloon Text Char"/>
    <w:basedOn w:val="DefaultParagraphFont"/>
    <w:link w:val="BalloonText"/>
    <w:uiPriority w:val="99"/>
    <w:rsid w:val="00A25102"/>
    <w:rPr>
      <w:rFonts w:ascii="Segoe UI" w:hAnsi="Segoe UI" w:cs="Segoe UI"/>
      <w:sz w:val="18"/>
      <w:szCs w:val="18"/>
    </w:rPr>
  </w:style>
  <w:style w:type="paragraph" w:styleId="ListParagraph">
    <w:name w:val="List Paragraph"/>
    <w:basedOn w:val="Normal"/>
    <w:uiPriority w:val="34"/>
    <w:qFormat/>
    <w:rsid w:val="00A25102"/>
    <w:pPr>
      <w:widowControl/>
      <w:ind w:left="720"/>
      <w:contextualSpacing/>
      <w:jc w:val="both"/>
    </w:pPr>
    <w:rPr>
      <w:rFonts w:eastAsiaTheme="minorHAnsi"/>
      <w:szCs w:val="24"/>
      <w:lang w:val="en-GB" w:eastAsia="en-US"/>
    </w:rPr>
  </w:style>
  <w:style w:type="paragraph" w:customStyle="1" w:styleId="PageHeadingNotTOC">
    <w:name w:val="PageHeadingNotTOC"/>
    <w:basedOn w:val="Normal"/>
    <w:rsid w:val="00A25102"/>
    <w:pPr>
      <w:keepNext/>
      <w:spacing w:after="480"/>
      <w:jc w:val="center"/>
    </w:pPr>
    <w:rPr>
      <w:rFonts w:ascii="Arial" w:hAnsi="Arial" w:cs="Arial"/>
      <w:b/>
      <w:lang w:val="en-GB"/>
    </w:rPr>
  </w:style>
  <w:style w:type="paragraph" w:customStyle="1" w:styleId="AmHeadingPA">
    <w:name w:val="AmHeadingPA"/>
    <w:basedOn w:val="Normal"/>
    <w:next w:val="Normal"/>
    <w:rsid w:val="00A25102"/>
    <w:pPr>
      <w:spacing w:before="480" w:after="240"/>
      <w:jc w:val="center"/>
    </w:pPr>
    <w:rPr>
      <w:rFonts w:ascii="Arial" w:hAnsi="Arial"/>
      <w:b/>
      <w:caps/>
      <w:snapToGrid w:val="0"/>
      <w:szCs w:val="24"/>
      <w:lang w:val="en-GB" w:eastAsia="en-US"/>
    </w:rPr>
  </w:style>
  <w:style w:type="character" w:customStyle="1" w:styleId="Sup">
    <w:name w:val="Sup"/>
    <w:uiPriority w:val="1"/>
    <w:qFormat/>
    <w:rsid w:val="00A25102"/>
    <w:rPr>
      <w:vertAlign w:val="superscript"/>
    </w:rPr>
  </w:style>
  <w:style w:type="character" w:styleId="Hyperlink">
    <w:name w:val="Hyperlink"/>
    <w:basedOn w:val="DefaultParagraphFont"/>
    <w:uiPriority w:val="99"/>
    <w:rsid w:val="00A25102"/>
    <w:rPr>
      <w:color w:val="0563C1" w:themeColor="hyperlink"/>
      <w:u w:val="single"/>
    </w:rPr>
  </w:style>
  <w:style w:type="paragraph" w:customStyle="1" w:styleId="LetterSalutation">
    <w:name w:val="LetterSalutation"/>
    <w:basedOn w:val="Normal"/>
    <w:rsid w:val="00A25102"/>
    <w:pPr>
      <w:spacing w:before="600" w:after="360"/>
    </w:pPr>
    <w:rPr>
      <w:lang w:val="en-GB"/>
    </w:rPr>
  </w:style>
  <w:style w:type="paragraph" w:customStyle="1" w:styleId="LetterSubject">
    <w:name w:val="LetterSubject"/>
    <w:basedOn w:val="Normal"/>
    <w:rsid w:val="00A25102"/>
    <w:pPr>
      <w:spacing w:before="480"/>
      <w:ind w:left="1134" w:hanging="1134"/>
    </w:pPr>
    <w:rPr>
      <w:lang w:val="en-GB"/>
    </w:rPr>
  </w:style>
  <w:style w:type="paragraph" w:customStyle="1" w:styleId="Normal24a">
    <w:name w:val="Normal24a"/>
    <w:basedOn w:val="Normal"/>
    <w:link w:val="Normal24aChar"/>
    <w:rsid w:val="00A25102"/>
    <w:pPr>
      <w:spacing w:after="480"/>
    </w:pPr>
    <w:rPr>
      <w:lang w:val="en-GB"/>
    </w:rPr>
  </w:style>
  <w:style w:type="character" w:customStyle="1" w:styleId="Normal24aChar">
    <w:name w:val="Normal24a Char"/>
    <w:basedOn w:val="DefaultParagraphFont"/>
    <w:link w:val="Normal24a"/>
    <w:rsid w:val="00A25102"/>
    <w:rPr>
      <w:sz w:val="24"/>
    </w:rPr>
  </w:style>
  <w:style w:type="paragraph" w:customStyle="1" w:styleId="CoverBold">
    <w:name w:val="CoverBold"/>
    <w:basedOn w:val="Normal"/>
    <w:rsid w:val="00A25102"/>
    <w:pPr>
      <w:ind w:left="1417"/>
    </w:pPr>
    <w:rPr>
      <w:b/>
      <w:lang w:val="en-GB"/>
    </w:rPr>
  </w:style>
  <w:style w:type="paragraph" w:customStyle="1" w:styleId="Normal2">
    <w:name w:val="Normal2"/>
    <w:basedOn w:val="Normal"/>
    <w:qFormat/>
    <w:rsid w:val="00A25102"/>
    <w:pPr>
      <w:spacing w:line="120" w:lineRule="auto"/>
    </w:pPr>
    <w:rPr>
      <w:sz w:val="4"/>
      <w:lang w:val="en-GB"/>
    </w:rPr>
  </w:style>
  <w:style w:type="paragraph" w:customStyle="1" w:styleId="NormalItalic6a">
    <w:name w:val="NormalItalic6a"/>
    <w:basedOn w:val="Normal6a"/>
    <w:qFormat/>
    <w:rsid w:val="00A25102"/>
    <w:rPr>
      <w:i/>
      <w:lang w:val="en-GB"/>
    </w:rPr>
  </w:style>
  <w:style w:type="paragraph" w:customStyle="1" w:styleId="NormalBoldItalic6a">
    <w:name w:val="NormalBoldItalic6a"/>
    <w:basedOn w:val="Normal6a"/>
    <w:qFormat/>
    <w:rsid w:val="00A25102"/>
    <w:rPr>
      <w:b/>
      <w:i/>
      <w:lang w:val="en-GB"/>
    </w:rPr>
  </w:style>
  <w:style w:type="paragraph" w:customStyle="1" w:styleId="NormalBoldItalicCenter6a">
    <w:name w:val="NormalBoldItalicCenter6a"/>
    <w:basedOn w:val="Normal6a"/>
    <w:qFormat/>
    <w:rsid w:val="00A25102"/>
    <w:pPr>
      <w:jc w:val="center"/>
    </w:pPr>
    <w:rPr>
      <w:b/>
      <w:i/>
      <w:lang w:val="en-GB"/>
    </w:rPr>
  </w:style>
  <w:style w:type="paragraph" w:customStyle="1" w:styleId="AnnexRight">
    <w:name w:val="AnnexRight"/>
    <w:basedOn w:val="Normal"/>
    <w:rsid w:val="00A25102"/>
    <w:pPr>
      <w:spacing w:after="480"/>
      <w:jc w:val="right"/>
    </w:pPr>
    <w:rPr>
      <w:lang w:val="en-GB"/>
    </w:rPr>
  </w:style>
  <w:style w:type="paragraph" w:customStyle="1" w:styleId="RollCallSymbols14pt">
    <w:name w:val="RollCallSymbols14pt"/>
    <w:basedOn w:val="Normal"/>
    <w:rsid w:val="00A25102"/>
    <w:pPr>
      <w:spacing w:before="120" w:after="120"/>
      <w:jc w:val="center"/>
    </w:pPr>
    <w:rPr>
      <w:rFonts w:ascii="Arial" w:hAnsi="Arial"/>
      <w:b/>
      <w:bCs/>
      <w:snapToGrid w:val="0"/>
      <w:sz w:val="28"/>
      <w:lang w:val="en-GB" w:eastAsia="en-US"/>
    </w:rPr>
  </w:style>
  <w:style w:type="paragraph" w:customStyle="1" w:styleId="RollCallTabs">
    <w:name w:val="RollCallTabs"/>
    <w:basedOn w:val="Normal"/>
    <w:qFormat/>
    <w:rsid w:val="00A25102"/>
    <w:pPr>
      <w:tabs>
        <w:tab w:val="center" w:pos="284"/>
        <w:tab w:val="left" w:pos="426"/>
      </w:tabs>
    </w:pPr>
    <w:rPr>
      <w:snapToGrid w:val="0"/>
      <w:lang w:val="en-GB" w:eastAsia="en-US"/>
    </w:rPr>
  </w:style>
  <w:style w:type="paragraph" w:customStyle="1" w:styleId="RollCallVotes">
    <w:name w:val="RollCallVotes"/>
    <w:basedOn w:val="Normal"/>
    <w:rsid w:val="00A25102"/>
    <w:pPr>
      <w:spacing w:before="120" w:after="120"/>
      <w:jc w:val="center"/>
    </w:pPr>
    <w:rPr>
      <w:b/>
      <w:bCs/>
      <w:snapToGrid w:val="0"/>
      <w:sz w:val="16"/>
      <w:lang w:val="en-GB" w:eastAsia="en-US"/>
    </w:rPr>
  </w:style>
  <w:style w:type="paragraph" w:customStyle="1" w:styleId="RollCallTable">
    <w:name w:val="RollCallTable"/>
    <w:basedOn w:val="Normal"/>
    <w:rsid w:val="00A25102"/>
    <w:pPr>
      <w:spacing w:before="120" w:after="120"/>
    </w:pPr>
    <w:rPr>
      <w:snapToGrid w:val="0"/>
      <w:sz w:val="16"/>
      <w:lang w:val="en-GB" w:eastAsia="en-US"/>
    </w:rPr>
  </w:style>
  <w:style w:type="paragraph" w:customStyle="1" w:styleId="AmDocTypeTab">
    <w:name w:val="AmDocTypeTab"/>
    <w:basedOn w:val="Normal"/>
    <w:rsid w:val="004D0514"/>
    <w:pPr>
      <w:tabs>
        <w:tab w:val="right" w:pos="9072"/>
      </w:tabs>
    </w:pPr>
    <w:rPr>
      <w:b/>
    </w:rPr>
  </w:style>
  <w:style w:type="paragraph" w:customStyle="1" w:styleId="NormalCenter12a">
    <w:name w:val="NormalCenter12a"/>
    <w:basedOn w:val="Normal"/>
    <w:rsid w:val="004D0514"/>
    <w:pPr>
      <w:spacing w:after="240"/>
      <w:jc w:val="center"/>
    </w:pPr>
  </w:style>
  <w:style w:type="paragraph" w:customStyle="1" w:styleId="AmDateTab">
    <w:name w:val="AmDateTab"/>
    <w:basedOn w:val="Normal"/>
    <w:rsid w:val="004D0514"/>
    <w:pPr>
      <w:tabs>
        <w:tab w:val="right" w:pos="9072"/>
      </w:tabs>
    </w:pPr>
  </w:style>
  <w:style w:type="paragraph" w:customStyle="1" w:styleId="AmHeadingConsam">
    <w:name w:val="AmHeadingConsam"/>
    <w:basedOn w:val="Normal"/>
    <w:next w:val="NormalCenter12a"/>
    <w:rsid w:val="004D0514"/>
    <w:pPr>
      <w:spacing w:before="720" w:after="240"/>
      <w:jc w:val="center"/>
    </w:pPr>
  </w:style>
  <w:style w:type="paragraph" w:styleId="Title">
    <w:name w:val="Title"/>
    <w:basedOn w:val="Normal"/>
    <w:next w:val="Normal"/>
    <w:link w:val="TitleChar"/>
    <w:uiPriority w:val="10"/>
    <w:qFormat/>
    <w:rsid w:val="004D0514"/>
    <w:pPr>
      <w:widowControl/>
      <w:spacing w:before="240" w:after="60"/>
      <w:jc w:val="center"/>
      <w:outlineLvl w:val="0"/>
    </w:pPr>
    <w:rPr>
      <w:rFonts w:ascii="Arial" w:eastAsiaTheme="majorEastAsia" w:hAnsi="Arial" w:cs="Arial"/>
      <w:b/>
      <w:bCs/>
      <w:kern w:val="28"/>
      <w:sz w:val="32"/>
      <w:szCs w:val="32"/>
      <w:lang w:eastAsia="en-US"/>
    </w:rPr>
  </w:style>
  <w:style w:type="character" w:customStyle="1" w:styleId="TitleChar">
    <w:name w:val="Title Char"/>
    <w:basedOn w:val="DefaultParagraphFont"/>
    <w:link w:val="Title"/>
    <w:uiPriority w:val="10"/>
    <w:rsid w:val="004D0514"/>
    <w:rPr>
      <w:rFonts w:ascii="Arial" w:eastAsiaTheme="majorEastAsia" w:hAnsi="Arial" w:cs="Arial"/>
      <w:b/>
      <w:bCs/>
      <w:kern w:val="28"/>
      <w:sz w:val="32"/>
      <w:szCs w:val="32"/>
      <w:lang w:val="cs-CZ" w:eastAsia="en-US"/>
    </w:rPr>
  </w:style>
  <w:style w:type="paragraph" w:styleId="Subtitle">
    <w:name w:val="Subtitle"/>
    <w:basedOn w:val="Normal"/>
    <w:next w:val="Normal"/>
    <w:link w:val="SubtitleChar"/>
    <w:uiPriority w:val="11"/>
    <w:qFormat/>
    <w:rsid w:val="004D0514"/>
    <w:pPr>
      <w:widowControl/>
      <w:spacing w:after="60"/>
      <w:jc w:val="center"/>
      <w:outlineLvl w:val="1"/>
    </w:pPr>
    <w:rPr>
      <w:rFonts w:ascii="Arial" w:eastAsiaTheme="majorEastAsia" w:hAnsi="Arial" w:cs="Arial"/>
      <w:szCs w:val="24"/>
      <w:lang w:eastAsia="en-US"/>
    </w:rPr>
  </w:style>
  <w:style w:type="character" w:customStyle="1" w:styleId="SubtitleChar">
    <w:name w:val="Subtitle Char"/>
    <w:basedOn w:val="DefaultParagraphFont"/>
    <w:link w:val="Subtitle"/>
    <w:uiPriority w:val="11"/>
    <w:rsid w:val="004D0514"/>
    <w:rPr>
      <w:rFonts w:ascii="Arial" w:eastAsiaTheme="majorEastAsia" w:hAnsi="Arial" w:cs="Arial"/>
      <w:sz w:val="24"/>
      <w:szCs w:val="24"/>
      <w:lang w:val="cs-CZ" w:eastAsia="en-US"/>
    </w:rPr>
  </w:style>
  <w:style w:type="character" w:styleId="Strong">
    <w:name w:val="Strong"/>
    <w:basedOn w:val="DefaultParagraphFont"/>
    <w:uiPriority w:val="22"/>
    <w:qFormat/>
    <w:rsid w:val="004D0514"/>
    <w:rPr>
      <w:b/>
      <w:bCs/>
    </w:rPr>
  </w:style>
  <w:style w:type="character" w:styleId="Emphasis">
    <w:name w:val="Emphasis"/>
    <w:basedOn w:val="DefaultParagraphFont"/>
    <w:uiPriority w:val="20"/>
    <w:qFormat/>
    <w:rsid w:val="004D0514"/>
    <w:rPr>
      <w:rFonts w:asciiTheme="minorHAnsi" w:hAnsiTheme="minorHAnsi"/>
      <w:b/>
      <w:i/>
      <w:iCs/>
    </w:rPr>
  </w:style>
  <w:style w:type="paragraph" w:styleId="NoSpacing">
    <w:name w:val="No Spacing"/>
    <w:basedOn w:val="Normal"/>
    <w:uiPriority w:val="1"/>
    <w:qFormat/>
    <w:rsid w:val="004D0514"/>
    <w:pPr>
      <w:widowControl/>
      <w:jc w:val="both"/>
    </w:pPr>
    <w:rPr>
      <w:rFonts w:eastAsiaTheme="minorHAnsi"/>
      <w:szCs w:val="32"/>
      <w:lang w:eastAsia="en-US"/>
    </w:rPr>
  </w:style>
  <w:style w:type="paragraph" w:styleId="Quote">
    <w:name w:val="Quote"/>
    <w:basedOn w:val="Normal"/>
    <w:next w:val="Normal"/>
    <w:link w:val="QuoteChar"/>
    <w:uiPriority w:val="29"/>
    <w:qFormat/>
    <w:rsid w:val="004D0514"/>
    <w:pPr>
      <w:widowControl/>
      <w:jc w:val="both"/>
    </w:pPr>
    <w:rPr>
      <w:rFonts w:eastAsiaTheme="minorHAnsi"/>
      <w:i/>
      <w:szCs w:val="24"/>
      <w:lang w:eastAsia="en-US"/>
    </w:rPr>
  </w:style>
  <w:style w:type="character" w:customStyle="1" w:styleId="QuoteChar">
    <w:name w:val="Quote Char"/>
    <w:basedOn w:val="DefaultParagraphFont"/>
    <w:link w:val="Quote"/>
    <w:uiPriority w:val="29"/>
    <w:rsid w:val="004D0514"/>
    <w:rPr>
      <w:rFonts w:eastAsiaTheme="minorHAnsi"/>
      <w:i/>
      <w:sz w:val="24"/>
      <w:szCs w:val="24"/>
      <w:lang w:val="cs-CZ" w:eastAsia="en-US"/>
    </w:rPr>
  </w:style>
  <w:style w:type="paragraph" w:styleId="IntenseQuote">
    <w:name w:val="Intense Quote"/>
    <w:basedOn w:val="Normal"/>
    <w:next w:val="Normal"/>
    <w:link w:val="IntenseQuoteChar"/>
    <w:uiPriority w:val="30"/>
    <w:qFormat/>
    <w:rsid w:val="004D0514"/>
    <w:pPr>
      <w:widowControl/>
      <w:ind w:left="720" w:right="720"/>
      <w:jc w:val="both"/>
    </w:pPr>
    <w:rPr>
      <w:rFonts w:eastAsiaTheme="minorHAnsi"/>
      <w:b/>
      <w:i/>
      <w:szCs w:val="22"/>
      <w:lang w:eastAsia="en-US"/>
    </w:rPr>
  </w:style>
  <w:style w:type="character" w:customStyle="1" w:styleId="IntenseQuoteChar">
    <w:name w:val="Intense Quote Char"/>
    <w:basedOn w:val="DefaultParagraphFont"/>
    <w:link w:val="IntenseQuote"/>
    <w:uiPriority w:val="30"/>
    <w:rsid w:val="004D0514"/>
    <w:rPr>
      <w:rFonts w:eastAsiaTheme="minorHAnsi"/>
      <w:b/>
      <w:i/>
      <w:sz w:val="24"/>
      <w:szCs w:val="22"/>
      <w:lang w:val="cs-CZ" w:eastAsia="en-US"/>
    </w:rPr>
  </w:style>
  <w:style w:type="character" w:styleId="SubtleEmphasis">
    <w:name w:val="Subtle Emphasis"/>
    <w:uiPriority w:val="19"/>
    <w:qFormat/>
    <w:rsid w:val="004D0514"/>
    <w:rPr>
      <w:i/>
      <w:color w:val="5A5A5A" w:themeColor="text1" w:themeTint="A5"/>
    </w:rPr>
  </w:style>
  <w:style w:type="character" w:styleId="IntenseEmphasis">
    <w:name w:val="Intense Emphasis"/>
    <w:basedOn w:val="DefaultParagraphFont"/>
    <w:uiPriority w:val="21"/>
    <w:qFormat/>
    <w:rsid w:val="004D0514"/>
    <w:rPr>
      <w:b/>
      <w:i/>
      <w:sz w:val="24"/>
      <w:szCs w:val="24"/>
      <w:u w:val="single"/>
    </w:rPr>
  </w:style>
  <w:style w:type="character" w:styleId="SubtleReference">
    <w:name w:val="Subtle Reference"/>
    <w:basedOn w:val="DefaultParagraphFont"/>
    <w:uiPriority w:val="31"/>
    <w:qFormat/>
    <w:rsid w:val="004D0514"/>
    <w:rPr>
      <w:sz w:val="24"/>
      <w:szCs w:val="24"/>
      <w:u w:val="single"/>
    </w:rPr>
  </w:style>
  <w:style w:type="character" w:styleId="IntenseReference">
    <w:name w:val="Intense Reference"/>
    <w:basedOn w:val="DefaultParagraphFont"/>
    <w:uiPriority w:val="32"/>
    <w:qFormat/>
    <w:rsid w:val="004D0514"/>
    <w:rPr>
      <w:b/>
      <w:sz w:val="24"/>
      <w:u w:val="single"/>
    </w:rPr>
  </w:style>
  <w:style w:type="character" w:styleId="BookTitle">
    <w:name w:val="Book Title"/>
    <w:basedOn w:val="DefaultParagraphFont"/>
    <w:uiPriority w:val="33"/>
    <w:qFormat/>
    <w:rsid w:val="004D0514"/>
    <w:rPr>
      <w:rFonts w:asciiTheme="majorHAnsi" w:eastAsiaTheme="majorEastAsia" w:hAnsiTheme="majorHAnsi"/>
      <w:b/>
      <w:i/>
      <w:sz w:val="24"/>
      <w:szCs w:val="24"/>
    </w:rPr>
  </w:style>
  <w:style w:type="paragraph" w:customStyle="1" w:styleId="Typedudocument">
    <w:name w:val="Type du document"/>
    <w:basedOn w:val="Normal"/>
    <w:next w:val="Normal"/>
    <w:rsid w:val="004D0514"/>
    <w:pPr>
      <w:widowControl/>
      <w:spacing w:before="360" w:line="360" w:lineRule="auto"/>
      <w:jc w:val="center"/>
    </w:pPr>
    <w:rPr>
      <w:rFonts w:eastAsiaTheme="minorHAnsi"/>
      <w:b/>
      <w:szCs w:val="22"/>
      <w:lang w:eastAsia="en-US"/>
    </w:rPr>
  </w:style>
  <w:style w:type="paragraph" w:customStyle="1" w:styleId="SectionTitle">
    <w:name w:val="SectionTitle"/>
    <w:basedOn w:val="Normal"/>
    <w:next w:val="Heading1"/>
    <w:rsid w:val="004D0514"/>
    <w:pPr>
      <w:keepNext/>
      <w:widowControl/>
      <w:spacing w:before="120" w:after="360"/>
      <w:jc w:val="center"/>
    </w:pPr>
    <w:rPr>
      <w:rFonts w:eastAsia="Calibri"/>
      <w:b/>
      <w:smallCaps/>
      <w:sz w:val="28"/>
      <w:szCs w:val="22"/>
      <w:lang w:eastAsia="en-US"/>
    </w:rPr>
  </w:style>
  <w:style w:type="paragraph" w:customStyle="1" w:styleId="Titrearticle">
    <w:name w:val="Titre article"/>
    <w:basedOn w:val="Normal"/>
    <w:next w:val="Normal"/>
    <w:rsid w:val="004D0514"/>
    <w:pPr>
      <w:keepNext/>
      <w:widowControl/>
      <w:spacing w:before="360" w:after="120"/>
      <w:jc w:val="center"/>
    </w:pPr>
    <w:rPr>
      <w:rFonts w:eastAsia="Calibri"/>
      <w:i/>
      <w:szCs w:val="22"/>
      <w:lang w:eastAsia="en-US"/>
    </w:rPr>
  </w:style>
  <w:style w:type="paragraph" w:customStyle="1" w:styleId="Point0">
    <w:name w:val="Point 0"/>
    <w:basedOn w:val="Normal"/>
    <w:rsid w:val="004D0514"/>
    <w:pPr>
      <w:widowControl/>
      <w:spacing w:before="120" w:after="120"/>
      <w:ind w:left="850" w:hanging="850"/>
      <w:jc w:val="both"/>
    </w:pPr>
    <w:rPr>
      <w:rFonts w:eastAsia="Calibri"/>
      <w:szCs w:val="22"/>
      <w:lang w:eastAsia="en-US"/>
    </w:rPr>
  </w:style>
  <w:style w:type="paragraph" w:customStyle="1" w:styleId="Fait">
    <w:name w:val="Fait à"/>
    <w:basedOn w:val="Normal"/>
    <w:next w:val="Institutionquisigne"/>
    <w:rsid w:val="004D0514"/>
    <w:pPr>
      <w:keepNext/>
      <w:widowControl/>
      <w:spacing w:before="120"/>
      <w:jc w:val="both"/>
    </w:pPr>
    <w:rPr>
      <w:rFonts w:eastAsia="Calibri"/>
      <w:szCs w:val="22"/>
      <w:lang w:eastAsia="en-US"/>
    </w:rPr>
  </w:style>
  <w:style w:type="paragraph" w:customStyle="1" w:styleId="Institutionquisigne">
    <w:name w:val="Institution qui signe"/>
    <w:basedOn w:val="Normal"/>
    <w:next w:val="Normal"/>
    <w:rsid w:val="004D0514"/>
    <w:pPr>
      <w:keepNext/>
      <w:widowControl/>
      <w:tabs>
        <w:tab w:val="left" w:pos="4252"/>
      </w:tabs>
      <w:spacing w:before="720"/>
      <w:jc w:val="both"/>
    </w:pPr>
    <w:rPr>
      <w:rFonts w:eastAsia="Calibri"/>
      <w:i/>
      <w:szCs w:val="22"/>
      <w:lang w:eastAsia="en-US"/>
    </w:rPr>
  </w:style>
  <w:style w:type="paragraph" w:customStyle="1" w:styleId="NormalCentered">
    <w:name w:val="Normal Centered"/>
    <w:basedOn w:val="Normal"/>
    <w:rsid w:val="004D0514"/>
    <w:pPr>
      <w:widowControl/>
      <w:spacing w:before="120" w:after="120"/>
      <w:jc w:val="center"/>
    </w:pPr>
    <w:rPr>
      <w:rFonts w:eastAsia="Calibri"/>
      <w:szCs w:val="22"/>
      <w:lang w:eastAsia="en-US"/>
    </w:rPr>
  </w:style>
  <w:style w:type="paragraph" w:customStyle="1" w:styleId="NormalLeft">
    <w:name w:val="Normal Left"/>
    <w:basedOn w:val="Normal"/>
    <w:rsid w:val="004D0514"/>
    <w:pPr>
      <w:widowControl/>
      <w:spacing w:before="120" w:after="120"/>
    </w:pPr>
    <w:rPr>
      <w:rFonts w:eastAsia="Calibri"/>
      <w:szCs w:val="22"/>
      <w:lang w:eastAsia="en-US"/>
    </w:rPr>
  </w:style>
  <w:style w:type="paragraph" w:styleId="NormalWeb">
    <w:name w:val="Normal (Web)"/>
    <w:basedOn w:val="Normal"/>
    <w:uiPriority w:val="99"/>
    <w:unhideWhenUsed/>
    <w:rsid w:val="004D0514"/>
    <w:pPr>
      <w:widowControl/>
      <w:spacing w:before="100" w:beforeAutospacing="1" w:after="100" w:afterAutospacing="1"/>
    </w:pPr>
    <w:rPr>
      <w:szCs w:val="24"/>
      <w:lang w:val="pl-PL" w:eastAsia="pl-PL"/>
    </w:rPr>
  </w:style>
  <w:style w:type="character" w:styleId="FollowedHyperlink">
    <w:name w:val="FollowedHyperlink"/>
    <w:basedOn w:val="DefaultParagraphFont"/>
    <w:uiPriority w:val="99"/>
    <w:unhideWhenUsed/>
    <w:rsid w:val="004D0514"/>
    <w:rPr>
      <w:color w:val="954F72"/>
      <w:u w:val="single"/>
    </w:rPr>
  </w:style>
  <w:style w:type="paragraph" w:customStyle="1" w:styleId="xl65">
    <w:name w:val="xl65"/>
    <w:basedOn w:val="Normal"/>
    <w:rsid w:val="004D0514"/>
    <w:pPr>
      <w:widowControl/>
      <w:pBdr>
        <w:left w:val="single" w:sz="4" w:space="0" w:color="auto"/>
      </w:pBdr>
      <w:spacing w:before="100" w:beforeAutospacing="1" w:after="100" w:afterAutospacing="1"/>
    </w:pPr>
    <w:rPr>
      <w:szCs w:val="24"/>
      <w:lang w:val="en-IE" w:eastAsia="en-IE"/>
    </w:rPr>
  </w:style>
  <w:style w:type="paragraph" w:customStyle="1" w:styleId="xl66">
    <w:name w:val="xl66"/>
    <w:basedOn w:val="Normal"/>
    <w:rsid w:val="004D0514"/>
    <w:pPr>
      <w:widowControl/>
      <w:pBdr>
        <w:right w:val="single" w:sz="4" w:space="0" w:color="auto"/>
      </w:pBdr>
      <w:spacing w:before="100" w:beforeAutospacing="1" w:after="100" w:afterAutospacing="1"/>
    </w:pPr>
    <w:rPr>
      <w:szCs w:val="24"/>
      <w:lang w:val="en-IE" w:eastAsia="en-IE"/>
    </w:rPr>
  </w:style>
  <w:style w:type="paragraph" w:customStyle="1" w:styleId="HeadingDocType24a">
    <w:name w:val="HeadingDocType24a"/>
    <w:basedOn w:val="Normal"/>
    <w:rsid w:val="00ED518B"/>
    <w:pPr>
      <w:spacing w:after="480"/>
      <w:jc w:val="center"/>
    </w:pPr>
    <w:rPr>
      <w:rFonts w:ascii="Arial" w:hAnsi="Arial"/>
      <w:b/>
      <w:sz w:val="48"/>
    </w:rPr>
  </w:style>
  <w:style w:type="paragraph" w:customStyle="1" w:styleId="HeadingReferenceERCO">
    <w:name w:val="HeadingReferenceERCO"/>
    <w:basedOn w:val="Normal"/>
    <w:rsid w:val="00ED518B"/>
    <w:pPr>
      <w:spacing w:before="360" w:after="240"/>
      <w:jc w:val="right"/>
    </w:pPr>
    <w:rPr>
      <w:rFonts w:ascii="Arial" w:hAnsi="Arial"/>
      <w:b/>
    </w:rPr>
  </w:style>
  <w:style w:type="paragraph" w:customStyle="1" w:styleId="NormalCenter">
    <w:name w:val="NormalCenter"/>
    <w:basedOn w:val="Normal"/>
    <w:rsid w:val="00ED518B"/>
    <w:pPr>
      <w:jc w:val="center"/>
    </w:pPr>
  </w:style>
  <w:style w:type="paragraph" w:customStyle="1" w:styleId="LineSingle">
    <w:name w:val="LineSingle"/>
    <w:basedOn w:val="Normal"/>
    <w:next w:val="Normal"/>
    <w:rsid w:val="00ED518B"/>
    <w:pPr>
      <w:pBdr>
        <w:bottom w:val="single" w:sz="4" w:space="1" w:color="auto"/>
      </w:pBdr>
      <w:spacing w:after="240"/>
    </w:pPr>
  </w:style>
  <w:style w:type="paragraph" w:customStyle="1" w:styleId="HeadingDate">
    <w:name w:val="HeadingDate"/>
    <w:basedOn w:val="Normal"/>
    <w:rsid w:val="00ED518B"/>
    <w:pPr>
      <w:spacing w:before="240" w:after="240"/>
    </w:pPr>
  </w:style>
  <w:style w:type="paragraph" w:styleId="Revision">
    <w:name w:val="Revision"/>
    <w:hidden/>
    <w:uiPriority w:val="99"/>
    <w:semiHidden/>
    <w:rsid w:val="00ED518B"/>
    <w:rPr>
      <w:sz w:val="24"/>
      <w:lang w:val="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8398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223C2B-CFD5-4B51-8B58-FE0CF968CB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1181</Words>
  <Characters>7099</Characters>
  <Application>Microsoft Office Word</Application>
  <DocSecurity>4</DocSecurity>
  <Lines>59</Lines>
  <Paragraphs>16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HILL Romana</dc:creator>
  <cp:keywords/>
  <cp:lastModifiedBy>GOROPECNIK Tina</cp:lastModifiedBy>
  <cp:revision>2</cp:revision>
  <cp:lastPrinted>2004-11-19T15:42:00Z</cp:lastPrinted>
  <dcterms:created xsi:type="dcterms:W3CDTF">2025-01-13T15:07:00Z</dcterms:created>
  <dcterms:modified xsi:type="dcterms:W3CDTF">2025-01-13T15:07:00Z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lt;FdR&gt;">
    <vt:lpwstr>P9_TA(2024)0163_</vt:lpwstr>
  </property>
  <property fmtid="{D5CDD505-2E9C-101B-9397-08002B2CF9AE}" pid="4" name="&lt;Type&gt;">
    <vt:lpwstr>RR</vt:lpwstr>
  </property>
</Properties>
</file>