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6C90" w:rsidTr="0010095E">
        <w:trPr>
          <w:trHeight w:hRule="exact" w:val="1418"/>
        </w:trPr>
        <w:tc>
          <w:tcPr>
            <w:tcW w:w="6804" w:type="dxa"/>
            <w:shd w:val="clear" w:color="auto" w:fill="auto"/>
            <w:vAlign w:val="center"/>
          </w:tcPr>
          <w:p w:rsidR="00751A4A" w:rsidRPr="00FC6C90" w:rsidRDefault="00B624A9" w:rsidP="0010095E">
            <w:pPr>
              <w:pStyle w:val="EPName"/>
            </w:pPr>
            <w:r w:rsidRPr="00FC6C90">
              <w:t>Europäisches Parlament</w:t>
            </w:r>
          </w:p>
          <w:p w:rsidR="00751A4A" w:rsidRPr="00FC6C90" w:rsidRDefault="00817416" w:rsidP="00756632">
            <w:pPr>
              <w:pStyle w:val="EPTerm"/>
              <w:rPr>
                <w:rStyle w:val="HideTWBExt"/>
                <w:noProof w:val="0"/>
                <w:vanish w:val="0"/>
                <w:color w:val="auto"/>
              </w:rPr>
            </w:pPr>
            <w:r w:rsidRPr="00786333">
              <w:t>2019</w:t>
            </w:r>
            <w:r w:rsidRPr="00FC6C90">
              <w:t>-</w:t>
            </w:r>
            <w:r w:rsidRPr="00786333">
              <w:t>2024</w:t>
            </w:r>
          </w:p>
        </w:tc>
        <w:tc>
          <w:tcPr>
            <w:tcW w:w="2268" w:type="dxa"/>
            <w:shd w:val="clear" w:color="auto" w:fill="auto"/>
          </w:tcPr>
          <w:p w:rsidR="00751A4A" w:rsidRPr="00FC6C90" w:rsidRDefault="00187494" w:rsidP="0010095E">
            <w:pPr>
              <w:pStyle w:val="EPLogo"/>
            </w:pPr>
            <w:r w:rsidRPr="00FC6C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6C90" w:rsidRDefault="00D058B8" w:rsidP="004C5D52">
      <w:pPr>
        <w:pStyle w:val="LineTop"/>
      </w:pPr>
    </w:p>
    <w:p w:rsidR="00680577" w:rsidRPr="00FC6C90" w:rsidRDefault="00B624A9" w:rsidP="00680577">
      <w:pPr>
        <w:pStyle w:val="EPBodyTA1"/>
      </w:pPr>
      <w:r w:rsidRPr="00FC6C90">
        <w:t>ANGENOMMENE TEXTE</w:t>
      </w:r>
    </w:p>
    <w:p w:rsidR="00D058B8" w:rsidRPr="00FC6C90" w:rsidRDefault="00D058B8" w:rsidP="00D058B8">
      <w:pPr>
        <w:pStyle w:val="LineBottom"/>
      </w:pPr>
    </w:p>
    <w:p w:rsidR="00B624A9" w:rsidRPr="00FC6C90" w:rsidRDefault="00B624A9" w:rsidP="00B624A9">
      <w:pPr>
        <w:pStyle w:val="ATHeading1"/>
      </w:pPr>
      <w:bookmarkStart w:id="0" w:name="TANumber"/>
      <w:r w:rsidRPr="00FC6C90">
        <w:t>P</w:t>
      </w:r>
      <w:r w:rsidRPr="00786333">
        <w:t>9</w:t>
      </w:r>
      <w:r w:rsidRPr="00FC6C90">
        <w:t>_</w:t>
      </w:r>
      <w:proofErr w:type="gramStart"/>
      <w:r w:rsidRPr="00FC6C90">
        <w:t>TA(</w:t>
      </w:r>
      <w:proofErr w:type="gramEnd"/>
      <w:r w:rsidRPr="00786333">
        <w:t>2024</w:t>
      </w:r>
      <w:r w:rsidRPr="00FC6C90">
        <w:t>)</w:t>
      </w:r>
      <w:bookmarkEnd w:id="0"/>
      <w:r w:rsidR="00F63797">
        <w:t>0163</w:t>
      </w:r>
    </w:p>
    <w:p w:rsidR="00B624A9" w:rsidRPr="00FC6C90" w:rsidRDefault="00B624A9" w:rsidP="00B624A9">
      <w:pPr>
        <w:pStyle w:val="ATHeading2"/>
      </w:pPr>
      <w:bookmarkStart w:id="1" w:name="title"/>
      <w:r w:rsidRPr="00FC6C90">
        <w:t>Haushaltsordnung für den Gesamthaushaltsplan der Union (Neufassung)</w:t>
      </w:r>
      <w:bookmarkEnd w:id="1"/>
    </w:p>
    <w:p w:rsidR="00B624A9" w:rsidRPr="00FC6C90" w:rsidRDefault="00B624A9" w:rsidP="00B624A9">
      <w:pPr>
        <w:rPr>
          <w:i/>
          <w:vanish/>
        </w:rPr>
      </w:pPr>
      <w:r w:rsidRPr="00FC6C90">
        <w:rPr>
          <w:i/>
        </w:rPr>
        <w:fldChar w:fldCharType="begin"/>
      </w:r>
      <w:r w:rsidRPr="00FC6C90">
        <w:rPr>
          <w:i/>
        </w:rPr>
        <w:instrText xml:space="preserve"> TC"(</w:instrText>
      </w:r>
      <w:bookmarkStart w:id="2" w:name="DocNumber"/>
      <w:r w:rsidRPr="00FC6C90">
        <w:rPr>
          <w:i/>
        </w:rPr>
        <w:instrText>A</w:instrText>
      </w:r>
      <w:r w:rsidRPr="00786333">
        <w:rPr>
          <w:i/>
        </w:rPr>
        <w:instrText>9</w:instrText>
      </w:r>
      <w:r w:rsidRPr="00FC6C90">
        <w:rPr>
          <w:i/>
        </w:rPr>
        <w:instrText>-</w:instrText>
      </w:r>
      <w:r w:rsidRPr="00786333">
        <w:rPr>
          <w:i/>
        </w:rPr>
        <w:instrText>0180</w:instrText>
      </w:r>
      <w:r w:rsidRPr="00FC6C90">
        <w:rPr>
          <w:i/>
        </w:rPr>
        <w:instrText>/</w:instrText>
      </w:r>
      <w:r w:rsidRPr="00786333">
        <w:rPr>
          <w:i/>
        </w:rPr>
        <w:instrText>2023</w:instrText>
      </w:r>
      <w:bookmarkEnd w:id="2"/>
      <w:r w:rsidRPr="00FC6C90">
        <w:rPr>
          <w:i/>
        </w:rPr>
        <w:instrText xml:space="preserve"> - Berichterstatter: Nils </w:instrText>
      </w:r>
      <w:proofErr w:type="spellStart"/>
      <w:r w:rsidRPr="00FC6C90">
        <w:rPr>
          <w:i/>
        </w:rPr>
        <w:instrText>Ušakovs</w:instrText>
      </w:r>
      <w:proofErr w:type="spellEnd"/>
      <w:r w:rsidRPr="00FC6C90">
        <w:rPr>
          <w:i/>
        </w:rPr>
        <w:instrText>, Monika Hohlmeier)"\l</w:instrText>
      </w:r>
      <w:r w:rsidRPr="00786333">
        <w:rPr>
          <w:i/>
        </w:rPr>
        <w:instrText>3</w:instrText>
      </w:r>
      <w:r w:rsidRPr="00FC6C90">
        <w:rPr>
          <w:i/>
        </w:rPr>
        <w:instrText xml:space="preserve"> \n&gt; \* MERGEFORMAT </w:instrText>
      </w:r>
      <w:r w:rsidRPr="00FC6C90">
        <w:rPr>
          <w:i/>
        </w:rPr>
        <w:fldChar w:fldCharType="end"/>
      </w:r>
    </w:p>
    <w:p w:rsidR="00B624A9" w:rsidRPr="00FC6C90" w:rsidRDefault="00B624A9" w:rsidP="00B624A9">
      <w:pPr>
        <w:rPr>
          <w:vanish/>
        </w:rPr>
      </w:pPr>
      <w:bookmarkStart w:id="3" w:name="Commission"/>
      <w:r w:rsidRPr="00FC6C90">
        <w:rPr>
          <w:vanish/>
        </w:rPr>
        <w:t>Haushaltsausschuss</w:t>
      </w:r>
      <w:bookmarkEnd w:id="3"/>
      <w:r w:rsidR="000C1B70">
        <w:rPr>
          <w:vanish/>
        </w:rPr>
        <w:t>, Haushaltskontrollausschuss</w:t>
      </w:r>
    </w:p>
    <w:p w:rsidR="00B624A9" w:rsidRPr="00FC6C90" w:rsidRDefault="00B624A9" w:rsidP="00B624A9">
      <w:pPr>
        <w:rPr>
          <w:vanish/>
        </w:rPr>
      </w:pPr>
      <w:bookmarkStart w:id="4" w:name="PE"/>
      <w:r w:rsidRPr="00FC6C90">
        <w:rPr>
          <w:vanish/>
        </w:rPr>
        <w:t>PE</w:t>
      </w:r>
      <w:r w:rsidRPr="00786333">
        <w:rPr>
          <w:vanish/>
        </w:rPr>
        <w:t>740</w:t>
      </w:r>
      <w:r w:rsidRPr="00FC6C90">
        <w:rPr>
          <w:vanish/>
        </w:rPr>
        <w:t>.</w:t>
      </w:r>
      <w:r w:rsidRPr="00786333">
        <w:rPr>
          <w:vanish/>
        </w:rPr>
        <w:t>802</w:t>
      </w:r>
      <w:bookmarkEnd w:id="4"/>
    </w:p>
    <w:p w:rsidR="00B624A9" w:rsidRPr="00FC6C90" w:rsidRDefault="00B624A9" w:rsidP="00B624A9">
      <w:pPr>
        <w:pStyle w:val="ATHeading3"/>
      </w:pPr>
      <w:bookmarkStart w:id="5" w:name="Sujet"/>
      <w:r w:rsidRPr="00FC6C90">
        <w:t xml:space="preserve">Legislative Entschließung des Europäischen Parlaments vom </w:t>
      </w:r>
      <w:r w:rsidR="00F63797">
        <w:t>14</w:t>
      </w:r>
      <w:r w:rsidRPr="00FC6C90">
        <w:t xml:space="preserve">. März </w:t>
      </w:r>
      <w:r w:rsidRPr="00786333">
        <w:t>2024</w:t>
      </w:r>
      <w:r w:rsidRPr="00FC6C90">
        <w:t xml:space="preserve"> zu dem Vorschlag für eine Verordnung des Europäischen Parlaments und des Rates über die Haushaltsordnung für den Gesamthaushaltsplan der Union (Neufassung)</w:t>
      </w:r>
      <w:bookmarkEnd w:id="5"/>
      <w:r w:rsidRPr="00FC6C90">
        <w:t xml:space="preserve"> </w:t>
      </w:r>
      <w:bookmarkStart w:id="6" w:name="References"/>
      <w:r w:rsidRPr="00FC6C90">
        <w:t>(</w:t>
      </w:r>
      <w:proofErr w:type="gramStart"/>
      <w:r w:rsidRPr="00FC6C90">
        <w:t>COM(</w:t>
      </w:r>
      <w:proofErr w:type="gramEnd"/>
      <w:r w:rsidRPr="00786333">
        <w:t>2022</w:t>
      </w:r>
      <w:r w:rsidRPr="00FC6C90">
        <w:t>)</w:t>
      </w:r>
      <w:r w:rsidRPr="00786333">
        <w:t>0223</w:t>
      </w:r>
      <w:r w:rsidRPr="00FC6C90">
        <w:t xml:space="preserve"> – C</w:t>
      </w:r>
      <w:r w:rsidRPr="00786333">
        <w:t>9</w:t>
      </w:r>
      <w:r w:rsidRPr="00FC6C90">
        <w:t>-</w:t>
      </w:r>
      <w:r w:rsidRPr="00786333">
        <w:t>0179</w:t>
      </w:r>
      <w:r w:rsidRPr="00FC6C90">
        <w:t>/</w:t>
      </w:r>
      <w:r w:rsidRPr="00786333">
        <w:t>2022</w:t>
      </w:r>
      <w:r w:rsidRPr="00FC6C90">
        <w:t xml:space="preserve"> – </w:t>
      </w:r>
      <w:r w:rsidRPr="00786333">
        <w:t>2022</w:t>
      </w:r>
      <w:r w:rsidRPr="00FC6C90">
        <w:t>/</w:t>
      </w:r>
      <w:r w:rsidRPr="00786333">
        <w:t>0162</w:t>
      </w:r>
      <w:r w:rsidRPr="00FC6C90">
        <w:t>(COD))</w:t>
      </w:r>
      <w:bookmarkEnd w:id="6"/>
    </w:p>
    <w:p w:rsidR="00C4160F" w:rsidRPr="00FC6C90" w:rsidRDefault="00C4160F" w:rsidP="00C4160F">
      <w:pPr>
        <w:pStyle w:val="NormalBold"/>
      </w:pPr>
      <w:bookmarkStart w:id="7" w:name="TextBodyBegin"/>
      <w:bookmarkEnd w:id="7"/>
      <w:r w:rsidRPr="00FC6C90">
        <w:t>(Ordentliches Gesetzgebungsverfahren – Neufassung)</w:t>
      </w:r>
    </w:p>
    <w:p w:rsidR="00C4160F" w:rsidRPr="00FC6C90" w:rsidRDefault="00C4160F" w:rsidP="00C4160F">
      <w:pPr>
        <w:pStyle w:val="EPComma"/>
      </w:pPr>
      <w:r w:rsidRPr="00FC6C90">
        <w:rPr>
          <w:i/>
        </w:rPr>
        <w:t>Das Europäische Parlament</w:t>
      </w:r>
      <w:r w:rsidRPr="00FC6C90">
        <w:t>,</w:t>
      </w:r>
    </w:p>
    <w:p w:rsidR="00C4160F" w:rsidRPr="00FC6C90" w:rsidRDefault="00C4160F" w:rsidP="00C4160F">
      <w:pPr>
        <w:pStyle w:val="NormalHanging12a"/>
      </w:pPr>
      <w:r w:rsidRPr="00FC6C90">
        <w:t>–</w:t>
      </w:r>
      <w:r w:rsidRPr="00FC6C90">
        <w:tab/>
        <w:t>unter Hinweis auf den Vorschlag der Kommission an das Europäische Parlament und den Rat (</w:t>
      </w:r>
      <w:proofErr w:type="gramStart"/>
      <w:r w:rsidRPr="00FC6C90">
        <w:t>COM(</w:t>
      </w:r>
      <w:proofErr w:type="gramEnd"/>
      <w:r w:rsidRPr="00786333">
        <w:t>2022</w:t>
      </w:r>
      <w:r w:rsidRPr="00FC6C90">
        <w:t>)</w:t>
      </w:r>
      <w:r w:rsidRPr="00786333">
        <w:t>0223</w:t>
      </w:r>
      <w:r w:rsidRPr="00FC6C90">
        <w:t>),</w:t>
      </w:r>
    </w:p>
    <w:p w:rsidR="00C4160F" w:rsidRPr="00FC6C90" w:rsidRDefault="00C4160F" w:rsidP="00C4160F">
      <w:pPr>
        <w:pStyle w:val="NormalHanging12a"/>
      </w:pPr>
      <w:r w:rsidRPr="00FC6C90">
        <w:t>–</w:t>
      </w:r>
      <w:r w:rsidRPr="00FC6C90">
        <w:tab/>
        <w:t>gestützt auf Artikel </w:t>
      </w:r>
      <w:r w:rsidRPr="00786333">
        <w:t>294</w:t>
      </w:r>
      <w:r w:rsidRPr="00FC6C90">
        <w:t xml:space="preserve"> Absatz </w:t>
      </w:r>
      <w:r w:rsidRPr="00786333">
        <w:t>2</w:t>
      </w:r>
      <w:r w:rsidRPr="00FC6C90">
        <w:t xml:space="preserve"> und Artikel </w:t>
      </w:r>
      <w:r w:rsidRPr="00786333">
        <w:t>322</w:t>
      </w:r>
      <w:r w:rsidRPr="00FC6C90">
        <w:t xml:space="preserve"> Absatz </w:t>
      </w:r>
      <w:r w:rsidRPr="00786333">
        <w:t>1</w:t>
      </w:r>
      <w:r w:rsidRPr="00FC6C90">
        <w:t xml:space="preserve"> des Vertrags über die Arbeitsweise der Europäischen Union sowie auf Artikel </w:t>
      </w:r>
      <w:r w:rsidRPr="00786333">
        <w:t>106</w:t>
      </w:r>
      <w:r w:rsidRPr="00FC6C90">
        <w:t>a des Vertrags zur Gründung der Europäischen Atomgemeinschaft, auf deren Grundlage ihm der Vorschlag der Kommission unterbreitet wurde (C</w:t>
      </w:r>
      <w:r w:rsidRPr="00786333">
        <w:t>9</w:t>
      </w:r>
      <w:r w:rsidRPr="00FC6C90">
        <w:noBreakHyphen/>
      </w:r>
      <w:r w:rsidRPr="00786333">
        <w:t>0179</w:t>
      </w:r>
      <w:r w:rsidRPr="00FC6C90">
        <w:t>/</w:t>
      </w:r>
      <w:r w:rsidRPr="00786333">
        <w:t>2022</w:t>
      </w:r>
      <w:r w:rsidRPr="00FC6C90">
        <w:t>),</w:t>
      </w:r>
    </w:p>
    <w:p w:rsidR="00C4160F" w:rsidRPr="00FC6C90" w:rsidRDefault="00C4160F" w:rsidP="00C4160F">
      <w:pPr>
        <w:pStyle w:val="NormalHanging12a"/>
      </w:pPr>
      <w:r w:rsidRPr="00FC6C90">
        <w:t>–</w:t>
      </w:r>
      <w:r w:rsidRPr="00FC6C90">
        <w:tab/>
        <w:t>gestützt auf Artikel </w:t>
      </w:r>
      <w:r w:rsidRPr="00786333">
        <w:t>294</w:t>
      </w:r>
      <w:r w:rsidRPr="00FC6C90">
        <w:t xml:space="preserve"> Absatz </w:t>
      </w:r>
      <w:r w:rsidRPr="00786333">
        <w:t>3</w:t>
      </w:r>
      <w:r w:rsidRPr="00FC6C90">
        <w:t xml:space="preserve"> des Vertrags über die Arbeitsweise der Europäischen Union,</w:t>
      </w:r>
    </w:p>
    <w:p w:rsidR="00C4160F" w:rsidRPr="00FC6C90" w:rsidRDefault="00C4160F" w:rsidP="00C4160F">
      <w:pPr>
        <w:pStyle w:val="NormalHanging12a"/>
      </w:pPr>
      <w:r w:rsidRPr="00FC6C90">
        <w:t>–</w:t>
      </w:r>
      <w:r w:rsidRPr="00FC6C90">
        <w:tab/>
        <w:t xml:space="preserve">unter Hinweis auf die Stellungnahme des Rechnungshofs vom </w:t>
      </w:r>
      <w:r w:rsidRPr="00786333">
        <w:t>31</w:t>
      </w:r>
      <w:r w:rsidRPr="00FC6C90">
        <w:t xml:space="preserve">. Oktober </w:t>
      </w:r>
      <w:r w:rsidRPr="00786333">
        <w:t>2022</w:t>
      </w:r>
      <w:r w:rsidRPr="00FC6C90">
        <w:rPr>
          <w:rStyle w:val="FootnoteReference"/>
        </w:rPr>
        <w:footnoteReference w:id="1"/>
      </w:r>
      <w:r w:rsidRPr="00FC6C90">
        <w:t>,</w:t>
      </w:r>
    </w:p>
    <w:p w:rsidR="00C4160F" w:rsidRPr="00FC6C90" w:rsidRDefault="00C4160F" w:rsidP="00C4160F">
      <w:pPr>
        <w:pStyle w:val="NormalHanging12a"/>
      </w:pPr>
      <w:r w:rsidRPr="00FC6C90">
        <w:t>–</w:t>
      </w:r>
      <w:r w:rsidRPr="00FC6C90">
        <w:tab/>
        <w:t xml:space="preserve">gestützt auf die Interinstitutionelle Vereinbarung vom </w:t>
      </w:r>
      <w:r w:rsidRPr="00786333">
        <w:t>28</w:t>
      </w:r>
      <w:r w:rsidRPr="00FC6C90">
        <w:t xml:space="preserve">. November </w:t>
      </w:r>
      <w:r w:rsidRPr="00786333">
        <w:t>2001</w:t>
      </w:r>
      <w:r w:rsidRPr="00FC6C90">
        <w:t xml:space="preserve"> über die systematischere Neufassung von Rechtsakten</w:t>
      </w:r>
      <w:r w:rsidRPr="00FC6C90">
        <w:rPr>
          <w:rStyle w:val="FootnoteReference"/>
        </w:rPr>
        <w:footnoteReference w:id="2"/>
      </w:r>
      <w:r w:rsidRPr="00FC6C90">
        <w:t>,</w:t>
      </w:r>
    </w:p>
    <w:p w:rsidR="00C4160F" w:rsidRDefault="00C4160F" w:rsidP="00C4160F">
      <w:pPr>
        <w:pStyle w:val="NormalHanging12a"/>
      </w:pPr>
      <w:r w:rsidRPr="00FC6C90">
        <w:t>–</w:t>
      </w:r>
      <w:r w:rsidRPr="00FC6C90">
        <w:tab/>
        <w:t xml:space="preserve">unter Hinweis auf das Schreiben des Rechtsausschusses vom </w:t>
      </w:r>
      <w:r w:rsidRPr="00786333">
        <w:t>25</w:t>
      </w:r>
      <w:r w:rsidRPr="00FC6C90">
        <w:t xml:space="preserve">. April </w:t>
      </w:r>
      <w:r w:rsidRPr="00786333">
        <w:t>2023</w:t>
      </w:r>
      <w:r w:rsidRPr="00FC6C90">
        <w:t xml:space="preserve"> an den Haushaltsausschuss und den Haushaltskontrollausschuss gemäß Artikel </w:t>
      </w:r>
      <w:r w:rsidRPr="00786333">
        <w:t>110</w:t>
      </w:r>
      <w:r w:rsidRPr="00FC6C90">
        <w:t xml:space="preserve"> Absatz </w:t>
      </w:r>
      <w:r w:rsidRPr="00786333">
        <w:t>3</w:t>
      </w:r>
      <w:r w:rsidRPr="00FC6C90">
        <w:t xml:space="preserve"> seiner Geschäftsordnung,</w:t>
      </w:r>
    </w:p>
    <w:p w:rsidR="00786333" w:rsidRDefault="00786333" w:rsidP="00786333">
      <w:pPr>
        <w:pStyle w:val="NormalHanging12a"/>
      </w:pPr>
      <w:r>
        <w:rPr>
          <w:szCs w:val="24"/>
        </w:rPr>
        <w:t>–</w:t>
      </w:r>
      <w:r>
        <w:rPr>
          <w:szCs w:val="24"/>
        </w:rPr>
        <w:tab/>
      </w:r>
      <w:r>
        <w:rPr>
          <w:color w:val="000000"/>
          <w:szCs w:val="24"/>
        </w:rPr>
        <w:t xml:space="preserve">unter Hinweis auf die vorläufige Einigung, die gemäß Artikel </w:t>
      </w:r>
      <w:r w:rsidRPr="00786333">
        <w:rPr>
          <w:color w:val="000000"/>
          <w:szCs w:val="24"/>
        </w:rPr>
        <w:t>74</w:t>
      </w:r>
      <w:r>
        <w:rPr>
          <w:color w:val="000000"/>
          <w:szCs w:val="24"/>
        </w:rPr>
        <w:t xml:space="preserve"> Absatz </w:t>
      </w:r>
      <w:r w:rsidRPr="00786333">
        <w:rPr>
          <w:color w:val="000000"/>
          <w:szCs w:val="24"/>
        </w:rPr>
        <w:t>4</w:t>
      </w:r>
      <w:r>
        <w:rPr>
          <w:color w:val="000000"/>
          <w:szCs w:val="24"/>
        </w:rPr>
        <w:t xml:space="preserve"> seiner Geschäftsordnung vo</w:t>
      </w:r>
      <w:r w:rsidR="000C1B70">
        <w:rPr>
          <w:color w:val="000000"/>
          <w:szCs w:val="24"/>
        </w:rPr>
        <w:t>n den</w:t>
      </w:r>
      <w:r>
        <w:rPr>
          <w:color w:val="000000"/>
          <w:szCs w:val="24"/>
        </w:rPr>
        <w:t xml:space="preserve"> zuständigen Aussch</w:t>
      </w:r>
      <w:r w:rsidR="000C1B70">
        <w:rPr>
          <w:color w:val="000000"/>
          <w:szCs w:val="24"/>
        </w:rPr>
        <w:t>ü</w:t>
      </w:r>
      <w:r>
        <w:rPr>
          <w:color w:val="000000"/>
          <w:szCs w:val="24"/>
        </w:rPr>
        <w:t>ss</w:t>
      </w:r>
      <w:r w:rsidR="000C1B70">
        <w:rPr>
          <w:color w:val="000000"/>
          <w:szCs w:val="24"/>
        </w:rPr>
        <w:t>en</w:t>
      </w:r>
      <w:r>
        <w:rPr>
          <w:color w:val="000000"/>
          <w:szCs w:val="24"/>
        </w:rPr>
        <w:t xml:space="preserve"> angenommen wurde, und auf die </w:t>
      </w:r>
      <w:r>
        <w:rPr>
          <w:color w:val="000000"/>
          <w:szCs w:val="24"/>
        </w:rPr>
        <w:lastRenderedPageBreak/>
        <w:t xml:space="preserve">vom Vertreter des Rates mit Schreiben vom </w:t>
      </w:r>
      <w:r w:rsidRPr="00786333">
        <w:rPr>
          <w:color w:val="000000"/>
          <w:szCs w:val="24"/>
        </w:rPr>
        <w:t>20</w:t>
      </w:r>
      <w:r>
        <w:rPr>
          <w:color w:val="000000"/>
          <w:szCs w:val="24"/>
        </w:rPr>
        <w:t xml:space="preserve">. Dezember </w:t>
      </w:r>
      <w:r w:rsidRPr="00786333">
        <w:rPr>
          <w:color w:val="000000"/>
          <w:szCs w:val="24"/>
        </w:rPr>
        <w:t>2023</w:t>
      </w:r>
      <w:r>
        <w:rPr>
          <w:color w:val="000000"/>
          <w:szCs w:val="24"/>
        </w:rPr>
        <w:t xml:space="preserve"> gemachte Zusage, den Standpunkt des Parlaments gemäß Artikel </w:t>
      </w:r>
      <w:r w:rsidRPr="00786333">
        <w:rPr>
          <w:color w:val="000000"/>
          <w:szCs w:val="24"/>
        </w:rPr>
        <w:t>294</w:t>
      </w:r>
      <w:r>
        <w:rPr>
          <w:color w:val="000000"/>
          <w:szCs w:val="24"/>
        </w:rPr>
        <w:t xml:space="preserve"> Absatz </w:t>
      </w:r>
      <w:r w:rsidRPr="00786333">
        <w:rPr>
          <w:color w:val="000000"/>
          <w:szCs w:val="24"/>
        </w:rPr>
        <w:t>4</w:t>
      </w:r>
      <w:r>
        <w:rPr>
          <w:color w:val="000000"/>
          <w:szCs w:val="24"/>
        </w:rPr>
        <w:t xml:space="preserve"> des Vertrags über die Arbeitsweise der Europäischen Union zu billigen,</w:t>
      </w:r>
    </w:p>
    <w:p w:rsidR="00C4160F" w:rsidRPr="00FC6C90" w:rsidRDefault="00C4160F" w:rsidP="00C4160F">
      <w:pPr>
        <w:pStyle w:val="NormalHanging12a"/>
        <w:rPr>
          <w:szCs w:val="24"/>
        </w:rPr>
      </w:pPr>
      <w:r w:rsidRPr="00FC6C90">
        <w:t>–</w:t>
      </w:r>
      <w:r w:rsidRPr="00FC6C90">
        <w:tab/>
        <w:t>unter Hinweis auf die gemeinsamen Beratungen des Haushaltsausschusses und des Haushaltskontrollausschusses gemäß Artikel </w:t>
      </w:r>
      <w:r w:rsidRPr="00786333">
        <w:t>58</w:t>
      </w:r>
      <w:r w:rsidRPr="00FC6C90">
        <w:t xml:space="preserve"> seiner Geschäftsordnung,</w:t>
      </w:r>
    </w:p>
    <w:p w:rsidR="00C4160F" w:rsidRPr="00FC6C90" w:rsidRDefault="00C4160F" w:rsidP="00C4160F">
      <w:pPr>
        <w:pStyle w:val="NormalHanging12a"/>
      </w:pPr>
      <w:r w:rsidRPr="00FC6C90">
        <w:t>–</w:t>
      </w:r>
      <w:r w:rsidRPr="00FC6C90">
        <w:tab/>
        <w:t>gestützt auf die Artikel </w:t>
      </w:r>
      <w:r w:rsidRPr="00786333">
        <w:t>110</w:t>
      </w:r>
      <w:r w:rsidRPr="00FC6C90">
        <w:t xml:space="preserve"> und </w:t>
      </w:r>
      <w:r w:rsidRPr="00786333">
        <w:t>59</w:t>
      </w:r>
      <w:r w:rsidRPr="00FC6C90">
        <w:t xml:space="preserve"> seiner Geschäftsordnung,</w:t>
      </w:r>
    </w:p>
    <w:p w:rsidR="00C4160F" w:rsidRPr="00FC6C90" w:rsidRDefault="00C4160F" w:rsidP="00C4160F">
      <w:pPr>
        <w:pStyle w:val="NormalHanging12a"/>
      </w:pPr>
      <w:r w:rsidRPr="00FC6C90">
        <w:t>–</w:t>
      </w:r>
      <w:r w:rsidRPr="00FC6C90">
        <w:tab/>
        <w:t>unter Hinweis auf die Stellungnahme des Ausschusses für regionale Entwicklung,</w:t>
      </w:r>
    </w:p>
    <w:p w:rsidR="00C4160F" w:rsidRPr="00FC6C90" w:rsidRDefault="00C4160F" w:rsidP="00C4160F">
      <w:pPr>
        <w:pStyle w:val="NormalHanging12a"/>
      </w:pPr>
      <w:r w:rsidRPr="00FC6C90">
        <w:t>–</w:t>
      </w:r>
      <w:r w:rsidRPr="00FC6C90">
        <w:tab/>
        <w:t>unter Hinweis auf das Schreiben des Ausschusses für Industrie, Forschung und Energie,</w:t>
      </w:r>
    </w:p>
    <w:p w:rsidR="00C4160F" w:rsidRPr="00FC6C90" w:rsidRDefault="00C4160F" w:rsidP="00C4160F">
      <w:pPr>
        <w:pStyle w:val="NormalHanging12a"/>
      </w:pPr>
      <w:r w:rsidRPr="00FC6C90">
        <w:t>–</w:t>
      </w:r>
      <w:r w:rsidRPr="00FC6C90">
        <w:tab/>
        <w:t>unter Hinweis auf den Bericht des Haushaltsausschusses und des Haushaltskontrollausschusses (A</w:t>
      </w:r>
      <w:r w:rsidRPr="00786333">
        <w:t>9</w:t>
      </w:r>
      <w:r w:rsidRPr="00FC6C90">
        <w:t>-</w:t>
      </w:r>
      <w:r w:rsidRPr="00786333">
        <w:t>0180</w:t>
      </w:r>
      <w:r w:rsidRPr="00FC6C90">
        <w:t>/</w:t>
      </w:r>
      <w:r w:rsidRPr="00786333">
        <w:t>2023</w:t>
      </w:r>
      <w:r w:rsidRPr="00FC6C90">
        <w:t>),</w:t>
      </w:r>
    </w:p>
    <w:p w:rsidR="00C4160F" w:rsidRPr="00FC6C90" w:rsidRDefault="00C4160F" w:rsidP="00C4160F">
      <w:pPr>
        <w:pStyle w:val="NormalHanging12a"/>
      </w:pPr>
      <w:r w:rsidRPr="00FC6C90">
        <w:t>A.</w:t>
      </w:r>
      <w:r w:rsidRPr="00FC6C90">
        <w:tab/>
        <w:t>in der Erwägung, dass der Vorschlag der Kommission nach Auffassung der beratenden Gruppe der Juristischen Dienste des Europäischen Parlaments, des Rates und der Kommission keine anderen inhaltlichen Änderungen enthält als diejenigen, die im Vorschlag als solche ausgewiesen sind, und dass sich der Vorschlag in Bezug auf die Kodifizierung der unveränderten Bestimmungen der bisherigen Rechtsakte mit jenen Änderungen auf eine reine Kodifizierung der bestehenden Rechtstexte ohne inhaltliche Änderungen beschränkt;</w:t>
      </w:r>
    </w:p>
    <w:p w:rsidR="00C4160F" w:rsidRDefault="00C4160F" w:rsidP="00C4160F">
      <w:pPr>
        <w:pStyle w:val="NormalHanging12a"/>
      </w:pPr>
      <w:r w:rsidRPr="00786333">
        <w:t>1</w:t>
      </w:r>
      <w:r w:rsidRPr="00FC6C90">
        <w:t>.</w:t>
      </w:r>
      <w:r w:rsidRPr="00FC6C90">
        <w:tab/>
        <w:t>legt unter Berücksichtigung der Empfehlungen der beratenden Gruppe der Juristischen Dienste des Europäischen Parlaments, des Rates und der Kommission den folgenden Standpunkt in erster Lesung fest;</w:t>
      </w:r>
    </w:p>
    <w:p w:rsidR="007C487F" w:rsidRDefault="007C487F" w:rsidP="00C4160F">
      <w:pPr>
        <w:pStyle w:val="NormalHanging12a"/>
      </w:pPr>
      <w:r>
        <w:t>2.</w:t>
      </w:r>
      <w:r>
        <w:tab/>
      </w:r>
      <w:r w:rsidRPr="007C487F">
        <w:t xml:space="preserve">billigt die dieser Entschließung beigefügte gemeinsame Erklärung des Europäischen Parlaments und des Rates, die im </w:t>
      </w:r>
      <w:r w:rsidRPr="00F63797">
        <w:rPr>
          <w:i/>
        </w:rPr>
        <w:t>Amtsblatt der Europäischen Union</w:t>
      </w:r>
      <w:r w:rsidRPr="007C487F">
        <w:t xml:space="preserve"> (Reihe C) veröffentlicht wird;</w:t>
      </w:r>
    </w:p>
    <w:p w:rsidR="007C487F" w:rsidRDefault="007C487F" w:rsidP="00C4160F">
      <w:pPr>
        <w:pStyle w:val="NormalHanging12a"/>
      </w:pPr>
      <w:r>
        <w:t>3.</w:t>
      </w:r>
      <w:r>
        <w:tab/>
      </w:r>
      <w:r w:rsidRPr="007C487F">
        <w:t xml:space="preserve">billigt die dieser Entschließung beigefügte gemeinsame Erklärung des Europäischen Parlaments, des Rates und der Kommission, die im </w:t>
      </w:r>
      <w:r w:rsidRPr="00F63797">
        <w:rPr>
          <w:i/>
        </w:rPr>
        <w:t>Amtsblatt der Europäischen Union</w:t>
      </w:r>
      <w:r w:rsidRPr="007C487F">
        <w:t xml:space="preserve"> (Reihe C) veröffentlicht wird;</w:t>
      </w:r>
    </w:p>
    <w:p w:rsidR="007C487F" w:rsidRPr="00FC6C90" w:rsidRDefault="007C487F" w:rsidP="00C4160F">
      <w:pPr>
        <w:pStyle w:val="NormalHanging12a"/>
      </w:pPr>
      <w:r>
        <w:t>4.</w:t>
      </w:r>
      <w:r>
        <w:tab/>
      </w:r>
      <w:r w:rsidRPr="007C487F">
        <w:t>nimmt die dieser Entschließung beigefügten Erklärungen der Kommission zur Kenntnis;</w:t>
      </w:r>
    </w:p>
    <w:p w:rsidR="00C4160F" w:rsidRPr="00FC6C90" w:rsidRDefault="007C487F" w:rsidP="00C4160F">
      <w:pPr>
        <w:pStyle w:val="NormalHanging12a"/>
      </w:pPr>
      <w:r>
        <w:t>5</w:t>
      </w:r>
      <w:r w:rsidR="00C4160F" w:rsidRPr="00FC6C90">
        <w:t>.</w:t>
      </w:r>
      <w:r w:rsidR="00C4160F" w:rsidRPr="00FC6C90">
        <w:tab/>
        <w:t>fordert die Kommission auf, es erneut zu befassen, falls sie ihren Vorschlag ersetzt, entscheidend ändert oder beabsichtigt, ihn entscheidend zu ändern;</w:t>
      </w:r>
    </w:p>
    <w:p w:rsidR="00C4160F" w:rsidRPr="00FC6C90" w:rsidRDefault="007C487F" w:rsidP="00C4160F">
      <w:pPr>
        <w:pStyle w:val="NormalHanging12a"/>
      </w:pPr>
      <w:r>
        <w:t>6</w:t>
      </w:r>
      <w:r w:rsidR="00C4160F" w:rsidRPr="00FC6C90">
        <w:t>.</w:t>
      </w:r>
      <w:r w:rsidR="00C4160F" w:rsidRPr="00FC6C90">
        <w:tab/>
        <w:t>beauftragt seine Präsidentin, den Standpunkt des Parlaments dem Rat und der Kommission sowie den nationalen Parlamenten zu übermitteln.</w:t>
      </w:r>
    </w:p>
    <w:p w:rsidR="00C4160F" w:rsidRPr="00FC6C90" w:rsidRDefault="00C4160F" w:rsidP="00C4160F"/>
    <w:p w:rsidR="007C487F" w:rsidRDefault="007C487F">
      <w:pPr>
        <w:widowControl/>
        <w:rPr>
          <w:b/>
        </w:rPr>
        <w:sectPr w:rsidR="007C487F" w:rsidSect="00FC6C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C487F" w:rsidRPr="007C487F" w:rsidRDefault="007C487F" w:rsidP="007C487F">
      <w:pPr>
        <w:pStyle w:val="NormalWeb"/>
        <w:rPr>
          <w:b/>
          <w:color w:val="000000"/>
          <w:lang w:val="de-DE"/>
        </w:rPr>
      </w:pPr>
      <w:r w:rsidRPr="007C487F">
        <w:rPr>
          <w:b/>
          <w:color w:val="000000"/>
          <w:lang w:val="de-DE"/>
        </w:rPr>
        <w:lastRenderedPageBreak/>
        <w:t>P9_TC1-COD(</w:t>
      </w:r>
      <w:r>
        <w:rPr>
          <w:b/>
          <w:color w:val="000000"/>
          <w:lang w:val="de-DE"/>
        </w:rPr>
        <w:t>2022</w:t>
      </w:r>
      <w:r w:rsidRPr="007C487F">
        <w:rPr>
          <w:b/>
          <w:color w:val="000000"/>
          <w:lang w:val="de-DE"/>
        </w:rPr>
        <w:t>)</w:t>
      </w:r>
      <w:r>
        <w:rPr>
          <w:b/>
          <w:color w:val="000000"/>
          <w:lang w:val="de-DE"/>
        </w:rPr>
        <w:t>0162</w:t>
      </w:r>
    </w:p>
    <w:p w:rsidR="001D7C77" w:rsidRPr="001D7C77" w:rsidRDefault="007C487F" w:rsidP="001D7C77">
      <w:pPr>
        <w:pStyle w:val="NormalWeb"/>
        <w:rPr>
          <w:b/>
          <w:color w:val="000000"/>
          <w:lang w:val="de-DE"/>
        </w:rPr>
      </w:pPr>
      <w:r w:rsidRPr="007C487F">
        <w:rPr>
          <w:b/>
          <w:color w:val="000000"/>
          <w:lang w:val="de-DE"/>
        </w:rPr>
        <w:t xml:space="preserve">Standpunkt des Europäischen Parlaments festgelegt in erster Lesung am </w:t>
      </w:r>
      <w:r>
        <w:rPr>
          <w:b/>
          <w:color w:val="000000"/>
          <w:lang w:val="de-DE"/>
        </w:rPr>
        <w:t>14. März</w:t>
      </w:r>
      <w:r w:rsidRPr="007C487F">
        <w:rPr>
          <w:b/>
          <w:color w:val="000000"/>
          <w:lang w:val="de-DE"/>
        </w:rPr>
        <w:t xml:space="preserve"> 2024 im Hinblick auf den Erlass der Verordnung (EU</w:t>
      </w:r>
      <w:r w:rsidR="005C7D2C" w:rsidRPr="005C7D2C">
        <w:rPr>
          <w:b/>
          <w:color w:val="000000"/>
          <w:lang w:val="de-DE"/>
        </w:rPr>
        <w:t>, Euratom</w:t>
      </w:r>
      <w:r w:rsidRPr="007C487F">
        <w:rPr>
          <w:b/>
          <w:color w:val="000000"/>
          <w:lang w:val="de-DE"/>
        </w:rPr>
        <w:t xml:space="preserve">) 2024/... des Europäischen Parlaments und des Rates </w:t>
      </w:r>
      <w:r w:rsidR="001D7C77" w:rsidRPr="001D7C77">
        <w:rPr>
          <w:b/>
          <w:lang w:val="de-DE"/>
        </w:rPr>
        <w:t xml:space="preserve">über die Haushaltsordnung für den Gesamthaushaltsplan der Union </w:t>
      </w:r>
      <w:r w:rsidR="001D7C77" w:rsidRPr="001D7C77">
        <w:rPr>
          <w:b/>
          <w:color w:val="000000"/>
          <w:lang w:val="de-DE"/>
        </w:rPr>
        <w:t>(Neufassung)</w:t>
      </w:r>
    </w:p>
    <w:p w:rsidR="005C3299" w:rsidRPr="0020057E" w:rsidRDefault="005C3299" w:rsidP="005C3299">
      <w:pPr>
        <w:spacing w:before="240"/>
        <w:rPr>
          <w:i/>
        </w:rPr>
      </w:pPr>
      <w:r w:rsidRPr="0020057E">
        <w:rPr>
          <w:i/>
        </w:rPr>
        <w:t xml:space="preserve">(Da Parlament und Rat eine </w:t>
      </w:r>
      <w:r>
        <w:rPr>
          <w:i/>
        </w:rPr>
        <w:t>Einigung erzielt haben, entspricht der Standpunkt des Parlaments dem endgültigen Rechtsak</w:t>
      </w:r>
      <w:r w:rsidRPr="005C3299">
        <w:rPr>
          <w:i/>
        </w:rPr>
        <w:t xml:space="preserve">t, Verordnung </w:t>
      </w:r>
      <w:r w:rsidRPr="005C3299">
        <w:rPr>
          <w:i/>
        </w:rPr>
        <w:t xml:space="preserve">(EU, </w:t>
      </w:r>
      <w:proofErr w:type="spellStart"/>
      <w:r w:rsidRPr="005C3299">
        <w:rPr>
          <w:i/>
        </w:rPr>
        <w:t>Euratom</w:t>
      </w:r>
      <w:proofErr w:type="spellEnd"/>
      <w:r w:rsidRPr="005C3299">
        <w:rPr>
          <w:i/>
        </w:rPr>
        <w:t>) 2024/2509.)</w:t>
      </w:r>
    </w:p>
    <w:p w:rsidR="005C3299" w:rsidRDefault="005C3299">
      <w:pPr>
        <w:widowControl/>
        <w:rPr>
          <w:b/>
        </w:rPr>
      </w:pPr>
      <w:r>
        <w:rPr>
          <w:b/>
        </w:rPr>
        <w:br w:type="page"/>
      </w:r>
    </w:p>
    <w:p w:rsidR="0057513E" w:rsidRPr="00F63797" w:rsidRDefault="007C487F" w:rsidP="00F63797">
      <w:pPr>
        <w:widowControl/>
        <w:jc w:val="right"/>
      </w:pPr>
      <w:r w:rsidRPr="00F63797">
        <w:t>ANLAGE ZUR LEGISLATIVE ENTSCHLIESSUNG</w:t>
      </w:r>
    </w:p>
    <w:p w:rsidR="007C487F" w:rsidRDefault="007C487F" w:rsidP="007C487F">
      <w:pPr>
        <w:widowControl/>
        <w:rPr>
          <w:b/>
        </w:rPr>
      </w:pPr>
    </w:p>
    <w:p w:rsidR="007C487F" w:rsidRPr="00FE5DE9" w:rsidRDefault="007C487F" w:rsidP="007C487F">
      <w:pPr>
        <w:spacing w:before="120" w:after="120" w:line="360" w:lineRule="auto"/>
        <w:jc w:val="center"/>
        <w:rPr>
          <w:rFonts w:eastAsiaTheme="minorHAnsi"/>
          <w:b/>
          <w:szCs w:val="24"/>
          <w:u w:val="single"/>
          <w:lang w:eastAsia="en-US"/>
        </w:rPr>
      </w:pPr>
      <w:r w:rsidRPr="00FE5DE9">
        <w:rPr>
          <w:rFonts w:eastAsiaTheme="minorHAnsi"/>
          <w:b/>
          <w:szCs w:val="24"/>
          <w:u w:val="single"/>
          <w:lang w:eastAsia="en-US"/>
        </w:rPr>
        <w:t>Gemeinsame Erklärung zur haushaltsmäßigen Behandlung von Zinsen oder anderen Verbindlichkeiten wegen herabgesetzter oder aufgehobener Geldbußen, sonstiger Strafzahlungen oder Sanktionen</w:t>
      </w:r>
      <w:r w:rsidR="00986C67" w:rsidRPr="00FE5DE9">
        <w:rPr>
          <w:rFonts w:eastAsiaTheme="minorHAnsi"/>
          <w:b/>
          <w:szCs w:val="24"/>
          <w:u w:val="single"/>
          <w:lang w:eastAsia="en-US"/>
        </w:rPr>
        <w:t xml:space="preserve"> anlässlich</w:t>
      </w:r>
      <w:r w:rsidR="005C3299">
        <w:rPr>
          <w:rFonts w:eastAsiaTheme="minorHAnsi"/>
          <w:b/>
          <w:szCs w:val="24"/>
          <w:u w:val="single"/>
          <w:lang w:eastAsia="en-US"/>
        </w:rPr>
        <w:t xml:space="preserve"> des Erlasses der Verordnung (EU, </w:t>
      </w:r>
      <w:proofErr w:type="spellStart"/>
      <w:r w:rsidR="005C3299">
        <w:rPr>
          <w:rFonts w:eastAsiaTheme="minorHAnsi"/>
          <w:b/>
          <w:szCs w:val="24"/>
          <w:u w:val="single"/>
          <w:lang w:eastAsia="en-US"/>
        </w:rPr>
        <w:t>Euratom</w:t>
      </w:r>
      <w:proofErr w:type="spellEnd"/>
      <w:r w:rsidR="00986C67" w:rsidRPr="00FE5DE9">
        <w:rPr>
          <w:rFonts w:eastAsiaTheme="minorHAnsi"/>
          <w:b/>
          <w:szCs w:val="24"/>
          <w:u w:val="single"/>
          <w:lang w:eastAsia="en-US"/>
        </w:rPr>
        <w:t>) 2024/</w:t>
      </w:r>
      <w:r w:rsidR="005C3299">
        <w:rPr>
          <w:rFonts w:eastAsiaTheme="minorHAnsi"/>
          <w:b/>
          <w:szCs w:val="24"/>
          <w:u w:val="single"/>
          <w:lang w:eastAsia="en-US"/>
        </w:rPr>
        <w:t>2509</w:t>
      </w:r>
    </w:p>
    <w:p w:rsidR="007C487F" w:rsidRPr="00107F53" w:rsidRDefault="007C487F" w:rsidP="00986C67">
      <w:pPr>
        <w:widowControl/>
        <w:spacing w:before="120" w:after="120" w:line="360" w:lineRule="auto"/>
        <w:rPr>
          <w:rFonts w:eastAsiaTheme="minorHAnsi"/>
          <w:szCs w:val="24"/>
          <w:lang w:eastAsia="en-US"/>
        </w:rPr>
      </w:pPr>
      <w:r w:rsidRPr="00107F53">
        <w:rPr>
          <w:rFonts w:eastAsiaTheme="minorHAnsi"/>
          <w:szCs w:val="24"/>
          <w:lang w:eastAsia="en-US"/>
        </w:rPr>
        <w:t>„Das Europäische Parlament und der Rat haben vereinbart, dass allfällige Zinsen oder andere Verbindlichkeiten wegen aufgehobener oder herabgesetzter Geldbußen, sonstiger Strafzahlungen oder Sanktionen für die Dauer des derzeitigen mehrjährigen Finanzrahmens als Negativeinnahmen verbucht werden. Hierbei handelt es sich um eine Ausnahmeregelung von dem Verbot von Negativeinnahmen, die auf diese konkrete, unvorhersehbare Situation beschränkt ist.</w:t>
      </w:r>
    </w:p>
    <w:p w:rsidR="007C487F" w:rsidRDefault="007C487F" w:rsidP="00F63797">
      <w:pPr>
        <w:widowControl/>
        <w:spacing w:line="360" w:lineRule="auto"/>
        <w:rPr>
          <w:rFonts w:eastAsiaTheme="minorHAnsi"/>
          <w:szCs w:val="24"/>
          <w:lang w:eastAsia="en-US"/>
        </w:rPr>
      </w:pPr>
      <w:r w:rsidRPr="00107F53">
        <w:rPr>
          <w:rFonts w:eastAsiaTheme="minorHAnsi"/>
          <w:szCs w:val="24"/>
          <w:lang w:eastAsia="en-US"/>
        </w:rPr>
        <w:t>Unbeschadet der jeweiligen Vorrechte kommen das Europäische Parlament, der Rat und die Kommission unter Berücksichtigung früherer Erfahrungen und zu erwartender künftiger Entwicklungen überein, eine langfristige nachhaltige Lösung im Einklang mit der Anwendung der Haushaltsgrundsätze der Haushaltsordnung für die Finanzierung dieser Interessen oder sonstiger Verbindlichkeiten zu prüfen, die nach 2027 gelten soll, etwa in Bezug darauf, dass der für den Betrag der Geldbußen oder sonstigen Strafzahlungen zahlbare Zinssatz als angemessene Entschädigung für die Empfängerunternehmen in entsprechenden Situationen zu zahlen ist.</w:t>
      </w:r>
    </w:p>
    <w:p w:rsidR="007C487F" w:rsidRDefault="007C487F" w:rsidP="00F63797">
      <w:pPr>
        <w:widowControl/>
        <w:spacing w:line="360" w:lineRule="auto"/>
        <w:rPr>
          <w:rFonts w:eastAsiaTheme="minorHAnsi"/>
          <w:szCs w:val="24"/>
          <w:lang w:eastAsia="en-US"/>
        </w:rPr>
      </w:pPr>
    </w:p>
    <w:p w:rsidR="007C487F" w:rsidRPr="00FE5DE9" w:rsidRDefault="007C487F" w:rsidP="00986C67">
      <w:pPr>
        <w:spacing w:before="120" w:after="120" w:line="360" w:lineRule="auto"/>
        <w:jc w:val="center"/>
        <w:rPr>
          <w:rFonts w:eastAsiaTheme="minorHAnsi"/>
          <w:b/>
          <w:szCs w:val="24"/>
          <w:u w:val="single"/>
          <w:lang w:eastAsia="en-US"/>
        </w:rPr>
      </w:pPr>
      <w:r w:rsidRPr="00FE5DE9">
        <w:rPr>
          <w:rFonts w:eastAsiaTheme="minorHAnsi"/>
          <w:b/>
          <w:szCs w:val="24"/>
          <w:u w:val="single"/>
          <w:lang w:eastAsia="en-US"/>
        </w:rPr>
        <w:t>Gemeinsame Erklärung des Europäischen Parlaments, des Rates und der Kommission zu dem einzigen Instrument zur Datenauswertung und Risikobewertung gemäß Artikel 36 der Haushaltsordnung</w:t>
      </w:r>
      <w:r w:rsidR="00986C67" w:rsidRPr="00FE5DE9">
        <w:rPr>
          <w:rFonts w:eastAsiaTheme="minorHAnsi"/>
          <w:b/>
          <w:szCs w:val="24"/>
          <w:u w:val="single"/>
          <w:lang w:eastAsia="en-US"/>
        </w:rPr>
        <w:t xml:space="preserve"> anlässlich des Erlasses der Verordnung (EU</w:t>
      </w:r>
      <w:r w:rsidR="005C3299">
        <w:rPr>
          <w:rFonts w:eastAsiaTheme="minorHAnsi"/>
          <w:b/>
          <w:szCs w:val="24"/>
          <w:u w:val="single"/>
          <w:lang w:eastAsia="en-US"/>
        </w:rPr>
        <w:t xml:space="preserve">, </w:t>
      </w:r>
      <w:proofErr w:type="spellStart"/>
      <w:r w:rsidR="005C3299">
        <w:rPr>
          <w:rFonts w:eastAsiaTheme="minorHAnsi"/>
          <w:b/>
          <w:szCs w:val="24"/>
          <w:u w:val="single"/>
          <w:lang w:eastAsia="en-US"/>
        </w:rPr>
        <w:t>Euratom</w:t>
      </w:r>
      <w:proofErr w:type="spellEnd"/>
      <w:r w:rsidR="00986C67" w:rsidRPr="00FE5DE9">
        <w:rPr>
          <w:rFonts w:eastAsiaTheme="minorHAnsi"/>
          <w:b/>
          <w:szCs w:val="24"/>
          <w:u w:val="single"/>
          <w:lang w:eastAsia="en-US"/>
        </w:rPr>
        <w:t>) 2024/</w:t>
      </w:r>
      <w:r w:rsidR="005C3299">
        <w:rPr>
          <w:rFonts w:eastAsiaTheme="minorHAnsi"/>
          <w:b/>
          <w:szCs w:val="24"/>
          <w:u w:val="single"/>
          <w:lang w:eastAsia="en-US"/>
        </w:rPr>
        <w:t>2509</w:t>
      </w:r>
    </w:p>
    <w:p w:rsidR="007C487F" w:rsidRPr="001E1631" w:rsidRDefault="007C487F" w:rsidP="00986C67">
      <w:pPr>
        <w:widowControl/>
        <w:spacing w:before="120" w:after="120" w:line="360" w:lineRule="auto"/>
        <w:rPr>
          <w:rFonts w:eastAsiaTheme="minorHAnsi"/>
          <w:szCs w:val="24"/>
          <w:lang w:eastAsia="en-US"/>
        </w:rPr>
      </w:pPr>
      <w:r w:rsidRPr="001E1631">
        <w:rPr>
          <w:rFonts w:eastAsiaTheme="minorHAnsi"/>
          <w:szCs w:val="24"/>
          <w:lang w:eastAsia="en-US"/>
        </w:rPr>
        <w:t xml:space="preserve">„Das Europäische Parlament, der Rat und die Kommission (im Folgenden </w:t>
      </w:r>
      <w:proofErr w:type="gramStart"/>
      <w:r w:rsidRPr="001E1631">
        <w:rPr>
          <w:rFonts w:eastAsiaTheme="minorHAnsi"/>
          <w:szCs w:val="24"/>
          <w:lang w:eastAsia="en-US"/>
        </w:rPr>
        <w:t>als ,die</w:t>
      </w:r>
      <w:proofErr w:type="gramEnd"/>
      <w:r w:rsidRPr="001E1631">
        <w:rPr>
          <w:rFonts w:eastAsiaTheme="minorHAnsi"/>
          <w:szCs w:val="24"/>
          <w:lang w:eastAsia="en-US"/>
        </w:rPr>
        <w:t xml:space="preserve"> drei Organe‘ bezeichnet) erkennen an, dass der Schutz der finanziellen Interessen der Union, wie in der interinstitutionellen Vereinbarung (IIV) vom 16. Dezember 2020 anerkannt und in Artikel 325 AEUV festgelegt, verbessert werden muss.</w:t>
      </w:r>
    </w:p>
    <w:p w:rsidR="007C487F" w:rsidRPr="001E1631" w:rsidRDefault="007C487F" w:rsidP="00986C67">
      <w:pPr>
        <w:widowControl/>
        <w:spacing w:before="120" w:after="120" w:line="360" w:lineRule="auto"/>
        <w:rPr>
          <w:rFonts w:eastAsiaTheme="minorHAnsi"/>
          <w:szCs w:val="24"/>
          <w:lang w:eastAsia="en-US"/>
        </w:rPr>
      </w:pPr>
      <w:r w:rsidRPr="001E1631">
        <w:rPr>
          <w:rFonts w:eastAsiaTheme="minorHAnsi"/>
          <w:szCs w:val="24"/>
          <w:lang w:eastAsia="en-US"/>
        </w:rPr>
        <w:t>Die drei Organe vereinbaren, dass das Instrument im Einklang mit den Bestimmungen zur IT-Sicherheit und zum Datenschutz weiterentwickelt werden muss. Damit der Verwaltungsaufwand verringert wird und keine unverhältnismäßig hohen IT-Kosten für die Mitgliedstaaten und andere Anwender entstehen, werden bereits bestehende genehmigte Systeme in den Mitgliedstaaten berücksichtigt.</w:t>
      </w:r>
    </w:p>
    <w:p w:rsidR="007C487F" w:rsidRPr="001E1631" w:rsidRDefault="007C487F" w:rsidP="00986C67">
      <w:pPr>
        <w:widowControl/>
        <w:spacing w:before="120" w:after="120" w:line="360" w:lineRule="auto"/>
        <w:rPr>
          <w:rFonts w:eastAsiaTheme="minorHAnsi"/>
          <w:szCs w:val="24"/>
          <w:lang w:eastAsia="en-US"/>
        </w:rPr>
      </w:pPr>
      <w:r w:rsidRPr="001E1631">
        <w:rPr>
          <w:rFonts w:eastAsiaTheme="minorHAnsi"/>
          <w:szCs w:val="24"/>
          <w:lang w:eastAsia="en-US"/>
        </w:rPr>
        <w:t xml:space="preserve">Die drei Organe verpflichten sich, bei der Weiterentwicklung des Instruments zusammenzuarbeiten. Die Kommission bestätigt, dass sie das Instrument im Benehmen mit seinen Anwendern weiterentwickelt und die Mitgliedstaaten bei der Bewältigung technischer Anfragen unterstützt. Die Mitgliedstaaten arbeiten mit der Kommission zusammen, damit die für die Interoperabilität mit einschlägigen IT-Systemen und </w:t>
      </w:r>
      <w:r w:rsidRPr="001E1631">
        <w:rPr>
          <w:rFonts w:eastAsiaTheme="minorHAnsi"/>
          <w:szCs w:val="24"/>
          <w:lang w:eastAsia="en-US"/>
        </w:rPr>
        <w:noBreakHyphen/>
        <w:t>Datenbanken erforderlichen Synergien freigesetzt werden.</w:t>
      </w:r>
    </w:p>
    <w:p w:rsidR="007C487F" w:rsidRDefault="007C487F" w:rsidP="00F63797">
      <w:pPr>
        <w:widowControl/>
        <w:spacing w:line="360" w:lineRule="auto"/>
        <w:rPr>
          <w:rFonts w:eastAsiaTheme="minorHAnsi"/>
          <w:szCs w:val="24"/>
          <w:lang w:eastAsia="en-US"/>
        </w:rPr>
      </w:pPr>
      <w:r w:rsidRPr="001E1631">
        <w:rPr>
          <w:rFonts w:eastAsiaTheme="minorHAnsi"/>
          <w:szCs w:val="24"/>
          <w:lang w:eastAsia="en-US"/>
        </w:rPr>
        <w:t>Nachdem in einer Bewertung der Kommission anhand der Kriterien aus Artikel 36 Absatz 6 der Haushaltsordnung festgestellt wurde, dass das Instrument einsatzbereit ist, verpflichten sich die drei Organe unbeschadet ihrer jeweiligen Zuständigkeiten, die verpflichtende Verwendung des Instruments während des mehrjährigen Finanzrahmens nach 2027 zu prüfen und erneut darüber zu diskutieren.</w:t>
      </w:r>
    </w:p>
    <w:p w:rsidR="007C487F" w:rsidRDefault="007C487F" w:rsidP="00F63797">
      <w:pPr>
        <w:widowControl/>
        <w:spacing w:line="360" w:lineRule="auto"/>
        <w:rPr>
          <w:rFonts w:eastAsiaTheme="minorHAnsi"/>
          <w:szCs w:val="24"/>
          <w:lang w:eastAsia="en-US"/>
        </w:rPr>
      </w:pPr>
    </w:p>
    <w:p w:rsidR="007C487F" w:rsidRPr="00FE5DE9" w:rsidRDefault="007C487F" w:rsidP="00986C67">
      <w:pPr>
        <w:spacing w:before="120" w:after="120" w:line="360" w:lineRule="auto"/>
        <w:jc w:val="center"/>
        <w:rPr>
          <w:rFonts w:eastAsiaTheme="minorHAnsi"/>
          <w:b/>
          <w:szCs w:val="24"/>
          <w:u w:val="single"/>
          <w:lang w:eastAsia="en-US"/>
        </w:rPr>
      </w:pPr>
      <w:r w:rsidRPr="00FE5DE9">
        <w:rPr>
          <w:rFonts w:eastAsiaTheme="minorHAnsi"/>
          <w:b/>
          <w:szCs w:val="24"/>
          <w:u w:val="single"/>
          <w:lang w:eastAsia="en-US"/>
        </w:rPr>
        <w:t>Einseitige Erklärung der Kommission zur Aufhebung von Mittelbindungen</w:t>
      </w:r>
      <w:r w:rsidR="00986C67" w:rsidRPr="00FE5DE9">
        <w:rPr>
          <w:rFonts w:eastAsiaTheme="minorHAnsi"/>
          <w:b/>
          <w:szCs w:val="24"/>
          <w:u w:val="single"/>
          <w:lang w:eastAsia="en-US"/>
        </w:rPr>
        <w:t xml:space="preserve"> anlässlich des Erlasses der Verordnung (EU</w:t>
      </w:r>
      <w:r w:rsidR="005C3299">
        <w:rPr>
          <w:rFonts w:eastAsiaTheme="minorHAnsi"/>
          <w:b/>
          <w:szCs w:val="24"/>
          <w:u w:val="single"/>
          <w:lang w:eastAsia="en-US"/>
        </w:rPr>
        <w:t xml:space="preserve">, </w:t>
      </w:r>
      <w:proofErr w:type="spellStart"/>
      <w:r w:rsidR="005C3299">
        <w:rPr>
          <w:rFonts w:eastAsiaTheme="minorHAnsi"/>
          <w:b/>
          <w:szCs w:val="24"/>
          <w:u w:val="single"/>
          <w:lang w:eastAsia="en-US"/>
        </w:rPr>
        <w:t>Euratom</w:t>
      </w:r>
      <w:proofErr w:type="spellEnd"/>
      <w:r w:rsidR="00986C67" w:rsidRPr="00FE5DE9">
        <w:rPr>
          <w:rFonts w:eastAsiaTheme="minorHAnsi"/>
          <w:b/>
          <w:szCs w:val="24"/>
          <w:u w:val="single"/>
          <w:lang w:eastAsia="en-US"/>
        </w:rPr>
        <w:t>) 2024/</w:t>
      </w:r>
      <w:r w:rsidR="005C3299">
        <w:rPr>
          <w:rFonts w:eastAsiaTheme="minorHAnsi"/>
          <w:b/>
          <w:szCs w:val="24"/>
          <w:u w:val="single"/>
          <w:lang w:eastAsia="en-US"/>
        </w:rPr>
        <w:t>2509</w:t>
      </w:r>
    </w:p>
    <w:p w:rsidR="007C487F" w:rsidRPr="00940D8E" w:rsidRDefault="007C487F" w:rsidP="00986C67">
      <w:pPr>
        <w:widowControl/>
        <w:spacing w:before="120" w:after="120" w:line="360" w:lineRule="auto"/>
        <w:rPr>
          <w:rFonts w:eastAsiaTheme="minorHAnsi"/>
          <w:szCs w:val="24"/>
          <w:lang w:eastAsia="en-US"/>
        </w:rPr>
      </w:pPr>
      <w:r w:rsidRPr="00940D8E">
        <w:rPr>
          <w:rFonts w:eastAsiaTheme="minorHAnsi"/>
          <w:szCs w:val="24"/>
          <w:lang w:eastAsia="en-US"/>
        </w:rPr>
        <w:t>„Im Rahmen der Vorbereitung des Mehrjährigen Finanzrahmens für die Zeit nach 2027 wird die Kommission die Frage prüfen, ob die Möglichkeiten zur Wiedereinsetzung von Mitteln, deren Bindung aufgehoben wurde, ausgeweitet werden können. Dies gilt unbeschadet des anstehenden Vorschlags der Kommission zum Mehrjährigen Finanzrahmen für die Zeit nach 2027 und des in den Verträgen verankerten Rechts der Kommission, die gesetzgeberische Initiative zu ergreifen.“</w:t>
      </w:r>
    </w:p>
    <w:p w:rsidR="007C487F" w:rsidRPr="00940D8E" w:rsidRDefault="007C487F" w:rsidP="00986C67">
      <w:pPr>
        <w:widowControl/>
        <w:spacing w:before="120" w:after="120" w:line="360" w:lineRule="auto"/>
        <w:jc w:val="center"/>
        <w:rPr>
          <w:rFonts w:eastAsiaTheme="minorHAnsi"/>
          <w:b/>
          <w:szCs w:val="24"/>
          <w:lang w:eastAsia="en-US"/>
        </w:rPr>
      </w:pPr>
    </w:p>
    <w:p w:rsidR="007C487F" w:rsidRPr="00FE5DE9" w:rsidRDefault="007C487F" w:rsidP="00986C67">
      <w:pPr>
        <w:widowControl/>
        <w:spacing w:before="120" w:after="120" w:line="360" w:lineRule="auto"/>
        <w:jc w:val="center"/>
        <w:rPr>
          <w:rFonts w:eastAsiaTheme="minorHAnsi"/>
          <w:b/>
          <w:szCs w:val="24"/>
          <w:u w:val="single"/>
          <w:lang w:eastAsia="en-US"/>
        </w:rPr>
      </w:pPr>
      <w:r w:rsidRPr="00FE5DE9">
        <w:rPr>
          <w:rFonts w:eastAsiaTheme="minorHAnsi"/>
          <w:b/>
          <w:szCs w:val="24"/>
          <w:u w:val="single"/>
          <w:lang w:eastAsia="en-US"/>
        </w:rPr>
        <w:t>Einseitige Erklärung der Kommission zum Früherkennungs- und Ausschlusssystem</w:t>
      </w:r>
      <w:r w:rsidR="00986C67" w:rsidRPr="00FE5DE9">
        <w:rPr>
          <w:rFonts w:eastAsiaTheme="minorHAnsi"/>
          <w:b/>
          <w:szCs w:val="24"/>
          <w:u w:val="single"/>
          <w:lang w:eastAsia="en-US"/>
        </w:rPr>
        <w:t xml:space="preserve"> anlässlich des Erlasses der Verordnung (EU</w:t>
      </w:r>
      <w:r w:rsidR="005C3299">
        <w:rPr>
          <w:rFonts w:eastAsiaTheme="minorHAnsi"/>
          <w:b/>
          <w:szCs w:val="24"/>
          <w:u w:val="single"/>
          <w:lang w:eastAsia="en-US"/>
        </w:rPr>
        <w:t xml:space="preserve">, </w:t>
      </w:r>
      <w:proofErr w:type="spellStart"/>
      <w:r w:rsidR="005C3299">
        <w:rPr>
          <w:rFonts w:eastAsiaTheme="minorHAnsi"/>
          <w:b/>
          <w:szCs w:val="24"/>
          <w:u w:val="single"/>
          <w:lang w:eastAsia="en-US"/>
        </w:rPr>
        <w:t>Euratom</w:t>
      </w:r>
      <w:proofErr w:type="spellEnd"/>
      <w:r w:rsidR="00986C67" w:rsidRPr="00FE5DE9">
        <w:rPr>
          <w:rFonts w:eastAsiaTheme="minorHAnsi"/>
          <w:b/>
          <w:szCs w:val="24"/>
          <w:u w:val="single"/>
          <w:lang w:eastAsia="en-US"/>
        </w:rPr>
        <w:t>) 2024/</w:t>
      </w:r>
      <w:r w:rsidR="005C3299">
        <w:rPr>
          <w:rFonts w:eastAsiaTheme="minorHAnsi"/>
          <w:b/>
          <w:szCs w:val="24"/>
          <w:u w:val="single"/>
          <w:lang w:eastAsia="en-US"/>
        </w:rPr>
        <w:t>2509</w:t>
      </w:r>
      <w:bookmarkStart w:id="8" w:name="_GoBack"/>
      <w:bookmarkEnd w:id="8"/>
    </w:p>
    <w:p w:rsidR="007C487F" w:rsidRPr="00940D8E" w:rsidRDefault="007C487F" w:rsidP="00986C67">
      <w:pPr>
        <w:widowControl/>
        <w:spacing w:before="120" w:after="120" w:line="360" w:lineRule="auto"/>
        <w:rPr>
          <w:rFonts w:eastAsiaTheme="minorHAnsi"/>
          <w:szCs w:val="24"/>
          <w:lang w:eastAsia="en-US"/>
        </w:rPr>
      </w:pPr>
      <w:r w:rsidRPr="00940D8E">
        <w:rPr>
          <w:rFonts w:eastAsiaTheme="minorHAnsi"/>
          <w:szCs w:val="24"/>
          <w:lang w:eastAsia="en-US"/>
        </w:rPr>
        <w:t xml:space="preserve">„Die Europäische Kommission erkennt an, wie wichtig es ist, den Verwaltungsaufwand für die Behörden der Mitgliedstaaten im Zusammenhang mit der gezielten Ausweitung des Früherkennungs- und Ausschlusssystems (EDES) auf die geteilte und die direkte Verwaltung, die in Zusammenarbeit mit den Mitgliedstaaten erfolgt, möglichst gering zu halten. </w:t>
      </w:r>
    </w:p>
    <w:p w:rsidR="007C487F" w:rsidRPr="00940D8E" w:rsidRDefault="007C487F" w:rsidP="00986C67">
      <w:pPr>
        <w:widowControl/>
        <w:spacing w:before="120" w:after="120" w:line="360" w:lineRule="auto"/>
        <w:rPr>
          <w:rFonts w:eastAsiaTheme="minorHAnsi"/>
          <w:szCs w:val="24"/>
          <w:lang w:eastAsia="en-US"/>
        </w:rPr>
      </w:pPr>
      <w:r w:rsidRPr="00940D8E">
        <w:rPr>
          <w:rFonts w:eastAsiaTheme="minorHAnsi"/>
          <w:szCs w:val="24"/>
          <w:lang w:eastAsia="en-US"/>
        </w:rPr>
        <w:t xml:space="preserve">Die Kommission ist entschlossen, umfassende Leitlinien zu entwickeln und den Mitgliedstaaten Schulungen zur Umsetzung des Früherkennungs- und Ausschlusssystems und zur Nutzung der dazugehörigen Datenbank anzubieten. </w:t>
      </w:r>
    </w:p>
    <w:p w:rsidR="007C487F" w:rsidRPr="00940D8E" w:rsidRDefault="007C487F" w:rsidP="00986C67">
      <w:pPr>
        <w:widowControl/>
        <w:spacing w:before="120" w:after="120" w:line="360" w:lineRule="auto"/>
        <w:rPr>
          <w:rFonts w:eastAsiaTheme="minorHAnsi"/>
          <w:szCs w:val="24"/>
          <w:lang w:eastAsia="en-US"/>
        </w:rPr>
      </w:pPr>
      <w:r w:rsidRPr="00940D8E">
        <w:rPr>
          <w:rFonts w:eastAsiaTheme="minorHAnsi"/>
          <w:szCs w:val="24"/>
          <w:lang w:eastAsia="en-US"/>
        </w:rPr>
        <w:t>Die Kommission wird diese Datenbank weiter verbessern, indem sie beispielsweise die Möglichkeit vorsieht, nach mehreren Stellen gleichzeitig zu suchen, und das Layout der Datenbank verbessert.</w:t>
      </w:r>
    </w:p>
    <w:p w:rsidR="007C487F" w:rsidRPr="00940D8E" w:rsidRDefault="007C487F" w:rsidP="00986C67">
      <w:pPr>
        <w:widowControl/>
        <w:spacing w:before="120" w:after="120" w:line="360" w:lineRule="auto"/>
        <w:rPr>
          <w:rFonts w:eastAsiaTheme="minorHAnsi"/>
          <w:szCs w:val="24"/>
          <w:lang w:eastAsia="en-US"/>
        </w:rPr>
      </w:pPr>
      <w:r w:rsidRPr="00940D8E">
        <w:rPr>
          <w:rFonts w:eastAsiaTheme="minorHAnsi"/>
          <w:szCs w:val="24"/>
          <w:lang w:eastAsia="en-US"/>
        </w:rPr>
        <w:t>Die Kommission wird sich bemühen, die IT-Interoperabilität zwischen dem Früherkennungs- und Ausschlusssystem und den einschlägigen nationalen Systemen sicherzustellen, um das Verfahren zu straffen und die Kontrolle, ob sich relevante Personen oder Stellen in einer Ausschlusssituation befinden, zu beschleunigen.</w:t>
      </w:r>
    </w:p>
    <w:p w:rsidR="007C487F" w:rsidRPr="00940D8E" w:rsidRDefault="007C487F" w:rsidP="00986C67">
      <w:pPr>
        <w:widowControl/>
        <w:spacing w:before="120" w:after="120" w:line="360" w:lineRule="auto"/>
        <w:rPr>
          <w:rFonts w:eastAsiaTheme="minorHAnsi"/>
          <w:szCs w:val="24"/>
          <w:lang w:eastAsia="en-US"/>
        </w:rPr>
      </w:pPr>
      <w:r w:rsidRPr="00940D8E">
        <w:rPr>
          <w:rFonts w:eastAsiaTheme="minorHAnsi"/>
          <w:szCs w:val="24"/>
          <w:lang w:eastAsia="en-US"/>
        </w:rPr>
        <w:t>Die Kommission bestätigt, dass Ersuchen um zusätzliche Informationen für die Zwecke des Früherkennungs- und Ausschlusssystems nicht über das unbedingt erforderliche und verhältnismäßige Maß hinausgehen und im Einklang mit den geltenden Datenschutzvorschriften erfolgen. Es sei daran erinnert, dass die Stellungnahme des Europäischen Datenschutzbeauftragten zu dem Vorschlag der Kommission für eine Neufassung der Haushaltsordnung keinen Anlass zu Bedenken hinsichtlich des Früherkennungs- und Ausschlusssystems gab.</w:t>
      </w:r>
    </w:p>
    <w:p w:rsidR="007C487F" w:rsidRDefault="007C487F" w:rsidP="00F63797">
      <w:pPr>
        <w:widowControl/>
        <w:spacing w:line="360" w:lineRule="auto"/>
        <w:rPr>
          <w:b/>
        </w:rPr>
      </w:pPr>
      <w:r w:rsidRPr="00940D8E">
        <w:rPr>
          <w:rFonts w:eastAsiaTheme="minorHAnsi"/>
          <w:szCs w:val="24"/>
          <w:lang w:eastAsia="en-US"/>
        </w:rPr>
        <w:t>Die Kommission ist entschlossen, in uneingeschränkter Zusammenarbeit mit den Mitgliedstaaten einen reibungslosen Übergang zur Anwendung des Früherkennungs- und Ausschlusssystems zu erleichtern.</w:t>
      </w:r>
    </w:p>
    <w:sectPr w:rsidR="007C487F" w:rsidSect="00FC6C9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C77" w:rsidRPr="00FC6C90" w:rsidRDefault="001D7C77">
      <w:r w:rsidRPr="00FC6C90">
        <w:separator/>
      </w:r>
    </w:p>
  </w:endnote>
  <w:endnote w:type="continuationSeparator" w:id="0">
    <w:p w:rsidR="001D7C77" w:rsidRPr="00FC6C90" w:rsidRDefault="001D7C77">
      <w:r w:rsidRPr="00FC6C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C77" w:rsidRPr="00FC6C90" w:rsidRDefault="001D7C7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C77" w:rsidRPr="00FC6C90" w:rsidRDefault="001D7C7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C77" w:rsidRPr="00FC6C90" w:rsidRDefault="001D7C7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C77" w:rsidRPr="00FC6C90" w:rsidRDefault="001D7C77">
      <w:r w:rsidRPr="00FC6C90">
        <w:separator/>
      </w:r>
    </w:p>
  </w:footnote>
  <w:footnote w:type="continuationSeparator" w:id="0">
    <w:p w:rsidR="001D7C77" w:rsidRPr="00FC6C90" w:rsidRDefault="001D7C77">
      <w:r w:rsidRPr="00FC6C90">
        <w:continuationSeparator/>
      </w:r>
    </w:p>
  </w:footnote>
  <w:footnote w:id="1">
    <w:p w:rsidR="001D7C77" w:rsidRPr="00996FAC" w:rsidRDefault="001D7C77" w:rsidP="00FC6C90">
      <w:pPr>
        <w:pStyle w:val="FootnoteText"/>
        <w:ind w:left="567" w:hanging="567"/>
        <w:rPr>
          <w:sz w:val="24"/>
          <w:lang w:val="de-DE"/>
        </w:rPr>
      </w:pPr>
      <w:r w:rsidRPr="00996FAC">
        <w:rPr>
          <w:rStyle w:val="FootnoteReference"/>
          <w:sz w:val="24"/>
          <w:lang w:val="de-DE"/>
        </w:rPr>
        <w:footnoteRef/>
      </w:r>
      <w:r w:rsidRPr="00996FAC">
        <w:rPr>
          <w:sz w:val="24"/>
          <w:lang w:val="de-DE"/>
        </w:rPr>
        <w:t xml:space="preserve"> </w:t>
      </w:r>
      <w:r w:rsidRPr="00996FAC">
        <w:rPr>
          <w:sz w:val="24"/>
          <w:lang w:val="de-DE"/>
        </w:rPr>
        <w:tab/>
        <w:t>ABl. C 446 vom 24.11.2022, S. 26.</w:t>
      </w:r>
    </w:p>
  </w:footnote>
  <w:footnote w:id="2">
    <w:p w:rsidR="001D7C77" w:rsidRPr="00996FAC" w:rsidRDefault="001D7C77" w:rsidP="00FC6C90">
      <w:pPr>
        <w:pStyle w:val="FootnoteText"/>
        <w:ind w:left="567" w:hanging="567"/>
        <w:rPr>
          <w:sz w:val="24"/>
          <w:lang w:val="de-DE"/>
        </w:rPr>
      </w:pPr>
      <w:r w:rsidRPr="00996FAC">
        <w:rPr>
          <w:rStyle w:val="FootnoteReference"/>
          <w:sz w:val="24"/>
          <w:lang w:val="de-DE"/>
        </w:rPr>
        <w:footnoteRef/>
      </w:r>
      <w:r w:rsidRPr="00996FAC">
        <w:rPr>
          <w:sz w:val="24"/>
          <w:lang w:val="de-DE"/>
        </w:rPr>
        <w:t xml:space="preserve"> </w:t>
      </w:r>
      <w:r w:rsidRPr="00996FAC">
        <w:rPr>
          <w:sz w:val="24"/>
          <w:lang w:val="de-DE"/>
        </w:rPr>
        <w:tab/>
        <w:t>ABl. C 77 vom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C77" w:rsidRPr="00FC6C90" w:rsidRDefault="001D7C7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C77" w:rsidRPr="00FC6C90" w:rsidRDefault="001D7C7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C77" w:rsidRPr="00FC6C90" w:rsidRDefault="001D7C7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F156083E">
      <w:start w:val="1"/>
      <w:numFmt w:val="bullet"/>
      <w:lvlText w:val=""/>
      <w:lvlJc w:val="left"/>
      <w:pPr>
        <w:ind w:left="360" w:hanging="360"/>
      </w:pPr>
      <w:rPr>
        <w:rFonts w:ascii="Symbol" w:hAnsi="Symbol" w:hint="default"/>
      </w:rPr>
    </w:lvl>
    <w:lvl w:ilvl="1" w:tplc="7154FDAC" w:tentative="1">
      <w:start w:val="1"/>
      <w:numFmt w:val="bullet"/>
      <w:lvlText w:val="o"/>
      <w:lvlJc w:val="left"/>
      <w:pPr>
        <w:ind w:left="1080" w:hanging="360"/>
      </w:pPr>
      <w:rPr>
        <w:rFonts w:ascii="Courier New" w:hAnsi="Courier New" w:cs="Courier New" w:hint="default"/>
      </w:rPr>
    </w:lvl>
    <w:lvl w:ilvl="2" w:tplc="359888B4" w:tentative="1">
      <w:start w:val="1"/>
      <w:numFmt w:val="bullet"/>
      <w:lvlText w:val=""/>
      <w:lvlJc w:val="left"/>
      <w:pPr>
        <w:ind w:left="1800" w:hanging="360"/>
      </w:pPr>
      <w:rPr>
        <w:rFonts w:ascii="Wingdings" w:hAnsi="Wingdings" w:hint="default"/>
      </w:rPr>
    </w:lvl>
    <w:lvl w:ilvl="3" w:tplc="D2B292C4" w:tentative="1">
      <w:start w:val="1"/>
      <w:numFmt w:val="bullet"/>
      <w:lvlText w:val=""/>
      <w:lvlJc w:val="left"/>
      <w:pPr>
        <w:ind w:left="2520" w:hanging="360"/>
      </w:pPr>
      <w:rPr>
        <w:rFonts w:ascii="Symbol" w:hAnsi="Symbol" w:hint="default"/>
      </w:rPr>
    </w:lvl>
    <w:lvl w:ilvl="4" w:tplc="CD64F6B2" w:tentative="1">
      <w:start w:val="1"/>
      <w:numFmt w:val="bullet"/>
      <w:lvlText w:val="o"/>
      <w:lvlJc w:val="left"/>
      <w:pPr>
        <w:ind w:left="3240" w:hanging="360"/>
      </w:pPr>
      <w:rPr>
        <w:rFonts w:ascii="Courier New" w:hAnsi="Courier New" w:cs="Courier New" w:hint="default"/>
      </w:rPr>
    </w:lvl>
    <w:lvl w:ilvl="5" w:tplc="D264BD7C" w:tentative="1">
      <w:start w:val="1"/>
      <w:numFmt w:val="bullet"/>
      <w:lvlText w:val=""/>
      <w:lvlJc w:val="left"/>
      <w:pPr>
        <w:ind w:left="3960" w:hanging="360"/>
      </w:pPr>
      <w:rPr>
        <w:rFonts w:ascii="Wingdings" w:hAnsi="Wingdings" w:hint="default"/>
      </w:rPr>
    </w:lvl>
    <w:lvl w:ilvl="6" w:tplc="BEB0EE5A" w:tentative="1">
      <w:start w:val="1"/>
      <w:numFmt w:val="bullet"/>
      <w:lvlText w:val=""/>
      <w:lvlJc w:val="left"/>
      <w:pPr>
        <w:ind w:left="4680" w:hanging="360"/>
      </w:pPr>
      <w:rPr>
        <w:rFonts w:ascii="Symbol" w:hAnsi="Symbol" w:hint="default"/>
      </w:rPr>
    </w:lvl>
    <w:lvl w:ilvl="7" w:tplc="8228A964" w:tentative="1">
      <w:start w:val="1"/>
      <w:numFmt w:val="bullet"/>
      <w:lvlText w:val="o"/>
      <w:lvlJc w:val="left"/>
      <w:pPr>
        <w:ind w:left="5400" w:hanging="360"/>
      </w:pPr>
      <w:rPr>
        <w:rFonts w:ascii="Courier New" w:hAnsi="Courier New" w:cs="Courier New" w:hint="default"/>
      </w:rPr>
    </w:lvl>
    <w:lvl w:ilvl="8" w:tplc="F5E85D54"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DE"/>
    <w:docVar w:name="dvnumam" w:val="0"/>
    <w:docVar w:name="dvpe" w:val="740.802"/>
    <w:docVar w:name="dvrapporteur" w:val="Berichterstatter: "/>
    <w:docVar w:name="dvstar" w:val="***I"/>
    <w:docVar w:name="dvtitre" w:val="Legislative Entschließung des Europäischen Parlaments vom XX. März 2024 zu dem Vorschlag für eine Verordnung des Europäischen Parlaments und des Rates über die Haushaltsordnung für den Gesamthaushaltsplan der Union (Neufassung)(COM(2022)0223 – C9-0179/2022 – 2022/0162(COD))"/>
  </w:docVars>
  <w:rsids>
    <w:rsidRoot w:val="00B624A9"/>
    <w:rsid w:val="00002272"/>
    <w:rsid w:val="00064002"/>
    <w:rsid w:val="000677B9"/>
    <w:rsid w:val="000831BA"/>
    <w:rsid w:val="000A42CC"/>
    <w:rsid w:val="000C1B70"/>
    <w:rsid w:val="000E7DD9"/>
    <w:rsid w:val="0010095E"/>
    <w:rsid w:val="00125B37"/>
    <w:rsid w:val="00187494"/>
    <w:rsid w:val="00195994"/>
    <w:rsid w:val="001D7C77"/>
    <w:rsid w:val="001F32AE"/>
    <w:rsid w:val="002767FF"/>
    <w:rsid w:val="002B18FE"/>
    <w:rsid w:val="002B5493"/>
    <w:rsid w:val="00343214"/>
    <w:rsid w:val="00361C00"/>
    <w:rsid w:val="00395FA1"/>
    <w:rsid w:val="003A6B0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513E"/>
    <w:rsid w:val="005C2568"/>
    <w:rsid w:val="005C3299"/>
    <w:rsid w:val="005C7D2C"/>
    <w:rsid w:val="006037C0"/>
    <w:rsid w:val="006631B6"/>
    <w:rsid w:val="00680577"/>
    <w:rsid w:val="006F74FA"/>
    <w:rsid w:val="00731ADD"/>
    <w:rsid w:val="00734777"/>
    <w:rsid w:val="00747932"/>
    <w:rsid w:val="00751A4A"/>
    <w:rsid w:val="00756632"/>
    <w:rsid w:val="00762C74"/>
    <w:rsid w:val="00786333"/>
    <w:rsid w:val="00786EC0"/>
    <w:rsid w:val="007C487F"/>
    <w:rsid w:val="007D1690"/>
    <w:rsid w:val="007E22AD"/>
    <w:rsid w:val="00817416"/>
    <w:rsid w:val="00842779"/>
    <w:rsid w:val="00865F67"/>
    <w:rsid w:val="00881A7B"/>
    <w:rsid w:val="00883DA6"/>
    <w:rsid w:val="008840E5"/>
    <w:rsid w:val="00887B3E"/>
    <w:rsid w:val="008C2AC6"/>
    <w:rsid w:val="00930C23"/>
    <w:rsid w:val="0093193B"/>
    <w:rsid w:val="009509D8"/>
    <w:rsid w:val="00950B64"/>
    <w:rsid w:val="00981893"/>
    <w:rsid w:val="00986C67"/>
    <w:rsid w:val="00996FAC"/>
    <w:rsid w:val="00A1687D"/>
    <w:rsid w:val="00A43E52"/>
    <w:rsid w:val="00A4678D"/>
    <w:rsid w:val="00A778C7"/>
    <w:rsid w:val="00AB441E"/>
    <w:rsid w:val="00AB6293"/>
    <w:rsid w:val="00AE0928"/>
    <w:rsid w:val="00AF3B82"/>
    <w:rsid w:val="00B12E95"/>
    <w:rsid w:val="00B22876"/>
    <w:rsid w:val="00B558F0"/>
    <w:rsid w:val="00B624A9"/>
    <w:rsid w:val="00BD48FE"/>
    <w:rsid w:val="00BD7BD8"/>
    <w:rsid w:val="00BE6ADC"/>
    <w:rsid w:val="00C05BFE"/>
    <w:rsid w:val="00C10990"/>
    <w:rsid w:val="00C23CD4"/>
    <w:rsid w:val="00C4160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797"/>
    <w:rsid w:val="00F74202"/>
    <w:rsid w:val="00F87713"/>
    <w:rsid w:val="00FA20C3"/>
    <w:rsid w:val="00FB4360"/>
    <w:rsid w:val="00FC6C90"/>
    <w:rsid w:val="00FD0C70"/>
    <w:rsid w:val="00FE5DE9"/>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4F862"/>
  <w15:chartTrackingRefBased/>
  <w15:docId w15:val="{C859013E-563D-4A0B-B5BD-126AF90C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99"/>
    <w:lsdException w:name="toc 3"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60F"/>
    <w:rPr>
      <w:b/>
      <w:kern w:val="28"/>
      <w:sz w:val="28"/>
      <w:lang w:val="fr-FR" w:eastAsia="fr-FR"/>
    </w:rPr>
  </w:style>
  <w:style w:type="character" w:customStyle="1" w:styleId="Heading2Char">
    <w:name w:val="Heading 2 Char"/>
    <w:basedOn w:val="DefaultParagraphFont"/>
    <w:link w:val="Heading2"/>
    <w:uiPriority w:val="9"/>
    <w:semiHidden/>
    <w:rsid w:val="00C4160F"/>
    <w:rPr>
      <w:sz w:val="24"/>
      <w:lang w:val="fr-FR" w:eastAsia="fr-FR"/>
    </w:rPr>
  </w:style>
  <w:style w:type="character" w:customStyle="1" w:styleId="Heading3Char">
    <w:name w:val="Heading 3 Char"/>
    <w:basedOn w:val="DefaultParagraphFont"/>
    <w:link w:val="Heading3"/>
    <w:uiPriority w:val="9"/>
    <w:semiHidden/>
    <w:rsid w:val="00C4160F"/>
    <w:rPr>
      <w:rFonts w:ascii="Arial" w:hAnsi="Arial"/>
      <w:sz w:val="24"/>
      <w:lang w:val="fr-FR" w:eastAsia="fr-FR"/>
    </w:rPr>
  </w:style>
  <w:style w:type="character" w:customStyle="1" w:styleId="Heading4Char">
    <w:name w:val="Heading 4 Char"/>
    <w:basedOn w:val="DefaultParagraphFont"/>
    <w:link w:val="Heading4"/>
    <w:uiPriority w:val="9"/>
    <w:semiHidden/>
    <w:rsid w:val="00C4160F"/>
    <w:rPr>
      <w:sz w:val="24"/>
      <w:lang w:val="en-US" w:eastAsia="fr-FR"/>
    </w:rPr>
  </w:style>
  <w:style w:type="character" w:customStyle="1" w:styleId="Heading5Char">
    <w:name w:val="Heading 5 Char"/>
    <w:basedOn w:val="DefaultParagraphFont"/>
    <w:link w:val="Heading5"/>
    <w:uiPriority w:val="9"/>
    <w:semiHidden/>
    <w:rsid w:val="00C4160F"/>
    <w:rPr>
      <w:sz w:val="24"/>
      <w:lang w:val="en-US" w:eastAsia="fr-FR"/>
    </w:rPr>
  </w:style>
  <w:style w:type="character" w:customStyle="1" w:styleId="Heading6Char">
    <w:name w:val="Heading 6 Char"/>
    <w:basedOn w:val="DefaultParagraphFont"/>
    <w:link w:val="Heading6"/>
    <w:uiPriority w:val="9"/>
    <w:semiHidden/>
    <w:rsid w:val="00C4160F"/>
    <w:rPr>
      <w:i/>
      <w:sz w:val="22"/>
      <w:lang w:val="de-DE"/>
    </w:rPr>
  </w:style>
  <w:style w:type="character" w:customStyle="1" w:styleId="Heading7Char">
    <w:name w:val="Heading 7 Char"/>
    <w:basedOn w:val="DefaultParagraphFont"/>
    <w:link w:val="Heading7"/>
    <w:uiPriority w:val="9"/>
    <w:semiHidden/>
    <w:rsid w:val="00C4160F"/>
    <w:rPr>
      <w:rFonts w:ascii="Arial" w:hAnsi="Arial"/>
      <w:sz w:val="24"/>
      <w:lang w:val="de-DE"/>
    </w:rPr>
  </w:style>
  <w:style w:type="character" w:customStyle="1" w:styleId="Heading8Char">
    <w:name w:val="Heading 8 Char"/>
    <w:basedOn w:val="DefaultParagraphFont"/>
    <w:link w:val="Heading8"/>
    <w:uiPriority w:val="9"/>
    <w:semiHidden/>
    <w:rsid w:val="00C4160F"/>
    <w:rPr>
      <w:rFonts w:ascii="Arial" w:hAnsi="Arial"/>
      <w:i/>
      <w:sz w:val="24"/>
      <w:lang w:val="de-DE"/>
    </w:rPr>
  </w:style>
  <w:style w:type="character" w:customStyle="1" w:styleId="Heading9Char">
    <w:name w:val="Heading 9 Char"/>
    <w:basedOn w:val="DefaultParagraphFont"/>
    <w:link w:val="Heading9"/>
    <w:uiPriority w:val="9"/>
    <w:semiHidden/>
    <w:rsid w:val="00C4160F"/>
    <w:rPr>
      <w:rFonts w:ascii="Arial" w:hAnsi="Arial"/>
      <w:b/>
      <w:i/>
      <w:sz w:val="18"/>
      <w:lang w:val="de-DE"/>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uiPriority w:val="99"/>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uiPriority w:val="99"/>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uiPriority w:val="99"/>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uiPriority w:val="99"/>
    <w:rsid w:val="00395FA1"/>
    <w:pPr>
      <w:widowControl/>
      <w:spacing w:before="120" w:after="120"/>
      <w:outlineLvl w:val="1"/>
    </w:pPr>
    <w:rPr>
      <w:b/>
      <w:sz w:val="28"/>
      <w:lang w:eastAsia="fr-FR"/>
    </w:rPr>
  </w:style>
  <w:style w:type="paragraph" w:customStyle="1" w:styleId="ATHeading3">
    <w:name w:val="AT Heading 3"/>
    <w:basedOn w:val="Normal"/>
    <w:next w:val="Normal"/>
    <w:uiPriority w:val="99"/>
    <w:rsid w:val="00395FA1"/>
    <w:pPr>
      <w:keepNext/>
      <w:keepLines/>
      <w:widowControl/>
      <w:spacing w:before="120" w:after="120"/>
      <w:outlineLvl w:val="2"/>
    </w:pPr>
    <w:rPr>
      <w:b/>
      <w:lang w:eastAsia="fr-FR"/>
    </w:rPr>
  </w:style>
  <w:style w:type="paragraph" w:customStyle="1" w:styleId="ATHeadingMotiv">
    <w:name w:val="AT Heading Motiv"/>
    <w:basedOn w:val="Normal"/>
    <w:next w:val="Normal"/>
    <w:uiPriority w:val="99"/>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99"/>
    <w:rsid w:val="00395FA1"/>
    <w:pPr>
      <w:keepNext/>
      <w:keepLines/>
      <w:widowControl/>
    </w:pPr>
    <w:rPr>
      <w:b/>
      <w:noProof/>
      <w:lang w:val="fr-FR" w:eastAsia="fr-FR"/>
    </w:rPr>
  </w:style>
  <w:style w:type="paragraph" w:styleId="TOC3">
    <w:name w:val="toc 3"/>
    <w:basedOn w:val="Normal"/>
    <w:next w:val="Normal"/>
    <w:autoRedefine/>
    <w:uiPriority w:val="9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paragraph" w:styleId="TOCHeading">
    <w:name w:val="TOC Heading"/>
    <w:basedOn w:val="Normal"/>
    <w:next w:val="Normal"/>
    <w:uiPriority w:val="39"/>
    <w:unhideWhenUsed/>
    <w:qFormat/>
    <w:rsid w:val="00C4160F"/>
    <w:pPr>
      <w:widowControl/>
      <w:spacing w:after="240"/>
    </w:pPr>
    <w:rPr>
      <w:lang w:val="en-GB"/>
    </w:rPr>
  </w:style>
  <w:style w:type="paragraph" w:customStyle="1" w:styleId="PageHeading">
    <w:name w:val="PageHeading"/>
    <w:basedOn w:val="Normal"/>
    <w:uiPriority w:val="99"/>
    <w:rsid w:val="00C4160F"/>
    <w:pPr>
      <w:keepNext/>
      <w:spacing w:after="480"/>
      <w:jc w:val="center"/>
    </w:pPr>
    <w:rPr>
      <w:rFonts w:ascii="Arial" w:hAnsi="Arial" w:cs="Arial"/>
      <w:b/>
    </w:rPr>
  </w:style>
  <w:style w:type="paragraph" w:customStyle="1" w:styleId="EPFooter2">
    <w:name w:val="EPFooter2"/>
    <w:basedOn w:val="Normal"/>
    <w:next w:val="Normal"/>
    <w:uiPriority w:val="99"/>
    <w:rsid w:val="00C4160F"/>
    <w:pPr>
      <w:widowControl/>
      <w:tabs>
        <w:tab w:val="center" w:pos="4535"/>
        <w:tab w:val="right" w:pos="9921"/>
      </w:tabs>
      <w:ind w:left="-850" w:right="-850"/>
    </w:pPr>
    <w:rPr>
      <w:rFonts w:ascii="Arial" w:hAnsi="Arial" w:cs="Arial"/>
      <w:b/>
      <w:sz w:val="48"/>
    </w:rPr>
  </w:style>
  <w:style w:type="paragraph" w:customStyle="1" w:styleId="Normal12a">
    <w:name w:val="Normal12a"/>
    <w:basedOn w:val="Normal"/>
    <w:uiPriority w:val="99"/>
    <w:rsid w:val="00C4160F"/>
    <w:pPr>
      <w:spacing w:after="240"/>
    </w:pPr>
  </w:style>
  <w:style w:type="paragraph" w:customStyle="1" w:styleId="TOCPage">
    <w:name w:val="TOC Page"/>
    <w:basedOn w:val="Normal"/>
    <w:next w:val="TOC1"/>
    <w:uiPriority w:val="99"/>
    <w:rsid w:val="00C4160F"/>
    <w:pPr>
      <w:keepNext/>
      <w:spacing w:after="240"/>
      <w:jc w:val="right"/>
    </w:pPr>
    <w:rPr>
      <w:rFonts w:ascii="Arial" w:hAnsi="Arial"/>
      <w:b/>
    </w:rPr>
  </w:style>
  <w:style w:type="paragraph" w:customStyle="1" w:styleId="Normal6a">
    <w:name w:val="Normal6a"/>
    <w:basedOn w:val="Normal"/>
    <w:uiPriority w:val="99"/>
    <w:rsid w:val="00C4160F"/>
    <w:pPr>
      <w:spacing w:after="120"/>
    </w:pPr>
  </w:style>
  <w:style w:type="paragraph" w:customStyle="1" w:styleId="NormalBold">
    <w:name w:val="NormalBold"/>
    <w:basedOn w:val="Normal"/>
    <w:link w:val="NormalBoldChar"/>
    <w:rsid w:val="00C4160F"/>
    <w:rPr>
      <w:b/>
    </w:rPr>
  </w:style>
  <w:style w:type="character" w:customStyle="1" w:styleId="NormalBoldChar">
    <w:name w:val="NormalBold Char"/>
    <w:link w:val="NormalBold"/>
    <w:locked/>
    <w:rsid w:val="00C4160F"/>
    <w:rPr>
      <w:b/>
      <w:sz w:val="24"/>
      <w:lang w:val="de-DE"/>
    </w:rPr>
  </w:style>
  <w:style w:type="paragraph" w:customStyle="1" w:styleId="NormalBold12a">
    <w:name w:val="NormalBold12a"/>
    <w:basedOn w:val="Normal"/>
    <w:uiPriority w:val="99"/>
    <w:rsid w:val="00C4160F"/>
    <w:pPr>
      <w:spacing w:after="240"/>
    </w:pPr>
    <w:rPr>
      <w:b/>
    </w:rPr>
  </w:style>
  <w:style w:type="paragraph" w:customStyle="1" w:styleId="NormalHanging12a">
    <w:name w:val="NormalHanging12a"/>
    <w:basedOn w:val="Normal"/>
    <w:uiPriority w:val="99"/>
    <w:rsid w:val="00C4160F"/>
    <w:pPr>
      <w:spacing w:after="240"/>
      <w:ind w:left="567" w:hanging="567"/>
    </w:pPr>
  </w:style>
  <w:style w:type="paragraph" w:customStyle="1" w:styleId="CoverNormal24a">
    <w:name w:val="CoverNormal24a"/>
    <w:basedOn w:val="Normal"/>
    <w:uiPriority w:val="99"/>
    <w:rsid w:val="00C4160F"/>
    <w:pPr>
      <w:spacing w:after="480"/>
      <w:ind w:left="1417"/>
    </w:pPr>
  </w:style>
  <w:style w:type="paragraph" w:customStyle="1" w:styleId="CoverNormal">
    <w:name w:val="CoverNormal"/>
    <w:basedOn w:val="Normal"/>
    <w:uiPriority w:val="99"/>
    <w:rsid w:val="00C4160F"/>
    <w:pPr>
      <w:ind w:left="1418"/>
    </w:pPr>
  </w:style>
  <w:style w:type="paragraph" w:customStyle="1" w:styleId="CoverReference">
    <w:name w:val="CoverReference"/>
    <w:basedOn w:val="Normal"/>
    <w:uiPriority w:val="99"/>
    <w:rsid w:val="00C4160F"/>
    <w:pPr>
      <w:spacing w:before="1080"/>
      <w:jc w:val="right"/>
    </w:pPr>
    <w:rPr>
      <w:rFonts w:ascii="Arial" w:hAnsi="Arial" w:cs="Arial"/>
      <w:b/>
    </w:rPr>
  </w:style>
  <w:style w:type="paragraph" w:customStyle="1" w:styleId="CoverDocType">
    <w:name w:val="CoverDocType"/>
    <w:basedOn w:val="Normal"/>
    <w:uiPriority w:val="99"/>
    <w:rsid w:val="00C4160F"/>
    <w:pPr>
      <w:ind w:left="1418"/>
    </w:pPr>
    <w:rPr>
      <w:rFonts w:ascii="Arial" w:hAnsi="Arial"/>
      <w:b/>
      <w:sz w:val="48"/>
    </w:rPr>
  </w:style>
  <w:style w:type="paragraph" w:customStyle="1" w:styleId="CoverDocType24a">
    <w:name w:val="CoverDocType24a"/>
    <w:basedOn w:val="Normal"/>
    <w:uiPriority w:val="99"/>
    <w:rsid w:val="00C4160F"/>
    <w:pPr>
      <w:spacing w:after="480"/>
      <w:ind w:left="1418"/>
    </w:pPr>
    <w:rPr>
      <w:rFonts w:ascii="Arial" w:hAnsi="Arial"/>
      <w:b/>
      <w:sz w:val="48"/>
    </w:rPr>
  </w:style>
  <w:style w:type="paragraph" w:customStyle="1" w:styleId="CoverDate">
    <w:name w:val="CoverDate"/>
    <w:basedOn w:val="Normal"/>
    <w:uiPriority w:val="99"/>
    <w:rsid w:val="00C4160F"/>
    <w:pPr>
      <w:spacing w:before="240" w:after="1200"/>
    </w:pPr>
  </w:style>
  <w:style w:type="paragraph" w:styleId="Header">
    <w:name w:val="header"/>
    <w:basedOn w:val="Normal"/>
    <w:link w:val="HeaderChar"/>
    <w:uiPriority w:val="99"/>
    <w:rsid w:val="00C4160F"/>
    <w:pPr>
      <w:tabs>
        <w:tab w:val="center" w:pos="4513"/>
        <w:tab w:val="right" w:pos="9026"/>
      </w:tabs>
    </w:pPr>
  </w:style>
  <w:style w:type="character" w:customStyle="1" w:styleId="HeaderChar">
    <w:name w:val="Header Char"/>
    <w:basedOn w:val="DefaultParagraphFont"/>
    <w:link w:val="Header"/>
    <w:uiPriority w:val="99"/>
    <w:rsid w:val="00C4160F"/>
    <w:rPr>
      <w:sz w:val="24"/>
      <w:lang w:val="de-DE"/>
    </w:rPr>
  </w:style>
  <w:style w:type="paragraph" w:customStyle="1" w:styleId="AnnexWPTabs">
    <w:name w:val="AnnexWPTabs"/>
    <w:basedOn w:val="Normal"/>
    <w:uiPriority w:val="99"/>
    <w:rsid w:val="00C4160F"/>
    <w:pPr>
      <w:tabs>
        <w:tab w:val="right" w:pos="3686"/>
        <w:tab w:val="left" w:pos="3827"/>
      </w:tabs>
    </w:pPr>
    <w:rPr>
      <w:b/>
    </w:rPr>
  </w:style>
  <w:style w:type="paragraph" w:customStyle="1" w:styleId="AnnexWPDate">
    <w:name w:val="AnnexWPDate"/>
    <w:basedOn w:val="Normal"/>
    <w:uiPriority w:val="99"/>
    <w:rsid w:val="00C4160F"/>
    <w:pPr>
      <w:spacing w:before="240" w:after="480"/>
      <w:jc w:val="right"/>
    </w:pPr>
  </w:style>
  <w:style w:type="paragraph" w:customStyle="1" w:styleId="AnnexWPSmall">
    <w:name w:val="AnnexWPSmall"/>
    <w:basedOn w:val="Normal"/>
    <w:uiPriority w:val="99"/>
    <w:rsid w:val="00C4160F"/>
    <w:rPr>
      <w:smallCaps/>
      <w:sz w:val="20"/>
    </w:rPr>
  </w:style>
  <w:style w:type="paragraph" w:customStyle="1" w:styleId="AnnexWPDocType">
    <w:name w:val="AnnexWPDocType"/>
    <w:basedOn w:val="Normal"/>
    <w:uiPriority w:val="99"/>
    <w:rsid w:val="00C4160F"/>
    <w:pPr>
      <w:spacing w:after="240"/>
      <w:jc w:val="center"/>
    </w:pPr>
    <w:rPr>
      <w:b/>
    </w:rPr>
  </w:style>
  <w:style w:type="paragraph" w:customStyle="1" w:styleId="AnnexWPTitle">
    <w:name w:val="AnnexWPTitle"/>
    <w:basedOn w:val="Normal"/>
    <w:uiPriority w:val="99"/>
    <w:rsid w:val="00C4160F"/>
    <w:pPr>
      <w:spacing w:before="480"/>
    </w:pPr>
    <w:rPr>
      <w:b/>
    </w:rPr>
  </w:style>
  <w:style w:type="paragraph" w:customStyle="1" w:styleId="AmJustText">
    <w:name w:val="AmJustText"/>
    <w:basedOn w:val="Normal"/>
    <w:uiPriority w:val="99"/>
    <w:rsid w:val="00C4160F"/>
    <w:pPr>
      <w:spacing w:after="240"/>
    </w:pPr>
    <w:rPr>
      <w:i/>
    </w:rPr>
  </w:style>
  <w:style w:type="paragraph" w:customStyle="1" w:styleId="AmCrossRef">
    <w:name w:val="AmCrossRef"/>
    <w:basedOn w:val="Normal"/>
    <w:uiPriority w:val="99"/>
    <w:rsid w:val="00C4160F"/>
    <w:pPr>
      <w:spacing w:before="240" w:after="240"/>
      <w:jc w:val="center"/>
    </w:pPr>
    <w:rPr>
      <w:i/>
    </w:rPr>
  </w:style>
  <w:style w:type="paragraph" w:customStyle="1" w:styleId="AmJustTitle">
    <w:name w:val="AmJustTitle"/>
    <w:basedOn w:val="Normal"/>
    <w:next w:val="AmJustText"/>
    <w:uiPriority w:val="99"/>
    <w:rsid w:val="00C4160F"/>
    <w:pPr>
      <w:keepNext/>
      <w:spacing w:before="240" w:after="240"/>
      <w:jc w:val="center"/>
    </w:pPr>
    <w:rPr>
      <w:i/>
    </w:rPr>
  </w:style>
  <w:style w:type="paragraph" w:customStyle="1" w:styleId="AmOrLang">
    <w:name w:val="AmOrLang"/>
    <w:basedOn w:val="Normal"/>
    <w:uiPriority w:val="99"/>
    <w:rsid w:val="00C4160F"/>
    <w:pPr>
      <w:spacing w:before="240" w:after="240"/>
      <w:jc w:val="right"/>
    </w:pPr>
  </w:style>
  <w:style w:type="paragraph" w:customStyle="1" w:styleId="AmColumnHeading">
    <w:name w:val="AmColumnHeading"/>
    <w:basedOn w:val="Normal"/>
    <w:uiPriority w:val="99"/>
    <w:rsid w:val="00C4160F"/>
    <w:pPr>
      <w:spacing w:after="240"/>
      <w:jc w:val="center"/>
    </w:pPr>
    <w:rPr>
      <w:i/>
    </w:rPr>
  </w:style>
  <w:style w:type="paragraph" w:customStyle="1" w:styleId="AmNumberTabs">
    <w:name w:val="AmNumberTabs"/>
    <w:basedOn w:val="Normal"/>
    <w:link w:val="AmNumberTabsChar"/>
    <w:rsid w:val="00C416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4160F"/>
    <w:rPr>
      <w:b/>
      <w:sz w:val="24"/>
      <w:lang w:val="de-DE"/>
    </w:rPr>
  </w:style>
  <w:style w:type="paragraph" w:customStyle="1" w:styleId="NormalBold12b">
    <w:name w:val="NormalBold12b"/>
    <w:basedOn w:val="Normal"/>
    <w:link w:val="NormalBold12bChar"/>
    <w:rsid w:val="00C4160F"/>
    <w:pPr>
      <w:spacing w:before="240"/>
    </w:pPr>
    <w:rPr>
      <w:b/>
    </w:rPr>
  </w:style>
  <w:style w:type="character" w:customStyle="1" w:styleId="NormalBold12bChar">
    <w:name w:val="NormalBold12b Char"/>
    <w:basedOn w:val="AmNumberTabsChar"/>
    <w:link w:val="NormalBold12b"/>
    <w:rsid w:val="00C4160F"/>
    <w:rPr>
      <w:b/>
      <w:sz w:val="24"/>
      <w:lang w:val="de-DE"/>
    </w:rPr>
  </w:style>
  <w:style w:type="paragraph" w:customStyle="1" w:styleId="EPBody">
    <w:name w:val="EPBody"/>
    <w:basedOn w:val="Normal"/>
    <w:uiPriority w:val="99"/>
    <w:rsid w:val="00C4160F"/>
    <w:pPr>
      <w:jc w:val="center"/>
    </w:pPr>
    <w:rPr>
      <w:rFonts w:ascii="Arial" w:hAnsi="Arial" w:cs="Arial"/>
      <w:i/>
      <w:sz w:val="22"/>
      <w:szCs w:val="22"/>
    </w:rPr>
  </w:style>
  <w:style w:type="paragraph" w:customStyle="1" w:styleId="AnnexWPLogo">
    <w:name w:val="AnnexWPLogo"/>
    <w:basedOn w:val="Normal"/>
    <w:uiPriority w:val="99"/>
    <w:rsid w:val="00C4160F"/>
    <w:pPr>
      <w:spacing w:before="120" w:after="120"/>
    </w:pPr>
  </w:style>
  <w:style w:type="paragraph" w:customStyle="1" w:styleId="EPFooter">
    <w:name w:val="EPFooter"/>
    <w:basedOn w:val="Normal"/>
    <w:uiPriority w:val="99"/>
    <w:rsid w:val="00C4160F"/>
    <w:pPr>
      <w:tabs>
        <w:tab w:val="center" w:pos="4535"/>
        <w:tab w:val="right" w:pos="9071"/>
      </w:tabs>
      <w:spacing w:before="240" w:after="240"/>
    </w:pPr>
    <w:rPr>
      <w:color w:val="010000"/>
      <w:sz w:val="22"/>
    </w:rPr>
  </w:style>
  <w:style w:type="paragraph" w:customStyle="1" w:styleId="EPComma">
    <w:name w:val="EPComma"/>
    <w:basedOn w:val="Normal"/>
    <w:uiPriority w:val="99"/>
    <w:rsid w:val="00C4160F"/>
    <w:pPr>
      <w:spacing w:before="480" w:after="240"/>
    </w:pPr>
  </w:style>
  <w:style w:type="paragraph" w:customStyle="1" w:styleId="Lgendesigne">
    <w:name w:val="Légende signe"/>
    <w:basedOn w:val="Normal"/>
    <w:uiPriority w:val="99"/>
    <w:rsid w:val="00C4160F"/>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C4160F"/>
    <w:pPr>
      <w:spacing w:before="240" w:after="240"/>
    </w:pPr>
    <w:rPr>
      <w:b/>
      <w:i/>
      <w:snapToGrid w:val="0"/>
      <w:lang w:eastAsia="en-US"/>
    </w:rPr>
  </w:style>
  <w:style w:type="paragraph" w:customStyle="1" w:styleId="Lgendestandard">
    <w:name w:val="Légende standard"/>
    <w:basedOn w:val="Normal"/>
    <w:uiPriority w:val="99"/>
    <w:rsid w:val="00C4160F"/>
    <w:rPr>
      <w:sz w:val="18"/>
    </w:rPr>
  </w:style>
  <w:style w:type="paragraph" w:customStyle="1" w:styleId="msonormal0">
    <w:name w:val="msonormal"/>
    <w:basedOn w:val="Normal"/>
    <w:uiPriority w:val="99"/>
    <w:rsid w:val="00C4160F"/>
    <w:pPr>
      <w:widowControl/>
      <w:spacing w:before="100" w:beforeAutospacing="1" w:after="100" w:afterAutospacing="1"/>
    </w:pPr>
    <w:rPr>
      <w:szCs w:val="24"/>
    </w:rPr>
  </w:style>
  <w:style w:type="paragraph" w:styleId="Footer">
    <w:name w:val="footer"/>
    <w:link w:val="FooterChar"/>
    <w:uiPriority w:val="99"/>
    <w:unhideWhenUsed/>
    <w:rsid w:val="00C4160F"/>
    <w:pPr>
      <w:tabs>
        <w:tab w:val="center" w:pos="4536"/>
        <w:tab w:val="right" w:pos="9072"/>
      </w:tabs>
      <w:spacing w:before="240" w:after="240" w:line="220" w:lineRule="auto"/>
    </w:pPr>
    <w:rPr>
      <w:sz w:val="22"/>
      <w:lang w:val="de-DE"/>
    </w:rPr>
  </w:style>
  <w:style w:type="character" w:customStyle="1" w:styleId="FooterChar">
    <w:name w:val="Footer Char"/>
    <w:basedOn w:val="DefaultParagraphFont"/>
    <w:link w:val="Footer"/>
    <w:uiPriority w:val="99"/>
    <w:rsid w:val="00C4160F"/>
    <w:rPr>
      <w:sz w:val="22"/>
      <w:lang w:val="de-DE"/>
    </w:rPr>
  </w:style>
  <w:style w:type="character" w:customStyle="1" w:styleId="Normal12Char">
    <w:name w:val="Normal12 Char"/>
    <w:link w:val="Normal12"/>
    <w:locked/>
    <w:rsid w:val="00C4160F"/>
    <w:rPr>
      <w:noProof/>
      <w:sz w:val="24"/>
    </w:rPr>
  </w:style>
  <w:style w:type="paragraph" w:customStyle="1" w:styleId="Normal12">
    <w:name w:val="Normal12"/>
    <w:basedOn w:val="Normal"/>
    <w:link w:val="Normal12Char"/>
    <w:rsid w:val="00C4160F"/>
    <w:pPr>
      <w:spacing w:after="240"/>
    </w:pPr>
    <w:rPr>
      <w:noProof/>
      <w:lang w:val="en-GB"/>
    </w:rPr>
  </w:style>
  <w:style w:type="paragraph" w:customStyle="1" w:styleId="CommitteeAM">
    <w:name w:val="CommitteeAM"/>
    <w:basedOn w:val="Normal"/>
    <w:uiPriority w:val="99"/>
    <w:rsid w:val="00C4160F"/>
    <w:pPr>
      <w:spacing w:before="240" w:after="600"/>
      <w:jc w:val="center"/>
    </w:pPr>
    <w:rPr>
      <w:i/>
    </w:rPr>
  </w:style>
  <w:style w:type="paragraph" w:customStyle="1" w:styleId="ZDateAM">
    <w:name w:val="ZDateAM"/>
    <w:basedOn w:val="Normal"/>
    <w:uiPriority w:val="99"/>
    <w:rsid w:val="00C4160F"/>
    <w:pPr>
      <w:tabs>
        <w:tab w:val="right" w:pos="9356"/>
      </w:tabs>
      <w:spacing w:after="480"/>
    </w:pPr>
    <w:rPr>
      <w:noProof/>
    </w:rPr>
  </w:style>
  <w:style w:type="paragraph" w:customStyle="1" w:styleId="ProjRap">
    <w:name w:val="ProjRap"/>
    <w:basedOn w:val="Normal"/>
    <w:uiPriority w:val="99"/>
    <w:rsid w:val="00C4160F"/>
    <w:pPr>
      <w:tabs>
        <w:tab w:val="right" w:pos="9356"/>
      </w:tabs>
    </w:pPr>
    <w:rPr>
      <w:b/>
      <w:noProof/>
    </w:rPr>
  </w:style>
  <w:style w:type="paragraph" w:customStyle="1" w:styleId="PELeft">
    <w:name w:val="PELeft"/>
    <w:basedOn w:val="Normal"/>
    <w:uiPriority w:val="99"/>
    <w:rsid w:val="00C4160F"/>
    <w:pPr>
      <w:spacing w:before="40" w:after="40"/>
    </w:pPr>
    <w:rPr>
      <w:rFonts w:ascii="Arial" w:hAnsi="Arial" w:cs="Arial"/>
      <w:sz w:val="22"/>
      <w:szCs w:val="22"/>
    </w:rPr>
  </w:style>
  <w:style w:type="paragraph" w:customStyle="1" w:styleId="PERight">
    <w:name w:val="PERight"/>
    <w:basedOn w:val="Normal"/>
    <w:next w:val="Normal"/>
    <w:uiPriority w:val="99"/>
    <w:rsid w:val="00C4160F"/>
    <w:pPr>
      <w:jc w:val="right"/>
    </w:pPr>
    <w:rPr>
      <w:rFonts w:ascii="Arial" w:hAnsi="Arial" w:cs="Arial"/>
      <w:sz w:val="22"/>
      <w:szCs w:val="22"/>
    </w:rPr>
  </w:style>
  <w:style w:type="character" w:customStyle="1" w:styleId="Normal6Char">
    <w:name w:val="Normal6 Char"/>
    <w:link w:val="Normal6"/>
    <w:locked/>
    <w:rsid w:val="00C4160F"/>
    <w:rPr>
      <w:sz w:val="24"/>
      <w:lang w:val="de-DE"/>
    </w:rPr>
  </w:style>
  <w:style w:type="paragraph" w:customStyle="1" w:styleId="Normal6">
    <w:name w:val="Normal6"/>
    <w:basedOn w:val="Normal"/>
    <w:link w:val="Normal6Char"/>
    <w:rsid w:val="00C4160F"/>
    <w:pPr>
      <w:spacing w:after="120"/>
    </w:pPr>
  </w:style>
  <w:style w:type="paragraph" w:customStyle="1" w:styleId="Normal12Italic">
    <w:name w:val="Normal12Italic"/>
    <w:basedOn w:val="Normal12"/>
    <w:uiPriority w:val="99"/>
    <w:rsid w:val="00C4160F"/>
    <w:rPr>
      <w:i/>
    </w:rPr>
  </w:style>
  <w:style w:type="paragraph" w:customStyle="1" w:styleId="JustificationTitle">
    <w:name w:val="JustificationTitle"/>
    <w:basedOn w:val="Normal"/>
    <w:next w:val="Normal12"/>
    <w:uiPriority w:val="99"/>
    <w:rsid w:val="00C4160F"/>
    <w:pPr>
      <w:keepNext/>
      <w:spacing w:before="240" w:after="240"/>
      <w:jc w:val="center"/>
    </w:pPr>
    <w:rPr>
      <w:i/>
      <w:noProof/>
    </w:rPr>
  </w:style>
  <w:style w:type="paragraph" w:customStyle="1" w:styleId="Olang">
    <w:name w:val="Olang"/>
    <w:basedOn w:val="Normal"/>
    <w:uiPriority w:val="99"/>
    <w:rsid w:val="00C4160F"/>
    <w:pPr>
      <w:spacing w:before="240" w:after="240"/>
      <w:jc w:val="right"/>
    </w:pPr>
    <w:rPr>
      <w:noProof/>
      <w:szCs w:val="24"/>
    </w:rPr>
  </w:style>
  <w:style w:type="paragraph" w:customStyle="1" w:styleId="ColumnHeading">
    <w:name w:val="ColumnHeading"/>
    <w:basedOn w:val="Normal"/>
    <w:uiPriority w:val="99"/>
    <w:rsid w:val="00C4160F"/>
    <w:pPr>
      <w:spacing w:after="240"/>
      <w:jc w:val="center"/>
    </w:pPr>
    <w:rPr>
      <w:i/>
    </w:rPr>
  </w:style>
  <w:style w:type="paragraph" w:customStyle="1" w:styleId="AMNumberTabs0">
    <w:name w:val="AMNumberTabs"/>
    <w:basedOn w:val="Normal"/>
    <w:uiPriority w:val="99"/>
    <w:rsid w:val="00C416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uiPriority w:val="99"/>
    <w:rsid w:val="00C4160F"/>
    <w:pPr>
      <w:spacing w:before="240"/>
      <w:jc w:val="center"/>
    </w:pPr>
    <w:rPr>
      <w:i/>
    </w:rPr>
  </w:style>
  <w:style w:type="paragraph" w:customStyle="1" w:styleId="Footer2">
    <w:name w:val="Footer2"/>
    <w:basedOn w:val="Normal12"/>
    <w:uiPriority w:val="99"/>
    <w:rsid w:val="00C4160F"/>
    <w:pPr>
      <w:tabs>
        <w:tab w:val="center" w:pos="4535"/>
        <w:tab w:val="right" w:pos="9923"/>
      </w:tabs>
      <w:spacing w:line="480" w:lineRule="auto"/>
      <w:ind w:left="-851"/>
    </w:pPr>
    <w:rPr>
      <w:rFonts w:ascii="Arial" w:cs="Arial"/>
      <w:b/>
      <w:sz w:val="48"/>
    </w:rPr>
  </w:style>
  <w:style w:type="character" w:customStyle="1" w:styleId="Footer2Middle">
    <w:name w:val="Footer2Middle"/>
    <w:rsid w:val="00C4160F"/>
    <w:rPr>
      <w:rFonts w:ascii="Arial" w:hAnsi="Arial" w:cs="Arial" w:hint="default"/>
      <w:b w:val="0"/>
      <w:bCs w:val="0"/>
      <w:i/>
      <w:iCs w:val="0"/>
      <w:color w:val="C0C0C0"/>
      <w:sz w:val="22"/>
    </w:rPr>
  </w:style>
  <w:style w:type="paragraph" w:customStyle="1" w:styleId="EntPE">
    <w:name w:val="EntPE"/>
    <w:basedOn w:val="Normal12"/>
    <w:uiPriority w:val="99"/>
    <w:rsid w:val="00C4160F"/>
    <w:pPr>
      <w:jc w:val="center"/>
    </w:pPr>
    <w:rPr>
      <w:noProof w:val="0"/>
      <w:sz w:val="56"/>
    </w:rPr>
  </w:style>
  <w:style w:type="character" w:styleId="CommentReference">
    <w:name w:val="annotation reference"/>
    <w:basedOn w:val="DefaultParagraphFont"/>
    <w:rsid w:val="00C4160F"/>
    <w:rPr>
      <w:sz w:val="16"/>
      <w:szCs w:val="16"/>
    </w:rPr>
  </w:style>
  <w:style w:type="paragraph" w:styleId="CommentText">
    <w:name w:val="annotation text"/>
    <w:basedOn w:val="Normal"/>
    <w:link w:val="CommentTextChar"/>
    <w:uiPriority w:val="99"/>
    <w:rsid w:val="00C4160F"/>
    <w:rPr>
      <w:sz w:val="20"/>
    </w:rPr>
  </w:style>
  <w:style w:type="character" w:customStyle="1" w:styleId="CommentTextChar">
    <w:name w:val="Comment Text Char"/>
    <w:basedOn w:val="DefaultParagraphFont"/>
    <w:link w:val="CommentText"/>
    <w:uiPriority w:val="99"/>
    <w:rsid w:val="00C4160F"/>
    <w:rPr>
      <w:lang w:val="de-DE"/>
    </w:rPr>
  </w:style>
  <w:style w:type="paragraph" w:styleId="CommentSubject">
    <w:name w:val="annotation subject"/>
    <w:basedOn w:val="CommentText"/>
    <w:next w:val="CommentText"/>
    <w:link w:val="CommentSubjectChar"/>
    <w:uiPriority w:val="99"/>
    <w:unhideWhenUsed/>
    <w:rsid w:val="00C4160F"/>
    <w:rPr>
      <w:b/>
      <w:bCs/>
    </w:rPr>
  </w:style>
  <w:style w:type="character" w:customStyle="1" w:styleId="CommentSubjectChar">
    <w:name w:val="Comment Subject Char"/>
    <w:basedOn w:val="CommentTextChar"/>
    <w:link w:val="CommentSubject"/>
    <w:uiPriority w:val="99"/>
    <w:rsid w:val="00C4160F"/>
    <w:rPr>
      <w:b/>
      <w:bCs/>
      <w:lang w:val="de-DE"/>
    </w:rPr>
  </w:style>
  <w:style w:type="paragraph" w:styleId="BalloonText">
    <w:name w:val="Balloon Text"/>
    <w:basedOn w:val="Normal"/>
    <w:link w:val="BalloonTextChar"/>
    <w:uiPriority w:val="99"/>
    <w:unhideWhenUsed/>
    <w:rsid w:val="00C4160F"/>
    <w:rPr>
      <w:rFonts w:ascii="Segoe UI" w:hAnsi="Segoe UI" w:cs="Segoe UI"/>
      <w:sz w:val="18"/>
      <w:szCs w:val="18"/>
    </w:rPr>
  </w:style>
  <w:style w:type="character" w:customStyle="1" w:styleId="BalloonTextChar">
    <w:name w:val="Balloon Text Char"/>
    <w:basedOn w:val="DefaultParagraphFont"/>
    <w:link w:val="BalloonText"/>
    <w:uiPriority w:val="99"/>
    <w:rsid w:val="00C4160F"/>
    <w:rPr>
      <w:rFonts w:ascii="Segoe UI" w:hAnsi="Segoe UI" w:cs="Segoe UI"/>
      <w:sz w:val="18"/>
      <w:szCs w:val="18"/>
      <w:lang w:val="de-DE"/>
    </w:rPr>
  </w:style>
  <w:style w:type="paragraph" w:styleId="ListParagraph">
    <w:name w:val="List Paragraph"/>
    <w:basedOn w:val="Normal"/>
    <w:uiPriority w:val="34"/>
    <w:qFormat/>
    <w:rsid w:val="00C4160F"/>
    <w:pPr>
      <w:widowControl/>
      <w:ind w:left="720"/>
      <w:contextualSpacing/>
      <w:jc w:val="both"/>
    </w:pPr>
    <w:rPr>
      <w:rFonts w:eastAsiaTheme="minorHAnsi"/>
      <w:szCs w:val="24"/>
      <w:lang w:eastAsia="en-US"/>
    </w:rPr>
  </w:style>
  <w:style w:type="paragraph" w:customStyle="1" w:styleId="PageHeadingNotTOC">
    <w:name w:val="PageHeadingNotTOC"/>
    <w:basedOn w:val="Normal"/>
    <w:uiPriority w:val="99"/>
    <w:rsid w:val="00C4160F"/>
    <w:pPr>
      <w:keepNext/>
      <w:spacing w:after="480"/>
      <w:jc w:val="center"/>
    </w:pPr>
    <w:rPr>
      <w:rFonts w:ascii="Arial" w:hAnsi="Arial" w:cs="Arial"/>
      <w:b/>
    </w:rPr>
  </w:style>
  <w:style w:type="paragraph" w:customStyle="1" w:styleId="AmHeadingPA">
    <w:name w:val="AmHeadingPA"/>
    <w:basedOn w:val="Normal"/>
    <w:next w:val="Normal"/>
    <w:uiPriority w:val="99"/>
    <w:rsid w:val="00C4160F"/>
    <w:pPr>
      <w:spacing w:before="480" w:after="240"/>
      <w:jc w:val="center"/>
    </w:pPr>
    <w:rPr>
      <w:rFonts w:ascii="Arial" w:hAnsi="Arial"/>
      <w:b/>
      <w:caps/>
      <w:snapToGrid w:val="0"/>
      <w:szCs w:val="24"/>
      <w:lang w:eastAsia="en-US"/>
    </w:rPr>
  </w:style>
  <w:style w:type="character" w:customStyle="1" w:styleId="Sup">
    <w:name w:val="Sup"/>
    <w:uiPriority w:val="1"/>
    <w:qFormat/>
    <w:rsid w:val="00C4160F"/>
    <w:rPr>
      <w:vertAlign w:val="superscript"/>
    </w:rPr>
  </w:style>
  <w:style w:type="character" w:styleId="Hyperlink">
    <w:name w:val="Hyperlink"/>
    <w:basedOn w:val="DefaultParagraphFont"/>
    <w:rsid w:val="00C4160F"/>
    <w:rPr>
      <w:color w:val="0563C1" w:themeColor="hyperlink"/>
      <w:u w:val="single"/>
    </w:rPr>
  </w:style>
  <w:style w:type="paragraph" w:customStyle="1" w:styleId="LetterSalutation">
    <w:name w:val="LetterSalutation"/>
    <w:basedOn w:val="Normal"/>
    <w:uiPriority w:val="99"/>
    <w:rsid w:val="00C4160F"/>
    <w:pPr>
      <w:spacing w:before="600" w:after="360"/>
    </w:pPr>
  </w:style>
  <w:style w:type="paragraph" w:customStyle="1" w:styleId="LetterSubject">
    <w:name w:val="LetterSubject"/>
    <w:basedOn w:val="Normal"/>
    <w:uiPriority w:val="99"/>
    <w:rsid w:val="00C4160F"/>
    <w:pPr>
      <w:spacing w:before="480"/>
      <w:ind w:left="1134" w:hanging="1134"/>
    </w:pPr>
  </w:style>
  <w:style w:type="paragraph" w:customStyle="1" w:styleId="Normal24a">
    <w:name w:val="Normal24a"/>
    <w:basedOn w:val="Normal"/>
    <w:link w:val="Normal24aChar"/>
    <w:rsid w:val="00C4160F"/>
    <w:pPr>
      <w:spacing w:after="480"/>
    </w:pPr>
  </w:style>
  <w:style w:type="character" w:customStyle="1" w:styleId="Normal24aChar">
    <w:name w:val="Normal24a Char"/>
    <w:basedOn w:val="DefaultParagraphFont"/>
    <w:link w:val="Normal24a"/>
    <w:rsid w:val="00C4160F"/>
    <w:rPr>
      <w:sz w:val="24"/>
      <w:lang w:val="de-DE"/>
    </w:rPr>
  </w:style>
  <w:style w:type="paragraph" w:customStyle="1" w:styleId="CoverBold">
    <w:name w:val="CoverBold"/>
    <w:basedOn w:val="Normal"/>
    <w:uiPriority w:val="99"/>
    <w:rsid w:val="00C4160F"/>
    <w:pPr>
      <w:ind w:left="1417"/>
    </w:pPr>
    <w:rPr>
      <w:b/>
    </w:rPr>
  </w:style>
  <w:style w:type="paragraph" w:customStyle="1" w:styleId="Normal2">
    <w:name w:val="Normal2"/>
    <w:basedOn w:val="Normal"/>
    <w:uiPriority w:val="99"/>
    <w:qFormat/>
    <w:rsid w:val="00C4160F"/>
    <w:pPr>
      <w:spacing w:line="120" w:lineRule="auto"/>
    </w:pPr>
    <w:rPr>
      <w:sz w:val="4"/>
    </w:rPr>
  </w:style>
  <w:style w:type="paragraph" w:customStyle="1" w:styleId="NormalItalic6a">
    <w:name w:val="NormalItalic6a"/>
    <w:basedOn w:val="Normal6a"/>
    <w:uiPriority w:val="99"/>
    <w:qFormat/>
    <w:rsid w:val="00C4160F"/>
    <w:rPr>
      <w:i/>
    </w:rPr>
  </w:style>
  <w:style w:type="paragraph" w:customStyle="1" w:styleId="NormalBoldItalic6a">
    <w:name w:val="NormalBoldItalic6a"/>
    <w:basedOn w:val="Normal6a"/>
    <w:uiPriority w:val="99"/>
    <w:qFormat/>
    <w:rsid w:val="00C4160F"/>
    <w:rPr>
      <w:b/>
      <w:i/>
    </w:rPr>
  </w:style>
  <w:style w:type="paragraph" w:customStyle="1" w:styleId="NormalBoldItalicCenter6a">
    <w:name w:val="NormalBoldItalicCenter6a"/>
    <w:basedOn w:val="Normal6a"/>
    <w:uiPriority w:val="99"/>
    <w:qFormat/>
    <w:rsid w:val="00C4160F"/>
    <w:pPr>
      <w:jc w:val="center"/>
    </w:pPr>
    <w:rPr>
      <w:b/>
      <w:i/>
    </w:rPr>
  </w:style>
  <w:style w:type="paragraph" w:customStyle="1" w:styleId="AnnexRight">
    <w:name w:val="AnnexRight"/>
    <w:basedOn w:val="Normal"/>
    <w:uiPriority w:val="99"/>
    <w:rsid w:val="00C4160F"/>
    <w:pPr>
      <w:spacing w:after="480"/>
      <w:jc w:val="right"/>
    </w:pPr>
  </w:style>
  <w:style w:type="paragraph" w:customStyle="1" w:styleId="RollCallSymbols14pt">
    <w:name w:val="RollCallSymbols14pt"/>
    <w:basedOn w:val="Normal"/>
    <w:uiPriority w:val="99"/>
    <w:rsid w:val="00C4160F"/>
    <w:pPr>
      <w:spacing w:before="120" w:after="120"/>
      <w:jc w:val="center"/>
    </w:pPr>
    <w:rPr>
      <w:rFonts w:ascii="Arial" w:hAnsi="Arial"/>
      <w:b/>
      <w:bCs/>
      <w:snapToGrid w:val="0"/>
      <w:sz w:val="28"/>
      <w:lang w:eastAsia="en-US"/>
    </w:rPr>
  </w:style>
  <w:style w:type="paragraph" w:customStyle="1" w:styleId="RollCallTabs">
    <w:name w:val="RollCallTabs"/>
    <w:basedOn w:val="Normal"/>
    <w:uiPriority w:val="99"/>
    <w:qFormat/>
    <w:rsid w:val="00C4160F"/>
    <w:pPr>
      <w:tabs>
        <w:tab w:val="center" w:pos="284"/>
        <w:tab w:val="left" w:pos="426"/>
      </w:tabs>
    </w:pPr>
    <w:rPr>
      <w:snapToGrid w:val="0"/>
      <w:lang w:eastAsia="en-US"/>
    </w:rPr>
  </w:style>
  <w:style w:type="paragraph" w:customStyle="1" w:styleId="RollCallVotes">
    <w:name w:val="RollCallVotes"/>
    <w:basedOn w:val="Normal"/>
    <w:uiPriority w:val="99"/>
    <w:rsid w:val="00C4160F"/>
    <w:pPr>
      <w:spacing w:before="120" w:after="120"/>
      <w:jc w:val="center"/>
    </w:pPr>
    <w:rPr>
      <w:b/>
      <w:bCs/>
      <w:snapToGrid w:val="0"/>
      <w:sz w:val="16"/>
      <w:lang w:eastAsia="en-US"/>
    </w:rPr>
  </w:style>
  <w:style w:type="paragraph" w:customStyle="1" w:styleId="RollCallTable">
    <w:name w:val="RollCallTable"/>
    <w:basedOn w:val="Normal"/>
    <w:uiPriority w:val="99"/>
    <w:rsid w:val="00C4160F"/>
    <w:pPr>
      <w:spacing w:before="120" w:after="120"/>
    </w:pPr>
    <w:rPr>
      <w:snapToGrid w:val="0"/>
      <w:sz w:val="16"/>
      <w:lang w:eastAsia="en-US"/>
    </w:rPr>
  </w:style>
  <w:style w:type="character" w:styleId="FollowedHyperlink">
    <w:name w:val="FollowedHyperlink"/>
    <w:basedOn w:val="DefaultParagraphFont"/>
    <w:unhideWhenUsed/>
    <w:rsid w:val="00C4160F"/>
    <w:rPr>
      <w:color w:val="954F72" w:themeColor="followedHyperlink"/>
      <w:u w:val="single"/>
    </w:rPr>
  </w:style>
  <w:style w:type="paragraph" w:styleId="NormalWeb">
    <w:name w:val="Normal (Web)"/>
    <w:basedOn w:val="Normal"/>
    <w:uiPriority w:val="99"/>
    <w:unhideWhenUsed/>
    <w:rsid w:val="007C487F"/>
    <w:pPr>
      <w:widowControl/>
      <w:spacing w:before="100" w:beforeAutospacing="1" w:after="100" w:afterAutospacing="1"/>
    </w:pPr>
    <w:rPr>
      <w:szCs w:val="24"/>
      <w:lang w:val="en-GB" w:eastAsia="zh-TW"/>
    </w:rPr>
  </w:style>
  <w:style w:type="paragraph" w:customStyle="1" w:styleId="AmDocTypeTab">
    <w:name w:val="AmDocTypeTab"/>
    <w:basedOn w:val="Normal"/>
    <w:uiPriority w:val="99"/>
    <w:rsid w:val="007C487F"/>
    <w:pPr>
      <w:tabs>
        <w:tab w:val="right" w:pos="9072"/>
      </w:tabs>
    </w:pPr>
    <w:rPr>
      <w:b/>
    </w:rPr>
  </w:style>
  <w:style w:type="paragraph" w:customStyle="1" w:styleId="NormalCenter12a">
    <w:name w:val="NormalCenter12a"/>
    <w:basedOn w:val="Normal"/>
    <w:uiPriority w:val="99"/>
    <w:rsid w:val="007C487F"/>
    <w:pPr>
      <w:spacing w:after="240"/>
      <w:jc w:val="center"/>
    </w:pPr>
  </w:style>
  <w:style w:type="paragraph" w:customStyle="1" w:styleId="AmDateTab">
    <w:name w:val="AmDateTab"/>
    <w:basedOn w:val="Normal"/>
    <w:uiPriority w:val="99"/>
    <w:rsid w:val="007C487F"/>
    <w:pPr>
      <w:tabs>
        <w:tab w:val="right" w:pos="9072"/>
      </w:tabs>
    </w:pPr>
  </w:style>
  <w:style w:type="paragraph" w:customStyle="1" w:styleId="AmHeadingConsam">
    <w:name w:val="AmHeadingConsam"/>
    <w:basedOn w:val="Normal"/>
    <w:next w:val="NormalCenter12a"/>
    <w:uiPriority w:val="99"/>
    <w:rsid w:val="007C487F"/>
    <w:pPr>
      <w:spacing w:before="720" w:after="240"/>
      <w:jc w:val="center"/>
    </w:pPr>
  </w:style>
  <w:style w:type="character" w:customStyle="1" w:styleId="TitleChar">
    <w:name w:val="Title Char"/>
    <w:basedOn w:val="DefaultParagraphFont"/>
    <w:link w:val="Title"/>
    <w:uiPriority w:val="10"/>
    <w:rsid w:val="007C487F"/>
    <w:rPr>
      <w:rFonts w:ascii="Arial" w:eastAsiaTheme="majorEastAsia" w:hAnsi="Arial" w:cs="Arial"/>
      <w:b/>
      <w:bCs/>
      <w:kern w:val="28"/>
      <w:sz w:val="32"/>
      <w:szCs w:val="32"/>
      <w:lang w:val="de-DE" w:eastAsia="en-US"/>
    </w:rPr>
  </w:style>
  <w:style w:type="paragraph" w:styleId="Title">
    <w:name w:val="Title"/>
    <w:basedOn w:val="Normal"/>
    <w:next w:val="Normal"/>
    <w:link w:val="TitleChar"/>
    <w:uiPriority w:val="10"/>
    <w:qFormat/>
    <w:rsid w:val="007C487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1">
    <w:name w:val="Title Char1"/>
    <w:basedOn w:val="DefaultParagraphFont"/>
    <w:uiPriority w:val="10"/>
    <w:rsid w:val="007C487F"/>
    <w:rPr>
      <w:rFonts w:asciiTheme="majorHAnsi" w:eastAsiaTheme="majorEastAsia" w:hAnsiTheme="majorHAnsi" w:cstheme="majorBidi"/>
      <w:spacing w:val="-10"/>
      <w:kern w:val="28"/>
      <w:sz w:val="56"/>
      <w:szCs w:val="56"/>
      <w:lang w:val="de-DE"/>
    </w:rPr>
  </w:style>
  <w:style w:type="character" w:customStyle="1" w:styleId="SubtitleChar">
    <w:name w:val="Subtitle Char"/>
    <w:basedOn w:val="DefaultParagraphFont"/>
    <w:link w:val="Subtitle"/>
    <w:uiPriority w:val="11"/>
    <w:rsid w:val="007C487F"/>
    <w:rPr>
      <w:rFonts w:ascii="Arial" w:eastAsiaTheme="majorEastAsia" w:hAnsi="Arial" w:cs="Arial"/>
      <w:sz w:val="24"/>
      <w:szCs w:val="24"/>
      <w:lang w:val="de-DE" w:eastAsia="en-US"/>
    </w:rPr>
  </w:style>
  <w:style w:type="paragraph" w:styleId="Subtitle">
    <w:name w:val="Subtitle"/>
    <w:basedOn w:val="Normal"/>
    <w:next w:val="Normal"/>
    <w:link w:val="SubtitleChar"/>
    <w:uiPriority w:val="11"/>
    <w:qFormat/>
    <w:rsid w:val="007C487F"/>
    <w:pPr>
      <w:widowControl/>
      <w:spacing w:after="60"/>
      <w:jc w:val="center"/>
      <w:outlineLvl w:val="1"/>
    </w:pPr>
    <w:rPr>
      <w:rFonts w:ascii="Arial" w:eastAsiaTheme="majorEastAsia" w:hAnsi="Arial" w:cs="Arial"/>
      <w:szCs w:val="24"/>
      <w:lang w:eastAsia="en-US"/>
    </w:rPr>
  </w:style>
  <w:style w:type="character" w:customStyle="1" w:styleId="SubtitleChar1">
    <w:name w:val="Subtitle Char1"/>
    <w:basedOn w:val="DefaultParagraphFont"/>
    <w:uiPriority w:val="11"/>
    <w:rsid w:val="007C487F"/>
    <w:rPr>
      <w:rFonts w:asciiTheme="minorHAnsi" w:eastAsiaTheme="minorEastAsia" w:hAnsiTheme="minorHAnsi" w:cstheme="minorBidi"/>
      <w:color w:val="5A5A5A" w:themeColor="text1" w:themeTint="A5"/>
      <w:spacing w:val="15"/>
      <w:sz w:val="22"/>
      <w:szCs w:val="22"/>
      <w:lang w:val="de-DE"/>
    </w:rPr>
  </w:style>
  <w:style w:type="character" w:customStyle="1" w:styleId="QuoteChar">
    <w:name w:val="Quote Char"/>
    <w:basedOn w:val="DefaultParagraphFont"/>
    <w:link w:val="Quote"/>
    <w:uiPriority w:val="29"/>
    <w:rsid w:val="007C487F"/>
    <w:rPr>
      <w:rFonts w:eastAsiaTheme="minorHAnsi"/>
      <w:i/>
      <w:sz w:val="24"/>
      <w:szCs w:val="24"/>
      <w:lang w:val="de-DE" w:eastAsia="en-US"/>
    </w:rPr>
  </w:style>
  <w:style w:type="paragraph" w:styleId="Quote">
    <w:name w:val="Quote"/>
    <w:basedOn w:val="Normal"/>
    <w:next w:val="Normal"/>
    <w:link w:val="QuoteChar"/>
    <w:uiPriority w:val="29"/>
    <w:qFormat/>
    <w:rsid w:val="007C487F"/>
    <w:pPr>
      <w:widowControl/>
      <w:jc w:val="both"/>
    </w:pPr>
    <w:rPr>
      <w:rFonts w:eastAsiaTheme="minorHAnsi"/>
      <w:i/>
      <w:szCs w:val="24"/>
      <w:lang w:eastAsia="en-US"/>
    </w:rPr>
  </w:style>
  <w:style w:type="character" w:customStyle="1" w:styleId="QuoteChar1">
    <w:name w:val="Quote Char1"/>
    <w:basedOn w:val="DefaultParagraphFont"/>
    <w:uiPriority w:val="29"/>
    <w:rsid w:val="007C487F"/>
    <w:rPr>
      <w:i/>
      <w:iCs/>
      <w:color w:val="404040" w:themeColor="text1" w:themeTint="BF"/>
      <w:sz w:val="24"/>
      <w:lang w:val="de-DE"/>
    </w:rPr>
  </w:style>
  <w:style w:type="character" w:customStyle="1" w:styleId="IntenseQuoteChar">
    <w:name w:val="Intense Quote Char"/>
    <w:basedOn w:val="DefaultParagraphFont"/>
    <w:link w:val="IntenseQuote"/>
    <w:uiPriority w:val="30"/>
    <w:rsid w:val="007C487F"/>
    <w:rPr>
      <w:rFonts w:eastAsiaTheme="minorHAnsi"/>
      <w:b/>
      <w:i/>
      <w:sz w:val="24"/>
      <w:szCs w:val="22"/>
      <w:lang w:val="de-DE" w:eastAsia="en-US"/>
    </w:rPr>
  </w:style>
  <w:style w:type="paragraph" w:styleId="IntenseQuote">
    <w:name w:val="Intense Quote"/>
    <w:basedOn w:val="Normal"/>
    <w:next w:val="Normal"/>
    <w:link w:val="IntenseQuoteChar"/>
    <w:uiPriority w:val="30"/>
    <w:qFormat/>
    <w:rsid w:val="007C487F"/>
    <w:pPr>
      <w:widowControl/>
      <w:ind w:left="720" w:right="720"/>
      <w:jc w:val="both"/>
    </w:pPr>
    <w:rPr>
      <w:rFonts w:eastAsiaTheme="minorHAnsi"/>
      <w:b/>
      <w:i/>
      <w:szCs w:val="22"/>
      <w:lang w:eastAsia="en-US"/>
    </w:rPr>
  </w:style>
  <w:style w:type="character" w:customStyle="1" w:styleId="IntenseQuoteChar1">
    <w:name w:val="Intense Quote Char1"/>
    <w:basedOn w:val="DefaultParagraphFont"/>
    <w:uiPriority w:val="30"/>
    <w:rsid w:val="007C487F"/>
    <w:rPr>
      <w:i/>
      <w:iCs/>
      <w:color w:val="5B9BD5" w:themeColor="accent1"/>
      <w:sz w:val="24"/>
      <w:lang w:val="de-DE"/>
    </w:rPr>
  </w:style>
  <w:style w:type="character" w:customStyle="1" w:styleId="CommentTextChar1">
    <w:name w:val="Comment Text Char1"/>
    <w:basedOn w:val="DefaultParagraphFont"/>
    <w:semiHidden/>
    <w:rsid w:val="007C487F"/>
    <w:rPr>
      <w:lang w:val="de-DE"/>
    </w:rPr>
  </w:style>
  <w:style w:type="character" w:customStyle="1" w:styleId="CommentSubjectChar1">
    <w:name w:val="Comment Subject Char1"/>
    <w:basedOn w:val="CommentTextChar1"/>
    <w:semiHidden/>
    <w:rsid w:val="007C487F"/>
    <w:rPr>
      <w:b/>
      <w:bCs/>
      <w:lang w:val="de-DE"/>
    </w:rPr>
  </w:style>
  <w:style w:type="character" w:customStyle="1" w:styleId="BalloonTextChar1">
    <w:name w:val="Balloon Text Char1"/>
    <w:basedOn w:val="DefaultParagraphFont"/>
    <w:semiHidden/>
    <w:rsid w:val="007C487F"/>
    <w:rPr>
      <w:rFonts w:ascii="Segoe UI" w:hAnsi="Segoe UI" w:cs="Segoe UI"/>
      <w:sz w:val="18"/>
      <w:szCs w:val="18"/>
      <w:lang w:val="de-DE"/>
    </w:rPr>
  </w:style>
  <w:style w:type="paragraph" w:customStyle="1" w:styleId="SectionTitle">
    <w:name w:val="SectionTitle"/>
    <w:basedOn w:val="Normal"/>
    <w:next w:val="Heading1"/>
    <w:uiPriority w:val="99"/>
    <w:rsid w:val="007C487F"/>
    <w:pPr>
      <w:keepNext/>
      <w:widowControl/>
      <w:spacing w:before="120" w:after="360"/>
      <w:jc w:val="center"/>
    </w:pPr>
    <w:rPr>
      <w:rFonts w:eastAsia="Calibri"/>
      <w:b/>
      <w:smallCaps/>
      <w:sz w:val="28"/>
      <w:szCs w:val="22"/>
      <w:lang w:eastAsia="en-US"/>
    </w:rPr>
  </w:style>
  <w:style w:type="paragraph" w:customStyle="1" w:styleId="Fait">
    <w:name w:val="Fait à"/>
    <w:basedOn w:val="Normal"/>
    <w:next w:val="Institutionquisigne"/>
    <w:uiPriority w:val="99"/>
    <w:rsid w:val="007C487F"/>
    <w:pPr>
      <w:keepNext/>
      <w:widowControl/>
      <w:spacing w:before="120"/>
      <w:jc w:val="both"/>
    </w:pPr>
    <w:rPr>
      <w:rFonts w:eastAsia="Calibri"/>
      <w:szCs w:val="22"/>
      <w:lang w:eastAsia="en-US"/>
    </w:rPr>
  </w:style>
  <w:style w:type="paragraph" w:customStyle="1" w:styleId="Institutionquisigne">
    <w:name w:val="Institution qui signe"/>
    <w:basedOn w:val="Normal"/>
    <w:next w:val="Normal"/>
    <w:uiPriority w:val="99"/>
    <w:rsid w:val="007C487F"/>
    <w:pPr>
      <w:keepNext/>
      <w:widowControl/>
      <w:tabs>
        <w:tab w:val="left" w:pos="4252"/>
      </w:tabs>
      <w:spacing w:before="720"/>
      <w:jc w:val="both"/>
    </w:pPr>
    <w:rPr>
      <w:rFonts w:eastAsia="Calibri"/>
      <w:i/>
      <w:szCs w:val="22"/>
      <w:lang w:eastAsia="en-US"/>
    </w:rPr>
  </w:style>
  <w:style w:type="character" w:styleId="Emphasis">
    <w:name w:val="Emphasis"/>
    <w:basedOn w:val="DefaultParagraphFont"/>
    <w:uiPriority w:val="20"/>
    <w:qFormat/>
    <w:rsid w:val="007C487F"/>
    <w:rPr>
      <w:rFonts w:asciiTheme="minorHAnsi" w:hAnsiTheme="minorHAnsi"/>
      <w:b/>
      <w:i/>
      <w:iCs/>
    </w:rPr>
  </w:style>
  <w:style w:type="paragraph" w:customStyle="1" w:styleId="HeadingDocType24a">
    <w:name w:val="HeadingDocType24a"/>
    <w:basedOn w:val="Normal"/>
    <w:rsid w:val="001D7C77"/>
    <w:pPr>
      <w:spacing w:after="480"/>
      <w:jc w:val="center"/>
    </w:pPr>
    <w:rPr>
      <w:rFonts w:ascii="Arial" w:hAnsi="Arial"/>
      <w:b/>
      <w:sz w:val="48"/>
    </w:rPr>
  </w:style>
  <w:style w:type="paragraph" w:customStyle="1" w:styleId="HeadingReferenceERCO">
    <w:name w:val="HeadingReferenceERCO"/>
    <w:basedOn w:val="Normal"/>
    <w:rsid w:val="001D7C77"/>
    <w:pPr>
      <w:spacing w:before="360" w:after="240"/>
      <w:jc w:val="right"/>
    </w:pPr>
    <w:rPr>
      <w:rFonts w:ascii="Arial" w:hAnsi="Arial"/>
      <w:b/>
    </w:rPr>
  </w:style>
  <w:style w:type="paragraph" w:customStyle="1" w:styleId="NormalCenter">
    <w:name w:val="NormalCenter"/>
    <w:basedOn w:val="Normal"/>
    <w:rsid w:val="001D7C77"/>
    <w:pPr>
      <w:jc w:val="center"/>
    </w:pPr>
  </w:style>
  <w:style w:type="paragraph" w:customStyle="1" w:styleId="LineSingle">
    <w:name w:val="LineSingle"/>
    <w:basedOn w:val="Normal"/>
    <w:next w:val="Normal"/>
    <w:rsid w:val="001D7C77"/>
    <w:pPr>
      <w:pBdr>
        <w:bottom w:val="single" w:sz="4" w:space="1" w:color="auto"/>
      </w:pBdr>
      <w:spacing w:after="240"/>
    </w:pPr>
  </w:style>
  <w:style w:type="paragraph" w:customStyle="1" w:styleId="HeadingDate">
    <w:name w:val="HeadingDate"/>
    <w:basedOn w:val="Normal"/>
    <w:rsid w:val="001D7C77"/>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218901">
      <w:bodyDiv w:val="1"/>
      <w:marLeft w:val="0"/>
      <w:marRight w:val="0"/>
      <w:marTop w:val="0"/>
      <w:marBottom w:val="0"/>
      <w:divBdr>
        <w:top w:val="none" w:sz="0" w:space="0" w:color="auto"/>
        <w:left w:val="none" w:sz="0" w:space="0" w:color="auto"/>
        <w:bottom w:val="none" w:sz="0" w:space="0" w:color="auto"/>
        <w:right w:val="none" w:sz="0" w:space="0" w:color="auto"/>
      </w:divBdr>
    </w:div>
    <w:div w:id="158002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2CEA7-B432-4151-A23D-FC96DA0C8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1242</Words>
  <Characters>8744</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EF_Start</cp:lastModifiedBy>
  <cp:revision>2</cp:revision>
  <cp:lastPrinted>2004-11-19T15:42:00Z</cp:lastPrinted>
  <dcterms:created xsi:type="dcterms:W3CDTF">2024-12-03T09:02:00Z</dcterms:created>
  <dcterms:modified xsi:type="dcterms:W3CDTF">2024-12-03T09:02:00Z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P9_TA(2024)0163_</vt:lpwstr>
  </property>
  <property fmtid="{D5CDD505-2E9C-101B-9397-08002B2CF9AE}" pid="4" name="&lt;Type&gt;">
    <vt:lpwstr>RR</vt:lpwstr>
  </property>
</Properties>
</file>