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A6CBA" w:rsidTr="0010095E">
        <w:trPr>
          <w:trHeight w:hRule="exact" w:val="1418"/>
        </w:trPr>
        <w:tc>
          <w:tcPr>
            <w:tcW w:w="6804" w:type="dxa"/>
            <w:shd w:val="clear" w:color="auto" w:fill="auto"/>
            <w:vAlign w:val="center"/>
          </w:tcPr>
          <w:p w:rsidR="00751A4A" w:rsidRPr="002A6CBA" w:rsidRDefault="00167B9E" w:rsidP="0010095E">
            <w:pPr>
              <w:pStyle w:val="EPName"/>
            </w:pPr>
            <w:r w:rsidRPr="002A6CBA">
              <w:t>Ευρωπαϊκό Κοινοβούλιο</w:t>
            </w:r>
          </w:p>
          <w:p w:rsidR="00751A4A" w:rsidRPr="002A6CBA" w:rsidRDefault="00817416" w:rsidP="00756632">
            <w:pPr>
              <w:pStyle w:val="EPTerm"/>
              <w:rPr>
                <w:rStyle w:val="HideTWBExt"/>
                <w:noProof w:val="0"/>
                <w:vanish w:val="0"/>
                <w:color w:val="auto"/>
              </w:rPr>
            </w:pPr>
            <w:r w:rsidRPr="002A6CBA">
              <w:t>2019-2024</w:t>
            </w:r>
          </w:p>
        </w:tc>
        <w:tc>
          <w:tcPr>
            <w:tcW w:w="2268" w:type="dxa"/>
            <w:shd w:val="clear" w:color="auto" w:fill="auto"/>
          </w:tcPr>
          <w:p w:rsidR="00751A4A" w:rsidRPr="002A6CBA" w:rsidRDefault="00187494" w:rsidP="0010095E">
            <w:pPr>
              <w:pStyle w:val="EPLogo"/>
            </w:pPr>
            <w:r w:rsidRPr="002A6CB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A6CBA" w:rsidRDefault="00D058B8" w:rsidP="004C5D52">
      <w:pPr>
        <w:pStyle w:val="LineTop"/>
      </w:pPr>
    </w:p>
    <w:p w:rsidR="00680577" w:rsidRPr="002A6CBA" w:rsidRDefault="00167B9E" w:rsidP="00680577">
      <w:pPr>
        <w:pStyle w:val="EPBodyTA1"/>
      </w:pPr>
      <w:r w:rsidRPr="002A6CBA">
        <w:t>ΚΕΙΜΕΝΑ ΠΟΥ ΕΓΚΡΙΘΗΚΑΝ</w:t>
      </w:r>
    </w:p>
    <w:p w:rsidR="00D058B8" w:rsidRPr="002A6CBA" w:rsidRDefault="00D058B8" w:rsidP="00D058B8">
      <w:pPr>
        <w:pStyle w:val="LineBottom"/>
      </w:pPr>
    </w:p>
    <w:p w:rsidR="00167B9E" w:rsidRPr="002A6CBA" w:rsidRDefault="00167B9E" w:rsidP="00167B9E">
      <w:pPr>
        <w:pStyle w:val="ATHeading1"/>
      </w:pPr>
      <w:bookmarkStart w:id="0" w:name="TANumber"/>
      <w:r w:rsidRPr="002A6CBA">
        <w:t>P9_TA(2024)0</w:t>
      </w:r>
      <w:r w:rsidR="007B70EF">
        <w:t>163</w:t>
      </w:r>
      <w:bookmarkEnd w:id="0"/>
    </w:p>
    <w:p w:rsidR="00167B9E" w:rsidRPr="002A6CBA" w:rsidRDefault="00141C57" w:rsidP="00141C57">
      <w:pPr>
        <w:pStyle w:val="ATHeading2"/>
      </w:pPr>
      <w:bookmarkStart w:id="1" w:name="title"/>
      <w:r w:rsidRPr="002A6CBA">
        <w:t>Δημοσιονομικοί κανόνες που εφαρμόζονται στον γενικό προϋπολογισμό της Ένωσης (αναδιατύπωση)</w:t>
      </w:r>
      <w:bookmarkEnd w:id="1"/>
    </w:p>
    <w:p w:rsidR="00167B9E" w:rsidRPr="002A6CBA" w:rsidRDefault="00167B9E" w:rsidP="00167B9E">
      <w:pPr>
        <w:rPr>
          <w:i/>
          <w:vanish/>
        </w:rPr>
      </w:pPr>
      <w:r w:rsidRPr="002A6CBA">
        <w:rPr>
          <w:i/>
        </w:rPr>
        <w:fldChar w:fldCharType="begin"/>
      </w:r>
      <w:r w:rsidRPr="002A6CBA">
        <w:rPr>
          <w:i/>
        </w:rPr>
        <w:instrText xml:space="preserve"> TC"(</w:instrText>
      </w:r>
      <w:bookmarkStart w:id="2" w:name="DocNumber"/>
      <w:r w:rsidRPr="002A6CBA">
        <w:rPr>
          <w:i/>
        </w:rPr>
        <w:instrText>A9-0180/2023</w:instrText>
      </w:r>
      <w:bookmarkEnd w:id="2"/>
      <w:r w:rsidRPr="002A6CBA">
        <w:rPr>
          <w:i/>
        </w:rPr>
        <w:instrText xml:space="preserve"> - Εισηγητές: </w:instrText>
      </w:r>
      <w:proofErr w:type="spellStart"/>
      <w:r w:rsidRPr="002A6CBA">
        <w:rPr>
          <w:i/>
        </w:rPr>
        <w:instrText>Nils</w:instrText>
      </w:r>
      <w:proofErr w:type="spellEnd"/>
      <w:r w:rsidRPr="002A6CBA">
        <w:rPr>
          <w:i/>
        </w:rPr>
        <w:instrText xml:space="preserve"> </w:instrText>
      </w:r>
      <w:proofErr w:type="spellStart"/>
      <w:r w:rsidRPr="002A6CBA">
        <w:rPr>
          <w:i/>
        </w:rPr>
        <w:instrText>Ušakovs</w:instrText>
      </w:r>
      <w:proofErr w:type="spellEnd"/>
      <w:r w:rsidRPr="002A6CBA">
        <w:rPr>
          <w:i/>
        </w:rPr>
        <w:instrText xml:space="preserve">, Monika </w:instrText>
      </w:r>
      <w:proofErr w:type="spellStart"/>
      <w:r w:rsidRPr="002A6CBA">
        <w:rPr>
          <w:i/>
        </w:rPr>
        <w:instrText>Hohlmeier</w:instrText>
      </w:r>
      <w:proofErr w:type="spellEnd"/>
      <w:r w:rsidRPr="002A6CBA">
        <w:rPr>
          <w:i/>
        </w:rPr>
        <w:instrText xml:space="preserve">)"\l3 \n&gt; \* MERGEFORMAT </w:instrText>
      </w:r>
      <w:r w:rsidRPr="002A6CBA">
        <w:rPr>
          <w:i/>
        </w:rPr>
        <w:fldChar w:fldCharType="end"/>
      </w:r>
    </w:p>
    <w:p w:rsidR="00167B9E" w:rsidRPr="002A6CBA" w:rsidRDefault="00167B9E" w:rsidP="00167B9E">
      <w:pPr>
        <w:rPr>
          <w:vanish/>
        </w:rPr>
      </w:pPr>
      <w:bookmarkStart w:id="3" w:name="Commission"/>
      <w:r w:rsidRPr="002A6CBA">
        <w:rPr>
          <w:vanish/>
        </w:rPr>
        <w:t>Επιτροπή Προϋπολογισμώ</w:t>
      </w:r>
      <w:r w:rsidR="00576C66" w:rsidRPr="002A6CBA">
        <w:rPr>
          <w:vanish/>
        </w:rPr>
        <w:t>ν, Επιτροπή Ελέγχου του Προϋπολογισμού</w:t>
      </w:r>
      <w:bookmarkEnd w:id="3"/>
    </w:p>
    <w:p w:rsidR="00167B9E" w:rsidRPr="002A6CBA" w:rsidRDefault="00167B9E" w:rsidP="00167B9E">
      <w:pPr>
        <w:rPr>
          <w:vanish/>
        </w:rPr>
      </w:pPr>
      <w:bookmarkStart w:id="4" w:name="PE"/>
      <w:r w:rsidRPr="002A6CBA">
        <w:rPr>
          <w:vanish/>
        </w:rPr>
        <w:t>PE740.802</w:t>
      </w:r>
      <w:bookmarkEnd w:id="4"/>
    </w:p>
    <w:p w:rsidR="00167B9E" w:rsidRPr="002A6CBA" w:rsidRDefault="00167B9E" w:rsidP="00167B9E">
      <w:pPr>
        <w:pStyle w:val="ATHeading3"/>
      </w:pPr>
      <w:bookmarkStart w:id="5" w:name="Sujet"/>
      <w:r w:rsidRPr="002A6CBA">
        <w:t xml:space="preserve">Νομοθετικό ψήφισμα του Ευρωπαϊκού Κοινοβουλίου </w:t>
      </w:r>
      <w:r w:rsidR="00E9324A" w:rsidRPr="002A6CBA">
        <w:t xml:space="preserve">της </w:t>
      </w:r>
      <w:r w:rsidR="00974C03" w:rsidRPr="002A6CBA">
        <w:t>14</w:t>
      </w:r>
      <w:r w:rsidR="00E9324A" w:rsidRPr="002A6CBA">
        <w:t xml:space="preserve">ης Μαρτίου 2024 </w:t>
      </w:r>
      <w:r w:rsidRPr="002A6CBA">
        <w:t>σχετικά με την πρόταση κανονισμού του Ευρωπαϊκού Κοινοβουλίου και του Συμβουλίου αναφορικά με τους δημοσιονομικούς κανόνες που εφαρμόζονται στον γενικό προϋπολογισμό της Ένωσης (αναδιατύπωση)</w:t>
      </w:r>
      <w:bookmarkEnd w:id="5"/>
      <w:r w:rsidRPr="002A6CBA">
        <w:t xml:space="preserve"> </w:t>
      </w:r>
      <w:bookmarkStart w:id="6" w:name="References"/>
      <w:r w:rsidRPr="002A6CBA">
        <w:t>(COM(2022)0223 – C9-0179/2022 – 2022/0162(COD))</w:t>
      </w:r>
      <w:bookmarkEnd w:id="6"/>
    </w:p>
    <w:p w:rsidR="000A0916" w:rsidRPr="002A6CBA" w:rsidRDefault="000A0916" w:rsidP="000A0916">
      <w:pPr>
        <w:pStyle w:val="NormalBold"/>
      </w:pPr>
      <w:bookmarkStart w:id="7" w:name="TextBodyBegin"/>
      <w:bookmarkEnd w:id="7"/>
      <w:r w:rsidRPr="002A6CBA">
        <w:t>(Συνήθης νομοθετική διαδικασία – αναδιατύπωση)</w:t>
      </w:r>
    </w:p>
    <w:p w:rsidR="000A0916" w:rsidRPr="002A6CBA" w:rsidRDefault="000A0916" w:rsidP="000A0916">
      <w:pPr>
        <w:pStyle w:val="EPComma"/>
      </w:pPr>
      <w:r w:rsidRPr="002A6CBA">
        <w:rPr>
          <w:i/>
        </w:rPr>
        <w:t>Το Ευρωπαϊκό Κοινοβούλιο</w:t>
      </w:r>
      <w:r w:rsidRPr="002A6CBA">
        <w:t>,</w:t>
      </w:r>
    </w:p>
    <w:p w:rsidR="000A0916" w:rsidRPr="002A6CBA" w:rsidRDefault="000A0916" w:rsidP="00E9324A">
      <w:pPr>
        <w:pStyle w:val="NormalHanging12a"/>
        <w:widowControl/>
      </w:pPr>
      <w:r w:rsidRPr="002A6CBA">
        <w:t>–</w:t>
      </w:r>
      <w:r w:rsidRPr="002A6CBA">
        <w:tab/>
        <w:t>έχοντας υπόψη την πρόταση της Επιτροπής προς το Κοινοβούλιο και το Συμβούλιο (COM(2022)0223),</w:t>
      </w:r>
    </w:p>
    <w:p w:rsidR="000A0916" w:rsidRPr="002A6CBA" w:rsidRDefault="000A0916" w:rsidP="00E9324A">
      <w:pPr>
        <w:pStyle w:val="NormalHanging12a"/>
        <w:widowControl/>
      </w:pPr>
      <w:r w:rsidRPr="002A6CBA">
        <w:t>–</w:t>
      </w:r>
      <w:r w:rsidRPr="002A6CBA">
        <w:tab/>
        <w:t>έχοντας υπόψη το άρθρο 294 παράγραφος 2 και το άρθρο 322 παράγραφος 1 της Συνθήκης για τη λειτουργία της Ευρωπαϊκής Ένωσης, καθώς και το άρθρο 106α της Συνθήκης περί ιδρύσεως της Ευρωπαϊκής Κοινότητας Ατομικής Ενέργειας, σύμφωνα με τα οποία του υποβλήθηκε η πρόταση από την Επιτροπή (C9</w:t>
      </w:r>
      <w:r w:rsidRPr="002A6CBA">
        <w:noBreakHyphen/>
        <w:t>0179/2022),</w:t>
      </w:r>
    </w:p>
    <w:p w:rsidR="000A0916" w:rsidRPr="002A6CBA" w:rsidRDefault="000A0916" w:rsidP="00E9324A">
      <w:pPr>
        <w:pStyle w:val="NormalHanging12a"/>
        <w:widowControl/>
      </w:pPr>
      <w:r w:rsidRPr="002A6CBA">
        <w:t>–</w:t>
      </w:r>
      <w:r w:rsidRPr="002A6CBA">
        <w:tab/>
        <w:t>έχοντας υπόψη το άρθρο 294 παράγραφος 3 της Συνθήκης για τη λειτουργία της Ευρωπαϊκής Ένωσης,</w:t>
      </w:r>
    </w:p>
    <w:p w:rsidR="000A0916" w:rsidRPr="002A6CBA" w:rsidRDefault="000A0916" w:rsidP="00E9324A">
      <w:pPr>
        <w:pStyle w:val="NormalHanging12a"/>
        <w:widowControl/>
      </w:pPr>
      <w:r w:rsidRPr="002A6CBA">
        <w:t>–</w:t>
      </w:r>
      <w:r w:rsidRPr="002A6CBA">
        <w:tab/>
        <w:t>έχοντας υπόψη τη γνώμη του Ελεγκτικού Συνεδρίου της 31ης Οκτωβρίου 2022</w:t>
      </w:r>
      <w:r w:rsidRPr="002A6CBA">
        <w:rPr>
          <w:rStyle w:val="FootnoteReference"/>
        </w:rPr>
        <w:footnoteReference w:id="1"/>
      </w:r>
      <w:r w:rsidRPr="002A6CBA">
        <w:t>,</w:t>
      </w:r>
    </w:p>
    <w:p w:rsidR="000A0916" w:rsidRPr="002A6CBA" w:rsidRDefault="000A0916" w:rsidP="00E9324A">
      <w:pPr>
        <w:pStyle w:val="NormalHanging12a"/>
        <w:widowControl/>
      </w:pPr>
      <w:r w:rsidRPr="002A6CBA">
        <w:t>–</w:t>
      </w:r>
      <w:r w:rsidRPr="002A6CBA">
        <w:tab/>
        <w:t>έχοντας υπόψη τη διοργανική συμφωνία της 28ης Νοεμβρίου 2001 για μια πλέον συστηματοποιημένη χρήση της τεχνικής της αναδιατύπωσης των νομικών πράξεων</w:t>
      </w:r>
      <w:r w:rsidRPr="002A6CBA">
        <w:rPr>
          <w:rStyle w:val="FootnoteReference"/>
        </w:rPr>
        <w:footnoteReference w:id="2"/>
      </w:r>
      <w:r w:rsidRPr="002A6CBA">
        <w:t>,</w:t>
      </w:r>
    </w:p>
    <w:p w:rsidR="000A0916" w:rsidRPr="002A6CBA" w:rsidRDefault="000A0916" w:rsidP="00E9324A">
      <w:pPr>
        <w:pStyle w:val="NormalHanging12a"/>
        <w:widowControl/>
      </w:pPr>
      <w:r w:rsidRPr="002A6CBA">
        <w:t>–</w:t>
      </w:r>
      <w:r w:rsidRPr="002A6CBA">
        <w:tab/>
        <w:t>έχοντας υπόψη την από 25ης Απριλίου 2023 επιστολή της Επιτροπής Νομικών Θεμάτων προς την Επιτροπή Προϋπολογισμών και την Επιτροπή Ελέγχου του Προϋπολογισμού σύμφωνα με το άρθρο 110 παράγραφος 3 του Κανονισμού του,</w:t>
      </w:r>
    </w:p>
    <w:p w:rsidR="00A0457C" w:rsidRPr="002A6CBA" w:rsidRDefault="00A0457C" w:rsidP="00E9324A">
      <w:pPr>
        <w:pStyle w:val="NormalHanging12a"/>
        <w:widowControl/>
      </w:pPr>
      <w:r w:rsidRPr="002A6CBA">
        <w:lastRenderedPageBreak/>
        <w:t>–</w:t>
      </w:r>
      <w:r w:rsidRPr="002A6CBA">
        <w:tab/>
        <w:t>έχοντας υπόψη την προσωρινή συμφωνία που εγκρίθηκε από τις αρμόδιες επιτροπές σύμφωνα με το άρθρο 74 παράγραφος 4 του Κανονισμού του και τη δέσμευση του εκπροσώπου του Συμβουλίου, με επιστολή της 20ής Δεκεμβρίου 2023, να εγκρίνει τη θέση του Κοινοβουλίου, σύμφωνα με το άρθρο 294 παράγραφος 4 της Συνθήκης για τη λειτουργία της Ευρωπαϊκής Ένωσης,</w:t>
      </w:r>
    </w:p>
    <w:p w:rsidR="000A0916" w:rsidRPr="002A6CBA" w:rsidRDefault="000A0916" w:rsidP="00E9324A">
      <w:pPr>
        <w:pStyle w:val="NormalHanging12a"/>
        <w:widowControl/>
        <w:rPr>
          <w:szCs w:val="24"/>
        </w:rPr>
      </w:pPr>
      <w:r w:rsidRPr="002A6CBA">
        <w:t>–</w:t>
      </w:r>
      <w:r w:rsidRPr="002A6CBA">
        <w:tab/>
        <w:t>έχοντας υπόψη τις κοινές συνεδριάσεις της Επιτροπής Προϋπολογισμών και της Επιτροπής Ελέγχου του Προϋπολογισμού σύμφωνα με το άρθρο 58 του Κανονισμού,</w:t>
      </w:r>
    </w:p>
    <w:p w:rsidR="000A0916" w:rsidRPr="002A6CBA" w:rsidRDefault="000A0916" w:rsidP="00E9324A">
      <w:pPr>
        <w:pStyle w:val="NormalHanging12a"/>
        <w:widowControl/>
      </w:pPr>
      <w:r w:rsidRPr="002A6CBA">
        <w:t>–</w:t>
      </w:r>
      <w:r w:rsidRPr="002A6CBA">
        <w:tab/>
        <w:t>έχοντας υπόψη τα άρθρα 110 και 59 του Κανονισμού του,</w:t>
      </w:r>
    </w:p>
    <w:p w:rsidR="000A0916" w:rsidRPr="002A6CBA" w:rsidRDefault="000A0916" w:rsidP="00E9324A">
      <w:pPr>
        <w:pStyle w:val="NormalHanging12a"/>
        <w:widowControl/>
      </w:pPr>
      <w:r w:rsidRPr="002A6CBA">
        <w:t>–</w:t>
      </w:r>
      <w:r w:rsidRPr="002A6CBA">
        <w:tab/>
        <w:t>έχοντας υπόψη τη γνωμοδότηση της Επιτροπής Περιφερειακής Ανάπτυξης,</w:t>
      </w:r>
    </w:p>
    <w:p w:rsidR="000A0916" w:rsidRPr="002A6CBA" w:rsidRDefault="000A0916" w:rsidP="00E9324A">
      <w:pPr>
        <w:pStyle w:val="NormalHanging12a"/>
        <w:widowControl/>
      </w:pPr>
      <w:r w:rsidRPr="002A6CBA">
        <w:t>–</w:t>
      </w:r>
      <w:r w:rsidRPr="002A6CBA">
        <w:tab/>
        <w:t>έχοντας υπόψη την επιστολή της Επιτροπής Βιομηχανίας, Έρευνας και Ενέργειας,</w:t>
      </w:r>
    </w:p>
    <w:p w:rsidR="000A0916" w:rsidRPr="002A6CBA" w:rsidRDefault="000A0916" w:rsidP="00E9324A">
      <w:pPr>
        <w:pStyle w:val="NormalHanging12a"/>
        <w:widowControl/>
      </w:pPr>
      <w:r w:rsidRPr="002A6CBA">
        <w:t>–</w:t>
      </w:r>
      <w:r w:rsidRPr="002A6CBA">
        <w:tab/>
        <w:t>έχοντας υπόψη την έκθεση της Επιτροπής Προϋπολογισμών και της Επιτροπής Ελέγχου του Προϋπολογισμού (A9-0180/2023),</w:t>
      </w:r>
    </w:p>
    <w:p w:rsidR="000A0916" w:rsidRPr="002A6CBA" w:rsidRDefault="000A0916" w:rsidP="00E9324A">
      <w:pPr>
        <w:pStyle w:val="NormalHanging12a"/>
        <w:widowControl/>
      </w:pPr>
      <w:r w:rsidRPr="002A6CBA">
        <w:t>Α.</w:t>
      </w:r>
      <w:r w:rsidRPr="002A6CBA">
        <w:tab/>
        <w:t>λαμβάνοντας υπόψη ότι, σύμφωνα με τη συμβουλευτική ομάδα των νομικών υπηρεσιών του Ευρωπαϊκού Κοινοβουλίου, του Συμβουλίου και της Επιτροπής, η πρόταση της Επιτροπής δεν περιέχει καμία ουσιαστική τροποποίηση πλην όσων προσδιορίζονται ως τοιαύτες στην ως άνω πρόταση και ότι, όσον αφορά την κωδικοποίηση των αμετάβλητων διατάξεων προηγούμενων πράξεων και των τροποποιήσεων αυτών, η πρόταση περιορίζεται απλώς και μόνο σε κωδικοποίηση των υφισταμένων πράξεων, χωρίς να τις τροποποιεί επί της ουσίας·</w:t>
      </w:r>
    </w:p>
    <w:p w:rsidR="000A0916" w:rsidRPr="002A6CBA" w:rsidRDefault="000A0916" w:rsidP="00E9324A">
      <w:pPr>
        <w:pStyle w:val="NormalHanging12a"/>
        <w:widowControl/>
      </w:pPr>
      <w:r w:rsidRPr="002A6CBA">
        <w:t>1.</w:t>
      </w:r>
      <w:r w:rsidRPr="002A6CBA">
        <w:tab/>
        <w:t>εγκρίνει τη θέση του σε πρώτη ανάγνωση όπως παρατίθεται κατωτέρω, λαμβάνοντας υπόψη τις συστάσεις της συμβουλευτικής ομάδας των νομικών υπηρεσιών του Ευρωπαϊκού Κοινοβουλίου, του Συμβουλίου και της Επιτροπής·</w:t>
      </w:r>
    </w:p>
    <w:p w:rsidR="00974C03" w:rsidRPr="002A6CBA" w:rsidRDefault="003675EA" w:rsidP="00E9324A">
      <w:pPr>
        <w:pStyle w:val="NormalHanging12a"/>
        <w:widowControl/>
      </w:pPr>
      <w:r w:rsidRPr="002A6CBA">
        <w:t>2</w:t>
      </w:r>
      <w:r w:rsidR="00974C03" w:rsidRPr="002A6CBA">
        <w:t xml:space="preserve">. </w:t>
      </w:r>
      <w:r w:rsidR="00974C03" w:rsidRPr="002A6CBA">
        <w:tab/>
        <w:t xml:space="preserve">εγκρίνει την κοινή δήλωση του Κοινοβουλίου και του Συμβουλίου που επισυνάπτεται στο παρόν ψήφισμα, η οποία θα δημοσιευτεί στη σειρά C της </w:t>
      </w:r>
      <w:r w:rsidR="00974C03" w:rsidRPr="002A6CBA">
        <w:rPr>
          <w:i/>
        </w:rPr>
        <w:t>Επίσημης Εφημερίδας της Ευρωπαϊκής Ένωσης</w:t>
      </w:r>
      <w:r w:rsidR="00974C03" w:rsidRPr="002A6CBA">
        <w:t>·</w:t>
      </w:r>
    </w:p>
    <w:p w:rsidR="00974C03" w:rsidRPr="002A6CBA" w:rsidRDefault="003675EA" w:rsidP="00E9324A">
      <w:pPr>
        <w:pStyle w:val="NormalHanging12a"/>
        <w:widowControl/>
      </w:pPr>
      <w:r w:rsidRPr="002A6CBA">
        <w:t>3</w:t>
      </w:r>
      <w:r w:rsidR="00974C03" w:rsidRPr="002A6CBA">
        <w:t xml:space="preserve">. </w:t>
      </w:r>
      <w:r w:rsidR="00974C03" w:rsidRPr="002A6CBA">
        <w:tab/>
        <w:t xml:space="preserve">εγκρίνει την κοινή δήλωση του Κοινοβουλίου, του Συμβουλίου και της Επιτροπής που επισυνάπτεται στο παρόν ψήφισμα, η οποία θα δημοσιευτεί στη σειρά C της </w:t>
      </w:r>
      <w:r w:rsidR="00974C03" w:rsidRPr="002A6CBA">
        <w:rPr>
          <w:i/>
        </w:rPr>
        <w:t>Επίσημης Εφημερίδας της Ευρωπαϊκής Ένωσης</w:t>
      </w:r>
      <w:r w:rsidR="00974C03" w:rsidRPr="002A6CBA">
        <w:t>·</w:t>
      </w:r>
    </w:p>
    <w:p w:rsidR="00974C03" w:rsidRPr="002A6CBA" w:rsidRDefault="003675EA" w:rsidP="00E9324A">
      <w:pPr>
        <w:pStyle w:val="NormalHanging12a"/>
        <w:widowControl/>
      </w:pPr>
      <w:r w:rsidRPr="002A6CBA">
        <w:t>4</w:t>
      </w:r>
      <w:r w:rsidR="00974C03" w:rsidRPr="002A6CBA">
        <w:t xml:space="preserve">. </w:t>
      </w:r>
      <w:r w:rsidR="00974C03" w:rsidRPr="002A6CBA">
        <w:tab/>
        <w:t>λαμβάνει υπό σημείωση τις δηλώσεις της Επιτροπής που επισυνάπτονται στο παρόν ψήφισμα·</w:t>
      </w:r>
    </w:p>
    <w:p w:rsidR="000A0916" w:rsidRPr="002A6CBA" w:rsidRDefault="003675EA" w:rsidP="00E9324A">
      <w:pPr>
        <w:pStyle w:val="NormalHanging12a"/>
        <w:widowControl/>
      </w:pPr>
      <w:r w:rsidRPr="002A6CBA">
        <w:t>5</w:t>
      </w:r>
      <w:r w:rsidR="000A0916" w:rsidRPr="002A6CBA">
        <w:t>.</w:t>
      </w:r>
      <w:r w:rsidR="000A0916" w:rsidRPr="002A6CBA">
        <w:tab/>
        <w:t>ζητεί από την Επιτροπή να του υποβάλει εκ νέου την πρόταση, εάν την αντικαταστήσει με νέο κείμενο, εάν της επιφέρει σημαντικές τροποποιήσεις ή εάν προτίθεται να της επιφέρει σημαντικές τροποποιήσεις·</w:t>
      </w:r>
    </w:p>
    <w:p w:rsidR="000A0916" w:rsidRPr="002A6CBA" w:rsidRDefault="003675EA" w:rsidP="00E9324A">
      <w:pPr>
        <w:pStyle w:val="NormalHanging12a"/>
        <w:widowControl/>
      </w:pPr>
      <w:r w:rsidRPr="002A6CBA">
        <w:t>6</w:t>
      </w:r>
      <w:r w:rsidR="000A0916" w:rsidRPr="002A6CBA">
        <w:t>.</w:t>
      </w:r>
      <w:r w:rsidR="000A0916" w:rsidRPr="002A6CBA">
        <w:tab/>
        <w:t>αναθέτει στην Πρόεδρό του να διαβιβάσει τη θέση του στο Συμβούλιο, στην Επιτροπή και στα εθνικά κοινοβούλια.</w:t>
      </w:r>
    </w:p>
    <w:p w:rsidR="00974C03" w:rsidRPr="002A6CBA" w:rsidRDefault="00974C03" w:rsidP="00E9324A">
      <w:pPr>
        <w:pStyle w:val="NormalHanging12a"/>
        <w:widowControl/>
      </w:pPr>
    </w:p>
    <w:p w:rsidR="00974C03" w:rsidRPr="002A6CBA" w:rsidRDefault="00974C03" w:rsidP="00E9324A">
      <w:pPr>
        <w:pStyle w:val="NormalHanging12a"/>
        <w:widowControl/>
        <w:sectPr w:rsidR="00974C03" w:rsidRPr="002A6CBA" w:rsidSect="00122827">
          <w:footnotePr>
            <w:numRestart w:val="eachPage"/>
          </w:footnotePr>
          <w:endnotePr>
            <w:numFmt w:val="decimal"/>
          </w:endnotePr>
          <w:pgSz w:w="11906" w:h="16838" w:code="9"/>
          <w:pgMar w:top="1134" w:right="1418" w:bottom="1418" w:left="1418" w:header="1134" w:footer="567" w:gutter="0"/>
          <w:cols w:space="720"/>
          <w:noEndnote/>
          <w:docGrid w:linePitch="326"/>
        </w:sectPr>
      </w:pPr>
    </w:p>
    <w:p w:rsidR="00974C03" w:rsidRPr="002A6CBA" w:rsidRDefault="00974C03" w:rsidP="00974C03">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sidRPr="002A6CBA">
        <w:rPr>
          <w:b/>
        </w:rPr>
        <w:lastRenderedPageBreak/>
        <w:t>P9_TC1-COD(2022)0162</w:t>
      </w:r>
    </w:p>
    <w:p w:rsidR="00BF04DB" w:rsidRPr="00BF04DB" w:rsidRDefault="00974C03" w:rsidP="00E3623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szCs w:val="24"/>
          <w:lang w:eastAsia="en-US"/>
        </w:rPr>
      </w:pPr>
      <w:r w:rsidRPr="002A6CBA">
        <w:rPr>
          <w:b/>
        </w:rPr>
        <w:t>Θέση του Ευρωπαϊκού Κοινοβουλίου που καθορίστηκε σε πρώτη ανάγνωση στις 14 Μαρτίου 2024 εν όψει της έγκρισης κανονισμού (ΕΕ</w:t>
      </w:r>
      <w:r w:rsidR="00E3623D" w:rsidRPr="00E3623D">
        <w:rPr>
          <w:b/>
        </w:rPr>
        <w:t>, Ευρατόμ</w:t>
      </w:r>
      <w:r w:rsidRPr="002A6CBA">
        <w:rPr>
          <w:b/>
        </w:rPr>
        <w:t>) 2024/... του Ευρωπαϊκού Κοινοβουλίου και του Συμβουλίου</w:t>
      </w:r>
      <w:r w:rsidR="00BF04DB">
        <w:rPr>
          <w:b/>
        </w:rPr>
        <w:t xml:space="preserve"> </w:t>
      </w:r>
      <w:r w:rsidR="00BF04DB" w:rsidRPr="00BF04DB">
        <w:rPr>
          <w:b/>
        </w:rPr>
        <w:t>σχετικά με τους δημοσιονομικούς κανόνες που εφαρμόζονται στον γενικό προϋπολογισμό της Ένωσης (αναδιατύπωση)</w:t>
      </w:r>
    </w:p>
    <w:p w:rsidR="00BF04DB" w:rsidRPr="00BF04DB" w:rsidRDefault="00AB6C7F" w:rsidP="00BF04DB">
      <w:r w:rsidRPr="007B7B26">
        <w:rPr>
          <w:i/>
        </w:rPr>
        <w:t>(Καθώς έχει επιτευχθεί συμφωνία μεταξύ του Κοινοβουλίου και του Συμβουλίου, η θέση του Κοινοβουλίου αντιστοιχεί στην τελική νομοθετική πράξη, κανονισμός (Ε</w:t>
      </w:r>
      <w:r>
        <w:rPr>
          <w:i/>
        </w:rPr>
        <w:t>Ε</w:t>
      </w:r>
      <w:r w:rsidR="00431868" w:rsidRPr="00431868">
        <w:rPr>
          <w:i/>
        </w:rPr>
        <w:t>, Ευρατόμ</w:t>
      </w:r>
      <w:bookmarkStart w:id="8" w:name="_GoBack"/>
      <w:bookmarkEnd w:id="8"/>
      <w:r w:rsidRPr="007B7B26">
        <w:rPr>
          <w:i/>
        </w:rPr>
        <w:t xml:space="preserve">) </w:t>
      </w:r>
      <w:r>
        <w:rPr>
          <w:i/>
        </w:rPr>
        <w:t>2024/</w:t>
      </w:r>
      <w:r w:rsidRPr="00AB6C7F">
        <w:rPr>
          <w:i/>
        </w:rPr>
        <w:t>2509</w:t>
      </w:r>
      <w:r>
        <w:rPr>
          <w:i/>
        </w:rPr>
        <w:t>.</w:t>
      </w:r>
      <w:r w:rsidRPr="007B7B26">
        <w:rPr>
          <w:i/>
        </w:rPr>
        <w:t>)</w:t>
      </w:r>
    </w:p>
    <w:p w:rsidR="0003755C" w:rsidRDefault="0003755C">
      <w:pPr>
        <w:widowControl/>
        <w:rPr>
          <w:b/>
          <w:szCs w:val="24"/>
          <w:lang w:eastAsia="en-US"/>
        </w:rPr>
      </w:pPr>
      <w:r>
        <w:rPr>
          <w:b/>
          <w:szCs w:val="24"/>
          <w:lang w:eastAsia="en-US"/>
        </w:rPr>
        <w:br w:type="page"/>
      </w:r>
    </w:p>
    <w:p w:rsidR="0003755C" w:rsidRPr="0003755C" w:rsidRDefault="0003755C" w:rsidP="0003755C">
      <w:pPr>
        <w:jc w:val="right"/>
      </w:pPr>
      <w:r w:rsidRPr="0003755C">
        <w:lastRenderedPageBreak/>
        <w:t>ΠΑΡΑΡΤΗΜΑ ΣΤΟ ΝΟΜΟΘΕΤΙΚΟ ΨΗΦΙΣΜΑ</w:t>
      </w:r>
    </w:p>
    <w:p w:rsidR="0003755C" w:rsidRPr="0003755C" w:rsidRDefault="0003755C" w:rsidP="0003755C"/>
    <w:p w:rsidR="0003755C" w:rsidRPr="0003755C" w:rsidRDefault="0003755C" w:rsidP="0003755C">
      <w:pPr>
        <w:spacing w:before="120" w:after="120" w:line="360" w:lineRule="auto"/>
        <w:jc w:val="center"/>
        <w:rPr>
          <w:b/>
        </w:rPr>
      </w:pPr>
      <w:r w:rsidRPr="0003755C">
        <w:rPr>
          <w:b/>
        </w:rPr>
        <w:t>Κοινή δήλωση σχετικά με τη δημοσιονομική μεταχείριση των τόκων ή άλλων επιβαρύνσεων που οφείλονται σε ακυρωθέντα ή μειωμένα πρόστιμα, άλλες ποινές ή κυρώσεις. επ’ ευκαιρία της έκδοσης του κανονισμού (ΕΕ</w:t>
      </w:r>
      <w:r w:rsidR="00AB6C7F">
        <w:rPr>
          <w:b/>
        </w:rPr>
        <w:t>, Ευρατόμ</w:t>
      </w:r>
      <w:r w:rsidRPr="0003755C">
        <w:rPr>
          <w:b/>
        </w:rPr>
        <w:t xml:space="preserve">) </w:t>
      </w:r>
      <w:r w:rsidR="00AB6C7F">
        <w:rPr>
          <w:b/>
        </w:rPr>
        <w:t>2024</w:t>
      </w:r>
      <w:r w:rsidRPr="0003755C">
        <w:rPr>
          <w:b/>
        </w:rPr>
        <w:t>/</w:t>
      </w:r>
      <w:r w:rsidR="00AB6C7F">
        <w:rPr>
          <w:b/>
        </w:rPr>
        <w:t>2509</w:t>
      </w:r>
    </w:p>
    <w:p w:rsidR="0003755C" w:rsidRPr="0003755C" w:rsidRDefault="0003755C" w:rsidP="0003755C">
      <w:pPr>
        <w:spacing w:before="120" w:after="120" w:line="360" w:lineRule="auto"/>
      </w:pPr>
      <w:r w:rsidRPr="0003755C">
        <w:t>Το Ευρωπαϊκό Κοινοβούλιο και το Συμβούλιο συμφώνησαν ότι τυχόν τόκοι ή άλλες επιβαρύνσεις που οφείλονται σε ακυρωθέντα ή μειωμένα πρόστιμα, άλλες ποινές ή κυρώσεις θα καταγράφονται ως αρνητικά έσοδα κατά τη διάρκεια του τρέχοντος πολυετούς πλαισίου. Πρόκειται για εξαίρεση από την απαγόρευση των αρνητικών εσόδων, η οποία περιορίζεται σε αυτή τη συγκεκριμένη, απρόβλεπτη κατάσταση.</w:t>
      </w:r>
    </w:p>
    <w:p w:rsidR="0003755C" w:rsidRPr="0003755C" w:rsidRDefault="0003755C" w:rsidP="0003755C">
      <w:pPr>
        <w:spacing w:before="120" w:after="120" w:line="360" w:lineRule="auto"/>
      </w:pPr>
      <w:r w:rsidRPr="0003755C">
        <w:t>Με την επιφύλαξη των αντίστοιχων προνομίων, το Ευρωπαϊκό Κοινοβούλιο, το Συμβούλιο και η Επιτροπή συμφωνούν, λαμβάνοντας υπόψη την πείρα του παρελθόντος και τις αναμενόμενες μελλοντικές εξελίξεις, να εξετάσουν μια μακροπρόθεσμη βιώσιμη λύση, σύμφωνα με την εφαρμογή των δημοσιονομικών αρχών του δημοσιονομικού κανονισμού, για τη χρηματοδότηση των εν λόγω τόκων ή άλλων επιβαρύνσεων, η οποία θα εφαρμοστεί μετά το 2027, μεταξύ άλλων όσον αφορά το επιτόκιο που πρέπει να καταβληθεί επί του ποσού των προστίμων ή άλλων κυρώσεων που πρέπει να επιστραφούν ως κατάλληλη αποζημίωση για τις δικαιούχους επιχειρήσεις σε τέτοιες καταστάσεις.</w:t>
      </w:r>
    </w:p>
    <w:p w:rsidR="0003755C" w:rsidRPr="0003755C" w:rsidRDefault="0003755C" w:rsidP="0003755C">
      <w:pPr>
        <w:widowControl/>
      </w:pPr>
    </w:p>
    <w:p w:rsidR="0003755C" w:rsidRPr="0003755C" w:rsidRDefault="0003755C" w:rsidP="0003755C">
      <w:pPr>
        <w:spacing w:before="120" w:after="120" w:line="360" w:lineRule="auto"/>
        <w:jc w:val="center"/>
        <w:rPr>
          <w:b/>
        </w:rPr>
      </w:pPr>
      <w:r w:rsidRPr="0003755C">
        <w:rPr>
          <w:b/>
        </w:rPr>
        <w:t>Κοινή δήλωση του Ευρωπαϊκού Κοινοβουλίου, του Συμβουλίου και της Επιτροπής σχετικά με το ενιαίο εργαλείο εξόρυξης δεδομένων και βαθμολόγησης κινδύνου που προβλέπεται στο άρθρο 36 του δημοσιονομικού κανονισμού. επ’ ευκαιρία της έκδοσης του κανονισμού (ΕΕ</w:t>
      </w:r>
      <w:r w:rsidR="00AB6C7F">
        <w:rPr>
          <w:b/>
        </w:rPr>
        <w:t>, Ευρατόμ</w:t>
      </w:r>
      <w:r w:rsidRPr="0003755C">
        <w:rPr>
          <w:b/>
        </w:rPr>
        <w:t xml:space="preserve">) </w:t>
      </w:r>
      <w:r w:rsidR="00AB6C7F">
        <w:rPr>
          <w:b/>
        </w:rPr>
        <w:t>2024</w:t>
      </w:r>
      <w:r w:rsidRPr="0003755C">
        <w:rPr>
          <w:b/>
        </w:rPr>
        <w:t>/</w:t>
      </w:r>
      <w:r w:rsidR="00AB6C7F">
        <w:rPr>
          <w:b/>
        </w:rPr>
        <w:t>2509</w:t>
      </w:r>
    </w:p>
    <w:p w:rsidR="0003755C" w:rsidRPr="0003755C" w:rsidRDefault="0003755C" w:rsidP="0003755C">
      <w:pPr>
        <w:spacing w:before="120" w:after="120" w:line="360" w:lineRule="auto"/>
      </w:pPr>
      <w:r w:rsidRPr="0003755C">
        <w:t>Το Ευρωπαϊκό Κοινοβούλιο, το Συμβούλιο και η Επιτροπή («τα τρία θεσμικά όργανα») αναγνωρίζουν τη σημασία της ενίσχυσης της προστασίας των οικονομικών συμφερόντων της Ένωσης, η οποία αναγνωρίζεται στη διοργανική συμφωνία της 16ης Δεκεμβρίου 2020 και κατοχυρώνεται στο άρθρο 325 ΣΛΕΕ.</w:t>
      </w:r>
    </w:p>
    <w:p w:rsidR="0003755C" w:rsidRPr="0003755C" w:rsidRDefault="0003755C" w:rsidP="0003755C">
      <w:pPr>
        <w:spacing w:before="120" w:after="120" w:line="360" w:lineRule="auto"/>
      </w:pPr>
      <w:r w:rsidRPr="0003755C">
        <w:t>Τα τρία θεσμικά όργανα συμφωνούν ότι είναι αναγκαίο να αναπτυχθεί περαιτέρω το εργαλείο σύμφωνα με τους κανόνες ασφάλειας ΤΠ και προστασίας των δεδομένων. Προκειμένου να μειωθεί ο διοικητικός φόρτος και να αποφευχθεί το δυσανάλογο κόστος ΤΠ για τα κράτη μέλη και τους άλλους χρήστες, θα ληφθούν υπόψη τα εγκεκριμένα συστήματα που υπάρχουν στα κράτη μέλη.</w:t>
      </w:r>
    </w:p>
    <w:p w:rsidR="0003755C" w:rsidRPr="0003755C" w:rsidRDefault="0003755C" w:rsidP="0003755C">
      <w:pPr>
        <w:spacing w:before="120" w:after="120" w:line="360" w:lineRule="auto"/>
      </w:pPr>
      <w:r w:rsidRPr="0003755C">
        <w:t xml:space="preserve">Τα τρία θεσμικά όργανα δεσμεύονται να συνεργαστούν για την περαιτέρω ανάπτυξη του </w:t>
      </w:r>
      <w:r w:rsidRPr="0003755C">
        <w:lastRenderedPageBreak/>
        <w:t>εργαλείου. Η Επιτροπή επιβεβαιώνει ότι θα συνεχίσει να αναπτύσσει το εργαλείο σε διαβούλευση με τους χρήστες του και να προσφέρει στα κράτη μέλη υποστήριξη για την αντιμετώπιση τυχόν τεχνικών ζητημάτων. Τα κράτη μέλη θα συνεργαστούν με την Επιτροπή προκειμένου να καταστούν δυνατές οι συνέργειες που απαιτούνται για τη διαλειτουργικότητα με τα σχετικά συστήματα ΤΠ και τις βάσεις δεδομένων.</w:t>
      </w:r>
    </w:p>
    <w:p w:rsidR="0003755C" w:rsidRPr="0003755C" w:rsidRDefault="0003755C" w:rsidP="0003755C">
      <w:pPr>
        <w:spacing w:before="120" w:after="120" w:line="360" w:lineRule="auto"/>
      </w:pPr>
      <w:r w:rsidRPr="0003755C">
        <w:t>Αφότου διαπιστωθεί – κατόπιν αξιολόγησης από την Επιτροπή με βάση τα κριτήρια που αναφέρονται στο άρθρο 36 παράγραφος 6 του δημοσιονομικού κανονισμού – ότι το εργαλείο είναι έτοιμο για χρήση, τα τρία θεσμικά όργανα, με την επιφύλαξη των αντίστοιχων αρμοδιοτήτων τους, δεσμεύονται να εξετάσουν και να συζητήσουν εκ νέου την υποχρεωτική χρήση του εργαλείου κατά τη διάρκεια του πολυετούς δημοσιονομικού πλαισίου μετά το 2027.</w:t>
      </w:r>
    </w:p>
    <w:p w:rsidR="0003755C" w:rsidRPr="0003755C" w:rsidRDefault="0003755C" w:rsidP="0003755C">
      <w:pPr>
        <w:spacing w:before="120" w:after="120" w:line="360" w:lineRule="auto"/>
        <w:jc w:val="center"/>
        <w:rPr>
          <w:b/>
        </w:rPr>
      </w:pPr>
      <w:r w:rsidRPr="0003755C">
        <w:rPr>
          <w:b/>
        </w:rPr>
        <w:t>Μονομερής δήλωση της Επιτροπής σχετικά με τις αποδεσμεύσεις. επ’ ευκαιρία της έκδοσης του κανονισμού (ΕΕ</w:t>
      </w:r>
      <w:r w:rsidR="00AB6C7F">
        <w:rPr>
          <w:b/>
        </w:rPr>
        <w:t>, Ευρατόμ</w:t>
      </w:r>
      <w:r w:rsidRPr="0003755C">
        <w:rPr>
          <w:b/>
        </w:rPr>
        <w:t xml:space="preserve">) </w:t>
      </w:r>
      <w:r w:rsidR="00AB6C7F">
        <w:rPr>
          <w:b/>
        </w:rPr>
        <w:t>2024</w:t>
      </w:r>
      <w:r w:rsidRPr="0003755C">
        <w:rPr>
          <w:b/>
        </w:rPr>
        <w:t>/</w:t>
      </w:r>
      <w:r w:rsidR="00AB6C7F">
        <w:rPr>
          <w:b/>
        </w:rPr>
        <w:t>2509</w:t>
      </w:r>
    </w:p>
    <w:p w:rsidR="0003755C" w:rsidRPr="0003755C" w:rsidRDefault="0003755C" w:rsidP="0003755C">
      <w:pPr>
        <w:spacing w:before="120" w:after="120" w:line="360" w:lineRule="auto"/>
      </w:pPr>
      <w:r w:rsidRPr="0003755C">
        <w:t>Στο πλαίσιο της προετοιμασίας για το πολυετές δημοσιονομικό πλαίσιο μετά το 2027, η Επιτροπή θα εξετάσει το ζήτημα της διεύρυνσης του πεδίου εφαρμογής της ανασύστασης των πιστώσεων που αντιστοιχούν σε αποδεσμεύσεις. Αυτό ισχύει με την επιφύλαξη της μελλοντικής πρότασης της Επιτροπής για το πολυετές δημοσιονομικό πλαίσιο μετά το 2027 και του δικαιώματος νομοθετικής πρωτοβουλίας της Επιτροπής, όπως ορίζεται στις Συνθήκες.</w:t>
      </w:r>
    </w:p>
    <w:p w:rsidR="0003755C" w:rsidRPr="0003755C" w:rsidRDefault="0003755C" w:rsidP="0003755C">
      <w:pPr>
        <w:spacing w:before="120" w:after="120" w:line="360" w:lineRule="auto"/>
        <w:jc w:val="center"/>
        <w:rPr>
          <w:b/>
        </w:rPr>
      </w:pPr>
      <w:r w:rsidRPr="0003755C">
        <w:rPr>
          <w:b/>
        </w:rPr>
        <w:t>Μονομερής δήλωση της Επιτροπής σχετικά με το σύστημα έγκαιρου εντοπισμού και αποκλεισμού. επ’ ευκαιρία της έκδοσης του κανονισμού (ΕΕ</w:t>
      </w:r>
      <w:r w:rsidR="00AB6C7F">
        <w:rPr>
          <w:b/>
        </w:rPr>
        <w:t>, Ευρατόμ</w:t>
      </w:r>
      <w:r w:rsidRPr="0003755C">
        <w:rPr>
          <w:b/>
        </w:rPr>
        <w:t xml:space="preserve">) </w:t>
      </w:r>
      <w:r w:rsidR="00AB6C7F">
        <w:rPr>
          <w:b/>
        </w:rPr>
        <w:t>2024</w:t>
      </w:r>
      <w:r w:rsidRPr="0003755C">
        <w:rPr>
          <w:b/>
        </w:rPr>
        <w:t>/</w:t>
      </w:r>
      <w:r w:rsidR="00AB6C7F">
        <w:rPr>
          <w:b/>
        </w:rPr>
        <w:t>2509</w:t>
      </w:r>
    </w:p>
    <w:p w:rsidR="0003755C" w:rsidRPr="0003755C" w:rsidRDefault="0003755C" w:rsidP="0003755C">
      <w:pPr>
        <w:spacing w:before="120" w:after="120" w:line="360" w:lineRule="auto"/>
      </w:pPr>
      <w:r w:rsidRPr="0003755C">
        <w:t xml:space="preserve">Η Ευρωπαϊκή Επιτροπή αναγνωρίζει τη σημασία της ελαχιστοποίησης του διοικητικού φόρτου που βαρύνει τις αρχές των κρατών μελών στο πλαίσιο της </w:t>
      </w:r>
      <w:proofErr w:type="spellStart"/>
      <w:r w:rsidRPr="0003755C">
        <w:t>στοχευμένης</w:t>
      </w:r>
      <w:proofErr w:type="spellEnd"/>
      <w:r w:rsidRPr="0003755C">
        <w:t xml:space="preserve"> επέκτασης του συστήματος έγκαιρου εντοπισμού και αποκλεισμού (EDES) στην επιμερισμένη διαχείριση και την άμεση διαχείριση με τα κράτη μέλη. </w:t>
      </w:r>
    </w:p>
    <w:p w:rsidR="0003755C" w:rsidRPr="0003755C" w:rsidRDefault="0003755C" w:rsidP="0003755C">
      <w:pPr>
        <w:spacing w:before="120" w:after="120" w:line="360" w:lineRule="auto"/>
      </w:pPr>
      <w:r w:rsidRPr="0003755C">
        <w:t xml:space="preserve">Η Επιτροπή δεσμεύεται να εκπονήσει ολοκληρωμένη καθοδήγηση και να παράσχει σεμινάρια κατάρτισης στα κράτη μέλη σχετικά με την εφαρμογή του EDES και τη χρήση της βάσης δεδομένων του. </w:t>
      </w:r>
    </w:p>
    <w:p w:rsidR="0003755C" w:rsidRPr="0003755C" w:rsidRDefault="0003755C" w:rsidP="0003755C">
      <w:pPr>
        <w:spacing w:before="120" w:after="120" w:line="360" w:lineRule="auto"/>
      </w:pPr>
      <w:r w:rsidRPr="0003755C">
        <w:t>Η Επιτροπή θα συνεχίσει να βελτιώνει τη βάση δεδομένων EDES, για παράδειγμα καθιστώντας δυνατή την αναζήτηση πολλαπλών οντοτήτων και τελειοποιώντας τη διάρθρωση της βάσης δεδομένων.</w:t>
      </w:r>
    </w:p>
    <w:p w:rsidR="0003755C" w:rsidRPr="0003755C" w:rsidRDefault="0003755C" w:rsidP="0003755C">
      <w:pPr>
        <w:spacing w:before="120" w:after="120" w:line="360" w:lineRule="auto"/>
      </w:pPr>
      <w:r w:rsidRPr="0003755C">
        <w:t xml:space="preserve">Η Επιτροπή θα προσπαθήσει να διασφαλίσει τη διαλειτουργικότητα ΤΠ μεταξύ του EDES </w:t>
      </w:r>
      <w:r w:rsidRPr="0003755C">
        <w:lastRenderedPageBreak/>
        <w:t xml:space="preserve">και των σχετικών εθνικών συστημάτων, ώστε να </w:t>
      </w:r>
      <w:proofErr w:type="spellStart"/>
      <w:r w:rsidRPr="0003755C">
        <w:t>εξορθολογιστεί</w:t>
      </w:r>
      <w:proofErr w:type="spellEnd"/>
      <w:r w:rsidRPr="0003755C">
        <w:t xml:space="preserve"> η διαδικασία και να καταστεί δυνατός ο ταχύτερος έλεγχος των περιπτώσεων αποκλεισμού σχετικών προσώπων ή οντοτήτων.</w:t>
      </w:r>
    </w:p>
    <w:p w:rsidR="0003755C" w:rsidRPr="0003755C" w:rsidRDefault="0003755C" w:rsidP="0003755C">
      <w:pPr>
        <w:spacing w:before="120" w:after="120" w:line="360" w:lineRule="auto"/>
      </w:pPr>
      <w:r w:rsidRPr="0003755C">
        <w:t>Η Επιτροπή επιβεβαιώνει ότι κάθε αίτημα για πρόσθετες πληροφορίες για τους σκοπούς του EDES δεν θα υπερβαίνει ό,τι είναι απολύτως αναγκαίο και αναλογικό και θα αντιμετωπίζεται σύμφωνα με τους ισχύοντες κανόνες για την προστασία των δεδομένων. Υπενθυμίζεται ότι στη γνώμη του Ευρωπαίου Επόπτη Προστασίας Δεδομένων σχετικά με την πρόταση της Επιτροπής για αναδιατύπωση του δημοσιονομικού κανονισμού δεν εγείρονται ανησυχίες όσον αφορά το EDES.</w:t>
      </w:r>
    </w:p>
    <w:p w:rsidR="0003755C" w:rsidRPr="0003755C" w:rsidRDefault="0003755C" w:rsidP="0003755C">
      <w:pPr>
        <w:spacing w:before="120" w:after="120" w:line="360" w:lineRule="auto"/>
      </w:pPr>
      <w:r w:rsidRPr="0003755C">
        <w:t>Η Επιτροπή δεσμεύεται να διευκολύνει την ομαλή μετάβαση προς την εφαρμογή του EDES σε πλήρη συνεργασία με τα κράτη μέλη.</w:t>
      </w:r>
    </w:p>
    <w:p w:rsidR="00BF04DB" w:rsidRPr="002A6CBA" w:rsidRDefault="00BF04DB" w:rsidP="00974C03">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szCs w:val="24"/>
          <w:lang w:eastAsia="en-US"/>
        </w:rPr>
      </w:pPr>
    </w:p>
    <w:sectPr w:rsidR="00BF04DB" w:rsidRPr="002A6CBA" w:rsidSect="00BF04DB">
      <w:footnotePr>
        <w:numRestart w:val="eachSect"/>
      </w:footnotePr>
      <w:pgSz w:w="11906" w:h="16838"/>
      <w:pgMar w:top="1134"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04DB" w:rsidRPr="00122827" w:rsidRDefault="00BF04DB">
      <w:r w:rsidRPr="00122827">
        <w:separator/>
      </w:r>
    </w:p>
  </w:endnote>
  <w:endnote w:type="continuationSeparator" w:id="0">
    <w:p w:rsidR="00BF04DB" w:rsidRPr="00122827" w:rsidRDefault="00BF04DB">
      <w:r w:rsidRPr="001228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04DB" w:rsidRPr="00122827" w:rsidRDefault="00BF04DB">
      <w:r w:rsidRPr="00122827">
        <w:separator/>
      </w:r>
    </w:p>
  </w:footnote>
  <w:footnote w:type="continuationSeparator" w:id="0">
    <w:p w:rsidR="00BF04DB" w:rsidRPr="00122827" w:rsidRDefault="00BF04DB">
      <w:r w:rsidRPr="00122827">
        <w:continuationSeparator/>
      </w:r>
    </w:p>
  </w:footnote>
  <w:footnote w:id="1">
    <w:p w:rsidR="00BF04DB" w:rsidRPr="00BF04DB" w:rsidRDefault="00BF04DB" w:rsidP="00974C03">
      <w:pPr>
        <w:pStyle w:val="FootnoteText"/>
        <w:ind w:left="709" w:hanging="709"/>
        <w:rPr>
          <w:sz w:val="24"/>
          <w:szCs w:val="24"/>
          <w:lang w:val="el-GR"/>
        </w:rPr>
      </w:pPr>
      <w:r w:rsidRPr="00BF04DB">
        <w:rPr>
          <w:rStyle w:val="FootnoteReference"/>
          <w:sz w:val="24"/>
          <w:szCs w:val="24"/>
          <w:lang w:val="el-GR"/>
        </w:rPr>
        <w:footnoteRef/>
      </w:r>
      <w:r w:rsidRPr="00BF04DB">
        <w:rPr>
          <w:sz w:val="24"/>
          <w:szCs w:val="24"/>
          <w:lang w:val="el-GR"/>
        </w:rPr>
        <w:t xml:space="preserve"> </w:t>
      </w:r>
      <w:r w:rsidRPr="00BF04DB">
        <w:rPr>
          <w:sz w:val="24"/>
          <w:szCs w:val="24"/>
          <w:lang w:val="el-GR"/>
        </w:rPr>
        <w:tab/>
        <w:t>ΕΕ C 446 της 24.11.2022, σ. 26.</w:t>
      </w:r>
    </w:p>
  </w:footnote>
  <w:footnote w:id="2">
    <w:p w:rsidR="00BF04DB" w:rsidRPr="00BF04DB" w:rsidRDefault="00BF04DB" w:rsidP="00974C03">
      <w:pPr>
        <w:pStyle w:val="FootnoteText"/>
        <w:ind w:left="709" w:hanging="709"/>
        <w:rPr>
          <w:sz w:val="24"/>
          <w:szCs w:val="24"/>
          <w:lang w:val="el-GR"/>
        </w:rPr>
      </w:pPr>
      <w:r w:rsidRPr="00BF04DB">
        <w:rPr>
          <w:rStyle w:val="FootnoteReference"/>
          <w:sz w:val="24"/>
          <w:szCs w:val="24"/>
          <w:lang w:val="el-GR"/>
        </w:rPr>
        <w:footnoteRef/>
      </w:r>
      <w:r w:rsidRPr="00BF04DB">
        <w:rPr>
          <w:sz w:val="24"/>
          <w:szCs w:val="24"/>
          <w:lang w:val="el-GR"/>
        </w:rPr>
        <w:t xml:space="preserve"> </w:t>
      </w:r>
      <w:r w:rsidRPr="00BF04DB">
        <w:rPr>
          <w:sz w:val="24"/>
          <w:szCs w:val="24"/>
          <w:lang w:val="el-GR"/>
        </w:rPr>
        <w:tab/>
      </w:r>
      <w:r w:rsidRPr="00BF04DB">
        <w:rPr>
          <w:sz w:val="24"/>
          <w:szCs w:val="24"/>
          <w:lang w:val="el-GR"/>
        </w:rPr>
        <w:t>ΕΕ C 77 της 28.3.2002, σ.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6A4535B1"/>
    <w:multiLevelType w:val="hybridMultilevel"/>
    <w:tmpl w:val="228A622E"/>
    <w:lvl w:ilvl="0" w:tplc="884EC252">
      <w:start w:val="1"/>
      <w:numFmt w:val="bullet"/>
      <w:lvlText w:val=""/>
      <w:lvlJc w:val="left"/>
      <w:pPr>
        <w:ind w:left="360" w:hanging="360"/>
      </w:pPr>
      <w:rPr>
        <w:rFonts w:ascii="Symbol" w:hAnsi="Symbol" w:hint="default"/>
      </w:rPr>
    </w:lvl>
    <w:lvl w:ilvl="1" w:tplc="611626E0" w:tentative="1">
      <w:start w:val="1"/>
      <w:numFmt w:val="bullet"/>
      <w:lvlText w:val="o"/>
      <w:lvlJc w:val="left"/>
      <w:pPr>
        <w:ind w:left="1080" w:hanging="360"/>
      </w:pPr>
      <w:rPr>
        <w:rFonts w:ascii="Courier New" w:hAnsi="Courier New" w:cs="Courier New" w:hint="default"/>
      </w:rPr>
    </w:lvl>
    <w:lvl w:ilvl="2" w:tplc="E0BC25FA" w:tentative="1">
      <w:start w:val="1"/>
      <w:numFmt w:val="bullet"/>
      <w:lvlText w:val=""/>
      <w:lvlJc w:val="left"/>
      <w:pPr>
        <w:ind w:left="1800" w:hanging="360"/>
      </w:pPr>
      <w:rPr>
        <w:rFonts w:ascii="Wingdings" w:hAnsi="Wingdings" w:hint="default"/>
      </w:rPr>
    </w:lvl>
    <w:lvl w:ilvl="3" w:tplc="697AD388" w:tentative="1">
      <w:start w:val="1"/>
      <w:numFmt w:val="bullet"/>
      <w:lvlText w:val=""/>
      <w:lvlJc w:val="left"/>
      <w:pPr>
        <w:ind w:left="2520" w:hanging="360"/>
      </w:pPr>
      <w:rPr>
        <w:rFonts w:ascii="Symbol" w:hAnsi="Symbol" w:hint="default"/>
      </w:rPr>
    </w:lvl>
    <w:lvl w:ilvl="4" w:tplc="9904C62E" w:tentative="1">
      <w:start w:val="1"/>
      <w:numFmt w:val="bullet"/>
      <w:lvlText w:val="o"/>
      <w:lvlJc w:val="left"/>
      <w:pPr>
        <w:ind w:left="3240" w:hanging="360"/>
      </w:pPr>
      <w:rPr>
        <w:rFonts w:ascii="Courier New" w:hAnsi="Courier New" w:cs="Courier New" w:hint="default"/>
      </w:rPr>
    </w:lvl>
    <w:lvl w:ilvl="5" w:tplc="698C7E2E" w:tentative="1">
      <w:start w:val="1"/>
      <w:numFmt w:val="bullet"/>
      <w:lvlText w:val=""/>
      <w:lvlJc w:val="left"/>
      <w:pPr>
        <w:ind w:left="3960" w:hanging="360"/>
      </w:pPr>
      <w:rPr>
        <w:rFonts w:ascii="Wingdings" w:hAnsi="Wingdings" w:hint="default"/>
      </w:rPr>
    </w:lvl>
    <w:lvl w:ilvl="6" w:tplc="154A31C2" w:tentative="1">
      <w:start w:val="1"/>
      <w:numFmt w:val="bullet"/>
      <w:lvlText w:val=""/>
      <w:lvlJc w:val="left"/>
      <w:pPr>
        <w:ind w:left="4680" w:hanging="360"/>
      </w:pPr>
      <w:rPr>
        <w:rFonts w:ascii="Symbol" w:hAnsi="Symbol" w:hint="default"/>
      </w:rPr>
    </w:lvl>
    <w:lvl w:ilvl="7" w:tplc="41E45C6A" w:tentative="1">
      <w:start w:val="1"/>
      <w:numFmt w:val="bullet"/>
      <w:lvlText w:val="o"/>
      <w:lvlJc w:val="left"/>
      <w:pPr>
        <w:ind w:left="5400" w:hanging="360"/>
      </w:pPr>
      <w:rPr>
        <w:rFonts w:ascii="Courier New" w:hAnsi="Courier New" w:cs="Courier New" w:hint="default"/>
      </w:rPr>
    </w:lvl>
    <w:lvl w:ilvl="8" w:tplc="A2AC2CD4" w:tentative="1">
      <w:start w:val="1"/>
      <w:numFmt w:val="bullet"/>
      <w:lvlText w:val=""/>
      <w:lvlJc w:val="left"/>
      <w:pPr>
        <w:ind w:left="612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bordersDoNotSurroundHeader/>
  <w:bordersDoNotSurroundFooter/>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0/2023"/>
    <w:docVar w:name="dvlangue" w:val="EL"/>
    <w:docVar w:name="dvnumam" w:val="0"/>
    <w:docVar w:name="dvpe" w:val="740.802"/>
    <w:docVar w:name="dvrapporteur" w:val="Εισηγητές: "/>
    <w:docVar w:name="dvstar" w:val="***I"/>
    <w:docVar w:name="dvtitre" w:val="Νομοθετικό ψήφισμα του Ευρωπαϊκού Κοινοβουλίου σχετικά με την πρόταση κανονισμού του Ευρωπαϊκού Κοινοβουλίου και του Συμβουλίου αναφορικά με τους δημοσιονομικούς κανόνες που εφαρμόζονται στον γενικό προϋπολογισμό της Ένωσης (αναδιατύπωση)(COM(2022)0223 – C9-0179/2022 – 2022/0162(COD))"/>
  </w:docVars>
  <w:rsids>
    <w:rsidRoot w:val="00167B9E"/>
    <w:rsid w:val="00002272"/>
    <w:rsid w:val="0003755C"/>
    <w:rsid w:val="00064002"/>
    <w:rsid w:val="000677B9"/>
    <w:rsid w:val="000831BA"/>
    <w:rsid w:val="00096EED"/>
    <w:rsid w:val="000A0916"/>
    <w:rsid w:val="000A42CC"/>
    <w:rsid w:val="000E7DD9"/>
    <w:rsid w:val="0010095E"/>
    <w:rsid w:val="00122827"/>
    <w:rsid w:val="00125B37"/>
    <w:rsid w:val="00141C57"/>
    <w:rsid w:val="00167B9E"/>
    <w:rsid w:val="00187494"/>
    <w:rsid w:val="001F32AE"/>
    <w:rsid w:val="00255433"/>
    <w:rsid w:val="002767FF"/>
    <w:rsid w:val="002A6CBA"/>
    <w:rsid w:val="002B18FE"/>
    <w:rsid w:val="002B5493"/>
    <w:rsid w:val="002B605B"/>
    <w:rsid w:val="00327AF5"/>
    <w:rsid w:val="00343214"/>
    <w:rsid w:val="00361C00"/>
    <w:rsid w:val="003675EA"/>
    <w:rsid w:val="0038577A"/>
    <w:rsid w:val="00395FA1"/>
    <w:rsid w:val="003B1A64"/>
    <w:rsid w:val="003E15D4"/>
    <w:rsid w:val="00411CCE"/>
    <w:rsid w:val="0041666E"/>
    <w:rsid w:val="00421060"/>
    <w:rsid w:val="0043073D"/>
    <w:rsid w:val="00431868"/>
    <w:rsid w:val="00471C19"/>
    <w:rsid w:val="00475ABA"/>
    <w:rsid w:val="004867E3"/>
    <w:rsid w:val="00494A28"/>
    <w:rsid w:val="004B7CFB"/>
    <w:rsid w:val="004C0004"/>
    <w:rsid w:val="004C5D52"/>
    <w:rsid w:val="004F5D6A"/>
    <w:rsid w:val="0050519A"/>
    <w:rsid w:val="005072A1"/>
    <w:rsid w:val="00514517"/>
    <w:rsid w:val="00516922"/>
    <w:rsid w:val="00545827"/>
    <w:rsid w:val="00545D6E"/>
    <w:rsid w:val="00560270"/>
    <w:rsid w:val="00576C66"/>
    <w:rsid w:val="005C2568"/>
    <w:rsid w:val="006037C0"/>
    <w:rsid w:val="00654311"/>
    <w:rsid w:val="006631B6"/>
    <w:rsid w:val="00680577"/>
    <w:rsid w:val="006D5C3E"/>
    <w:rsid w:val="006F74FA"/>
    <w:rsid w:val="00731ADD"/>
    <w:rsid w:val="00734777"/>
    <w:rsid w:val="007349D2"/>
    <w:rsid w:val="00747932"/>
    <w:rsid w:val="00751A4A"/>
    <w:rsid w:val="00756632"/>
    <w:rsid w:val="00762C74"/>
    <w:rsid w:val="00786EC0"/>
    <w:rsid w:val="007B2BA1"/>
    <w:rsid w:val="007B70EF"/>
    <w:rsid w:val="007D1690"/>
    <w:rsid w:val="007E22AD"/>
    <w:rsid w:val="007E4699"/>
    <w:rsid w:val="00817416"/>
    <w:rsid w:val="00842779"/>
    <w:rsid w:val="00865F67"/>
    <w:rsid w:val="00872947"/>
    <w:rsid w:val="00881A7B"/>
    <w:rsid w:val="008840E5"/>
    <w:rsid w:val="00887B3E"/>
    <w:rsid w:val="008C2AC6"/>
    <w:rsid w:val="00930C23"/>
    <w:rsid w:val="0093193B"/>
    <w:rsid w:val="00934229"/>
    <w:rsid w:val="009509D8"/>
    <w:rsid w:val="00950B64"/>
    <w:rsid w:val="00974C03"/>
    <w:rsid w:val="00981893"/>
    <w:rsid w:val="00985799"/>
    <w:rsid w:val="009B7A46"/>
    <w:rsid w:val="00A0457C"/>
    <w:rsid w:val="00A1687D"/>
    <w:rsid w:val="00A43E52"/>
    <w:rsid w:val="00A4678D"/>
    <w:rsid w:val="00A778C7"/>
    <w:rsid w:val="00AB441E"/>
    <w:rsid w:val="00AB6293"/>
    <w:rsid w:val="00AB6C7F"/>
    <w:rsid w:val="00AE0928"/>
    <w:rsid w:val="00AF3B82"/>
    <w:rsid w:val="00B12E95"/>
    <w:rsid w:val="00B22876"/>
    <w:rsid w:val="00B558F0"/>
    <w:rsid w:val="00BD48FE"/>
    <w:rsid w:val="00BD7BD8"/>
    <w:rsid w:val="00BE6ADC"/>
    <w:rsid w:val="00BF04DB"/>
    <w:rsid w:val="00C05BFE"/>
    <w:rsid w:val="00C23CD4"/>
    <w:rsid w:val="00C26ECA"/>
    <w:rsid w:val="00C4168E"/>
    <w:rsid w:val="00C61C0C"/>
    <w:rsid w:val="00C941CB"/>
    <w:rsid w:val="00CC2357"/>
    <w:rsid w:val="00CF071A"/>
    <w:rsid w:val="00D058B8"/>
    <w:rsid w:val="00D56C11"/>
    <w:rsid w:val="00D834A0"/>
    <w:rsid w:val="00D86568"/>
    <w:rsid w:val="00D872DF"/>
    <w:rsid w:val="00D91E21"/>
    <w:rsid w:val="00DA7FCD"/>
    <w:rsid w:val="00DB7C46"/>
    <w:rsid w:val="00E07543"/>
    <w:rsid w:val="00E31125"/>
    <w:rsid w:val="00E3623D"/>
    <w:rsid w:val="00E365E1"/>
    <w:rsid w:val="00E72CE1"/>
    <w:rsid w:val="00E820A4"/>
    <w:rsid w:val="00E9324A"/>
    <w:rsid w:val="00EB006A"/>
    <w:rsid w:val="00EB4772"/>
    <w:rsid w:val="00ED169E"/>
    <w:rsid w:val="00ED4235"/>
    <w:rsid w:val="00F04346"/>
    <w:rsid w:val="00F075DC"/>
    <w:rsid w:val="00F149E9"/>
    <w:rsid w:val="00F16BF6"/>
    <w:rsid w:val="00F5134D"/>
    <w:rsid w:val="00F71E10"/>
    <w:rsid w:val="00F74202"/>
    <w:rsid w:val="00F87713"/>
    <w:rsid w:val="00FB4360"/>
    <w:rsid w:val="00FD039D"/>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7C60BF8-81D3-4A71-A0FE-5B8A87816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qFormat="1"/>
    <w:lsdException w:name="annotation reference" w:uiPriority="99"/>
    <w:lsdException w:name="Title" w:uiPriority="10" w:qFormat="1"/>
    <w:lsdException w:name="Subtitle" w:uiPriority="11" w:qFormat="1"/>
    <w:lsdException w:name="Hyperlink" w:uiPriority="99"/>
    <w:lsdException w:name="Followed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0A0916"/>
    <w:rPr>
      <w:b/>
      <w:kern w:val="28"/>
      <w:sz w:val="28"/>
      <w:lang w:val="fr-FR" w:eastAsia="fr-FR"/>
    </w:rPr>
  </w:style>
  <w:style w:type="character" w:customStyle="1" w:styleId="Heading2Char">
    <w:name w:val="Heading 2 Char"/>
    <w:basedOn w:val="DefaultParagraphFont"/>
    <w:link w:val="Heading2"/>
    <w:uiPriority w:val="9"/>
    <w:semiHidden/>
    <w:rsid w:val="000A0916"/>
    <w:rPr>
      <w:sz w:val="24"/>
      <w:lang w:val="fr-FR" w:eastAsia="fr-FR"/>
    </w:rPr>
  </w:style>
  <w:style w:type="character" w:customStyle="1" w:styleId="Heading3Char">
    <w:name w:val="Heading 3 Char"/>
    <w:basedOn w:val="DefaultParagraphFont"/>
    <w:link w:val="Heading3"/>
    <w:uiPriority w:val="9"/>
    <w:semiHidden/>
    <w:rsid w:val="000A0916"/>
    <w:rPr>
      <w:rFonts w:ascii="Arial" w:hAnsi="Arial"/>
      <w:sz w:val="24"/>
      <w:lang w:val="fr-FR" w:eastAsia="fr-FR"/>
    </w:rPr>
  </w:style>
  <w:style w:type="character" w:customStyle="1" w:styleId="Heading4Char">
    <w:name w:val="Heading 4 Char"/>
    <w:basedOn w:val="DefaultParagraphFont"/>
    <w:link w:val="Heading4"/>
    <w:uiPriority w:val="9"/>
    <w:semiHidden/>
    <w:rsid w:val="000A0916"/>
    <w:rPr>
      <w:sz w:val="24"/>
      <w:lang w:val="en-US" w:eastAsia="fr-FR"/>
    </w:rPr>
  </w:style>
  <w:style w:type="character" w:customStyle="1" w:styleId="Heading5Char">
    <w:name w:val="Heading 5 Char"/>
    <w:basedOn w:val="DefaultParagraphFont"/>
    <w:link w:val="Heading5"/>
    <w:uiPriority w:val="9"/>
    <w:semiHidden/>
    <w:rsid w:val="000A0916"/>
    <w:rPr>
      <w:sz w:val="24"/>
      <w:lang w:val="en-US" w:eastAsia="fr-FR"/>
    </w:rPr>
  </w:style>
  <w:style w:type="character" w:customStyle="1" w:styleId="Heading6Char">
    <w:name w:val="Heading 6 Char"/>
    <w:basedOn w:val="DefaultParagraphFont"/>
    <w:link w:val="Heading6"/>
    <w:uiPriority w:val="9"/>
    <w:semiHidden/>
    <w:rsid w:val="000A0916"/>
    <w:rPr>
      <w:i/>
      <w:sz w:val="22"/>
      <w:lang w:val="el-GR"/>
    </w:rPr>
  </w:style>
  <w:style w:type="character" w:customStyle="1" w:styleId="Heading7Char">
    <w:name w:val="Heading 7 Char"/>
    <w:basedOn w:val="DefaultParagraphFont"/>
    <w:link w:val="Heading7"/>
    <w:uiPriority w:val="9"/>
    <w:semiHidden/>
    <w:rsid w:val="000A0916"/>
    <w:rPr>
      <w:rFonts w:ascii="Arial" w:hAnsi="Arial"/>
      <w:sz w:val="24"/>
      <w:lang w:val="el-GR"/>
    </w:rPr>
  </w:style>
  <w:style w:type="character" w:customStyle="1" w:styleId="Heading8Char">
    <w:name w:val="Heading 8 Char"/>
    <w:basedOn w:val="DefaultParagraphFont"/>
    <w:link w:val="Heading8"/>
    <w:uiPriority w:val="9"/>
    <w:semiHidden/>
    <w:rsid w:val="000A0916"/>
    <w:rPr>
      <w:rFonts w:ascii="Arial" w:hAnsi="Arial"/>
      <w:i/>
      <w:sz w:val="24"/>
      <w:lang w:val="el-GR"/>
    </w:rPr>
  </w:style>
  <w:style w:type="character" w:customStyle="1" w:styleId="Heading9Char">
    <w:name w:val="Heading 9 Char"/>
    <w:basedOn w:val="DefaultParagraphFont"/>
    <w:link w:val="Heading9"/>
    <w:uiPriority w:val="9"/>
    <w:semiHidden/>
    <w:rsid w:val="000A0916"/>
    <w:rPr>
      <w:rFonts w:ascii="Arial" w:hAnsi="Arial"/>
      <w:b/>
      <w:i/>
      <w:sz w:val="18"/>
      <w:lang w:val="el-GR"/>
    </w:rPr>
  </w:style>
  <w:style w:type="paragraph" w:styleId="TOCHeading">
    <w:name w:val="TOC Heading"/>
    <w:basedOn w:val="Normal"/>
    <w:next w:val="Normal"/>
    <w:uiPriority w:val="39"/>
    <w:unhideWhenUsed/>
    <w:qFormat/>
    <w:rsid w:val="000A0916"/>
    <w:pPr>
      <w:widowControl/>
      <w:spacing w:after="240"/>
    </w:pPr>
    <w:rPr>
      <w:lang w:val="en-GB"/>
    </w:rPr>
  </w:style>
  <w:style w:type="paragraph" w:customStyle="1" w:styleId="PageHeading">
    <w:name w:val="PageHeading"/>
    <w:basedOn w:val="Normal"/>
    <w:rsid w:val="000A0916"/>
    <w:pPr>
      <w:keepNext/>
      <w:spacing w:after="480"/>
      <w:jc w:val="center"/>
    </w:pPr>
    <w:rPr>
      <w:rFonts w:ascii="Arial" w:hAnsi="Arial" w:cs="Arial"/>
      <w:b/>
    </w:rPr>
  </w:style>
  <w:style w:type="paragraph" w:customStyle="1" w:styleId="EPFooter2">
    <w:name w:val="EPFooter2"/>
    <w:basedOn w:val="Normal"/>
    <w:next w:val="Normal"/>
    <w:rsid w:val="000A0916"/>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0A0916"/>
    <w:pPr>
      <w:spacing w:after="240"/>
    </w:pPr>
  </w:style>
  <w:style w:type="paragraph" w:customStyle="1" w:styleId="TOCPage">
    <w:name w:val="TOC Page"/>
    <w:basedOn w:val="Normal"/>
    <w:next w:val="TOC1"/>
    <w:rsid w:val="000A0916"/>
    <w:pPr>
      <w:keepNext/>
      <w:spacing w:after="240"/>
      <w:jc w:val="right"/>
    </w:pPr>
    <w:rPr>
      <w:rFonts w:ascii="Arial" w:hAnsi="Arial"/>
      <w:b/>
    </w:rPr>
  </w:style>
  <w:style w:type="paragraph" w:customStyle="1" w:styleId="Normal6a">
    <w:name w:val="Normal6a"/>
    <w:basedOn w:val="Normal"/>
    <w:rsid w:val="000A0916"/>
    <w:pPr>
      <w:spacing w:after="120"/>
    </w:pPr>
  </w:style>
  <w:style w:type="paragraph" w:customStyle="1" w:styleId="NormalBold">
    <w:name w:val="NormalBold"/>
    <w:basedOn w:val="Normal"/>
    <w:link w:val="NormalBoldChar"/>
    <w:rsid w:val="000A0916"/>
    <w:rPr>
      <w:b/>
    </w:rPr>
  </w:style>
  <w:style w:type="character" w:customStyle="1" w:styleId="NormalBoldChar">
    <w:name w:val="NormalBold Char"/>
    <w:link w:val="NormalBold"/>
    <w:locked/>
    <w:rsid w:val="000A0916"/>
    <w:rPr>
      <w:b/>
      <w:sz w:val="24"/>
      <w:lang w:val="el-GR"/>
    </w:rPr>
  </w:style>
  <w:style w:type="paragraph" w:customStyle="1" w:styleId="NormalBold12a">
    <w:name w:val="NormalBold12a"/>
    <w:basedOn w:val="Normal"/>
    <w:rsid w:val="000A0916"/>
    <w:pPr>
      <w:spacing w:after="240"/>
    </w:pPr>
    <w:rPr>
      <w:b/>
    </w:rPr>
  </w:style>
  <w:style w:type="paragraph" w:customStyle="1" w:styleId="NormalHanging12a">
    <w:name w:val="NormalHanging12a"/>
    <w:basedOn w:val="Normal"/>
    <w:rsid w:val="000A0916"/>
    <w:pPr>
      <w:spacing w:after="240"/>
      <w:ind w:left="567" w:hanging="567"/>
    </w:pPr>
  </w:style>
  <w:style w:type="paragraph" w:customStyle="1" w:styleId="CoverNormal24a">
    <w:name w:val="CoverNormal24a"/>
    <w:basedOn w:val="Normal"/>
    <w:rsid w:val="000A0916"/>
    <w:pPr>
      <w:spacing w:after="480"/>
      <w:ind w:left="1417"/>
    </w:pPr>
  </w:style>
  <w:style w:type="paragraph" w:customStyle="1" w:styleId="CoverNormal">
    <w:name w:val="CoverNormal"/>
    <w:basedOn w:val="Normal"/>
    <w:rsid w:val="000A0916"/>
    <w:pPr>
      <w:ind w:left="1418"/>
    </w:pPr>
  </w:style>
  <w:style w:type="paragraph" w:customStyle="1" w:styleId="CoverReference">
    <w:name w:val="CoverReference"/>
    <w:basedOn w:val="Normal"/>
    <w:rsid w:val="000A0916"/>
    <w:pPr>
      <w:spacing w:before="1080"/>
      <w:jc w:val="right"/>
    </w:pPr>
    <w:rPr>
      <w:rFonts w:ascii="Arial" w:hAnsi="Arial" w:cs="Arial"/>
      <w:b/>
    </w:rPr>
  </w:style>
  <w:style w:type="paragraph" w:customStyle="1" w:styleId="CoverDocType">
    <w:name w:val="CoverDocType"/>
    <w:basedOn w:val="Normal"/>
    <w:rsid w:val="000A0916"/>
    <w:pPr>
      <w:ind w:left="1418"/>
    </w:pPr>
    <w:rPr>
      <w:rFonts w:ascii="Arial" w:hAnsi="Arial"/>
      <w:b/>
      <w:sz w:val="48"/>
    </w:rPr>
  </w:style>
  <w:style w:type="paragraph" w:customStyle="1" w:styleId="CoverDocType24a">
    <w:name w:val="CoverDocType24a"/>
    <w:basedOn w:val="Normal"/>
    <w:rsid w:val="000A0916"/>
    <w:pPr>
      <w:spacing w:after="480"/>
      <w:ind w:left="1418"/>
    </w:pPr>
    <w:rPr>
      <w:rFonts w:ascii="Arial" w:hAnsi="Arial"/>
      <w:b/>
      <w:sz w:val="48"/>
    </w:rPr>
  </w:style>
  <w:style w:type="paragraph" w:customStyle="1" w:styleId="CoverDate">
    <w:name w:val="CoverDate"/>
    <w:basedOn w:val="Normal"/>
    <w:rsid w:val="000A0916"/>
    <w:pPr>
      <w:spacing w:before="240" w:after="1200"/>
    </w:pPr>
  </w:style>
  <w:style w:type="paragraph" w:styleId="Header">
    <w:name w:val="header"/>
    <w:basedOn w:val="Normal"/>
    <w:link w:val="HeaderChar"/>
    <w:uiPriority w:val="99"/>
    <w:rsid w:val="000A0916"/>
    <w:pPr>
      <w:tabs>
        <w:tab w:val="center" w:pos="4513"/>
        <w:tab w:val="right" w:pos="9026"/>
      </w:tabs>
    </w:pPr>
  </w:style>
  <w:style w:type="character" w:customStyle="1" w:styleId="HeaderChar">
    <w:name w:val="Header Char"/>
    <w:basedOn w:val="DefaultParagraphFont"/>
    <w:link w:val="Header"/>
    <w:uiPriority w:val="99"/>
    <w:rsid w:val="000A0916"/>
    <w:rPr>
      <w:sz w:val="24"/>
      <w:lang w:val="el-GR"/>
    </w:rPr>
  </w:style>
  <w:style w:type="paragraph" w:customStyle="1" w:styleId="AnnexWPTabs">
    <w:name w:val="AnnexWPTabs"/>
    <w:basedOn w:val="Normal"/>
    <w:rsid w:val="000A0916"/>
    <w:pPr>
      <w:tabs>
        <w:tab w:val="right" w:pos="3686"/>
        <w:tab w:val="left" w:pos="3827"/>
      </w:tabs>
    </w:pPr>
    <w:rPr>
      <w:b/>
    </w:rPr>
  </w:style>
  <w:style w:type="paragraph" w:customStyle="1" w:styleId="AnnexWPDate">
    <w:name w:val="AnnexWPDate"/>
    <w:basedOn w:val="Normal"/>
    <w:rsid w:val="000A0916"/>
    <w:pPr>
      <w:spacing w:before="240" w:after="480"/>
      <w:jc w:val="right"/>
    </w:pPr>
  </w:style>
  <w:style w:type="paragraph" w:customStyle="1" w:styleId="AnnexWPSmall">
    <w:name w:val="AnnexWPSmall"/>
    <w:basedOn w:val="Normal"/>
    <w:rsid w:val="000A0916"/>
    <w:rPr>
      <w:smallCaps/>
      <w:sz w:val="20"/>
    </w:rPr>
  </w:style>
  <w:style w:type="paragraph" w:customStyle="1" w:styleId="AnnexWPDocType">
    <w:name w:val="AnnexWPDocType"/>
    <w:basedOn w:val="Normal"/>
    <w:rsid w:val="000A0916"/>
    <w:pPr>
      <w:spacing w:after="240"/>
      <w:jc w:val="center"/>
    </w:pPr>
    <w:rPr>
      <w:b/>
    </w:rPr>
  </w:style>
  <w:style w:type="paragraph" w:customStyle="1" w:styleId="AnnexWPTitle">
    <w:name w:val="AnnexWPTitle"/>
    <w:basedOn w:val="Normal"/>
    <w:rsid w:val="000A0916"/>
    <w:pPr>
      <w:spacing w:before="480"/>
    </w:pPr>
    <w:rPr>
      <w:b/>
    </w:rPr>
  </w:style>
  <w:style w:type="paragraph" w:customStyle="1" w:styleId="AmJustText">
    <w:name w:val="AmJustText"/>
    <w:basedOn w:val="Normal"/>
    <w:rsid w:val="000A0916"/>
    <w:pPr>
      <w:spacing w:after="240"/>
    </w:pPr>
    <w:rPr>
      <w:i/>
    </w:rPr>
  </w:style>
  <w:style w:type="paragraph" w:customStyle="1" w:styleId="AmCrossRef">
    <w:name w:val="AmCrossRef"/>
    <w:basedOn w:val="Normal"/>
    <w:rsid w:val="000A0916"/>
    <w:pPr>
      <w:spacing w:before="240" w:after="240"/>
      <w:jc w:val="center"/>
    </w:pPr>
    <w:rPr>
      <w:i/>
    </w:rPr>
  </w:style>
  <w:style w:type="paragraph" w:customStyle="1" w:styleId="AmJustTitle">
    <w:name w:val="AmJustTitle"/>
    <w:basedOn w:val="Normal"/>
    <w:next w:val="AmJustText"/>
    <w:rsid w:val="000A0916"/>
    <w:pPr>
      <w:keepNext/>
      <w:spacing w:before="240" w:after="240"/>
      <w:jc w:val="center"/>
    </w:pPr>
    <w:rPr>
      <w:i/>
    </w:rPr>
  </w:style>
  <w:style w:type="paragraph" w:customStyle="1" w:styleId="AmOrLang">
    <w:name w:val="AmOrLang"/>
    <w:basedOn w:val="Normal"/>
    <w:rsid w:val="000A0916"/>
    <w:pPr>
      <w:spacing w:before="240" w:after="240"/>
      <w:jc w:val="right"/>
    </w:pPr>
  </w:style>
  <w:style w:type="paragraph" w:customStyle="1" w:styleId="AmColumnHeading">
    <w:name w:val="AmColumnHeading"/>
    <w:basedOn w:val="Normal"/>
    <w:rsid w:val="000A0916"/>
    <w:pPr>
      <w:spacing w:after="240"/>
      <w:jc w:val="center"/>
    </w:pPr>
    <w:rPr>
      <w:i/>
    </w:rPr>
  </w:style>
  <w:style w:type="paragraph" w:customStyle="1" w:styleId="AmNumberTabs">
    <w:name w:val="AmNumberTabs"/>
    <w:basedOn w:val="Normal"/>
    <w:link w:val="AmNumberTabsChar"/>
    <w:rsid w:val="000A09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0A0916"/>
    <w:rPr>
      <w:b/>
      <w:sz w:val="24"/>
      <w:lang w:val="el-GR"/>
    </w:rPr>
  </w:style>
  <w:style w:type="paragraph" w:customStyle="1" w:styleId="NormalBold12b">
    <w:name w:val="NormalBold12b"/>
    <w:basedOn w:val="Normal"/>
    <w:link w:val="NormalBold12bChar"/>
    <w:rsid w:val="000A0916"/>
    <w:pPr>
      <w:spacing w:before="240"/>
    </w:pPr>
    <w:rPr>
      <w:b/>
    </w:rPr>
  </w:style>
  <w:style w:type="character" w:customStyle="1" w:styleId="NormalBold12bChar">
    <w:name w:val="NormalBold12b Char"/>
    <w:basedOn w:val="AmNumberTabsChar"/>
    <w:link w:val="NormalBold12b"/>
    <w:rsid w:val="000A0916"/>
    <w:rPr>
      <w:b/>
      <w:sz w:val="24"/>
      <w:lang w:val="el-GR"/>
    </w:rPr>
  </w:style>
  <w:style w:type="paragraph" w:customStyle="1" w:styleId="EPBody">
    <w:name w:val="EPBody"/>
    <w:basedOn w:val="Normal"/>
    <w:rsid w:val="000A0916"/>
    <w:pPr>
      <w:jc w:val="center"/>
    </w:pPr>
    <w:rPr>
      <w:rFonts w:ascii="Arial" w:hAnsi="Arial" w:cs="Arial"/>
      <w:i/>
      <w:sz w:val="22"/>
      <w:szCs w:val="22"/>
    </w:rPr>
  </w:style>
  <w:style w:type="paragraph" w:customStyle="1" w:styleId="AnnexWPLogo">
    <w:name w:val="AnnexWPLogo"/>
    <w:basedOn w:val="Normal"/>
    <w:rsid w:val="000A0916"/>
    <w:pPr>
      <w:spacing w:before="120" w:after="120"/>
    </w:pPr>
  </w:style>
  <w:style w:type="paragraph" w:customStyle="1" w:styleId="EPFooter">
    <w:name w:val="EPFooter"/>
    <w:basedOn w:val="Normal"/>
    <w:rsid w:val="000A0916"/>
    <w:pPr>
      <w:tabs>
        <w:tab w:val="center" w:pos="4535"/>
        <w:tab w:val="right" w:pos="9071"/>
      </w:tabs>
      <w:spacing w:before="240" w:after="240"/>
    </w:pPr>
    <w:rPr>
      <w:color w:val="010000"/>
      <w:sz w:val="22"/>
    </w:rPr>
  </w:style>
  <w:style w:type="paragraph" w:customStyle="1" w:styleId="EPComma">
    <w:name w:val="EPComma"/>
    <w:basedOn w:val="Normal"/>
    <w:rsid w:val="000A0916"/>
    <w:pPr>
      <w:spacing w:before="480" w:after="240"/>
    </w:pPr>
  </w:style>
  <w:style w:type="paragraph" w:customStyle="1" w:styleId="Lgendesigne">
    <w:name w:val="Légende signe"/>
    <w:basedOn w:val="Normal"/>
    <w:rsid w:val="000A0916"/>
    <w:pPr>
      <w:tabs>
        <w:tab w:val="right" w:pos="454"/>
        <w:tab w:val="left" w:pos="737"/>
      </w:tabs>
      <w:ind w:left="737" w:hanging="737"/>
    </w:pPr>
    <w:rPr>
      <w:snapToGrid w:val="0"/>
      <w:sz w:val="18"/>
      <w:lang w:eastAsia="en-US"/>
    </w:rPr>
  </w:style>
  <w:style w:type="paragraph" w:customStyle="1" w:styleId="Lgendetitre">
    <w:name w:val="Légende titre"/>
    <w:basedOn w:val="Normal"/>
    <w:rsid w:val="000A0916"/>
    <w:pPr>
      <w:spacing w:before="240" w:after="240"/>
    </w:pPr>
    <w:rPr>
      <w:b/>
      <w:i/>
      <w:snapToGrid w:val="0"/>
      <w:lang w:eastAsia="en-US"/>
    </w:rPr>
  </w:style>
  <w:style w:type="paragraph" w:customStyle="1" w:styleId="Lgendestandard">
    <w:name w:val="Légende standard"/>
    <w:basedOn w:val="Normal"/>
    <w:rsid w:val="000A0916"/>
    <w:rPr>
      <w:sz w:val="18"/>
    </w:rPr>
  </w:style>
  <w:style w:type="paragraph" w:customStyle="1" w:styleId="msonormal0">
    <w:name w:val="msonormal"/>
    <w:basedOn w:val="Normal"/>
    <w:rsid w:val="000A0916"/>
    <w:pPr>
      <w:widowControl/>
      <w:spacing w:before="100" w:beforeAutospacing="1" w:after="100" w:afterAutospacing="1"/>
    </w:pPr>
    <w:rPr>
      <w:szCs w:val="24"/>
    </w:rPr>
  </w:style>
  <w:style w:type="paragraph" w:customStyle="1" w:styleId="PageHeadingNotTOC">
    <w:name w:val="PageHeadingNotTOC"/>
    <w:basedOn w:val="Normal"/>
    <w:rsid w:val="000A0916"/>
    <w:pPr>
      <w:keepNext/>
      <w:spacing w:after="480"/>
      <w:jc w:val="center"/>
    </w:pPr>
    <w:rPr>
      <w:rFonts w:ascii="Arial" w:hAnsi="Arial" w:cs="Arial"/>
      <w:b/>
    </w:rPr>
  </w:style>
  <w:style w:type="paragraph" w:customStyle="1" w:styleId="AmHeadingPA">
    <w:name w:val="AmHeadingPA"/>
    <w:basedOn w:val="Normal"/>
    <w:next w:val="Normal"/>
    <w:rsid w:val="000A0916"/>
    <w:pPr>
      <w:spacing w:before="480" w:after="240"/>
      <w:jc w:val="center"/>
    </w:pPr>
    <w:rPr>
      <w:rFonts w:ascii="Arial" w:hAnsi="Arial"/>
      <w:b/>
      <w:caps/>
      <w:snapToGrid w:val="0"/>
      <w:szCs w:val="24"/>
      <w:lang w:eastAsia="en-US"/>
    </w:rPr>
  </w:style>
  <w:style w:type="character" w:customStyle="1" w:styleId="Normal12Char">
    <w:name w:val="Normal12 Char"/>
    <w:link w:val="Normal12"/>
    <w:locked/>
    <w:rsid w:val="000A0916"/>
    <w:rPr>
      <w:noProof/>
      <w:sz w:val="24"/>
    </w:rPr>
  </w:style>
  <w:style w:type="paragraph" w:customStyle="1" w:styleId="Normal12">
    <w:name w:val="Normal12"/>
    <w:basedOn w:val="Normal"/>
    <w:link w:val="Normal12Char"/>
    <w:rsid w:val="000A0916"/>
    <w:pPr>
      <w:spacing w:after="240"/>
    </w:pPr>
    <w:rPr>
      <w:noProof/>
      <w:lang w:val="en-GB"/>
    </w:rPr>
  </w:style>
  <w:style w:type="paragraph" w:customStyle="1" w:styleId="CommitteeAM">
    <w:name w:val="CommitteeAM"/>
    <w:basedOn w:val="Normal"/>
    <w:rsid w:val="000A0916"/>
    <w:pPr>
      <w:spacing w:before="240" w:after="600"/>
      <w:jc w:val="center"/>
    </w:pPr>
    <w:rPr>
      <w:i/>
    </w:rPr>
  </w:style>
  <w:style w:type="paragraph" w:customStyle="1" w:styleId="ZDateAM">
    <w:name w:val="ZDateAM"/>
    <w:basedOn w:val="Normal"/>
    <w:rsid w:val="000A0916"/>
    <w:pPr>
      <w:tabs>
        <w:tab w:val="right" w:pos="9356"/>
      </w:tabs>
      <w:spacing w:after="480"/>
    </w:pPr>
    <w:rPr>
      <w:noProof/>
    </w:rPr>
  </w:style>
  <w:style w:type="paragraph" w:customStyle="1" w:styleId="ProjRap">
    <w:name w:val="ProjRap"/>
    <w:basedOn w:val="Normal"/>
    <w:rsid w:val="000A0916"/>
    <w:pPr>
      <w:tabs>
        <w:tab w:val="right" w:pos="9356"/>
      </w:tabs>
    </w:pPr>
    <w:rPr>
      <w:b/>
      <w:noProof/>
    </w:rPr>
  </w:style>
  <w:style w:type="paragraph" w:customStyle="1" w:styleId="PELeft">
    <w:name w:val="PELeft"/>
    <w:basedOn w:val="Normal"/>
    <w:rsid w:val="000A0916"/>
    <w:pPr>
      <w:spacing w:before="40" w:after="40"/>
    </w:pPr>
    <w:rPr>
      <w:rFonts w:ascii="Arial" w:hAnsi="Arial" w:cs="Arial"/>
      <w:sz w:val="22"/>
      <w:szCs w:val="22"/>
    </w:rPr>
  </w:style>
  <w:style w:type="paragraph" w:customStyle="1" w:styleId="PERight">
    <w:name w:val="PERight"/>
    <w:basedOn w:val="Normal"/>
    <w:next w:val="Normal"/>
    <w:rsid w:val="000A0916"/>
    <w:pPr>
      <w:jc w:val="right"/>
    </w:pPr>
    <w:rPr>
      <w:rFonts w:ascii="Arial" w:hAnsi="Arial" w:cs="Arial"/>
      <w:sz w:val="22"/>
      <w:szCs w:val="22"/>
    </w:rPr>
  </w:style>
  <w:style w:type="character" w:customStyle="1" w:styleId="Normal6Char">
    <w:name w:val="Normal6 Char"/>
    <w:link w:val="Normal6"/>
    <w:locked/>
    <w:rsid w:val="000A0916"/>
    <w:rPr>
      <w:sz w:val="24"/>
      <w:lang w:val="el-GR"/>
    </w:rPr>
  </w:style>
  <w:style w:type="paragraph" w:customStyle="1" w:styleId="Normal6">
    <w:name w:val="Normal6"/>
    <w:basedOn w:val="Normal"/>
    <w:link w:val="Normal6Char"/>
    <w:rsid w:val="000A0916"/>
    <w:pPr>
      <w:spacing w:after="120"/>
    </w:pPr>
  </w:style>
  <w:style w:type="paragraph" w:customStyle="1" w:styleId="Normal12Italic">
    <w:name w:val="Normal12Italic"/>
    <w:basedOn w:val="Normal12"/>
    <w:rsid w:val="000A0916"/>
    <w:rPr>
      <w:i/>
    </w:rPr>
  </w:style>
  <w:style w:type="paragraph" w:customStyle="1" w:styleId="JustificationTitle">
    <w:name w:val="JustificationTitle"/>
    <w:basedOn w:val="Normal"/>
    <w:next w:val="Normal12"/>
    <w:rsid w:val="000A0916"/>
    <w:pPr>
      <w:keepNext/>
      <w:spacing w:before="240" w:after="240"/>
      <w:jc w:val="center"/>
    </w:pPr>
    <w:rPr>
      <w:i/>
      <w:noProof/>
    </w:rPr>
  </w:style>
  <w:style w:type="paragraph" w:customStyle="1" w:styleId="Olang">
    <w:name w:val="Olang"/>
    <w:basedOn w:val="Normal"/>
    <w:rsid w:val="000A0916"/>
    <w:pPr>
      <w:spacing w:before="240" w:after="240"/>
      <w:jc w:val="right"/>
    </w:pPr>
    <w:rPr>
      <w:noProof/>
      <w:szCs w:val="24"/>
    </w:rPr>
  </w:style>
  <w:style w:type="paragraph" w:customStyle="1" w:styleId="ColumnHeading">
    <w:name w:val="ColumnHeading"/>
    <w:basedOn w:val="Normal"/>
    <w:rsid w:val="000A0916"/>
    <w:pPr>
      <w:spacing w:after="240"/>
      <w:jc w:val="center"/>
    </w:pPr>
    <w:rPr>
      <w:i/>
    </w:rPr>
  </w:style>
  <w:style w:type="paragraph" w:customStyle="1" w:styleId="AMNumberTabs0">
    <w:name w:val="AMNumberTabs"/>
    <w:basedOn w:val="Normal"/>
    <w:rsid w:val="000A09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0A0916"/>
    <w:pPr>
      <w:spacing w:before="240"/>
      <w:jc w:val="center"/>
    </w:pPr>
    <w:rPr>
      <w:i/>
    </w:rPr>
  </w:style>
  <w:style w:type="character" w:customStyle="1" w:styleId="Footer2Middle">
    <w:name w:val="Footer2Middle"/>
    <w:rsid w:val="000A0916"/>
    <w:rPr>
      <w:rFonts w:ascii="Arial" w:hAnsi="Arial" w:cs="Arial" w:hint="default"/>
      <w:b w:val="0"/>
      <w:bCs w:val="0"/>
      <w:i/>
      <w:iCs w:val="0"/>
      <w:color w:val="C0C0C0"/>
      <w:sz w:val="22"/>
    </w:rPr>
  </w:style>
  <w:style w:type="paragraph" w:customStyle="1" w:styleId="EntPE">
    <w:name w:val="EntPE"/>
    <w:basedOn w:val="Normal12"/>
    <w:rsid w:val="000A0916"/>
    <w:pPr>
      <w:jc w:val="center"/>
    </w:pPr>
    <w:rPr>
      <w:noProof w:val="0"/>
      <w:sz w:val="56"/>
    </w:rPr>
  </w:style>
  <w:style w:type="character" w:styleId="CommentReference">
    <w:name w:val="annotation reference"/>
    <w:basedOn w:val="DefaultParagraphFont"/>
    <w:uiPriority w:val="99"/>
    <w:rsid w:val="000A0916"/>
    <w:rPr>
      <w:sz w:val="16"/>
      <w:szCs w:val="16"/>
    </w:rPr>
  </w:style>
  <w:style w:type="paragraph" w:styleId="CommentText">
    <w:name w:val="annotation text"/>
    <w:basedOn w:val="Normal"/>
    <w:link w:val="CommentTextChar"/>
    <w:uiPriority w:val="99"/>
    <w:rsid w:val="000A0916"/>
    <w:rPr>
      <w:sz w:val="20"/>
    </w:rPr>
  </w:style>
  <w:style w:type="character" w:customStyle="1" w:styleId="CommentTextChar">
    <w:name w:val="Comment Text Char"/>
    <w:basedOn w:val="DefaultParagraphFont"/>
    <w:link w:val="CommentText"/>
    <w:uiPriority w:val="99"/>
    <w:rsid w:val="000A0916"/>
    <w:rPr>
      <w:lang w:val="el-GR"/>
    </w:rPr>
  </w:style>
  <w:style w:type="paragraph" w:styleId="CommentSubject">
    <w:name w:val="annotation subject"/>
    <w:basedOn w:val="CommentText"/>
    <w:next w:val="CommentText"/>
    <w:link w:val="CommentSubjectChar"/>
    <w:uiPriority w:val="99"/>
    <w:unhideWhenUsed/>
    <w:rsid w:val="000A0916"/>
    <w:rPr>
      <w:b/>
      <w:bCs/>
    </w:rPr>
  </w:style>
  <w:style w:type="character" w:customStyle="1" w:styleId="CommentSubjectChar">
    <w:name w:val="Comment Subject Char"/>
    <w:basedOn w:val="CommentTextChar"/>
    <w:link w:val="CommentSubject"/>
    <w:uiPriority w:val="99"/>
    <w:rsid w:val="000A0916"/>
    <w:rPr>
      <w:b/>
      <w:bCs/>
      <w:lang w:val="el-GR"/>
    </w:rPr>
  </w:style>
  <w:style w:type="paragraph" w:styleId="BalloonText">
    <w:name w:val="Balloon Text"/>
    <w:basedOn w:val="Normal"/>
    <w:link w:val="BalloonTextChar"/>
    <w:uiPriority w:val="99"/>
    <w:unhideWhenUsed/>
    <w:rsid w:val="000A0916"/>
    <w:rPr>
      <w:rFonts w:ascii="Segoe UI" w:hAnsi="Segoe UI" w:cs="Segoe UI"/>
      <w:sz w:val="18"/>
      <w:szCs w:val="18"/>
    </w:rPr>
  </w:style>
  <w:style w:type="character" w:customStyle="1" w:styleId="BalloonTextChar">
    <w:name w:val="Balloon Text Char"/>
    <w:basedOn w:val="DefaultParagraphFont"/>
    <w:link w:val="BalloonText"/>
    <w:uiPriority w:val="99"/>
    <w:rsid w:val="000A0916"/>
    <w:rPr>
      <w:rFonts w:ascii="Segoe UI" w:hAnsi="Segoe UI" w:cs="Segoe UI"/>
      <w:sz w:val="18"/>
      <w:szCs w:val="18"/>
      <w:lang w:val="el-GR"/>
    </w:rPr>
  </w:style>
  <w:style w:type="paragraph" w:styleId="ListParagraph">
    <w:name w:val="List Paragraph"/>
    <w:basedOn w:val="Normal"/>
    <w:uiPriority w:val="34"/>
    <w:qFormat/>
    <w:rsid w:val="000A0916"/>
    <w:pPr>
      <w:widowControl/>
      <w:ind w:left="720"/>
      <w:contextualSpacing/>
      <w:jc w:val="both"/>
    </w:pPr>
    <w:rPr>
      <w:rFonts w:eastAsiaTheme="minorHAnsi"/>
      <w:szCs w:val="24"/>
      <w:lang w:eastAsia="en-US"/>
    </w:rPr>
  </w:style>
  <w:style w:type="character" w:customStyle="1" w:styleId="Sup">
    <w:name w:val="Sup"/>
    <w:uiPriority w:val="1"/>
    <w:qFormat/>
    <w:rsid w:val="000A0916"/>
    <w:rPr>
      <w:vertAlign w:val="superscript"/>
    </w:rPr>
  </w:style>
  <w:style w:type="character" w:styleId="Hyperlink">
    <w:name w:val="Hyperlink"/>
    <w:basedOn w:val="DefaultParagraphFont"/>
    <w:uiPriority w:val="99"/>
    <w:rsid w:val="000A0916"/>
    <w:rPr>
      <w:color w:val="0563C1" w:themeColor="hyperlink"/>
      <w:u w:val="single"/>
    </w:rPr>
  </w:style>
  <w:style w:type="paragraph" w:customStyle="1" w:styleId="LetterSalutation">
    <w:name w:val="LetterSalutation"/>
    <w:basedOn w:val="Normal"/>
    <w:rsid w:val="000A0916"/>
    <w:pPr>
      <w:spacing w:before="600" w:after="360"/>
    </w:pPr>
  </w:style>
  <w:style w:type="paragraph" w:customStyle="1" w:styleId="LetterSubject">
    <w:name w:val="LetterSubject"/>
    <w:basedOn w:val="Normal"/>
    <w:rsid w:val="000A0916"/>
    <w:pPr>
      <w:spacing w:before="480"/>
      <w:ind w:left="1134" w:hanging="1134"/>
    </w:pPr>
  </w:style>
  <w:style w:type="paragraph" w:customStyle="1" w:styleId="Normal24a">
    <w:name w:val="Normal24a"/>
    <w:basedOn w:val="Normal"/>
    <w:link w:val="Normal24aChar"/>
    <w:rsid w:val="000A0916"/>
    <w:pPr>
      <w:spacing w:after="480"/>
    </w:pPr>
  </w:style>
  <w:style w:type="character" w:customStyle="1" w:styleId="Normal24aChar">
    <w:name w:val="Normal24a Char"/>
    <w:basedOn w:val="DefaultParagraphFont"/>
    <w:link w:val="Normal24a"/>
    <w:rsid w:val="000A0916"/>
    <w:rPr>
      <w:sz w:val="24"/>
      <w:lang w:val="el-GR"/>
    </w:rPr>
  </w:style>
  <w:style w:type="paragraph" w:customStyle="1" w:styleId="CoverBold">
    <w:name w:val="CoverBold"/>
    <w:basedOn w:val="Normal"/>
    <w:rsid w:val="000A0916"/>
    <w:pPr>
      <w:ind w:left="1417"/>
    </w:pPr>
    <w:rPr>
      <w:b/>
    </w:rPr>
  </w:style>
  <w:style w:type="paragraph" w:customStyle="1" w:styleId="Normal2">
    <w:name w:val="Normal2"/>
    <w:basedOn w:val="Normal"/>
    <w:qFormat/>
    <w:rsid w:val="000A0916"/>
    <w:pPr>
      <w:spacing w:line="120" w:lineRule="auto"/>
    </w:pPr>
    <w:rPr>
      <w:sz w:val="4"/>
    </w:rPr>
  </w:style>
  <w:style w:type="paragraph" w:customStyle="1" w:styleId="NormalItalic6a">
    <w:name w:val="NormalItalic6a"/>
    <w:basedOn w:val="Normal6a"/>
    <w:qFormat/>
    <w:rsid w:val="000A0916"/>
    <w:rPr>
      <w:i/>
    </w:rPr>
  </w:style>
  <w:style w:type="paragraph" w:customStyle="1" w:styleId="NormalBoldItalic6a">
    <w:name w:val="NormalBoldItalic6a"/>
    <w:basedOn w:val="Normal6a"/>
    <w:qFormat/>
    <w:rsid w:val="000A0916"/>
    <w:rPr>
      <w:b/>
      <w:i/>
    </w:rPr>
  </w:style>
  <w:style w:type="paragraph" w:customStyle="1" w:styleId="NormalBoldItalicCenter6a">
    <w:name w:val="NormalBoldItalicCenter6a"/>
    <w:basedOn w:val="Normal6a"/>
    <w:qFormat/>
    <w:rsid w:val="000A0916"/>
    <w:pPr>
      <w:jc w:val="center"/>
    </w:pPr>
    <w:rPr>
      <w:b/>
      <w:i/>
    </w:rPr>
  </w:style>
  <w:style w:type="paragraph" w:customStyle="1" w:styleId="AnnexRight">
    <w:name w:val="AnnexRight"/>
    <w:basedOn w:val="Normal"/>
    <w:rsid w:val="000A0916"/>
    <w:pPr>
      <w:spacing w:after="480"/>
      <w:jc w:val="right"/>
    </w:pPr>
  </w:style>
  <w:style w:type="paragraph" w:customStyle="1" w:styleId="RollCallSymbols14pt">
    <w:name w:val="RollCallSymbols14pt"/>
    <w:basedOn w:val="Normal"/>
    <w:rsid w:val="000A091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A0916"/>
    <w:pPr>
      <w:tabs>
        <w:tab w:val="center" w:pos="284"/>
        <w:tab w:val="left" w:pos="426"/>
      </w:tabs>
    </w:pPr>
    <w:rPr>
      <w:snapToGrid w:val="0"/>
      <w:lang w:eastAsia="en-US"/>
    </w:rPr>
  </w:style>
  <w:style w:type="paragraph" w:customStyle="1" w:styleId="RollCallVotes">
    <w:name w:val="RollCallVotes"/>
    <w:basedOn w:val="Normal"/>
    <w:rsid w:val="000A0916"/>
    <w:pPr>
      <w:spacing w:before="120" w:after="120"/>
      <w:jc w:val="center"/>
    </w:pPr>
    <w:rPr>
      <w:b/>
      <w:bCs/>
      <w:snapToGrid w:val="0"/>
      <w:sz w:val="16"/>
      <w:lang w:eastAsia="en-US"/>
    </w:rPr>
  </w:style>
  <w:style w:type="paragraph" w:customStyle="1" w:styleId="RollCallTable">
    <w:name w:val="RollCallTable"/>
    <w:basedOn w:val="Normal"/>
    <w:rsid w:val="000A0916"/>
    <w:pPr>
      <w:spacing w:before="120" w:after="120"/>
    </w:pPr>
    <w:rPr>
      <w:snapToGrid w:val="0"/>
      <w:sz w:val="16"/>
      <w:lang w:eastAsia="en-US"/>
    </w:rPr>
  </w:style>
  <w:style w:type="paragraph" w:styleId="Footer">
    <w:name w:val="footer"/>
    <w:basedOn w:val="Normal"/>
    <w:link w:val="FooterChar"/>
    <w:uiPriority w:val="99"/>
    <w:rsid w:val="000A0916"/>
    <w:pPr>
      <w:tabs>
        <w:tab w:val="center" w:pos="4513"/>
        <w:tab w:val="right" w:pos="9026"/>
      </w:tabs>
    </w:pPr>
  </w:style>
  <w:style w:type="character" w:customStyle="1" w:styleId="FooterChar">
    <w:name w:val="Footer Char"/>
    <w:basedOn w:val="DefaultParagraphFont"/>
    <w:link w:val="Footer"/>
    <w:uiPriority w:val="99"/>
    <w:rsid w:val="000A0916"/>
    <w:rPr>
      <w:sz w:val="24"/>
      <w:lang w:val="el-GR"/>
    </w:rPr>
  </w:style>
  <w:style w:type="paragraph" w:customStyle="1" w:styleId="AmDocTypeTab">
    <w:name w:val="AmDocTypeTab"/>
    <w:basedOn w:val="Normal"/>
    <w:rsid w:val="00974C03"/>
    <w:pPr>
      <w:tabs>
        <w:tab w:val="right" w:pos="9072"/>
      </w:tabs>
    </w:pPr>
    <w:rPr>
      <w:b/>
    </w:rPr>
  </w:style>
  <w:style w:type="paragraph" w:customStyle="1" w:styleId="NormalCenter12a">
    <w:name w:val="NormalCenter12a"/>
    <w:basedOn w:val="Normal"/>
    <w:rsid w:val="00974C03"/>
    <w:pPr>
      <w:spacing w:after="240"/>
      <w:jc w:val="center"/>
    </w:pPr>
  </w:style>
  <w:style w:type="paragraph" w:customStyle="1" w:styleId="AmDateTab">
    <w:name w:val="AmDateTab"/>
    <w:basedOn w:val="Normal"/>
    <w:rsid w:val="00974C03"/>
    <w:pPr>
      <w:tabs>
        <w:tab w:val="right" w:pos="9072"/>
      </w:tabs>
    </w:pPr>
  </w:style>
  <w:style w:type="paragraph" w:customStyle="1" w:styleId="AmHeadingConsam">
    <w:name w:val="AmHeadingConsam"/>
    <w:basedOn w:val="Normal"/>
    <w:next w:val="NormalCenter12a"/>
    <w:rsid w:val="00974C03"/>
    <w:pPr>
      <w:spacing w:before="720" w:after="240"/>
      <w:jc w:val="center"/>
    </w:pPr>
  </w:style>
  <w:style w:type="paragraph" w:styleId="Title">
    <w:name w:val="Title"/>
    <w:basedOn w:val="Normal"/>
    <w:next w:val="Normal"/>
    <w:link w:val="TitleChar"/>
    <w:uiPriority w:val="10"/>
    <w:qFormat/>
    <w:rsid w:val="00974C03"/>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974C03"/>
    <w:rPr>
      <w:rFonts w:ascii="Arial" w:eastAsiaTheme="majorEastAsia" w:hAnsi="Arial" w:cs="Arial"/>
      <w:b/>
      <w:bCs/>
      <w:kern w:val="28"/>
      <w:sz w:val="32"/>
      <w:szCs w:val="32"/>
      <w:lang w:val="el-GR" w:eastAsia="en-US"/>
    </w:rPr>
  </w:style>
  <w:style w:type="paragraph" w:styleId="Subtitle">
    <w:name w:val="Subtitle"/>
    <w:basedOn w:val="Normal"/>
    <w:next w:val="Normal"/>
    <w:link w:val="SubtitleChar"/>
    <w:uiPriority w:val="11"/>
    <w:qFormat/>
    <w:rsid w:val="00974C03"/>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974C03"/>
    <w:rPr>
      <w:rFonts w:ascii="Arial" w:eastAsiaTheme="majorEastAsia" w:hAnsi="Arial" w:cs="Arial"/>
      <w:sz w:val="24"/>
      <w:szCs w:val="24"/>
      <w:lang w:val="el-GR" w:eastAsia="en-US"/>
    </w:rPr>
  </w:style>
  <w:style w:type="character" w:styleId="Strong">
    <w:name w:val="Strong"/>
    <w:basedOn w:val="DefaultParagraphFont"/>
    <w:uiPriority w:val="22"/>
    <w:qFormat/>
    <w:rsid w:val="00974C03"/>
    <w:rPr>
      <w:b/>
      <w:bCs/>
    </w:rPr>
  </w:style>
  <w:style w:type="character" w:styleId="Emphasis">
    <w:name w:val="Emphasis"/>
    <w:basedOn w:val="DefaultParagraphFont"/>
    <w:uiPriority w:val="20"/>
    <w:qFormat/>
    <w:rsid w:val="00974C03"/>
    <w:rPr>
      <w:rFonts w:asciiTheme="minorHAnsi" w:hAnsiTheme="minorHAnsi"/>
      <w:b/>
      <w:i/>
      <w:iCs/>
    </w:rPr>
  </w:style>
  <w:style w:type="paragraph" w:styleId="NoSpacing">
    <w:name w:val="No Spacing"/>
    <w:basedOn w:val="Normal"/>
    <w:uiPriority w:val="1"/>
    <w:qFormat/>
    <w:rsid w:val="00974C03"/>
    <w:pPr>
      <w:widowControl/>
      <w:jc w:val="both"/>
    </w:pPr>
    <w:rPr>
      <w:rFonts w:eastAsiaTheme="minorHAnsi"/>
      <w:szCs w:val="32"/>
      <w:lang w:eastAsia="en-US"/>
    </w:rPr>
  </w:style>
  <w:style w:type="paragraph" w:styleId="Quote">
    <w:name w:val="Quote"/>
    <w:basedOn w:val="Normal"/>
    <w:next w:val="Normal"/>
    <w:link w:val="QuoteChar"/>
    <w:uiPriority w:val="29"/>
    <w:qFormat/>
    <w:rsid w:val="00974C03"/>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974C03"/>
    <w:rPr>
      <w:rFonts w:eastAsiaTheme="minorHAnsi"/>
      <w:i/>
      <w:sz w:val="24"/>
      <w:szCs w:val="24"/>
      <w:lang w:val="el-GR" w:eastAsia="en-US"/>
    </w:rPr>
  </w:style>
  <w:style w:type="paragraph" w:styleId="IntenseQuote">
    <w:name w:val="Intense Quote"/>
    <w:basedOn w:val="Normal"/>
    <w:next w:val="Normal"/>
    <w:link w:val="IntenseQuoteChar"/>
    <w:uiPriority w:val="30"/>
    <w:qFormat/>
    <w:rsid w:val="00974C03"/>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974C03"/>
    <w:rPr>
      <w:rFonts w:eastAsiaTheme="minorHAnsi"/>
      <w:b/>
      <w:i/>
      <w:sz w:val="24"/>
      <w:szCs w:val="22"/>
      <w:lang w:val="el-GR" w:eastAsia="en-US"/>
    </w:rPr>
  </w:style>
  <w:style w:type="character" w:styleId="SubtleEmphasis">
    <w:name w:val="Subtle Emphasis"/>
    <w:uiPriority w:val="19"/>
    <w:qFormat/>
    <w:rsid w:val="00974C03"/>
    <w:rPr>
      <w:i/>
      <w:color w:val="5A5A5A" w:themeColor="text1" w:themeTint="A5"/>
    </w:rPr>
  </w:style>
  <w:style w:type="character" w:styleId="IntenseEmphasis">
    <w:name w:val="Intense Emphasis"/>
    <w:basedOn w:val="DefaultParagraphFont"/>
    <w:uiPriority w:val="21"/>
    <w:qFormat/>
    <w:rsid w:val="00974C03"/>
    <w:rPr>
      <w:b/>
      <w:i/>
      <w:sz w:val="24"/>
      <w:szCs w:val="24"/>
      <w:u w:val="single"/>
    </w:rPr>
  </w:style>
  <w:style w:type="character" w:styleId="SubtleReference">
    <w:name w:val="Subtle Reference"/>
    <w:basedOn w:val="DefaultParagraphFont"/>
    <w:uiPriority w:val="31"/>
    <w:qFormat/>
    <w:rsid w:val="00974C03"/>
    <w:rPr>
      <w:sz w:val="24"/>
      <w:szCs w:val="24"/>
      <w:u w:val="single"/>
    </w:rPr>
  </w:style>
  <w:style w:type="character" w:styleId="IntenseReference">
    <w:name w:val="Intense Reference"/>
    <w:basedOn w:val="DefaultParagraphFont"/>
    <w:uiPriority w:val="32"/>
    <w:qFormat/>
    <w:rsid w:val="00974C03"/>
    <w:rPr>
      <w:b/>
      <w:sz w:val="24"/>
      <w:u w:val="single"/>
    </w:rPr>
  </w:style>
  <w:style w:type="character" w:styleId="BookTitle">
    <w:name w:val="Book Title"/>
    <w:basedOn w:val="DefaultParagraphFont"/>
    <w:uiPriority w:val="33"/>
    <w:qFormat/>
    <w:rsid w:val="00974C03"/>
    <w:rPr>
      <w:rFonts w:asciiTheme="majorHAnsi" w:eastAsiaTheme="majorEastAsia" w:hAnsiTheme="majorHAnsi"/>
      <w:b/>
      <w:i/>
      <w:sz w:val="24"/>
      <w:szCs w:val="24"/>
    </w:rPr>
  </w:style>
  <w:style w:type="paragraph" w:customStyle="1" w:styleId="Typedudocument">
    <w:name w:val="Type du document"/>
    <w:basedOn w:val="Normal"/>
    <w:next w:val="Normal"/>
    <w:rsid w:val="00974C03"/>
    <w:pPr>
      <w:widowControl/>
      <w:spacing w:before="360" w:line="360" w:lineRule="auto"/>
      <w:jc w:val="center"/>
    </w:pPr>
    <w:rPr>
      <w:rFonts w:eastAsiaTheme="minorHAnsi"/>
      <w:b/>
      <w:szCs w:val="22"/>
      <w:lang w:eastAsia="en-US"/>
    </w:rPr>
  </w:style>
  <w:style w:type="paragraph" w:customStyle="1" w:styleId="SectionTitle">
    <w:name w:val="SectionTitle"/>
    <w:basedOn w:val="Normal"/>
    <w:next w:val="Heading1"/>
    <w:rsid w:val="00974C03"/>
    <w:pPr>
      <w:keepNext/>
      <w:widowControl/>
      <w:spacing w:before="120" w:after="360"/>
      <w:jc w:val="center"/>
    </w:pPr>
    <w:rPr>
      <w:rFonts w:eastAsia="Calibri"/>
      <w:b/>
      <w:smallCaps/>
      <w:sz w:val="28"/>
      <w:szCs w:val="22"/>
      <w:lang w:eastAsia="en-US"/>
    </w:rPr>
  </w:style>
  <w:style w:type="paragraph" w:customStyle="1" w:styleId="Titrearticle">
    <w:name w:val="Titre article"/>
    <w:basedOn w:val="Normal"/>
    <w:next w:val="Normal"/>
    <w:rsid w:val="00974C03"/>
    <w:pPr>
      <w:keepNext/>
      <w:widowControl/>
      <w:spacing w:before="360" w:after="120"/>
      <w:jc w:val="center"/>
    </w:pPr>
    <w:rPr>
      <w:rFonts w:eastAsia="Calibri"/>
      <w:i/>
      <w:szCs w:val="22"/>
      <w:lang w:eastAsia="en-US"/>
    </w:rPr>
  </w:style>
  <w:style w:type="paragraph" w:customStyle="1" w:styleId="Point0">
    <w:name w:val="Point 0"/>
    <w:basedOn w:val="Normal"/>
    <w:rsid w:val="00974C03"/>
    <w:pPr>
      <w:widowControl/>
      <w:spacing w:before="120" w:after="120"/>
      <w:ind w:left="850" w:hanging="850"/>
      <w:jc w:val="both"/>
    </w:pPr>
    <w:rPr>
      <w:rFonts w:eastAsia="Calibri"/>
      <w:szCs w:val="22"/>
      <w:lang w:eastAsia="en-US"/>
    </w:rPr>
  </w:style>
  <w:style w:type="paragraph" w:customStyle="1" w:styleId="Fait">
    <w:name w:val="Fait à"/>
    <w:basedOn w:val="Normal"/>
    <w:next w:val="Institutionquisigne"/>
    <w:rsid w:val="00974C03"/>
    <w:pPr>
      <w:keepNext/>
      <w:widowControl/>
      <w:spacing w:before="120"/>
      <w:jc w:val="both"/>
    </w:pPr>
    <w:rPr>
      <w:rFonts w:eastAsia="Calibri"/>
      <w:szCs w:val="22"/>
      <w:lang w:eastAsia="en-US"/>
    </w:rPr>
  </w:style>
  <w:style w:type="paragraph" w:customStyle="1" w:styleId="Institutionquisigne">
    <w:name w:val="Institution qui signe"/>
    <w:basedOn w:val="Normal"/>
    <w:next w:val="Normal"/>
    <w:rsid w:val="00974C03"/>
    <w:pPr>
      <w:keepNext/>
      <w:widowControl/>
      <w:tabs>
        <w:tab w:val="left" w:pos="4252"/>
      </w:tabs>
      <w:spacing w:before="720"/>
      <w:jc w:val="both"/>
    </w:pPr>
    <w:rPr>
      <w:rFonts w:eastAsia="Calibri"/>
      <w:i/>
      <w:szCs w:val="22"/>
      <w:lang w:eastAsia="en-US"/>
    </w:rPr>
  </w:style>
  <w:style w:type="paragraph" w:customStyle="1" w:styleId="NormalCentered">
    <w:name w:val="Normal Centered"/>
    <w:basedOn w:val="Normal"/>
    <w:rsid w:val="00974C03"/>
    <w:pPr>
      <w:widowControl/>
      <w:spacing w:before="120" w:after="120"/>
      <w:jc w:val="center"/>
    </w:pPr>
    <w:rPr>
      <w:rFonts w:eastAsia="Calibri"/>
      <w:szCs w:val="22"/>
      <w:lang w:eastAsia="en-US"/>
    </w:rPr>
  </w:style>
  <w:style w:type="paragraph" w:customStyle="1" w:styleId="NormalLeft">
    <w:name w:val="Normal Left"/>
    <w:basedOn w:val="Normal"/>
    <w:rsid w:val="00974C03"/>
    <w:pPr>
      <w:widowControl/>
      <w:spacing w:before="120" w:after="120"/>
    </w:pPr>
    <w:rPr>
      <w:rFonts w:eastAsia="Calibri"/>
      <w:szCs w:val="22"/>
      <w:lang w:eastAsia="en-US"/>
    </w:rPr>
  </w:style>
  <w:style w:type="paragraph" w:styleId="Revision">
    <w:name w:val="Revision"/>
    <w:hidden/>
    <w:uiPriority w:val="99"/>
    <w:semiHidden/>
    <w:rsid w:val="00974C03"/>
    <w:rPr>
      <w:rFonts w:eastAsiaTheme="minorHAnsi"/>
      <w:sz w:val="24"/>
      <w:szCs w:val="24"/>
      <w:lang w:val="el-GR" w:eastAsia="en-US"/>
    </w:rPr>
  </w:style>
  <w:style w:type="paragraph" w:styleId="NormalWeb">
    <w:name w:val="Normal (Web)"/>
    <w:basedOn w:val="Normal"/>
    <w:uiPriority w:val="99"/>
    <w:unhideWhenUsed/>
    <w:rsid w:val="00974C03"/>
    <w:pPr>
      <w:widowControl/>
      <w:spacing w:before="100" w:beforeAutospacing="1" w:after="100" w:afterAutospacing="1"/>
    </w:pPr>
    <w:rPr>
      <w:szCs w:val="24"/>
      <w:lang w:eastAsia="pl-PL"/>
    </w:rPr>
  </w:style>
  <w:style w:type="character" w:styleId="FollowedHyperlink">
    <w:name w:val="FollowedHyperlink"/>
    <w:basedOn w:val="DefaultParagraphFont"/>
    <w:uiPriority w:val="99"/>
    <w:unhideWhenUsed/>
    <w:rsid w:val="00974C03"/>
    <w:rPr>
      <w:color w:val="954F72"/>
      <w:u w:val="single"/>
    </w:rPr>
  </w:style>
  <w:style w:type="paragraph" w:customStyle="1" w:styleId="xl65">
    <w:name w:val="xl65"/>
    <w:basedOn w:val="Normal"/>
    <w:rsid w:val="00974C03"/>
    <w:pPr>
      <w:widowControl/>
      <w:pBdr>
        <w:left w:val="single" w:sz="4" w:space="0" w:color="auto"/>
      </w:pBdr>
      <w:spacing w:before="100" w:beforeAutospacing="1" w:after="100" w:afterAutospacing="1"/>
    </w:pPr>
    <w:rPr>
      <w:szCs w:val="24"/>
      <w:lang w:eastAsia="en-IE"/>
    </w:rPr>
  </w:style>
  <w:style w:type="paragraph" w:customStyle="1" w:styleId="xl66">
    <w:name w:val="xl66"/>
    <w:basedOn w:val="Normal"/>
    <w:rsid w:val="00974C03"/>
    <w:pPr>
      <w:widowControl/>
      <w:pBdr>
        <w:right w:val="single" w:sz="4" w:space="0" w:color="auto"/>
      </w:pBdr>
      <w:spacing w:before="100" w:beforeAutospacing="1" w:after="100" w:afterAutospacing="1"/>
    </w:pPr>
    <w:rPr>
      <w:szCs w:val="24"/>
      <w:lang w:eastAsia="en-IE"/>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rsid w:val="00974C03"/>
    <w:pPr>
      <w:widowControl/>
      <w:spacing w:after="160" w:line="240" w:lineRule="exact"/>
    </w:pPr>
    <w:rPr>
      <w:sz w:val="20"/>
      <w:vertAlign w:val="superscript"/>
      <w:lang w:val="en-GB"/>
    </w:rPr>
  </w:style>
  <w:style w:type="paragraph" w:customStyle="1" w:styleId="HeadingDocType24a">
    <w:name w:val="HeadingDocType24a"/>
    <w:basedOn w:val="Normal"/>
    <w:rsid w:val="00BF04DB"/>
    <w:pPr>
      <w:spacing w:after="480"/>
      <w:jc w:val="center"/>
    </w:pPr>
    <w:rPr>
      <w:rFonts w:ascii="Arial" w:hAnsi="Arial"/>
      <w:b/>
      <w:sz w:val="48"/>
    </w:rPr>
  </w:style>
  <w:style w:type="paragraph" w:customStyle="1" w:styleId="HeadingReferenceERCO">
    <w:name w:val="HeadingReferenceERCO"/>
    <w:basedOn w:val="Normal"/>
    <w:rsid w:val="00BF04DB"/>
    <w:pPr>
      <w:spacing w:before="360" w:after="240"/>
      <w:jc w:val="right"/>
    </w:pPr>
    <w:rPr>
      <w:rFonts w:ascii="Arial" w:hAnsi="Arial"/>
      <w:b/>
    </w:rPr>
  </w:style>
  <w:style w:type="paragraph" w:customStyle="1" w:styleId="NormalCenter">
    <w:name w:val="NormalCenter"/>
    <w:basedOn w:val="Normal"/>
    <w:rsid w:val="00BF04DB"/>
    <w:pPr>
      <w:jc w:val="center"/>
    </w:pPr>
  </w:style>
  <w:style w:type="paragraph" w:customStyle="1" w:styleId="LineSingle">
    <w:name w:val="LineSingle"/>
    <w:basedOn w:val="Normal"/>
    <w:next w:val="Normal"/>
    <w:rsid w:val="00BF04DB"/>
    <w:pPr>
      <w:pBdr>
        <w:bottom w:val="single" w:sz="4" w:space="1" w:color="auto"/>
      </w:pBdr>
      <w:spacing w:after="240"/>
    </w:pPr>
  </w:style>
  <w:style w:type="paragraph" w:customStyle="1" w:styleId="HeadingDate">
    <w:name w:val="HeadingDate"/>
    <w:basedOn w:val="Normal"/>
    <w:rsid w:val="00BF04DB"/>
    <w:p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18FBF4-F184-415C-A596-EA5CC4484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1378</Words>
  <Characters>8368</Characters>
  <Application>Microsoft Office Word</Application>
  <DocSecurity>4</DocSecurity>
  <Lines>69</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GOROPECNIK Tina</cp:lastModifiedBy>
  <cp:revision>2</cp:revision>
  <cp:lastPrinted>2004-11-19T15:42:00Z</cp:lastPrinted>
  <dcterms:created xsi:type="dcterms:W3CDTF">2025-01-13T15:09:00Z</dcterms:created>
  <dcterms:modified xsi:type="dcterms:W3CDTF">2025-01-13T15:09:00Z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P9_TA(2024)0163_</vt:lpwstr>
  </property>
  <property fmtid="{D5CDD505-2E9C-101B-9397-08002B2CF9AE}" pid="4" name="&lt;Type&gt;">
    <vt:lpwstr>RR</vt:lpwstr>
  </property>
</Properties>
</file>