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0347" w:rsidTr="0010095E">
        <w:trPr>
          <w:trHeight w:hRule="exact" w:val="1418"/>
        </w:trPr>
        <w:tc>
          <w:tcPr>
            <w:tcW w:w="6804" w:type="dxa"/>
            <w:shd w:val="clear" w:color="auto" w:fill="auto"/>
            <w:vAlign w:val="center"/>
          </w:tcPr>
          <w:p w:rsidR="00751A4A" w:rsidRPr="00F40347" w:rsidRDefault="001614AA" w:rsidP="0010095E">
            <w:pPr>
              <w:pStyle w:val="EPName"/>
            </w:pPr>
            <w:r w:rsidRPr="00F40347">
              <w:t>Parlamento Europeo</w:t>
            </w:r>
          </w:p>
          <w:p w:rsidR="00751A4A" w:rsidRPr="00F40347" w:rsidRDefault="00817416" w:rsidP="00756632">
            <w:pPr>
              <w:pStyle w:val="EPTerm"/>
              <w:rPr>
                <w:rStyle w:val="HideTWBExt"/>
                <w:noProof w:val="0"/>
                <w:vanish w:val="0"/>
                <w:color w:val="auto"/>
              </w:rPr>
            </w:pPr>
            <w:r w:rsidRPr="00F40347">
              <w:t>2019-2024</w:t>
            </w:r>
          </w:p>
        </w:tc>
        <w:tc>
          <w:tcPr>
            <w:tcW w:w="2268" w:type="dxa"/>
            <w:shd w:val="clear" w:color="auto" w:fill="auto"/>
          </w:tcPr>
          <w:p w:rsidR="00751A4A" w:rsidRPr="00F40347" w:rsidRDefault="00187494" w:rsidP="0010095E">
            <w:pPr>
              <w:pStyle w:val="EPLogo"/>
            </w:pPr>
            <w:r w:rsidRPr="00F403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0347" w:rsidRDefault="00D058B8" w:rsidP="004C5D52">
      <w:pPr>
        <w:pStyle w:val="LineTop"/>
      </w:pPr>
    </w:p>
    <w:p w:rsidR="00680577" w:rsidRPr="00F40347" w:rsidRDefault="001614AA" w:rsidP="00680577">
      <w:pPr>
        <w:pStyle w:val="EPBodyTA1"/>
      </w:pPr>
      <w:r w:rsidRPr="00F40347">
        <w:t>TEXTOS APROBADOS</w:t>
      </w:r>
    </w:p>
    <w:p w:rsidR="00D058B8" w:rsidRPr="00F40347" w:rsidRDefault="00D058B8" w:rsidP="00D058B8">
      <w:pPr>
        <w:pStyle w:val="LineBottom"/>
      </w:pPr>
    </w:p>
    <w:p w:rsidR="001614AA" w:rsidRPr="00F40347" w:rsidRDefault="001614AA" w:rsidP="001614AA">
      <w:pPr>
        <w:pStyle w:val="ATHeading1"/>
      </w:pPr>
      <w:bookmarkStart w:id="0" w:name="TANumber"/>
      <w:r w:rsidRPr="00F40347">
        <w:t>P9_</w:t>
      </w:r>
      <w:proofErr w:type="gramStart"/>
      <w:r w:rsidRPr="00F40347">
        <w:t>TA(</w:t>
      </w:r>
      <w:proofErr w:type="gramEnd"/>
      <w:r w:rsidRPr="00F40347">
        <w:t>2024)0</w:t>
      </w:r>
      <w:r w:rsidR="007809C5" w:rsidRPr="00F40347">
        <w:t>163</w:t>
      </w:r>
      <w:bookmarkEnd w:id="0"/>
    </w:p>
    <w:p w:rsidR="001614AA" w:rsidRPr="00F40347" w:rsidRDefault="001614AA" w:rsidP="001614AA">
      <w:pPr>
        <w:pStyle w:val="ATHeading2"/>
      </w:pPr>
      <w:bookmarkStart w:id="1" w:name="title"/>
      <w:r w:rsidRPr="00F40347">
        <w:t>Normas financieras aplicables al presupuesto general de la Unión (versión refundida)</w:t>
      </w:r>
      <w:bookmarkEnd w:id="1"/>
    </w:p>
    <w:p w:rsidR="001614AA" w:rsidRPr="00F40347" w:rsidRDefault="001614AA" w:rsidP="001614AA">
      <w:pPr>
        <w:rPr>
          <w:i/>
          <w:vanish/>
        </w:rPr>
      </w:pPr>
      <w:r w:rsidRPr="00F40347">
        <w:rPr>
          <w:i/>
        </w:rPr>
        <w:fldChar w:fldCharType="begin"/>
      </w:r>
      <w:r w:rsidRPr="00F40347">
        <w:rPr>
          <w:i/>
        </w:rPr>
        <w:instrText xml:space="preserve"> TC"(</w:instrText>
      </w:r>
      <w:bookmarkStart w:id="2" w:name="DocNumber"/>
      <w:r w:rsidRPr="00F40347">
        <w:rPr>
          <w:i/>
        </w:rPr>
        <w:instrText>A9-0180/2023</w:instrText>
      </w:r>
      <w:bookmarkEnd w:id="2"/>
      <w:r w:rsidRPr="00F40347">
        <w:rPr>
          <w:i/>
        </w:rPr>
        <w:instrText xml:space="preserve"> - Ponente: </w:instrText>
      </w:r>
      <w:proofErr w:type="spellStart"/>
      <w:r w:rsidRPr="00F40347">
        <w:rPr>
          <w:i/>
        </w:rPr>
        <w:instrText>Nils</w:instrText>
      </w:r>
      <w:proofErr w:type="spellEnd"/>
      <w:r w:rsidRPr="00F40347">
        <w:rPr>
          <w:i/>
        </w:rPr>
        <w:instrText xml:space="preserve"> </w:instrText>
      </w:r>
      <w:proofErr w:type="spellStart"/>
      <w:r w:rsidRPr="00F40347">
        <w:rPr>
          <w:i/>
        </w:rPr>
        <w:instrText>Ušakovs</w:instrText>
      </w:r>
      <w:proofErr w:type="spellEnd"/>
      <w:r w:rsidRPr="00F40347">
        <w:rPr>
          <w:i/>
        </w:rPr>
        <w:instrText xml:space="preserve">, </w:instrText>
      </w:r>
      <w:proofErr w:type="spellStart"/>
      <w:r w:rsidRPr="00F40347">
        <w:rPr>
          <w:i/>
        </w:rPr>
        <w:instrText>Monika</w:instrText>
      </w:r>
      <w:proofErr w:type="spellEnd"/>
      <w:r w:rsidRPr="00F40347">
        <w:rPr>
          <w:i/>
        </w:rPr>
        <w:instrText xml:space="preserve"> </w:instrText>
      </w:r>
      <w:proofErr w:type="spellStart"/>
      <w:r w:rsidRPr="00F40347">
        <w:rPr>
          <w:i/>
        </w:rPr>
        <w:instrText>Hohlmeier</w:instrText>
      </w:r>
      <w:proofErr w:type="spellEnd"/>
      <w:r w:rsidRPr="00F40347">
        <w:rPr>
          <w:i/>
        </w:rPr>
        <w:instrText xml:space="preserve">)"\l3 \n&gt; \* MERGEFORMAT </w:instrText>
      </w:r>
      <w:r w:rsidRPr="00F40347">
        <w:rPr>
          <w:i/>
        </w:rPr>
        <w:fldChar w:fldCharType="end"/>
      </w:r>
    </w:p>
    <w:p w:rsidR="001614AA" w:rsidRPr="00F40347" w:rsidRDefault="001614AA" w:rsidP="001614AA">
      <w:pPr>
        <w:rPr>
          <w:vanish/>
        </w:rPr>
      </w:pPr>
      <w:bookmarkStart w:id="3" w:name="Commission"/>
      <w:r w:rsidRPr="00F40347">
        <w:rPr>
          <w:vanish/>
        </w:rPr>
        <w:t>Comisión de Presupuestos</w:t>
      </w:r>
      <w:bookmarkEnd w:id="3"/>
      <w:r w:rsidR="001A700B" w:rsidRPr="00F40347">
        <w:rPr>
          <w:vanish/>
        </w:rPr>
        <w:t xml:space="preserve"> y</w:t>
      </w:r>
      <w:r w:rsidR="0015437E" w:rsidRPr="00F40347">
        <w:rPr>
          <w:vanish/>
        </w:rPr>
        <w:t xml:space="preserve"> Comisión de Control Presupuestario</w:t>
      </w:r>
    </w:p>
    <w:p w:rsidR="001614AA" w:rsidRPr="00F40347" w:rsidRDefault="001614AA" w:rsidP="001614AA">
      <w:pPr>
        <w:rPr>
          <w:vanish/>
        </w:rPr>
      </w:pPr>
      <w:bookmarkStart w:id="4" w:name="PE"/>
      <w:r w:rsidRPr="00F40347">
        <w:rPr>
          <w:vanish/>
        </w:rPr>
        <w:t>PE740.802</w:t>
      </w:r>
      <w:bookmarkEnd w:id="4"/>
    </w:p>
    <w:p w:rsidR="001614AA" w:rsidRPr="00F40347" w:rsidRDefault="001614AA" w:rsidP="001614AA">
      <w:pPr>
        <w:pStyle w:val="ATHeading3"/>
      </w:pPr>
      <w:bookmarkStart w:id="5" w:name="Sujet"/>
      <w:r w:rsidRPr="00F40347">
        <w:t xml:space="preserve">Resolución legislativa del Parlamento Europeo, de </w:t>
      </w:r>
      <w:r w:rsidR="0015437E" w:rsidRPr="00F40347">
        <w:t>14</w:t>
      </w:r>
      <w:r w:rsidRPr="00F40347">
        <w:t xml:space="preserve"> de marzo de 2024, sobre la propuesta de Reglamento del Parlamento Europeo y del Consejo sobre las normas financieras aplicables al presupuesto general de la Unión (versión refundida)</w:t>
      </w:r>
      <w:bookmarkEnd w:id="5"/>
      <w:r w:rsidRPr="00F40347">
        <w:t xml:space="preserve"> </w:t>
      </w:r>
      <w:bookmarkStart w:id="6" w:name="References"/>
      <w:r w:rsidRPr="00F40347">
        <w:t>(</w:t>
      </w:r>
      <w:proofErr w:type="gramStart"/>
      <w:r w:rsidRPr="00F40347">
        <w:t>COM(</w:t>
      </w:r>
      <w:proofErr w:type="gramEnd"/>
      <w:r w:rsidRPr="00F40347">
        <w:t>2022)0223 – C9-0179/2022 – 2022/0162(COD))</w:t>
      </w:r>
      <w:bookmarkEnd w:id="6"/>
    </w:p>
    <w:p w:rsidR="00E84B0B" w:rsidRPr="00F40347" w:rsidRDefault="00E84B0B" w:rsidP="00E84B0B">
      <w:pPr>
        <w:pStyle w:val="NormalBold"/>
      </w:pPr>
      <w:bookmarkStart w:id="7" w:name="TextBodyBegin"/>
      <w:bookmarkEnd w:id="7"/>
      <w:r w:rsidRPr="00F40347">
        <w:t>(Procedimiento legislativo ordinario – refundición)</w:t>
      </w:r>
    </w:p>
    <w:p w:rsidR="00E84B0B" w:rsidRPr="00F40347" w:rsidRDefault="00E84B0B" w:rsidP="00E84B0B">
      <w:pPr>
        <w:pStyle w:val="EPComma"/>
      </w:pPr>
      <w:r w:rsidRPr="00F40347">
        <w:rPr>
          <w:i/>
        </w:rPr>
        <w:t>El Parlamento Europeo</w:t>
      </w:r>
      <w:r w:rsidRPr="00F40347">
        <w:t>,</w:t>
      </w:r>
    </w:p>
    <w:p w:rsidR="00E84B0B" w:rsidRPr="00F40347" w:rsidRDefault="00E84B0B" w:rsidP="00E84B0B">
      <w:pPr>
        <w:pStyle w:val="NormalHanging12a"/>
      </w:pPr>
      <w:r w:rsidRPr="00F40347">
        <w:t>–</w:t>
      </w:r>
      <w:r w:rsidRPr="00F40347">
        <w:tab/>
        <w:t>Vista la propuesta de la Comisión al Parlamento Europeo y al Consejo (</w:t>
      </w:r>
      <w:proofErr w:type="gramStart"/>
      <w:r w:rsidRPr="00F40347">
        <w:t>COM(</w:t>
      </w:r>
      <w:proofErr w:type="gramEnd"/>
      <w:r w:rsidRPr="00F40347">
        <w:t>2022)0223),</w:t>
      </w:r>
    </w:p>
    <w:p w:rsidR="00E84B0B" w:rsidRPr="00F40347" w:rsidRDefault="00E84B0B" w:rsidP="00E84B0B">
      <w:pPr>
        <w:pStyle w:val="NormalHanging12a"/>
      </w:pPr>
      <w:r w:rsidRPr="00F40347">
        <w:t>–</w:t>
      </w:r>
      <w:r w:rsidRPr="00F40347">
        <w:tab/>
        <w:t>Vistos el artículo 294, apartado 2, y el artículo 322, apartado 1, del Tratado de Funcionamiento de la Unión Europea, así como el artículo 106 bis del Tratado constitutivo de la Comunidad Europea de la Energía Atómica conforme a los cuales la Comisión le ha presentado su propuesta (C9</w:t>
      </w:r>
      <w:r w:rsidRPr="00F40347">
        <w:noBreakHyphen/>
        <w:t>0179/2022),</w:t>
      </w:r>
    </w:p>
    <w:p w:rsidR="00E84B0B" w:rsidRPr="00F40347" w:rsidRDefault="00E84B0B" w:rsidP="00E84B0B">
      <w:pPr>
        <w:pStyle w:val="NormalHanging12a"/>
      </w:pPr>
      <w:r w:rsidRPr="00F40347">
        <w:t>–</w:t>
      </w:r>
      <w:r w:rsidRPr="00F40347">
        <w:tab/>
        <w:t>Visto el artículo 294, apartado 3, del Tratado de Funcionamiento de la Unión Europea,</w:t>
      </w:r>
    </w:p>
    <w:p w:rsidR="00E84B0B" w:rsidRPr="00F40347" w:rsidRDefault="00E84B0B" w:rsidP="00E84B0B">
      <w:pPr>
        <w:pStyle w:val="NormalHanging12a"/>
      </w:pPr>
      <w:r w:rsidRPr="00F40347">
        <w:t>–</w:t>
      </w:r>
      <w:r w:rsidRPr="00F40347">
        <w:tab/>
        <w:t>Visto el dictamen del Tribunal de Cuentas de 31 de octubre de 2022</w:t>
      </w:r>
      <w:r w:rsidRPr="00F40347">
        <w:rPr>
          <w:rStyle w:val="FootnoteReference"/>
        </w:rPr>
        <w:footnoteReference w:id="1"/>
      </w:r>
      <w:r w:rsidRPr="00F40347">
        <w:t>,</w:t>
      </w:r>
    </w:p>
    <w:p w:rsidR="00E84B0B" w:rsidRPr="00F40347" w:rsidRDefault="00E84B0B" w:rsidP="00E84B0B">
      <w:pPr>
        <w:pStyle w:val="NormalHanging12a"/>
      </w:pPr>
      <w:r w:rsidRPr="00F40347">
        <w:t>–</w:t>
      </w:r>
      <w:r w:rsidRPr="00F40347">
        <w:tab/>
        <w:t>Visto el Acuerdo interinstitucional, de 28 de noviembre de 2001, para un recurso más estructurado a la técnica de la refundición de los actos jurídicos</w:t>
      </w:r>
      <w:r w:rsidRPr="00F40347">
        <w:rPr>
          <w:rStyle w:val="FootnoteReference"/>
        </w:rPr>
        <w:footnoteReference w:id="2"/>
      </w:r>
      <w:r w:rsidRPr="00F40347">
        <w:t>,</w:t>
      </w:r>
    </w:p>
    <w:p w:rsidR="00E84B0B" w:rsidRPr="00F40347" w:rsidRDefault="00E84B0B" w:rsidP="00E84B0B">
      <w:pPr>
        <w:pStyle w:val="NormalHanging12a"/>
      </w:pPr>
      <w:r w:rsidRPr="00F40347">
        <w:t>–</w:t>
      </w:r>
      <w:r w:rsidRPr="00F40347">
        <w:tab/>
        <w:t>Vista la carta dirigida el 25 de abril de 2023 por la Comisión de Asuntos Jurídicos a la Comisión de Presupuestos y a la Comisión de Control Presupuestario, de conformidad con el artículo 110, apartado 3, de su Reglamento interno,</w:t>
      </w:r>
    </w:p>
    <w:p w:rsidR="000541EC" w:rsidRPr="00F40347" w:rsidRDefault="000541EC" w:rsidP="00E84B0B">
      <w:pPr>
        <w:pStyle w:val="NormalHanging12a"/>
      </w:pPr>
      <w:r w:rsidRPr="00F40347">
        <w:t>–</w:t>
      </w:r>
      <w:r w:rsidRPr="00F40347">
        <w:tab/>
        <w:t xml:space="preserve">Vistos el acuerdo provisional aprobado por la comisión competente con arreglo al artículo 74, apartado 4, de su Reglamento interno y el compromiso asumido por el representante del Consejo, mediante carta de 20 de diciembre de 2023, de aprobar la </w:t>
      </w:r>
      <w:r w:rsidRPr="00F40347">
        <w:lastRenderedPageBreak/>
        <w:t>Posición del Parlamento Europeo, de conformidad con el artículo 294, apartado 4, del Tratado de Funcionamiento de la Unión Europea,</w:t>
      </w:r>
    </w:p>
    <w:p w:rsidR="00E84B0B" w:rsidRPr="00F40347" w:rsidRDefault="00E84B0B" w:rsidP="00E84B0B">
      <w:pPr>
        <w:pStyle w:val="NormalHanging12a"/>
        <w:rPr>
          <w:szCs w:val="24"/>
        </w:rPr>
      </w:pPr>
      <w:r w:rsidRPr="00F40347">
        <w:t>–</w:t>
      </w:r>
      <w:r w:rsidRPr="00F40347">
        <w:tab/>
        <w:t>Vistas las deliberaciones conjuntas de la Comisión de Presupuestos y de la Comisión de Control Presupuestario, de conformidad con el artículo 58 del Reglamento interno,</w:t>
      </w:r>
    </w:p>
    <w:p w:rsidR="00E84B0B" w:rsidRPr="00F40347" w:rsidRDefault="00E84B0B" w:rsidP="00E84B0B">
      <w:pPr>
        <w:pStyle w:val="NormalHanging12a"/>
      </w:pPr>
      <w:r w:rsidRPr="00F40347">
        <w:t>–</w:t>
      </w:r>
      <w:r w:rsidRPr="00F40347">
        <w:tab/>
        <w:t>Vistos los artículos 110 y 59 de su Reglamento interno,</w:t>
      </w:r>
    </w:p>
    <w:p w:rsidR="00E84B0B" w:rsidRPr="00F40347" w:rsidRDefault="00E84B0B" w:rsidP="00E84B0B">
      <w:pPr>
        <w:pStyle w:val="NormalHanging12a"/>
      </w:pPr>
      <w:r w:rsidRPr="00F40347">
        <w:t>–</w:t>
      </w:r>
      <w:r w:rsidRPr="00F40347">
        <w:tab/>
        <w:t>Vista la opinión de la Comisión de Desarrollo Regional,</w:t>
      </w:r>
    </w:p>
    <w:p w:rsidR="00E84B0B" w:rsidRPr="00F40347" w:rsidRDefault="00E84B0B" w:rsidP="00E84B0B">
      <w:pPr>
        <w:pStyle w:val="NormalHanging12a"/>
      </w:pPr>
      <w:r w:rsidRPr="00F40347">
        <w:t>–</w:t>
      </w:r>
      <w:r w:rsidRPr="00F40347">
        <w:tab/>
        <w:t>Vista la carta de la Comisión de Industria, Investigación y Energía,</w:t>
      </w:r>
    </w:p>
    <w:p w:rsidR="00E84B0B" w:rsidRPr="00F40347" w:rsidRDefault="00E84B0B" w:rsidP="00E84B0B">
      <w:pPr>
        <w:pStyle w:val="NormalHanging12a"/>
      </w:pPr>
      <w:r w:rsidRPr="00F40347">
        <w:t>–</w:t>
      </w:r>
      <w:r w:rsidRPr="00F40347">
        <w:tab/>
        <w:t>Visto el informe de la Comisión de Presupuestos y de la Comisión de Control Presupuestario (A9-0180/2023),</w:t>
      </w:r>
    </w:p>
    <w:p w:rsidR="00E84B0B" w:rsidRPr="00F40347" w:rsidRDefault="00E84B0B" w:rsidP="00E84B0B">
      <w:pPr>
        <w:pStyle w:val="NormalHanging12a"/>
      </w:pPr>
      <w:r w:rsidRPr="00F40347">
        <w:t>A.</w:t>
      </w:r>
      <w:r w:rsidRPr="00F40347">
        <w:tab/>
        <w:t>Considerando que, según el grupo consultivo de los Servicios Jurídicos del Parlamento Europeo, del Consejo y de la Comisión, la propuesta de la Comisión no contiene ninguna modificación de fondo aparte de las señaladas como tales en ella, y que, en lo que se refiere a la codificación de las disposiciones inalteradas de los actos anteriores junto con dichas modificaciones, la propuesta se limita a una codificación pura y simple de los textos existentes, sin ninguna modificación sustancial de estos;</w:t>
      </w:r>
    </w:p>
    <w:p w:rsidR="00E84B0B" w:rsidRPr="00F40347" w:rsidRDefault="00E84B0B" w:rsidP="00E84B0B">
      <w:pPr>
        <w:pStyle w:val="NormalHanging12a"/>
      </w:pPr>
      <w:r w:rsidRPr="00F40347">
        <w:t>1.</w:t>
      </w:r>
      <w:r w:rsidRPr="00F40347">
        <w:tab/>
        <w:t>Aprueba la Posición en primera lectura que figura a continuación, teniendo en cuenta las recomendaciones del grupo consultivo de los Servicios Jurídicos del Parlamento Europeo, del Consejo y de la Comisión;</w:t>
      </w:r>
    </w:p>
    <w:p w:rsidR="0015437E" w:rsidRPr="00F40347" w:rsidRDefault="00E84B0B" w:rsidP="00E84B0B">
      <w:pPr>
        <w:pStyle w:val="NormalHanging12a"/>
      </w:pPr>
      <w:r w:rsidRPr="00F40347">
        <w:t>2.</w:t>
      </w:r>
      <w:r w:rsidRPr="00F40347">
        <w:tab/>
      </w:r>
      <w:r w:rsidR="0015437E" w:rsidRPr="00F40347">
        <w:t xml:space="preserve">Aprueba la declaración común del Parlamento Europeo y del Consejo adjunta a la presente Resolución, que se publicará en la serie C del </w:t>
      </w:r>
      <w:r w:rsidR="0015437E" w:rsidRPr="00F40347">
        <w:rPr>
          <w:i/>
        </w:rPr>
        <w:t>Diario Oficial de la Unión Europea</w:t>
      </w:r>
      <w:r w:rsidR="0015437E" w:rsidRPr="00F40347">
        <w:t>;</w:t>
      </w:r>
    </w:p>
    <w:p w:rsidR="0015437E" w:rsidRPr="00F40347" w:rsidRDefault="0015437E" w:rsidP="00E84B0B">
      <w:pPr>
        <w:pStyle w:val="NormalHanging12a"/>
      </w:pPr>
      <w:r w:rsidRPr="00F40347">
        <w:t>3.</w:t>
      </w:r>
      <w:r w:rsidRPr="00F40347">
        <w:tab/>
        <w:t xml:space="preserve">Aprueba la declaración común del Parlamento Europeo, del Consejo y de la Comisión adjunta a la presente Resolución, que se publicará en la serie C del </w:t>
      </w:r>
      <w:r w:rsidRPr="00F40347">
        <w:rPr>
          <w:i/>
        </w:rPr>
        <w:t>Diario Oficial de la Unión Europea</w:t>
      </w:r>
      <w:r w:rsidRPr="00F40347">
        <w:t>;</w:t>
      </w:r>
    </w:p>
    <w:p w:rsidR="0015437E" w:rsidRPr="00F40347" w:rsidRDefault="0015437E" w:rsidP="00E84B0B">
      <w:pPr>
        <w:pStyle w:val="NormalHanging12a"/>
      </w:pPr>
      <w:r w:rsidRPr="00F40347">
        <w:t>4.</w:t>
      </w:r>
      <w:r w:rsidRPr="00F40347">
        <w:tab/>
        <w:t>Toma nota de las declaraciones de la Comisión adjuntas a la presente Resolución;</w:t>
      </w:r>
    </w:p>
    <w:p w:rsidR="00E84B0B" w:rsidRPr="00F40347" w:rsidRDefault="0015437E" w:rsidP="00E84B0B">
      <w:pPr>
        <w:pStyle w:val="NormalHanging12a"/>
      </w:pPr>
      <w:r w:rsidRPr="00F40347">
        <w:t>5.</w:t>
      </w:r>
      <w:r w:rsidRPr="00F40347">
        <w:tab/>
      </w:r>
      <w:r w:rsidR="00E84B0B" w:rsidRPr="00F40347">
        <w:t>Pide a la Comisión que le consulte de nuevo si sustituye su propuesta, la modifica sustancialmente o se propone modificarla sustancialmente;</w:t>
      </w:r>
    </w:p>
    <w:p w:rsidR="00E84B0B" w:rsidRPr="00F40347" w:rsidRDefault="0015437E" w:rsidP="00E84B0B">
      <w:pPr>
        <w:pStyle w:val="NormalHanging12a"/>
      </w:pPr>
      <w:r w:rsidRPr="00F40347">
        <w:t>6</w:t>
      </w:r>
      <w:r w:rsidR="00E84B0B" w:rsidRPr="00F40347">
        <w:t>.</w:t>
      </w:r>
      <w:r w:rsidR="00E84B0B" w:rsidRPr="00F40347">
        <w:tab/>
        <w:t>Encarga a su presidenta que transmita la Posición del Parlamento al Consejo y a la Comisión, así como a los Parlamentos nacionales.</w:t>
      </w:r>
    </w:p>
    <w:p w:rsidR="00E84B0B" w:rsidRPr="00F40347" w:rsidRDefault="00E84B0B" w:rsidP="00E84B0B"/>
    <w:p w:rsidR="0015437E" w:rsidRPr="00F40347" w:rsidRDefault="0015437E">
      <w:pPr>
        <w:widowControl/>
        <w:sectPr w:rsidR="0015437E" w:rsidRPr="00F40347" w:rsidSect="00E97CD6">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5437E" w:rsidRPr="00F40347" w:rsidRDefault="0015437E" w:rsidP="0015437E">
      <w:pPr>
        <w:pStyle w:val="Normal12Hanging"/>
        <w:ind w:left="0" w:firstLine="0"/>
        <w:jc w:val="both"/>
        <w:rPr>
          <w:b/>
        </w:rPr>
      </w:pPr>
      <w:r w:rsidRPr="00F40347">
        <w:rPr>
          <w:b/>
        </w:rPr>
        <w:t>P9_TC1-</w:t>
      </w:r>
      <w:proofErr w:type="gramStart"/>
      <w:r w:rsidRPr="00F40347">
        <w:rPr>
          <w:b/>
        </w:rPr>
        <w:t>COD(</w:t>
      </w:r>
      <w:proofErr w:type="gramEnd"/>
      <w:r w:rsidRPr="00F40347">
        <w:rPr>
          <w:b/>
        </w:rPr>
        <w:t>2022)0162</w:t>
      </w:r>
    </w:p>
    <w:p w:rsidR="00076DDF" w:rsidRPr="00076DDF" w:rsidRDefault="0015437E" w:rsidP="00AB1D10">
      <w:pPr>
        <w:widowControl/>
        <w:spacing w:before="360" w:after="360"/>
        <w:rPr>
          <w:rFonts w:eastAsia="Calibri"/>
          <w:b/>
          <w:szCs w:val="24"/>
          <w:lang w:val="es-ES" w:eastAsia="en-US"/>
        </w:rPr>
      </w:pPr>
      <w:r w:rsidRPr="00F40347">
        <w:rPr>
          <w:b/>
        </w:rPr>
        <w:t>Posición del Parlamento Europeo aprobada en primera lectura el 14 de marzo de 2024 con vistas a la adopción del Reglamento (UE</w:t>
      </w:r>
      <w:r w:rsidR="007547DE" w:rsidRPr="007547DE">
        <w:rPr>
          <w:b/>
          <w:lang w:val="es-ES"/>
        </w:rPr>
        <w:t>, Euratom</w:t>
      </w:r>
      <w:r w:rsidRPr="00F40347">
        <w:rPr>
          <w:b/>
        </w:rPr>
        <w:t xml:space="preserve">) 2024/... del Parlamento Europeo y del Consejo </w:t>
      </w:r>
      <w:r w:rsidR="00076DDF" w:rsidRPr="00076DDF">
        <w:rPr>
          <w:rFonts w:eastAsia="Calibri"/>
          <w:b/>
          <w:szCs w:val="24"/>
          <w:lang w:val="es-ES" w:eastAsia="en-US"/>
        </w:rPr>
        <w:t xml:space="preserve">sobre las normas financieras aplicables al </w:t>
      </w:r>
      <w:r w:rsidR="0099035B">
        <w:rPr>
          <w:rFonts w:eastAsia="Calibri"/>
          <w:b/>
          <w:szCs w:val="24"/>
          <w:lang w:val="es-ES" w:eastAsia="en-US"/>
        </w:rPr>
        <w:t>presupuesto general de la Unión</w:t>
      </w:r>
      <w:r w:rsidR="00AB1D10">
        <w:rPr>
          <w:rFonts w:eastAsia="Calibri"/>
          <w:b/>
          <w:szCs w:val="24"/>
          <w:lang w:val="es-ES" w:eastAsia="en-US"/>
        </w:rPr>
        <w:t xml:space="preserve"> </w:t>
      </w:r>
      <w:r w:rsidR="00076DDF" w:rsidRPr="00076DDF">
        <w:rPr>
          <w:rFonts w:eastAsia="Calibri"/>
          <w:b/>
          <w:szCs w:val="24"/>
          <w:lang w:val="es-ES" w:eastAsia="en-US"/>
        </w:rPr>
        <w:t>(</w:t>
      </w:r>
      <w:r w:rsidR="00076DDF" w:rsidRPr="00076DDF">
        <w:rPr>
          <w:rFonts w:eastAsia="Calibri"/>
          <w:b/>
          <w:szCs w:val="24"/>
          <w:lang w:val="es-ES"/>
        </w:rPr>
        <w:t>versión refundida</w:t>
      </w:r>
      <w:r w:rsidR="00076DDF" w:rsidRPr="00076DDF">
        <w:rPr>
          <w:rFonts w:eastAsia="Calibri"/>
          <w:b/>
          <w:szCs w:val="24"/>
          <w:lang w:val="es-ES" w:eastAsia="en-US"/>
        </w:rPr>
        <w:t>)</w:t>
      </w:r>
      <w:bookmarkStart w:id="8" w:name="_GoBack"/>
      <w:bookmarkEnd w:id="8"/>
    </w:p>
    <w:p w:rsidR="001A4C5D" w:rsidRPr="00DB597F" w:rsidRDefault="00DB597F" w:rsidP="00DB597F">
      <w:pPr>
        <w:pStyle w:val="Normal12Italic"/>
        <w:spacing w:before="120" w:after="120"/>
        <w:rPr>
          <w:noProof w:val="0"/>
          <w:lang w:val="es-ES_tradnl"/>
        </w:rPr>
      </w:pPr>
      <w:r w:rsidRPr="00DB597F">
        <w:rPr>
          <w:lang w:val="es-ES_tradnl"/>
        </w:rPr>
        <w:t>(Dado que el Parlamento Europeo y el Consejo llegaron a un acuerdo, la posición del Parlamento coincide con el texto del acto legislativo definitivo, el Reglamento (UE, Euratom) 2024/2509.)</w:t>
      </w:r>
    </w:p>
    <w:p w:rsidR="00DB597F" w:rsidRDefault="00DB597F">
      <w:pPr>
        <w:widowControl/>
      </w:pPr>
      <w:r>
        <w:rPr>
          <w:i/>
        </w:rPr>
        <w:br w:type="page"/>
      </w:r>
    </w:p>
    <w:p w:rsidR="001A4C5D" w:rsidRPr="00F40347" w:rsidRDefault="001A4C5D" w:rsidP="00DB597F">
      <w:pPr>
        <w:pStyle w:val="Normal12Italic"/>
        <w:spacing w:before="120" w:after="120"/>
        <w:jc w:val="right"/>
        <w:rPr>
          <w:i w:val="0"/>
          <w:noProof w:val="0"/>
          <w:lang w:val="es-ES_tradnl"/>
        </w:rPr>
      </w:pPr>
      <w:r w:rsidRPr="00F40347">
        <w:rPr>
          <w:i w:val="0"/>
          <w:noProof w:val="0"/>
          <w:lang w:val="es-ES_tradnl"/>
        </w:rPr>
        <w:t>ANEXO A LA RESOLUCIÓN LEGISLATIVA</w:t>
      </w:r>
    </w:p>
    <w:p w:rsidR="001A4C5D" w:rsidRPr="00F40347" w:rsidRDefault="001A4C5D" w:rsidP="00DB597F">
      <w:pPr>
        <w:spacing w:before="120" w:after="120" w:line="360" w:lineRule="auto"/>
        <w:jc w:val="center"/>
        <w:rPr>
          <w:rFonts w:eastAsiaTheme="minorHAnsi"/>
          <w:b/>
          <w:szCs w:val="24"/>
          <w:u w:val="single"/>
          <w:lang w:eastAsia="en-US"/>
        </w:rPr>
      </w:pPr>
    </w:p>
    <w:p w:rsidR="001A4C5D" w:rsidRPr="00F40347" w:rsidRDefault="001A4C5D" w:rsidP="00DB597F">
      <w:pPr>
        <w:spacing w:before="120" w:after="120" w:line="360" w:lineRule="auto"/>
        <w:jc w:val="center"/>
        <w:rPr>
          <w:rFonts w:eastAsiaTheme="minorHAnsi"/>
          <w:b/>
          <w:szCs w:val="24"/>
          <w:u w:val="single"/>
          <w:lang w:eastAsia="en-US"/>
        </w:rPr>
      </w:pPr>
      <w:r w:rsidRPr="00F40347">
        <w:rPr>
          <w:rFonts w:eastAsiaTheme="minorHAnsi"/>
          <w:b/>
          <w:szCs w:val="24"/>
          <w:u w:val="single"/>
          <w:lang w:eastAsia="en-US"/>
        </w:rPr>
        <w:t xml:space="preserve">Declaración conjunta sobre el tratamiento presupuestario de los intereses u otros gastos debidos por multas y otras penalizaciones o sanciones anuladas o reducidas con ocasión de la adopción del Reglamento </w:t>
      </w:r>
      <w:r w:rsidR="00DB597F">
        <w:rPr>
          <w:rFonts w:eastAsiaTheme="minorHAnsi"/>
          <w:b/>
          <w:szCs w:val="24"/>
          <w:u w:val="single"/>
          <w:lang w:eastAsia="en-US"/>
        </w:rPr>
        <w:t xml:space="preserve">(UE, Euratom) </w:t>
      </w:r>
      <w:r w:rsidRPr="00F40347">
        <w:rPr>
          <w:rFonts w:eastAsiaTheme="minorHAnsi"/>
          <w:b/>
          <w:szCs w:val="24"/>
          <w:u w:val="single"/>
          <w:lang w:eastAsia="en-US"/>
        </w:rPr>
        <w:t>2024/</w:t>
      </w:r>
      <w:r w:rsidR="00DB597F">
        <w:rPr>
          <w:rFonts w:eastAsiaTheme="minorHAnsi"/>
          <w:b/>
          <w:szCs w:val="24"/>
          <w:u w:val="single"/>
          <w:lang w:eastAsia="en-US"/>
        </w:rPr>
        <w:t>2509</w:t>
      </w:r>
    </w:p>
    <w:p w:rsidR="001A4C5D" w:rsidRPr="00F40347" w:rsidRDefault="001A4C5D" w:rsidP="00DB597F">
      <w:pPr>
        <w:widowControl/>
        <w:spacing w:before="120" w:after="120" w:line="360" w:lineRule="auto"/>
        <w:rPr>
          <w:rFonts w:eastAsiaTheme="minorHAnsi"/>
          <w:szCs w:val="24"/>
          <w:lang w:eastAsia="en-US"/>
        </w:rPr>
      </w:pPr>
      <w:r w:rsidRPr="00F40347">
        <w:rPr>
          <w:rFonts w:eastAsiaTheme="minorHAnsi"/>
          <w:szCs w:val="24"/>
          <w:lang w:eastAsia="en-US"/>
        </w:rPr>
        <w:t>«El Parlamento Europeo y el Consejo han acordado que los intereses u otros gastos debidos por multas y otras penalizaciones o sanciones anuladas o reducidas se registren como ingresos negativos durante el período de vigencia del actual marco plurianual. Supone una excepción a la prohibición de ingresos negativos, que se limita a esta situación específica e imprevisible.</w:t>
      </w:r>
    </w:p>
    <w:p w:rsidR="001A4C5D" w:rsidRPr="00F40347" w:rsidRDefault="001A4C5D" w:rsidP="00DB597F">
      <w:pPr>
        <w:pStyle w:val="Normal12Italic"/>
        <w:spacing w:before="120" w:after="120" w:line="360" w:lineRule="auto"/>
        <w:rPr>
          <w:rFonts w:eastAsiaTheme="minorHAnsi"/>
          <w:i w:val="0"/>
          <w:szCs w:val="24"/>
          <w:lang w:eastAsia="en-US"/>
        </w:rPr>
      </w:pPr>
      <w:r w:rsidRPr="00F40347">
        <w:rPr>
          <w:rFonts w:eastAsiaTheme="minorHAnsi"/>
          <w:i w:val="0"/>
          <w:szCs w:val="24"/>
          <w:lang w:eastAsia="en-US"/>
        </w:rPr>
        <w:t>Sin perjuicio de sus prerrogativas respectivas, el Parlamento Europeo, el Consejo y la Comisión acuerdan, teniendo en cuenta la experiencia pasada y la evolución futura prevista, estudiar una solución sostenible a largo plazo, en consonancia con la aplicación de los principios presupuestarios del Reglamento Financiero, para la financiación de dichos intereses u otros gastos, con vistas a aplicarla después de 2027, también con respecto al tipo de interés que deba pagarse sobre el importe de las multas u otras penalizaciones que deban reembolsarse, como compensación adecuada para las empresas beneficiarias en tales situaciones.»</w:t>
      </w:r>
    </w:p>
    <w:p w:rsidR="001A4C5D" w:rsidRPr="00F40347" w:rsidRDefault="001A4C5D" w:rsidP="00DB597F">
      <w:pPr>
        <w:pStyle w:val="Normal12Italic"/>
        <w:spacing w:before="120" w:after="120" w:line="360" w:lineRule="auto"/>
        <w:rPr>
          <w:rFonts w:eastAsiaTheme="minorHAnsi"/>
          <w:i w:val="0"/>
          <w:szCs w:val="24"/>
          <w:lang w:eastAsia="en-US"/>
        </w:rPr>
      </w:pPr>
    </w:p>
    <w:p w:rsidR="001A4C5D" w:rsidRPr="00F40347" w:rsidRDefault="001A4C5D" w:rsidP="00DB597F">
      <w:pPr>
        <w:spacing w:before="120" w:after="120" w:line="360" w:lineRule="auto"/>
        <w:jc w:val="center"/>
        <w:rPr>
          <w:rFonts w:eastAsiaTheme="minorHAnsi"/>
          <w:b/>
          <w:szCs w:val="24"/>
          <w:u w:val="single"/>
          <w:lang w:eastAsia="en-US"/>
        </w:rPr>
      </w:pPr>
      <w:r w:rsidRPr="00F40347">
        <w:rPr>
          <w:rFonts w:eastAsiaTheme="minorHAnsi"/>
          <w:b/>
          <w:szCs w:val="24"/>
          <w:u w:val="single"/>
          <w:lang w:eastAsia="en-US"/>
        </w:rPr>
        <w:t>Declaración conjunta del Parlamento Europeo, el Consejo y la Comisión sobre la herramienta única de prospección de datos y puntuación de riesgos prevista en el artículo 36 del Reglamento Financiero con ocasión de la adopción del Reglamento</w:t>
      </w:r>
      <w:r w:rsidR="00DB597F">
        <w:rPr>
          <w:rFonts w:eastAsiaTheme="minorHAnsi"/>
          <w:b/>
          <w:szCs w:val="24"/>
          <w:u w:val="single"/>
          <w:lang w:eastAsia="en-US"/>
        </w:rPr>
        <w:t xml:space="preserve"> </w:t>
      </w:r>
      <w:r w:rsidR="00DB597F">
        <w:rPr>
          <w:rFonts w:eastAsiaTheme="minorHAnsi"/>
          <w:b/>
          <w:szCs w:val="24"/>
          <w:u w:val="single"/>
          <w:lang w:eastAsia="en-US"/>
        </w:rPr>
        <w:t xml:space="preserve">(UE, Euratom) </w:t>
      </w:r>
      <w:r w:rsidR="00DB597F" w:rsidRPr="00F40347">
        <w:rPr>
          <w:rFonts w:eastAsiaTheme="minorHAnsi"/>
          <w:b/>
          <w:szCs w:val="24"/>
          <w:u w:val="single"/>
          <w:lang w:eastAsia="en-US"/>
        </w:rPr>
        <w:t>2024/</w:t>
      </w:r>
      <w:r w:rsidR="00DB597F">
        <w:rPr>
          <w:rFonts w:eastAsiaTheme="minorHAnsi"/>
          <w:b/>
          <w:szCs w:val="24"/>
          <w:u w:val="single"/>
          <w:lang w:eastAsia="en-US"/>
        </w:rPr>
        <w:t>2509</w:t>
      </w:r>
    </w:p>
    <w:p w:rsidR="001A4C5D" w:rsidRPr="00F40347" w:rsidRDefault="001A4C5D" w:rsidP="00DB597F">
      <w:pPr>
        <w:widowControl/>
        <w:spacing w:before="120" w:after="120" w:line="360" w:lineRule="auto"/>
        <w:rPr>
          <w:rFonts w:eastAsiaTheme="minorHAnsi"/>
          <w:szCs w:val="24"/>
          <w:lang w:eastAsia="en-US"/>
        </w:rPr>
      </w:pPr>
      <w:r w:rsidRPr="00F40347">
        <w:rPr>
          <w:rFonts w:eastAsiaTheme="minorHAnsi"/>
          <w:szCs w:val="24"/>
          <w:lang w:eastAsia="en-US"/>
        </w:rPr>
        <w:t>«El Parlamento Europeo, el Consejo y la Comisión (en lo sucesivo, “las tres instituciones”) reconocen la importancia de reforzar la protección de los intereses financieros de la Unión, tal como se reconoce en el Acuerdo interinstitucional de 16 de diciembre de 2020 y se establece en el artículo 325 del TFUE.</w:t>
      </w:r>
    </w:p>
    <w:p w:rsidR="001A4C5D" w:rsidRPr="00F40347" w:rsidRDefault="001A4C5D" w:rsidP="00DB597F">
      <w:pPr>
        <w:widowControl/>
        <w:spacing w:before="120" w:after="120" w:line="360" w:lineRule="auto"/>
        <w:rPr>
          <w:rFonts w:eastAsiaTheme="minorHAnsi"/>
          <w:szCs w:val="24"/>
          <w:lang w:eastAsia="en-US"/>
        </w:rPr>
      </w:pPr>
      <w:r w:rsidRPr="00F40347">
        <w:rPr>
          <w:rFonts w:eastAsiaTheme="minorHAnsi"/>
          <w:szCs w:val="24"/>
          <w:lang w:eastAsia="en-US"/>
        </w:rPr>
        <w:t>Las tres instituciones convienen en que es necesario seguir desarrollando la herramienta de conformidad con las normas de seguridad informática y protección de datos. Con el fin de reducir la carga administrativa y evitar costes informáticos desproporcionados para los Estados miembros y los demás usuarios, se tomarán en consideración los sistemas aprobados establecidos en los Estados miembros.</w:t>
      </w:r>
    </w:p>
    <w:p w:rsidR="001A4C5D" w:rsidRPr="00F40347" w:rsidRDefault="001A4C5D" w:rsidP="00DB597F">
      <w:pPr>
        <w:widowControl/>
        <w:spacing w:before="120" w:after="120" w:line="360" w:lineRule="auto"/>
        <w:rPr>
          <w:rFonts w:eastAsiaTheme="minorHAnsi"/>
          <w:szCs w:val="24"/>
          <w:lang w:eastAsia="en-US"/>
        </w:rPr>
      </w:pPr>
      <w:r w:rsidRPr="00F40347">
        <w:rPr>
          <w:rFonts w:eastAsiaTheme="minorHAnsi"/>
          <w:szCs w:val="24"/>
          <w:lang w:eastAsia="en-US"/>
        </w:rPr>
        <w:t>Las tres instituciones se comprometen a cooperar con vistas a seguir desarrollando la herramienta. La Comisión confirma que seguirá desarrollándola en consulta con los usuarios y ofreciendo apoyo a los Estados miembros para resolver cualquier duda técnica. Los Estados miembros cooperarán con la Comisión a fin de facilitar las sinergias necesarias para la interoperabilidad con los sistemas informáticos y las bases de datos pertinentes.</w:t>
      </w:r>
    </w:p>
    <w:p w:rsidR="001A4C5D" w:rsidRPr="00F40347" w:rsidRDefault="001A4C5D" w:rsidP="00DB597F">
      <w:pPr>
        <w:pStyle w:val="Normal12Italic"/>
        <w:spacing w:before="120" w:after="120" w:line="360" w:lineRule="auto"/>
        <w:rPr>
          <w:rFonts w:eastAsiaTheme="minorHAnsi"/>
          <w:i w:val="0"/>
          <w:szCs w:val="24"/>
          <w:lang w:eastAsia="en-US"/>
        </w:rPr>
      </w:pPr>
      <w:r w:rsidRPr="00F40347">
        <w:rPr>
          <w:rFonts w:eastAsiaTheme="minorHAnsi"/>
          <w:i w:val="0"/>
          <w:szCs w:val="24"/>
          <w:lang w:eastAsia="en-US"/>
        </w:rPr>
        <w:t>Tras una evaluación de la Comisión que confirme la idoneidad de la herramienta sobre la base de los criterios mencionados en el artículo 36, apartado 6, del Reglamento Financiero, las tres instituciones, sin perjuicio de sus respectivas competencias, se comprometen a examinar y volver a debatir el uso obligatorio de la herramienta durante el marco financiero plurianual posterior a 2027.»</w:t>
      </w:r>
    </w:p>
    <w:p w:rsidR="001A4C5D" w:rsidRPr="00F40347" w:rsidRDefault="001A4C5D" w:rsidP="00DB597F">
      <w:pPr>
        <w:pStyle w:val="Normal12Italic"/>
        <w:spacing w:before="120" w:after="120" w:line="360" w:lineRule="auto"/>
        <w:rPr>
          <w:rFonts w:eastAsiaTheme="minorHAnsi"/>
          <w:i w:val="0"/>
          <w:szCs w:val="24"/>
          <w:lang w:eastAsia="en-US"/>
        </w:rPr>
      </w:pPr>
    </w:p>
    <w:p w:rsidR="001A4C5D" w:rsidRPr="00F40347" w:rsidRDefault="001A4C5D" w:rsidP="00DB597F">
      <w:pPr>
        <w:spacing w:before="120" w:after="120" w:line="360" w:lineRule="auto"/>
        <w:jc w:val="center"/>
        <w:rPr>
          <w:rFonts w:eastAsiaTheme="minorHAnsi"/>
          <w:b/>
          <w:szCs w:val="24"/>
          <w:u w:val="single"/>
          <w:lang w:val="es-ES" w:eastAsia="en-US"/>
        </w:rPr>
      </w:pPr>
      <w:r w:rsidRPr="00F40347">
        <w:rPr>
          <w:rFonts w:eastAsiaTheme="minorHAnsi"/>
          <w:b/>
          <w:szCs w:val="24"/>
          <w:u w:val="single"/>
          <w:lang w:val="es-ES" w:eastAsia="en-US"/>
        </w:rPr>
        <w:t xml:space="preserve">Declaración unilateral de la Comisión sobre las liberaciones de créditos </w:t>
      </w:r>
      <w:r w:rsidRPr="00F40347">
        <w:rPr>
          <w:rFonts w:eastAsiaTheme="minorHAnsi"/>
          <w:b/>
          <w:szCs w:val="24"/>
          <w:u w:val="single"/>
          <w:lang w:eastAsia="en-US"/>
        </w:rPr>
        <w:t xml:space="preserve">con ocasión de la adopción del Reglamento </w:t>
      </w:r>
      <w:r w:rsidR="00DB597F">
        <w:rPr>
          <w:rFonts w:eastAsiaTheme="minorHAnsi"/>
          <w:b/>
          <w:szCs w:val="24"/>
          <w:u w:val="single"/>
          <w:lang w:eastAsia="en-US"/>
        </w:rPr>
        <w:t xml:space="preserve">(UE, Euratom) </w:t>
      </w:r>
      <w:r w:rsidR="00DB597F" w:rsidRPr="00F40347">
        <w:rPr>
          <w:rFonts w:eastAsiaTheme="minorHAnsi"/>
          <w:b/>
          <w:szCs w:val="24"/>
          <w:u w:val="single"/>
          <w:lang w:eastAsia="en-US"/>
        </w:rPr>
        <w:t>2024/</w:t>
      </w:r>
      <w:r w:rsidR="00DB597F">
        <w:rPr>
          <w:rFonts w:eastAsiaTheme="minorHAnsi"/>
          <w:b/>
          <w:szCs w:val="24"/>
          <w:u w:val="single"/>
          <w:lang w:eastAsia="en-US"/>
        </w:rPr>
        <w:t>2509</w:t>
      </w:r>
    </w:p>
    <w:p w:rsidR="001A4C5D" w:rsidRPr="00F40347" w:rsidRDefault="001A4C5D" w:rsidP="00DB597F">
      <w:pPr>
        <w:widowControl/>
        <w:spacing w:before="120" w:after="120" w:line="360" w:lineRule="auto"/>
        <w:rPr>
          <w:rFonts w:eastAsiaTheme="minorHAnsi"/>
          <w:szCs w:val="24"/>
          <w:lang w:val="es-ES" w:eastAsia="en-US"/>
        </w:rPr>
      </w:pPr>
      <w:r w:rsidRPr="00F40347">
        <w:rPr>
          <w:rFonts w:eastAsiaTheme="minorHAnsi"/>
          <w:szCs w:val="24"/>
          <w:lang w:eastAsia="en-US"/>
        </w:rPr>
        <w:t>«</w:t>
      </w:r>
      <w:r w:rsidRPr="00F40347">
        <w:rPr>
          <w:rFonts w:eastAsiaTheme="minorHAnsi"/>
          <w:szCs w:val="24"/>
          <w:lang w:val="es-ES" w:eastAsia="en-US"/>
        </w:rPr>
        <w:t>En el contexto de la elaboración del marco financiero plurianual posterior a 2027, la Comisión examinará la cuestión de la ampliación del alcance de la reconstitución de los créditos correspondientes a las liberaciones de créditos. Esto se entiende sin perjuicio de la futura propuesta de la Comisión sobre el marco financiero plurianual posterior a 2027 y del derecho de iniciativa legislativa de la Comisión, tal como se establece en los Tratados.»</w:t>
      </w:r>
    </w:p>
    <w:p w:rsidR="001A4C5D" w:rsidRPr="00F40347" w:rsidRDefault="001A4C5D" w:rsidP="00DB597F">
      <w:pPr>
        <w:widowControl/>
        <w:spacing w:before="120" w:after="120" w:line="360" w:lineRule="auto"/>
        <w:jc w:val="center"/>
        <w:rPr>
          <w:rFonts w:eastAsiaTheme="minorHAnsi"/>
          <w:b/>
          <w:szCs w:val="24"/>
          <w:u w:val="single"/>
          <w:lang w:val="es-ES" w:eastAsia="en-US"/>
        </w:rPr>
      </w:pPr>
    </w:p>
    <w:p w:rsidR="001A4C5D" w:rsidRPr="00F40347" w:rsidRDefault="001A4C5D" w:rsidP="00DB597F">
      <w:pPr>
        <w:widowControl/>
        <w:spacing w:before="120" w:after="120" w:line="360" w:lineRule="auto"/>
        <w:jc w:val="center"/>
        <w:rPr>
          <w:rFonts w:eastAsiaTheme="minorHAnsi"/>
          <w:b/>
          <w:szCs w:val="24"/>
          <w:u w:val="single"/>
          <w:lang w:val="es-ES" w:eastAsia="en-US"/>
        </w:rPr>
      </w:pPr>
      <w:r w:rsidRPr="00F40347">
        <w:rPr>
          <w:rFonts w:eastAsiaTheme="minorHAnsi"/>
          <w:b/>
          <w:szCs w:val="24"/>
          <w:u w:val="single"/>
          <w:lang w:val="es-ES" w:eastAsia="en-US"/>
        </w:rPr>
        <w:t xml:space="preserve">Declaración unilateral de la Comisión sobre el Sistema de Detección Precoz y Exclusión </w:t>
      </w:r>
      <w:r w:rsidRPr="00F40347">
        <w:rPr>
          <w:rFonts w:eastAsiaTheme="minorHAnsi"/>
          <w:b/>
          <w:szCs w:val="24"/>
          <w:u w:val="single"/>
          <w:lang w:eastAsia="en-US"/>
        </w:rPr>
        <w:t xml:space="preserve">con ocasión de la adopción del Reglamento </w:t>
      </w:r>
      <w:r w:rsidR="00DB597F">
        <w:rPr>
          <w:rFonts w:eastAsiaTheme="minorHAnsi"/>
          <w:b/>
          <w:szCs w:val="24"/>
          <w:u w:val="single"/>
          <w:lang w:eastAsia="en-US"/>
        </w:rPr>
        <w:t xml:space="preserve">(UE, Euratom) </w:t>
      </w:r>
      <w:r w:rsidR="00DB597F" w:rsidRPr="00F40347">
        <w:rPr>
          <w:rFonts w:eastAsiaTheme="minorHAnsi"/>
          <w:b/>
          <w:szCs w:val="24"/>
          <w:u w:val="single"/>
          <w:lang w:eastAsia="en-US"/>
        </w:rPr>
        <w:t>2024/</w:t>
      </w:r>
      <w:r w:rsidR="00DB597F">
        <w:rPr>
          <w:rFonts w:eastAsiaTheme="minorHAnsi"/>
          <w:b/>
          <w:szCs w:val="24"/>
          <w:u w:val="single"/>
          <w:lang w:eastAsia="en-US"/>
        </w:rPr>
        <w:t>2509</w:t>
      </w:r>
    </w:p>
    <w:p w:rsidR="001A4C5D" w:rsidRPr="00F40347" w:rsidRDefault="001A4C5D" w:rsidP="00DB597F">
      <w:pPr>
        <w:widowControl/>
        <w:spacing w:before="120" w:after="120" w:line="360" w:lineRule="auto"/>
        <w:rPr>
          <w:rFonts w:eastAsiaTheme="minorHAnsi"/>
          <w:szCs w:val="24"/>
          <w:lang w:val="es-ES" w:eastAsia="en-US"/>
        </w:rPr>
      </w:pPr>
      <w:r w:rsidRPr="00F40347">
        <w:rPr>
          <w:rFonts w:eastAsiaTheme="minorHAnsi"/>
          <w:szCs w:val="24"/>
          <w:lang w:val="es-ES" w:eastAsia="en-US"/>
        </w:rPr>
        <w:t xml:space="preserve">«La Comisión Europea reconoce la importancia de minimizar la carga administrativa de las administraciones de los Estados miembros en el contexto de la ampliación específica del Sistema de Exclusión y Detección Precoz (ERES) a la gestión compartida y directa con los Estados miembros. </w:t>
      </w:r>
    </w:p>
    <w:p w:rsidR="001A4C5D" w:rsidRPr="00F40347" w:rsidRDefault="001A4C5D" w:rsidP="00DB597F">
      <w:pPr>
        <w:widowControl/>
        <w:spacing w:before="120" w:after="120" w:line="360" w:lineRule="auto"/>
        <w:rPr>
          <w:rFonts w:eastAsiaTheme="minorHAnsi"/>
          <w:szCs w:val="24"/>
          <w:lang w:val="es-ES" w:eastAsia="en-US"/>
        </w:rPr>
      </w:pPr>
      <w:r w:rsidRPr="00F40347">
        <w:rPr>
          <w:rFonts w:eastAsiaTheme="minorHAnsi"/>
          <w:szCs w:val="24"/>
          <w:lang w:val="es-ES" w:eastAsia="en-US"/>
        </w:rPr>
        <w:t xml:space="preserve">La Comisión se compromete a elaborar orientaciones exhaustivas y a ofrecer sesiones de formación a los Estados miembros sobre la implementación del ERES y el uso de su base de datos. </w:t>
      </w:r>
    </w:p>
    <w:p w:rsidR="001A4C5D" w:rsidRPr="00F40347" w:rsidRDefault="001A4C5D" w:rsidP="00DB597F">
      <w:pPr>
        <w:widowControl/>
        <w:spacing w:before="120" w:after="120" w:line="360" w:lineRule="auto"/>
        <w:rPr>
          <w:rFonts w:eastAsiaTheme="minorHAnsi"/>
          <w:szCs w:val="24"/>
          <w:lang w:val="es-ES" w:eastAsia="en-US"/>
        </w:rPr>
      </w:pPr>
      <w:r w:rsidRPr="00F40347">
        <w:rPr>
          <w:rFonts w:eastAsiaTheme="minorHAnsi"/>
          <w:szCs w:val="24"/>
          <w:lang w:val="es-ES" w:eastAsia="en-US"/>
        </w:rPr>
        <w:t xml:space="preserve">La Comisión seguirá mejorando la base de datos del ERES, por </w:t>
      </w:r>
      <w:proofErr w:type="gramStart"/>
      <w:r w:rsidRPr="00F40347">
        <w:rPr>
          <w:rFonts w:eastAsiaTheme="minorHAnsi"/>
          <w:szCs w:val="24"/>
          <w:lang w:val="es-ES" w:eastAsia="en-US"/>
        </w:rPr>
        <w:t>ejemplo</w:t>
      </w:r>
      <w:proofErr w:type="gramEnd"/>
      <w:r w:rsidRPr="00F40347">
        <w:rPr>
          <w:rFonts w:eastAsiaTheme="minorHAnsi"/>
          <w:szCs w:val="24"/>
          <w:lang w:val="es-ES" w:eastAsia="en-US"/>
        </w:rPr>
        <w:t xml:space="preserve"> permitiendo la búsqueda de múltiples entidades y mejorando la estructura de la base de datos.</w:t>
      </w:r>
    </w:p>
    <w:p w:rsidR="001A4C5D" w:rsidRPr="00F40347" w:rsidRDefault="001A4C5D" w:rsidP="00DB597F">
      <w:pPr>
        <w:widowControl/>
        <w:spacing w:before="120" w:after="120" w:line="360" w:lineRule="auto"/>
        <w:rPr>
          <w:rFonts w:eastAsiaTheme="minorHAnsi"/>
          <w:szCs w:val="24"/>
          <w:lang w:val="es-ES" w:eastAsia="en-US"/>
        </w:rPr>
      </w:pPr>
      <w:r w:rsidRPr="00F40347">
        <w:rPr>
          <w:rFonts w:eastAsiaTheme="minorHAnsi"/>
          <w:szCs w:val="24"/>
          <w:lang w:val="es-ES" w:eastAsia="en-US"/>
        </w:rPr>
        <w:t>La Comisión se esforzará por garantizar la interoperabilidad informática entre el ERES y los sistemas nacionales pertinentes para racionalizar el proceso y permitir controles más rápidos de las situaciones de exclusión de las personas o entidades pertinentes.</w:t>
      </w:r>
    </w:p>
    <w:p w:rsidR="001A4C5D" w:rsidRPr="00F40347" w:rsidRDefault="001A4C5D" w:rsidP="00DB597F">
      <w:pPr>
        <w:widowControl/>
        <w:spacing w:before="120" w:after="120" w:line="360" w:lineRule="auto"/>
        <w:rPr>
          <w:rFonts w:eastAsiaTheme="minorHAnsi"/>
          <w:szCs w:val="24"/>
          <w:lang w:val="es-ES" w:eastAsia="en-US"/>
        </w:rPr>
      </w:pPr>
      <w:r w:rsidRPr="00F40347">
        <w:rPr>
          <w:rFonts w:eastAsiaTheme="minorHAnsi"/>
          <w:szCs w:val="24"/>
          <w:lang w:val="es-ES" w:eastAsia="en-US"/>
        </w:rPr>
        <w:t>La Comisión confirma que cualquier solicitud de información adicional a efectos del ERES no excederá de lo estrictamente necesario y proporcionado y se tratará de conformidad con las normas aplicables en materia de protección de datos. Se recuerda que el dictamen del Supervisor Europeo de Protección de Datos sobre la propuesta de la Comisión de refundición del Reglamento Financiero no suscitó ningún reparo con respecto al ERES.</w:t>
      </w:r>
    </w:p>
    <w:p w:rsidR="001A4C5D" w:rsidRPr="00F40347" w:rsidRDefault="001A4C5D" w:rsidP="00DB597F">
      <w:pPr>
        <w:pStyle w:val="Normal12Italic"/>
        <w:spacing w:before="120" w:after="120" w:line="360" w:lineRule="auto"/>
        <w:rPr>
          <w:i w:val="0"/>
          <w:noProof w:val="0"/>
          <w:lang w:val="es-ES_tradnl"/>
        </w:rPr>
      </w:pPr>
      <w:r w:rsidRPr="00F40347">
        <w:rPr>
          <w:rFonts w:eastAsiaTheme="minorHAnsi"/>
          <w:i w:val="0"/>
          <w:szCs w:val="24"/>
          <w:lang w:eastAsia="en-US"/>
        </w:rPr>
        <w:t>La Comisión se compromete a facilitar una transición fluida a la aplicación del ERES cooperando al máximo con los Estados miembros.»</w:t>
      </w:r>
    </w:p>
    <w:p w:rsidR="00D43B0A" w:rsidRPr="00F40347" w:rsidRDefault="00D43B0A" w:rsidP="00DB597F">
      <w:pPr>
        <w:pStyle w:val="Normal12Italic"/>
        <w:spacing w:before="120" w:after="120" w:line="360" w:lineRule="auto"/>
        <w:rPr>
          <w:i w:val="0"/>
          <w:noProof w:val="0"/>
          <w:lang w:val="es-ES_tradnl"/>
        </w:rPr>
      </w:pPr>
    </w:p>
    <w:sectPr w:rsidR="00D43B0A" w:rsidRPr="00F40347" w:rsidSect="00E97C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742" w:rsidRPr="00E97CD6" w:rsidRDefault="00745742">
      <w:r w:rsidRPr="00E97CD6">
        <w:separator/>
      </w:r>
    </w:p>
  </w:endnote>
  <w:endnote w:type="continuationSeparator" w:id="0">
    <w:p w:rsidR="00745742" w:rsidRPr="00E97CD6" w:rsidRDefault="00745742">
      <w:r w:rsidRPr="00E97C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42" w:rsidRDefault="007457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42" w:rsidRPr="0015437E" w:rsidRDefault="00745742" w:rsidP="001543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42" w:rsidRDefault="00745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742" w:rsidRPr="00E97CD6" w:rsidRDefault="00745742">
      <w:r w:rsidRPr="00E97CD6">
        <w:separator/>
      </w:r>
    </w:p>
  </w:footnote>
  <w:footnote w:type="continuationSeparator" w:id="0">
    <w:p w:rsidR="00745742" w:rsidRPr="00E97CD6" w:rsidRDefault="00745742">
      <w:r w:rsidRPr="00E97CD6">
        <w:continuationSeparator/>
      </w:r>
    </w:p>
  </w:footnote>
  <w:footnote w:id="1">
    <w:p w:rsidR="00745742" w:rsidRPr="0099035B" w:rsidRDefault="00745742" w:rsidP="0015437E">
      <w:pPr>
        <w:pStyle w:val="FootnoteText"/>
        <w:ind w:left="567" w:hanging="567"/>
        <w:rPr>
          <w:sz w:val="24"/>
          <w:szCs w:val="24"/>
          <w:lang w:val="pt-PT"/>
        </w:rPr>
      </w:pPr>
      <w:r w:rsidRPr="0099035B">
        <w:rPr>
          <w:rStyle w:val="FootnoteReference"/>
          <w:sz w:val="24"/>
          <w:szCs w:val="24"/>
          <w:lang w:val="es-ES_tradnl"/>
        </w:rPr>
        <w:footnoteRef/>
      </w:r>
      <w:r w:rsidRPr="0099035B">
        <w:rPr>
          <w:sz w:val="24"/>
          <w:szCs w:val="24"/>
          <w:lang w:val="pt-PT"/>
        </w:rPr>
        <w:t xml:space="preserve"> </w:t>
      </w:r>
      <w:r w:rsidRPr="0099035B">
        <w:rPr>
          <w:sz w:val="24"/>
          <w:szCs w:val="24"/>
          <w:lang w:val="pt-PT"/>
        </w:rPr>
        <w:tab/>
        <w:t>DO C 446 de 24.11.20</w:t>
      </w:r>
      <w:r w:rsidR="00176FA5">
        <w:rPr>
          <w:sz w:val="24"/>
          <w:szCs w:val="24"/>
          <w:lang w:val="pt-PT"/>
        </w:rPr>
        <w:t>2</w:t>
      </w:r>
      <w:r w:rsidRPr="0099035B">
        <w:rPr>
          <w:sz w:val="24"/>
          <w:szCs w:val="24"/>
          <w:lang w:val="pt-PT"/>
        </w:rPr>
        <w:t>2, p. 26.</w:t>
      </w:r>
    </w:p>
  </w:footnote>
  <w:footnote w:id="2">
    <w:p w:rsidR="00745742" w:rsidRPr="0099035B" w:rsidRDefault="00745742" w:rsidP="0015437E">
      <w:pPr>
        <w:pStyle w:val="FootnoteText"/>
        <w:ind w:left="567" w:hanging="567"/>
        <w:rPr>
          <w:sz w:val="24"/>
          <w:szCs w:val="24"/>
          <w:lang w:val="pt-PT"/>
        </w:rPr>
      </w:pPr>
      <w:r w:rsidRPr="0099035B">
        <w:rPr>
          <w:rStyle w:val="FootnoteReference"/>
          <w:sz w:val="24"/>
          <w:szCs w:val="24"/>
          <w:lang w:val="es-ES_tradnl"/>
        </w:rPr>
        <w:footnoteRef/>
      </w:r>
      <w:r w:rsidRPr="0099035B">
        <w:rPr>
          <w:sz w:val="24"/>
          <w:szCs w:val="24"/>
          <w:lang w:val="pt-PT"/>
        </w:rPr>
        <w:t xml:space="preserve"> </w:t>
      </w:r>
      <w:r w:rsidRPr="0099035B">
        <w:rPr>
          <w:sz w:val="24"/>
          <w:szCs w:val="24"/>
          <w:lang w:val="pt-PT"/>
        </w:rPr>
        <w:tab/>
        <w:t>DO C 77 de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42" w:rsidRDefault="00745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42" w:rsidRDefault="00745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42" w:rsidRDefault="00745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13942AA"/>
    <w:multiLevelType w:val="hybridMultilevel"/>
    <w:tmpl w:val="7646B8CC"/>
    <w:lvl w:ilvl="0" w:tplc="0C0A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13" w15:restartNumberingAfterBreak="0">
    <w:nsid w:val="6A4535B1"/>
    <w:multiLevelType w:val="hybridMultilevel"/>
    <w:tmpl w:val="228A622E"/>
    <w:lvl w:ilvl="0" w:tplc="250EE30E">
      <w:start w:val="1"/>
      <w:numFmt w:val="bullet"/>
      <w:lvlText w:val=""/>
      <w:lvlJc w:val="left"/>
      <w:pPr>
        <w:ind w:left="360" w:hanging="360"/>
      </w:pPr>
      <w:rPr>
        <w:rFonts w:ascii="Symbol" w:hAnsi="Symbol" w:hint="default"/>
      </w:rPr>
    </w:lvl>
    <w:lvl w:ilvl="1" w:tplc="1EC271F4" w:tentative="1">
      <w:start w:val="1"/>
      <w:numFmt w:val="bullet"/>
      <w:lvlText w:val="o"/>
      <w:lvlJc w:val="left"/>
      <w:pPr>
        <w:ind w:left="1080" w:hanging="360"/>
      </w:pPr>
      <w:rPr>
        <w:rFonts w:ascii="Courier New" w:hAnsi="Courier New" w:cs="Courier New" w:hint="default"/>
      </w:rPr>
    </w:lvl>
    <w:lvl w:ilvl="2" w:tplc="1F94EDB0" w:tentative="1">
      <w:start w:val="1"/>
      <w:numFmt w:val="bullet"/>
      <w:lvlText w:val=""/>
      <w:lvlJc w:val="left"/>
      <w:pPr>
        <w:ind w:left="1800" w:hanging="360"/>
      </w:pPr>
      <w:rPr>
        <w:rFonts w:ascii="Wingdings" w:hAnsi="Wingdings" w:hint="default"/>
      </w:rPr>
    </w:lvl>
    <w:lvl w:ilvl="3" w:tplc="1B10A726" w:tentative="1">
      <w:start w:val="1"/>
      <w:numFmt w:val="bullet"/>
      <w:lvlText w:val=""/>
      <w:lvlJc w:val="left"/>
      <w:pPr>
        <w:ind w:left="2520" w:hanging="360"/>
      </w:pPr>
      <w:rPr>
        <w:rFonts w:ascii="Symbol" w:hAnsi="Symbol" w:hint="default"/>
      </w:rPr>
    </w:lvl>
    <w:lvl w:ilvl="4" w:tplc="F64A1A78" w:tentative="1">
      <w:start w:val="1"/>
      <w:numFmt w:val="bullet"/>
      <w:lvlText w:val="o"/>
      <w:lvlJc w:val="left"/>
      <w:pPr>
        <w:ind w:left="3240" w:hanging="360"/>
      </w:pPr>
      <w:rPr>
        <w:rFonts w:ascii="Courier New" w:hAnsi="Courier New" w:cs="Courier New" w:hint="default"/>
      </w:rPr>
    </w:lvl>
    <w:lvl w:ilvl="5" w:tplc="E466C2BA" w:tentative="1">
      <w:start w:val="1"/>
      <w:numFmt w:val="bullet"/>
      <w:lvlText w:val=""/>
      <w:lvlJc w:val="left"/>
      <w:pPr>
        <w:ind w:left="3960" w:hanging="360"/>
      </w:pPr>
      <w:rPr>
        <w:rFonts w:ascii="Wingdings" w:hAnsi="Wingdings" w:hint="default"/>
      </w:rPr>
    </w:lvl>
    <w:lvl w:ilvl="6" w:tplc="E8A46206" w:tentative="1">
      <w:start w:val="1"/>
      <w:numFmt w:val="bullet"/>
      <w:lvlText w:val=""/>
      <w:lvlJc w:val="left"/>
      <w:pPr>
        <w:ind w:left="4680" w:hanging="360"/>
      </w:pPr>
      <w:rPr>
        <w:rFonts w:ascii="Symbol" w:hAnsi="Symbol" w:hint="default"/>
      </w:rPr>
    </w:lvl>
    <w:lvl w:ilvl="7" w:tplc="E9BC7642" w:tentative="1">
      <w:start w:val="1"/>
      <w:numFmt w:val="bullet"/>
      <w:lvlText w:val="o"/>
      <w:lvlJc w:val="left"/>
      <w:pPr>
        <w:ind w:left="5400" w:hanging="360"/>
      </w:pPr>
      <w:rPr>
        <w:rFonts w:ascii="Courier New" w:hAnsi="Courier New" w:cs="Courier New" w:hint="default"/>
      </w:rPr>
    </w:lvl>
    <w:lvl w:ilvl="8" w:tplc="2ED654C4"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ES"/>
    <w:docVar w:name="dvnumam" w:val="212"/>
    <w:docVar w:name="dvpe" w:val="740.802"/>
    <w:docVar w:name="dvrapporteur" w:val="Ponente: "/>
    <w:docVar w:name="dvstar" w:val="***I"/>
    <w:docVar w:name="dvtitre" w:val="Resolución legislativa del Parlamento Europeo, de x de marzo de 2024, sobre la propuesta de Reglamento del Parlamento Europeo y del Consejo sobre las normas financieras aplicables al presupuesto general de la Unión (versión refundida)(COM(2022)0223 – C9-0179/2022 – 2022/0162(COD))"/>
  </w:docVars>
  <w:rsids>
    <w:rsidRoot w:val="001614AA"/>
    <w:rsid w:val="00002272"/>
    <w:rsid w:val="000541EC"/>
    <w:rsid w:val="00064002"/>
    <w:rsid w:val="000677B9"/>
    <w:rsid w:val="00076DDF"/>
    <w:rsid w:val="000831BA"/>
    <w:rsid w:val="000A42CC"/>
    <w:rsid w:val="000E7DD9"/>
    <w:rsid w:val="0010095E"/>
    <w:rsid w:val="00105673"/>
    <w:rsid w:val="00107E68"/>
    <w:rsid w:val="00125B37"/>
    <w:rsid w:val="0015437E"/>
    <w:rsid w:val="001614AA"/>
    <w:rsid w:val="00176FA5"/>
    <w:rsid w:val="00187494"/>
    <w:rsid w:val="001A4C5D"/>
    <w:rsid w:val="001A700B"/>
    <w:rsid w:val="001F32AE"/>
    <w:rsid w:val="002767FF"/>
    <w:rsid w:val="002B18FE"/>
    <w:rsid w:val="002B5493"/>
    <w:rsid w:val="00343214"/>
    <w:rsid w:val="00361C00"/>
    <w:rsid w:val="00395FA1"/>
    <w:rsid w:val="003C4A85"/>
    <w:rsid w:val="003E15D4"/>
    <w:rsid w:val="00411CCE"/>
    <w:rsid w:val="0041666E"/>
    <w:rsid w:val="00421060"/>
    <w:rsid w:val="00424324"/>
    <w:rsid w:val="00471C19"/>
    <w:rsid w:val="004867E3"/>
    <w:rsid w:val="00494A28"/>
    <w:rsid w:val="004C0004"/>
    <w:rsid w:val="004C5D52"/>
    <w:rsid w:val="004F4850"/>
    <w:rsid w:val="00500E3C"/>
    <w:rsid w:val="0050519A"/>
    <w:rsid w:val="005072A1"/>
    <w:rsid w:val="005143DE"/>
    <w:rsid w:val="00514517"/>
    <w:rsid w:val="0051594A"/>
    <w:rsid w:val="00545827"/>
    <w:rsid w:val="00560270"/>
    <w:rsid w:val="005C2568"/>
    <w:rsid w:val="006037C0"/>
    <w:rsid w:val="0063227D"/>
    <w:rsid w:val="006631B6"/>
    <w:rsid w:val="00680577"/>
    <w:rsid w:val="00693A5F"/>
    <w:rsid w:val="006F74FA"/>
    <w:rsid w:val="00731ADD"/>
    <w:rsid w:val="00734777"/>
    <w:rsid w:val="00745742"/>
    <w:rsid w:val="00747932"/>
    <w:rsid w:val="00751A4A"/>
    <w:rsid w:val="007547DE"/>
    <w:rsid w:val="00756632"/>
    <w:rsid w:val="00762C74"/>
    <w:rsid w:val="007809C5"/>
    <w:rsid w:val="00786EC0"/>
    <w:rsid w:val="007C64BC"/>
    <w:rsid w:val="007D1690"/>
    <w:rsid w:val="007E22AD"/>
    <w:rsid w:val="00817416"/>
    <w:rsid w:val="00842779"/>
    <w:rsid w:val="00865F67"/>
    <w:rsid w:val="00881A7B"/>
    <w:rsid w:val="008840E5"/>
    <w:rsid w:val="00887B3E"/>
    <w:rsid w:val="008C2AC6"/>
    <w:rsid w:val="00930C23"/>
    <w:rsid w:val="0093193B"/>
    <w:rsid w:val="009509D8"/>
    <w:rsid w:val="00950B64"/>
    <w:rsid w:val="009706A5"/>
    <w:rsid w:val="00981893"/>
    <w:rsid w:val="0099035B"/>
    <w:rsid w:val="00A1687D"/>
    <w:rsid w:val="00A43E52"/>
    <w:rsid w:val="00A4678D"/>
    <w:rsid w:val="00A778C7"/>
    <w:rsid w:val="00AB1D10"/>
    <w:rsid w:val="00AB441E"/>
    <w:rsid w:val="00AB6293"/>
    <w:rsid w:val="00AE0928"/>
    <w:rsid w:val="00AF3B82"/>
    <w:rsid w:val="00B12E95"/>
    <w:rsid w:val="00B22876"/>
    <w:rsid w:val="00B558F0"/>
    <w:rsid w:val="00BD3C8F"/>
    <w:rsid w:val="00BD48FE"/>
    <w:rsid w:val="00BD7BD8"/>
    <w:rsid w:val="00BE6ADC"/>
    <w:rsid w:val="00C05726"/>
    <w:rsid w:val="00C05BFE"/>
    <w:rsid w:val="00C23CD4"/>
    <w:rsid w:val="00C61C0C"/>
    <w:rsid w:val="00C941CB"/>
    <w:rsid w:val="00CC2357"/>
    <w:rsid w:val="00CF071A"/>
    <w:rsid w:val="00D058B8"/>
    <w:rsid w:val="00D43B0A"/>
    <w:rsid w:val="00D56C11"/>
    <w:rsid w:val="00D834A0"/>
    <w:rsid w:val="00D872DF"/>
    <w:rsid w:val="00D90CA3"/>
    <w:rsid w:val="00D91E21"/>
    <w:rsid w:val="00DA7FCD"/>
    <w:rsid w:val="00DB597F"/>
    <w:rsid w:val="00E20C29"/>
    <w:rsid w:val="00E365E1"/>
    <w:rsid w:val="00E73F9A"/>
    <w:rsid w:val="00E820A4"/>
    <w:rsid w:val="00E84B0B"/>
    <w:rsid w:val="00E97CD6"/>
    <w:rsid w:val="00EB006A"/>
    <w:rsid w:val="00EB4772"/>
    <w:rsid w:val="00ED169E"/>
    <w:rsid w:val="00ED4235"/>
    <w:rsid w:val="00F04346"/>
    <w:rsid w:val="00F075DC"/>
    <w:rsid w:val="00F149E9"/>
    <w:rsid w:val="00F30F7B"/>
    <w:rsid w:val="00F4034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0F1BD"/>
  <w15:chartTrackingRefBased/>
  <w15:docId w15:val="{B708B7D7-0AEF-4767-B30C-76D633FDB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84B0B"/>
    <w:rPr>
      <w:b/>
      <w:kern w:val="28"/>
      <w:sz w:val="28"/>
      <w:lang w:val="fr-FR" w:eastAsia="fr-FR"/>
    </w:rPr>
  </w:style>
  <w:style w:type="character" w:customStyle="1" w:styleId="Heading2Char">
    <w:name w:val="Heading 2 Char"/>
    <w:basedOn w:val="DefaultParagraphFont"/>
    <w:link w:val="Heading2"/>
    <w:uiPriority w:val="9"/>
    <w:semiHidden/>
    <w:rsid w:val="00E84B0B"/>
    <w:rPr>
      <w:sz w:val="24"/>
      <w:lang w:val="fr-FR" w:eastAsia="fr-FR"/>
    </w:rPr>
  </w:style>
  <w:style w:type="character" w:customStyle="1" w:styleId="Heading3Char">
    <w:name w:val="Heading 3 Char"/>
    <w:basedOn w:val="DefaultParagraphFont"/>
    <w:link w:val="Heading3"/>
    <w:uiPriority w:val="9"/>
    <w:semiHidden/>
    <w:rsid w:val="00E84B0B"/>
    <w:rPr>
      <w:rFonts w:ascii="Arial" w:hAnsi="Arial"/>
      <w:sz w:val="24"/>
      <w:lang w:val="fr-FR" w:eastAsia="fr-FR"/>
    </w:rPr>
  </w:style>
  <w:style w:type="character" w:customStyle="1" w:styleId="Heading4Char">
    <w:name w:val="Heading 4 Char"/>
    <w:basedOn w:val="DefaultParagraphFont"/>
    <w:link w:val="Heading4"/>
    <w:uiPriority w:val="9"/>
    <w:semiHidden/>
    <w:rsid w:val="00E84B0B"/>
    <w:rPr>
      <w:sz w:val="24"/>
      <w:lang w:val="en-US" w:eastAsia="fr-FR"/>
    </w:rPr>
  </w:style>
  <w:style w:type="character" w:customStyle="1" w:styleId="Heading5Char">
    <w:name w:val="Heading 5 Char"/>
    <w:basedOn w:val="DefaultParagraphFont"/>
    <w:link w:val="Heading5"/>
    <w:uiPriority w:val="9"/>
    <w:semiHidden/>
    <w:rsid w:val="00E84B0B"/>
    <w:rPr>
      <w:sz w:val="24"/>
      <w:lang w:val="en-US" w:eastAsia="fr-FR"/>
    </w:rPr>
  </w:style>
  <w:style w:type="character" w:customStyle="1" w:styleId="Heading6Char">
    <w:name w:val="Heading 6 Char"/>
    <w:basedOn w:val="DefaultParagraphFont"/>
    <w:link w:val="Heading6"/>
    <w:uiPriority w:val="9"/>
    <w:semiHidden/>
    <w:rsid w:val="00E84B0B"/>
    <w:rPr>
      <w:i/>
      <w:sz w:val="22"/>
      <w:lang w:val="es-ES_tradnl"/>
    </w:rPr>
  </w:style>
  <w:style w:type="character" w:customStyle="1" w:styleId="Heading7Char">
    <w:name w:val="Heading 7 Char"/>
    <w:basedOn w:val="DefaultParagraphFont"/>
    <w:link w:val="Heading7"/>
    <w:uiPriority w:val="9"/>
    <w:semiHidden/>
    <w:rsid w:val="00E84B0B"/>
    <w:rPr>
      <w:rFonts w:ascii="Arial" w:hAnsi="Arial"/>
      <w:sz w:val="24"/>
      <w:lang w:val="es-ES_tradnl"/>
    </w:rPr>
  </w:style>
  <w:style w:type="character" w:customStyle="1" w:styleId="Heading8Char">
    <w:name w:val="Heading 8 Char"/>
    <w:basedOn w:val="DefaultParagraphFont"/>
    <w:link w:val="Heading8"/>
    <w:uiPriority w:val="9"/>
    <w:semiHidden/>
    <w:rsid w:val="00E84B0B"/>
    <w:rPr>
      <w:rFonts w:ascii="Arial" w:hAnsi="Arial"/>
      <w:i/>
      <w:sz w:val="24"/>
      <w:lang w:val="es-ES_tradnl"/>
    </w:rPr>
  </w:style>
  <w:style w:type="character" w:customStyle="1" w:styleId="Heading9Char">
    <w:name w:val="Heading 9 Char"/>
    <w:basedOn w:val="DefaultParagraphFont"/>
    <w:link w:val="Heading9"/>
    <w:uiPriority w:val="9"/>
    <w:semiHidden/>
    <w:rsid w:val="00E84B0B"/>
    <w:rPr>
      <w:rFonts w:ascii="Arial" w:hAnsi="Arial"/>
      <w:b/>
      <w:i/>
      <w:sz w:val="18"/>
      <w:lang w:val="es-ES_tradnl"/>
    </w:rPr>
  </w:style>
  <w:style w:type="paragraph" w:styleId="TOCHeading">
    <w:name w:val="TOC Heading"/>
    <w:basedOn w:val="Normal"/>
    <w:next w:val="Normal"/>
    <w:uiPriority w:val="39"/>
    <w:unhideWhenUsed/>
    <w:qFormat/>
    <w:rsid w:val="00E84B0B"/>
    <w:pPr>
      <w:widowControl/>
      <w:spacing w:after="240"/>
    </w:pPr>
    <w:rPr>
      <w:lang w:val="en-GB"/>
    </w:rPr>
  </w:style>
  <w:style w:type="paragraph" w:customStyle="1" w:styleId="PageHeading">
    <w:name w:val="PageHeading"/>
    <w:basedOn w:val="Normal"/>
    <w:rsid w:val="00E84B0B"/>
    <w:pPr>
      <w:keepNext/>
      <w:spacing w:after="480"/>
      <w:jc w:val="center"/>
    </w:pPr>
    <w:rPr>
      <w:rFonts w:ascii="Arial" w:hAnsi="Arial" w:cs="Arial"/>
      <w:b/>
    </w:rPr>
  </w:style>
  <w:style w:type="paragraph" w:customStyle="1" w:styleId="EPFooter2">
    <w:name w:val="EPFooter2"/>
    <w:basedOn w:val="Normal"/>
    <w:next w:val="Normal"/>
    <w:rsid w:val="00E84B0B"/>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84B0B"/>
    <w:pPr>
      <w:spacing w:after="240"/>
    </w:pPr>
  </w:style>
  <w:style w:type="paragraph" w:customStyle="1" w:styleId="TOCPage">
    <w:name w:val="TOC Page"/>
    <w:basedOn w:val="Normal"/>
    <w:next w:val="TOC1"/>
    <w:rsid w:val="00E84B0B"/>
    <w:pPr>
      <w:keepNext/>
      <w:spacing w:after="240"/>
      <w:jc w:val="right"/>
    </w:pPr>
    <w:rPr>
      <w:rFonts w:ascii="Arial" w:hAnsi="Arial"/>
      <w:b/>
    </w:rPr>
  </w:style>
  <w:style w:type="paragraph" w:customStyle="1" w:styleId="Normal6a">
    <w:name w:val="Normal6a"/>
    <w:basedOn w:val="Normal"/>
    <w:rsid w:val="00E84B0B"/>
    <w:pPr>
      <w:spacing w:after="120"/>
    </w:pPr>
  </w:style>
  <w:style w:type="paragraph" w:customStyle="1" w:styleId="NormalBold">
    <w:name w:val="NormalBold"/>
    <w:basedOn w:val="Normal"/>
    <w:link w:val="NormalBoldChar"/>
    <w:rsid w:val="00E84B0B"/>
    <w:rPr>
      <w:b/>
    </w:rPr>
  </w:style>
  <w:style w:type="paragraph" w:customStyle="1" w:styleId="NormalBold12a">
    <w:name w:val="NormalBold12a"/>
    <w:basedOn w:val="Normal"/>
    <w:rsid w:val="00E84B0B"/>
    <w:pPr>
      <w:spacing w:after="240"/>
    </w:pPr>
    <w:rPr>
      <w:b/>
    </w:rPr>
  </w:style>
  <w:style w:type="paragraph" w:customStyle="1" w:styleId="NormalHanging12a">
    <w:name w:val="NormalHanging12a"/>
    <w:basedOn w:val="Normal"/>
    <w:rsid w:val="00E84B0B"/>
    <w:pPr>
      <w:spacing w:after="240"/>
      <w:ind w:left="567" w:hanging="567"/>
    </w:pPr>
  </w:style>
  <w:style w:type="paragraph" w:customStyle="1" w:styleId="CoverNormal24a">
    <w:name w:val="CoverNormal24a"/>
    <w:basedOn w:val="Normal"/>
    <w:rsid w:val="00E84B0B"/>
    <w:pPr>
      <w:spacing w:after="480"/>
      <w:ind w:left="1417"/>
    </w:pPr>
  </w:style>
  <w:style w:type="paragraph" w:customStyle="1" w:styleId="CoverNormal">
    <w:name w:val="CoverNormal"/>
    <w:basedOn w:val="Normal"/>
    <w:rsid w:val="00E84B0B"/>
    <w:pPr>
      <w:ind w:left="1418"/>
    </w:pPr>
  </w:style>
  <w:style w:type="paragraph" w:customStyle="1" w:styleId="CoverReference">
    <w:name w:val="CoverReference"/>
    <w:basedOn w:val="Normal"/>
    <w:rsid w:val="00E84B0B"/>
    <w:pPr>
      <w:spacing w:before="1080"/>
      <w:jc w:val="right"/>
    </w:pPr>
    <w:rPr>
      <w:rFonts w:ascii="Arial" w:hAnsi="Arial" w:cs="Arial"/>
      <w:b/>
    </w:rPr>
  </w:style>
  <w:style w:type="paragraph" w:customStyle="1" w:styleId="CoverDocType">
    <w:name w:val="CoverDocType"/>
    <w:basedOn w:val="Normal"/>
    <w:rsid w:val="00E84B0B"/>
    <w:pPr>
      <w:ind w:left="1418"/>
    </w:pPr>
    <w:rPr>
      <w:rFonts w:ascii="Arial" w:hAnsi="Arial"/>
      <w:b/>
      <w:sz w:val="48"/>
    </w:rPr>
  </w:style>
  <w:style w:type="paragraph" w:customStyle="1" w:styleId="CoverDocType24a">
    <w:name w:val="CoverDocType24a"/>
    <w:basedOn w:val="Normal"/>
    <w:rsid w:val="00E84B0B"/>
    <w:pPr>
      <w:spacing w:after="480"/>
      <w:ind w:left="1418"/>
    </w:pPr>
    <w:rPr>
      <w:rFonts w:ascii="Arial" w:hAnsi="Arial"/>
      <w:b/>
      <w:sz w:val="48"/>
    </w:rPr>
  </w:style>
  <w:style w:type="paragraph" w:customStyle="1" w:styleId="CoverDate">
    <w:name w:val="CoverDate"/>
    <w:basedOn w:val="Normal"/>
    <w:rsid w:val="00E84B0B"/>
    <w:pPr>
      <w:spacing w:before="240" w:after="1200"/>
    </w:pPr>
  </w:style>
  <w:style w:type="paragraph" w:styleId="Header">
    <w:name w:val="header"/>
    <w:basedOn w:val="Normal"/>
    <w:link w:val="HeaderChar"/>
    <w:uiPriority w:val="99"/>
    <w:rsid w:val="00E84B0B"/>
    <w:pPr>
      <w:tabs>
        <w:tab w:val="center" w:pos="4513"/>
        <w:tab w:val="right" w:pos="9026"/>
      </w:tabs>
    </w:pPr>
  </w:style>
  <w:style w:type="character" w:customStyle="1" w:styleId="HeaderChar">
    <w:name w:val="Header Char"/>
    <w:basedOn w:val="DefaultParagraphFont"/>
    <w:link w:val="Header"/>
    <w:uiPriority w:val="99"/>
    <w:rsid w:val="00E84B0B"/>
    <w:rPr>
      <w:sz w:val="24"/>
      <w:lang w:val="es-ES_tradnl"/>
    </w:rPr>
  </w:style>
  <w:style w:type="paragraph" w:customStyle="1" w:styleId="AnnexWPTabs">
    <w:name w:val="AnnexWPTabs"/>
    <w:basedOn w:val="Normal"/>
    <w:rsid w:val="00E84B0B"/>
    <w:pPr>
      <w:tabs>
        <w:tab w:val="right" w:pos="3686"/>
        <w:tab w:val="left" w:pos="3827"/>
      </w:tabs>
    </w:pPr>
    <w:rPr>
      <w:b/>
    </w:rPr>
  </w:style>
  <w:style w:type="paragraph" w:customStyle="1" w:styleId="AnnexWPDate">
    <w:name w:val="AnnexWPDate"/>
    <w:basedOn w:val="Normal"/>
    <w:rsid w:val="00E84B0B"/>
    <w:pPr>
      <w:spacing w:before="240" w:after="480"/>
      <w:jc w:val="right"/>
    </w:pPr>
  </w:style>
  <w:style w:type="paragraph" w:customStyle="1" w:styleId="AnnexWPSmall">
    <w:name w:val="AnnexWPSmall"/>
    <w:basedOn w:val="Normal"/>
    <w:rsid w:val="00E84B0B"/>
    <w:rPr>
      <w:smallCaps/>
      <w:sz w:val="20"/>
    </w:rPr>
  </w:style>
  <w:style w:type="paragraph" w:customStyle="1" w:styleId="AnnexWPDocType">
    <w:name w:val="AnnexWPDocType"/>
    <w:basedOn w:val="Normal"/>
    <w:rsid w:val="00E84B0B"/>
    <w:pPr>
      <w:spacing w:after="240"/>
      <w:jc w:val="center"/>
    </w:pPr>
    <w:rPr>
      <w:b/>
    </w:rPr>
  </w:style>
  <w:style w:type="paragraph" w:customStyle="1" w:styleId="AnnexWPTitle">
    <w:name w:val="AnnexWPTitle"/>
    <w:basedOn w:val="Normal"/>
    <w:rsid w:val="00E84B0B"/>
    <w:pPr>
      <w:spacing w:before="480"/>
    </w:pPr>
    <w:rPr>
      <w:b/>
    </w:rPr>
  </w:style>
  <w:style w:type="paragraph" w:customStyle="1" w:styleId="AmJustText">
    <w:name w:val="AmJustText"/>
    <w:basedOn w:val="Normal"/>
    <w:rsid w:val="00E84B0B"/>
    <w:pPr>
      <w:spacing w:after="240"/>
    </w:pPr>
    <w:rPr>
      <w:i/>
    </w:rPr>
  </w:style>
  <w:style w:type="paragraph" w:customStyle="1" w:styleId="AmCrossRef">
    <w:name w:val="AmCrossRef"/>
    <w:basedOn w:val="Normal"/>
    <w:rsid w:val="00E84B0B"/>
    <w:pPr>
      <w:spacing w:before="240" w:after="240"/>
      <w:jc w:val="center"/>
    </w:pPr>
    <w:rPr>
      <w:i/>
    </w:rPr>
  </w:style>
  <w:style w:type="paragraph" w:customStyle="1" w:styleId="AmJustTitle">
    <w:name w:val="AmJustTitle"/>
    <w:basedOn w:val="Normal"/>
    <w:next w:val="AmJustText"/>
    <w:rsid w:val="00E84B0B"/>
    <w:pPr>
      <w:keepNext/>
      <w:spacing w:before="240" w:after="240"/>
      <w:jc w:val="center"/>
    </w:pPr>
    <w:rPr>
      <w:i/>
    </w:rPr>
  </w:style>
  <w:style w:type="paragraph" w:customStyle="1" w:styleId="AmOrLang">
    <w:name w:val="AmOrLang"/>
    <w:basedOn w:val="Normal"/>
    <w:rsid w:val="00E84B0B"/>
    <w:pPr>
      <w:spacing w:before="240" w:after="240"/>
      <w:jc w:val="right"/>
    </w:pPr>
  </w:style>
  <w:style w:type="paragraph" w:customStyle="1" w:styleId="AmColumnHeading">
    <w:name w:val="AmColumnHeading"/>
    <w:basedOn w:val="Normal"/>
    <w:rsid w:val="00E84B0B"/>
    <w:pPr>
      <w:spacing w:after="240"/>
      <w:jc w:val="center"/>
    </w:pPr>
    <w:rPr>
      <w:i/>
    </w:rPr>
  </w:style>
  <w:style w:type="paragraph" w:customStyle="1" w:styleId="AmNumberTabs">
    <w:name w:val="AmNumberTabs"/>
    <w:basedOn w:val="Normal"/>
    <w:link w:val="AmNumberTabsChar"/>
    <w:rsid w:val="00E84B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84B0B"/>
    <w:pPr>
      <w:spacing w:before="240"/>
    </w:pPr>
    <w:rPr>
      <w:b/>
    </w:rPr>
  </w:style>
  <w:style w:type="paragraph" w:customStyle="1" w:styleId="EPBody">
    <w:name w:val="EPBody"/>
    <w:basedOn w:val="Normal"/>
    <w:rsid w:val="00E84B0B"/>
    <w:pPr>
      <w:jc w:val="center"/>
    </w:pPr>
    <w:rPr>
      <w:rFonts w:ascii="Arial" w:hAnsi="Arial" w:cs="Arial"/>
      <w:i/>
      <w:sz w:val="22"/>
      <w:szCs w:val="22"/>
    </w:rPr>
  </w:style>
  <w:style w:type="paragraph" w:customStyle="1" w:styleId="AnnexWPLogo">
    <w:name w:val="AnnexWPLogo"/>
    <w:basedOn w:val="Normal"/>
    <w:rsid w:val="00E84B0B"/>
    <w:pPr>
      <w:spacing w:before="120" w:after="120"/>
    </w:pPr>
  </w:style>
  <w:style w:type="paragraph" w:customStyle="1" w:styleId="EPFooter">
    <w:name w:val="EPFooter"/>
    <w:basedOn w:val="Normal"/>
    <w:rsid w:val="00E84B0B"/>
    <w:pPr>
      <w:tabs>
        <w:tab w:val="center" w:pos="4535"/>
        <w:tab w:val="right" w:pos="9071"/>
      </w:tabs>
      <w:spacing w:before="240" w:after="240"/>
    </w:pPr>
    <w:rPr>
      <w:color w:val="010000"/>
      <w:sz w:val="22"/>
    </w:rPr>
  </w:style>
  <w:style w:type="paragraph" w:customStyle="1" w:styleId="EPComma">
    <w:name w:val="EPComma"/>
    <w:basedOn w:val="Normal"/>
    <w:rsid w:val="00E84B0B"/>
    <w:pPr>
      <w:spacing w:before="480" w:after="240"/>
    </w:pPr>
  </w:style>
  <w:style w:type="paragraph" w:customStyle="1" w:styleId="Lgendesigne">
    <w:name w:val="Légende signe"/>
    <w:basedOn w:val="Normal"/>
    <w:rsid w:val="00E84B0B"/>
    <w:pPr>
      <w:tabs>
        <w:tab w:val="right" w:pos="454"/>
        <w:tab w:val="left" w:pos="737"/>
      </w:tabs>
      <w:ind w:left="737" w:hanging="737"/>
    </w:pPr>
    <w:rPr>
      <w:snapToGrid w:val="0"/>
      <w:sz w:val="18"/>
      <w:lang w:eastAsia="en-US"/>
    </w:rPr>
  </w:style>
  <w:style w:type="paragraph" w:customStyle="1" w:styleId="Lgendetitre">
    <w:name w:val="Légende titre"/>
    <w:basedOn w:val="Normal"/>
    <w:rsid w:val="00E84B0B"/>
    <w:pPr>
      <w:spacing w:before="240" w:after="240"/>
    </w:pPr>
    <w:rPr>
      <w:b/>
      <w:i/>
      <w:snapToGrid w:val="0"/>
      <w:lang w:eastAsia="en-US"/>
    </w:rPr>
  </w:style>
  <w:style w:type="paragraph" w:customStyle="1" w:styleId="Lgendestandard">
    <w:name w:val="Légende standard"/>
    <w:basedOn w:val="Normal"/>
    <w:rsid w:val="00E84B0B"/>
    <w:rPr>
      <w:sz w:val="18"/>
    </w:rPr>
  </w:style>
  <w:style w:type="paragraph" w:customStyle="1" w:styleId="msonormal0">
    <w:name w:val="msonormal"/>
    <w:basedOn w:val="Normal"/>
    <w:rsid w:val="00E84B0B"/>
    <w:pPr>
      <w:widowControl/>
      <w:spacing w:before="100" w:beforeAutospacing="1" w:after="100" w:afterAutospacing="1"/>
    </w:pPr>
    <w:rPr>
      <w:szCs w:val="24"/>
    </w:rPr>
  </w:style>
  <w:style w:type="paragraph" w:styleId="Footer">
    <w:name w:val="footer"/>
    <w:link w:val="FooterChar"/>
    <w:uiPriority w:val="99"/>
    <w:unhideWhenUsed/>
    <w:rsid w:val="00E84B0B"/>
    <w:pPr>
      <w:tabs>
        <w:tab w:val="center" w:pos="4536"/>
        <w:tab w:val="right" w:pos="9072"/>
      </w:tabs>
      <w:spacing w:before="240" w:after="240" w:line="220" w:lineRule="auto"/>
    </w:pPr>
    <w:rPr>
      <w:sz w:val="22"/>
      <w:lang w:val="es-ES"/>
    </w:rPr>
  </w:style>
  <w:style w:type="character" w:customStyle="1" w:styleId="FooterChar">
    <w:name w:val="Footer Char"/>
    <w:basedOn w:val="DefaultParagraphFont"/>
    <w:link w:val="Footer"/>
    <w:uiPriority w:val="99"/>
    <w:rsid w:val="00E84B0B"/>
    <w:rPr>
      <w:sz w:val="22"/>
      <w:lang w:val="es-ES"/>
    </w:rPr>
  </w:style>
  <w:style w:type="character" w:customStyle="1" w:styleId="Normal12Char">
    <w:name w:val="Normal12 Char"/>
    <w:link w:val="Normal12"/>
    <w:locked/>
    <w:rsid w:val="00E84B0B"/>
    <w:rPr>
      <w:noProof/>
      <w:sz w:val="24"/>
    </w:rPr>
  </w:style>
  <w:style w:type="paragraph" w:customStyle="1" w:styleId="Normal12">
    <w:name w:val="Normal12"/>
    <w:basedOn w:val="Normal"/>
    <w:link w:val="Normal12Char"/>
    <w:qFormat/>
    <w:rsid w:val="00E84B0B"/>
    <w:pPr>
      <w:spacing w:after="240"/>
    </w:pPr>
    <w:rPr>
      <w:noProof/>
      <w:lang w:val="en-GB"/>
    </w:rPr>
  </w:style>
  <w:style w:type="paragraph" w:customStyle="1" w:styleId="CommitteeAM">
    <w:name w:val="CommitteeAM"/>
    <w:basedOn w:val="Normal"/>
    <w:rsid w:val="00E84B0B"/>
    <w:pPr>
      <w:spacing w:before="240" w:after="600"/>
      <w:jc w:val="center"/>
    </w:pPr>
    <w:rPr>
      <w:i/>
    </w:rPr>
  </w:style>
  <w:style w:type="paragraph" w:customStyle="1" w:styleId="ZDateAM">
    <w:name w:val="ZDateAM"/>
    <w:basedOn w:val="Normal"/>
    <w:rsid w:val="00E84B0B"/>
    <w:pPr>
      <w:tabs>
        <w:tab w:val="right" w:pos="9356"/>
      </w:tabs>
      <w:spacing w:after="480"/>
    </w:pPr>
    <w:rPr>
      <w:noProof/>
    </w:rPr>
  </w:style>
  <w:style w:type="paragraph" w:customStyle="1" w:styleId="ProjRap">
    <w:name w:val="ProjRap"/>
    <w:basedOn w:val="Normal"/>
    <w:rsid w:val="00E84B0B"/>
    <w:pPr>
      <w:tabs>
        <w:tab w:val="right" w:pos="9356"/>
      </w:tabs>
    </w:pPr>
    <w:rPr>
      <w:b/>
      <w:noProof/>
    </w:rPr>
  </w:style>
  <w:style w:type="paragraph" w:customStyle="1" w:styleId="PELeft">
    <w:name w:val="PELeft"/>
    <w:basedOn w:val="Normal"/>
    <w:rsid w:val="00E84B0B"/>
    <w:pPr>
      <w:spacing w:before="40" w:after="40"/>
    </w:pPr>
    <w:rPr>
      <w:rFonts w:ascii="Arial" w:hAnsi="Arial" w:cs="Arial"/>
      <w:sz w:val="22"/>
      <w:szCs w:val="22"/>
      <w:lang w:val="es-ES"/>
    </w:rPr>
  </w:style>
  <w:style w:type="paragraph" w:customStyle="1" w:styleId="PERight">
    <w:name w:val="PERight"/>
    <w:basedOn w:val="Normal"/>
    <w:next w:val="Normal"/>
    <w:rsid w:val="00E84B0B"/>
    <w:pPr>
      <w:jc w:val="right"/>
    </w:pPr>
    <w:rPr>
      <w:rFonts w:ascii="Arial" w:hAnsi="Arial" w:cs="Arial"/>
      <w:sz w:val="22"/>
      <w:szCs w:val="22"/>
      <w:lang w:val="es-ES"/>
    </w:rPr>
  </w:style>
  <w:style w:type="character" w:customStyle="1" w:styleId="Normal6Char">
    <w:name w:val="Normal6 Char"/>
    <w:link w:val="Normal6"/>
    <w:locked/>
    <w:rsid w:val="00E84B0B"/>
    <w:rPr>
      <w:sz w:val="24"/>
      <w:lang w:val="es-ES"/>
    </w:rPr>
  </w:style>
  <w:style w:type="paragraph" w:customStyle="1" w:styleId="Normal6">
    <w:name w:val="Normal6"/>
    <w:basedOn w:val="Normal"/>
    <w:link w:val="Normal6Char"/>
    <w:rsid w:val="00E84B0B"/>
    <w:pPr>
      <w:spacing w:after="120"/>
    </w:pPr>
    <w:rPr>
      <w:lang w:val="es-ES"/>
    </w:rPr>
  </w:style>
  <w:style w:type="character" w:customStyle="1" w:styleId="NormalBoldChar">
    <w:name w:val="NormalBold Char"/>
    <w:link w:val="NormalBold"/>
    <w:locked/>
    <w:rsid w:val="00E84B0B"/>
    <w:rPr>
      <w:b/>
      <w:sz w:val="24"/>
      <w:lang w:val="es-ES_tradnl"/>
    </w:rPr>
  </w:style>
  <w:style w:type="paragraph" w:customStyle="1" w:styleId="Normal12Italic">
    <w:name w:val="Normal12Italic"/>
    <w:basedOn w:val="Normal12"/>
    <w:rsid w:val="00E84B0B"/>
    <w:rPr>
      <w:i/>
      <w:lang w:val="es-ES"/>
    </w:rPr>
  </w:style>
  <w:style w:type="paragraph" w:customStyle="1" w:styleId="JustificationTitle">
    <w:name w:val="JustificationTitle"/>
    <w:basedOn w:val="Normal"/>
    <w:next w:val="Normal12"/>
    <w:rsid w:val="00E84B0B"/>
    <w:pPr>
      <w:keepNext/>
      <w:spacing w:before="240" w:after="240"/>
      <w:jc w:val="center"/>
    </w:pPr>
    <w:rPr>
      <w:i/>
      <w:noProof/>
      <w:lang w:val="es-ES"/>
    </w:rPr>
  </w:style>
  <w:style w:type="paragraph" w:customStyle="1" w:styleId="Olang">
    <w:name w:val="Olang"/>
    <w:basedOn w:val="Normal"/>
    <w:rsid w:val="00E84B0B"/>
    <w:pPr>
      <w:spacing w:before="240" w:after="240"/>
      <w:jc w:val="right"/>
    </w:pPr>
    <w:rPr>
      <w:noProof/>
      <w:szCs w:val="24"/>
      <w:lang w:val="es-ES"/>
    </w:rPr>
  </w:style>
  <w:style w:type="paragraph" w:customStyle="1" w:styleId="ColumnHeading">
    <w:name w:val="ColumnHeading"/>
    <w:basedOn w:val="Normal"/>
    <w:rsid w:val="00E84B0B"/>
    <w:pPr>
      <w:spacing w:after="240"/>
      <w:jc w:val="center"/>
    </w:pPr>
    <w:rPr>
      <w:i/>
      <w:lang w:val="es-ES"/>
    </w:rPr>
  </w:style>
  <w:style w:type="paragraph" w:customStyle="1" w:styleId="AMNumberTabs0">
    <w:name w:val="AMNumberTabs"/>
    <w:basedOn w:val="Normal"/>
    <w:rsid w:val="00E84B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E84B0B"/>
    <w:pPr>
      <w:spacing w:before="240"/>
      <w:jc w:val="center"/>
    </w:pPr>
    <w:rPr>
      <w:i/>
      <w:lang w:val="es-ES"/>
    </w:rPr>
  </w:style>
  <w:style w:type="paragraph" w:customStyle="1" w:styleId="Footer2">
    <w:name w:val="Footer2"/>
    <w:basedOn w:val="Normal12"/>
    <w:rsid w:val="00E84B0B"/>
    <w:pPr>
      <w:tabs>
        <w:tab w:val="center" w:pos="4535"/>
        <w:tab w:val="right" w:pos="9923"/>
      </w:tabs>
      <w:spacing w:line="480" w:lineRule="auto"/>
      <w:ind w:left="-851"/>
    </w:pPr>
    <w:rPr>
      <w:rFonts w:ascii="Arial" w:cs="Arial"/>
      <w:b/>
      <w:sz w:val="48"/>
    </w:rPr>
  </w:style>
  <w:style w:type="character" w:customStyle="1" w:styleId="Footer2Middle">
    <w:name w:val="Footer2Middle"/>
    <w:rsid w:val="00E84B0B"/>
    <w:rPr>
      <w:rFonts w:ascii="Arial" w:hAnsi="Arial" w:cs="Arial" w:hint="default"/>
      <w:b w:val="0"/>
      <w:bCs w:val="0"/>
      <w:i/>
      <w:iCs w:val="0"/>
      <w:color w:val="C0C0C0"/>
      <w:sz w:val="22"/>
    </w:rPr>
  </w:style>
  <w:style w:type="paragraph" w:customStyle="1" w:styleId="EntPE">
    <w:name w:val="EntPE"/>
    <w:basedOn w:val="Normal12"/>
    <w:rsid w:val="00E84B0B"/>
    <w:pPr>
      <w:jc w:val="center"/>
    </w:pPr>
    <w:rPr>
      <w:noProof w:val="0"/>
      <w:sz w:val="56"/>
    </w:rPr>
  </w:style>
  <w:style w:type="character" w:styleId="CommentReference">
    <w:name w:val="annotation reference"/>
    <w:basedOn w:val="DefaultParagraphFont"/>
    <w:uiPriority w:val="99"/>
    <w:rsid w:val="00E84B0B"/>
    <w:rPr>
      <w:sz w:val="16"/>
      <w:szCs w:val="16"/>
    </w:rPr>
  </w:style>
  <w:style w:type="paragraph" w:styleId="CommentText">
    <w:name w:val="annotation text"/>
    <w:basedOn w:val="Normal"/>
    <w:link w:val="CommentTextChar"/>
    <w:rsid w:val="00E84B0B"/>
    <w:rPr>
      <w:sz w:val="20"/>
    </w:rPr>
  </w:style>
  <w:style w:type="character" w:customStyle="1" w:styleId="CommentTextChar">
    <w:name w:val="Comment Text Char"/>
    <w:basedOn w:val="DefaultParagraphFont"/>
    <w:link w:val="CommentText"/>
    <w:rsid w:val="00E84B0B"/>
    <w:rPr>
      <w:lang w:val="es-ES_tradnl"/>
    </w:rPr>
  </w:style>
  <w:style w:type="paragraph" w:styleId="CommentSubject">
    <w:name w:val="annotation subject"/>
    <w:basedOn w:val="CommentText"/>
    <w:next w:val="CommentText"/>
    <w:link w:val="CommentSubjectChar"/>
    <w:uiPriority w:val="99"/>
    <w:unhideWhenUsed/>
    <w:rsid w:val="00E84B0B"/>
    <w:rPr>
      <w:b/>
      <w:bCs/>
    </w:rPr>
  </w:style>
  <w:style w:type="character" w:customStyle="1" w:styleId="CommentSubjectChar">
    <w:name w:val="Comment Subject Char"/>
    <w:basedOn w:val="CommentTextChar"/>
    <w:link w:val="CommentSubject"/>
    <w:uiPriority w:val="99"/>
    <w:rsid w:val="00E84B0B"/>
    <w:rPr>
      <w:b/>
      <w:bCs/>
      <w:lang w:val="es-ES_tradnl"/>
    </w:rPr>
  </w:style>
  <w:style w:type="paragraph" w:styleId="BalloonText">
    <w:name w:val="Balloon Text"/>
    <w:basedOn w:val="Normal"/>
    <w:link w:val="BalloonTextChar"/>
    <w:unhideWhenUsed/>
    <w:rsid w:val="00E84B0B"/>
    <w:rPr>
      <w:rFonts w:ascii="Segoe UI" w:hAnsi="Segoe UI" w:cs="Segoe UI"/>
      <w:sz w:val="18"/>
      <w:szCs w:val="18"/>
    </w:rPr>
  </w:style>
  <w:style w:type="character" w:customStyle="1" w:styleId="BalloonTextChar">
    <w:name w:val="Balloon Text Char"/>
    <w:basedOn w:val="DefaultParagraphFont"/>
    <w:link w:val="BalloonText"/>
    <w:rsid w:val="00E84B0B"/>
    <w:rPr>
      <w:rFonts w:ascii="Segoe UI" w:hAnsi="Segoe UI" w:cs="Segoe UI"/>
      <w:sz w:val="18"/>
      <w:szCs w:val="18"/>
      <w:lang w:val="es-ES_tradnl"/>
    </w:rPr>
  </w:style>
  <w:style w:type="paragraph" w:styleId="ListParagraph">
    <w:name w:val="List Paragraph"/>
    <w:basedOn w:val="Normal"/>
    <w:uiPriority w:val="34"/>
    <w:qFormat/>
    <w:rsid w:val="00E84B0B"/>
    <w:pPr>
      <w:widowControl/>
      <w:ind w:left="720"/>
      <w:contextualSpacing/>
      <w:jc w:val="both"/>
    </w:pPr>
    <w:rPr>
      <w:rFonts w:eastAsiaTheme="minorHAnsi"/>
      <w:szCs w:val="24"/>
      <w:lang w:eastAsia="en-US"/>
    </w:rPr>
  </w:style>
  <w:style w:type="character" w:customStyle="1" w:styleId="AmNumberTabsChar">
    <w:name w:val="AmNumberTabs Char"/>
    <w:basedOn w:val="DefaultParagraphFont"/>
    <w:link w:val="AmNumberTabs"/>
    <w:rsid w:val="00E84B0B"/>
    <w:rPr>
      <w:b/>
      <w:sz w:val="24"/>
      <w:lang w:val="es-ES_tradnl"/>
    </w:rPr>
  </w:style>
  <w:style w:type="character" w:customStyle="1" w:styleId="NormalBold12bChar">
    <w:name w:val="NormalBold12b Char"/>
    <w:basedOn w:val="AmNumberTabsChar"/>
    <w:link w:val="NormalBold12b"/>
    <w:rsid w:val="00E84B0B"/>
    <w:rPr>
      <w:b/>
      <w:sz w:val="24"/>
      <w:lang w:val="es-ES_tradnl"/>
    </w:rPr>
  </w:style>
  <w:style w:type="paragraph" w:customStyle="1" w:styleId="PageHeadingNotTOC">
    <w:name w:val="PageHeadingNotTOC"/>
    <w:basedOn w:val="Normal"/>
    <w:rsid w:val="00E84B0B"/>
    <w:pPr>
      <w:keepNext/>
      <w:spacing w:after="480"/>
      <w:jc w:val="center"/>
    </w:pPr>
    <w:rPr>
      <w:rFonts w:ascii="Arial" w:hAnsi="Arial" w:cs="Arial"/>
      <w:b/>
      <w:lang w:val="es-ES"/>
    </w:rPr>
  </w:style>
  <w:style w:type="paragraph" w:customStyle="1" w:styleId="AmHeadingPA">
    <w:name w:val="AmHeadingPA"/>
    <w:basedOn w:val="Normal"/>
    <w:next w:val="Normal"/>
    <w:rsid w:val="00E84B0B"/>
    <w:pPr>
      <w:spacing w:before="480" w:after="240"/>
      <w:jc w:val="center"/>
    </w:pPr>
    <w:rPr>
      <w:rFonts w:ascii="Arial" w:hAnsi="Arial"/>
      <w:b/>
      <w:caps/>
      <w:snapToGrid w:val="0"/>
      <w:szCs w:val="24"/>
      <w:lang w:val="es-ES" w:eastAsia="en-US"/>
    </w:rPr>
  </w:style>
  <w:style w:type="character" w:customStyle="1" w:styleId="Sup">
    <w:name w:val="Sup"/>
    <w:uiPriority w:val="1"/>
    <w:qFormat/>
    <w:rsid w:val="00E84B0B"/>
    <w:rPr>
      <w:vertAlign w:val="superscript"/>
    </w:rPr>
  </w:style>
  <w:style w:type="character" w:styleId="Hyperlink">
    <w:name w:val="Hyperlink"/>
    <w:basedOn w:val="DefaultParagraphFont"/>
    <w:uiPriority w:val="99"/>
    <w:rsid w:val="00E84B0B"/>
    <w:rPr>
      <w:color w:val="0563C1" w:themeColor="hyperlink"/>
      <w:u w:val="single"/>
    </w:rPr>
  </w:style>
  <w:style w:type="paragraph" w:customStyle="1" w:styleId="LetterSalutation">
    <w:name w:val="LetterSalutation"/>
    <w:basedOn w:val="Normal"/>
    <w:rsid w:val="00E84B0B"/>
    <w:pPr>
      <w:spacing w:before="600" w:after="360"/>
    </w:pPr>
    <w:rPr>
      <w:lang w:val="es-ES"/>
    </w:rPr>
  </w:style>
  <w:style w:type="paragraph" w:customStyle="1" w:styleId="LetterSubject">
    <w:name w:val="LetterSubject"/>
    <w:basedOn w:val="Normal"/>
    <w:rsid w:val="00E84B0B"/>
    <w:pPr>
      <w:spacing w:before="480"/>
      <w:ind w:left="1134" w:hanging="1134"/>
    </w:pPr>
    <w:rPr>
      <w:lang w:val="es-ES"/>
    </w:rPr>
  </w:style>
  <w:style w:type="paragraph" w:customStyle="1" w:styleId="Normal24a">
    <w:name w:val="Normal24a"/>
    <w:basedOn w:val="Normal"/>
    <w:link w:val="Normal24aChar"/>
    <w:rsid w:val="00E84B0B"/>
    <w:pPr>
      <w:spacing w:after="480"/>
    </w:pPr>
    <w:rPr>
      <w:lang w:val="es-ES"/>
    </w:rPr>
  </w:style>
  <w:style w:type="character" w:customStyle="1" w:styleId="Normal24aChar">
    <w:name w:val="Normal24a Char"/>
    <w:basedOn w:val="DefaultParagraphFont"/>
    <w:link w:val="Normal24a"/>
    <w:rsid w:val="00E84B0B"/>
    <w:rPr>
      <w:sz w:val="24"/>
      <w:lang w:val="es-ES"/>
    </w:rPr>
  </w:style>
  <w:style w:type="paragraph" w:customStyle="1" w:styleId="CoverBold">
    <w:name w:val="CoverBold"/>
    <w:basedOn w:val="Normal"/>
    <w:rsid w:val="00E84B0B"/>
    <w:pPr>
      <w:ind w:left="1417"/>
    </w:pPr>
    <w:rPr>
      <w:b/>
      <w:lang w:val="es-ES"/>
    </w:rPr>
  </w:style>
  <w:style w:type="paragraph" w:customStyle="1" w:styleId="Normal2">
    <w:name w:val="Normal2"/>
    <w:basedOn w:val="Normal"/>
    <w:qFormat/>
    <w:rsid w:val="00E84B0B"/>
    <w:pPr>
      <w:spacing w:line="120" w:lineRule="auto"/>
    </w:pPr>
    <w:rPr>
      <w:sz w:val="4"/>
      <w:lang w:val="es-ES"/>
    </w:rPr>
  </w:style>
  <w:style w:type="paragraph" w:customStyle="1" w:styleId="NormalItalic6a">
    <w:name w:val="NormalItalic6a"/>
    <w:basedOn w:val="Normal6a"/>
    <w:qFormat/>
    <w:rsid w:val="00E84B0B"/>
    <w:rPr>
      <w:i/>
      <w:lang w:val="es-ES"/>
    </w:rPr>
  </w:style>
  <w:style w:type="paragraph" w:customStyle="1" w:styleId="NormalBoldItalic6a">
    <w:name w:val="NormalBoldItalic6a"/>
    <w:basedOn w:val="Normal6a"/>
    <w:qFormat/>
    <w:rsid w:val="00E84B0B"/>
    <w:rPr>
      <w:b/>
      <w:i/>
      <w:lang w:val="es-ES"/>
    </w:rPr>
  </w:style>
  <w:style w:type="paragraph" w:customStyle="1" w:styleId="NormalBoldItalicCenter6a">
    <w:name w:val="NormalBoldItalicCenter6a"/>
    <w:basedOn w:val="Normal6a"/>
    <w:qFormat/>
    <w:rsid w:val="00E84B0B"/>
    <w:pPr>
      <w:jc w:val="center"/>
    </w:pPr>
    <w:rPr>
      <w:b/>
      <w:i/>
      <w:lang w:val="es-ES"/>
    </w:rPr>
  </w:style>
  <w:style w:type="paragraph" w:customStyle="1" w:styleId="AnnexRight">
    <w:name w:val="AnnexRight"/>
    <w:basedOn w:val="Normal"/>
    <w:rsid w:val="00E84B0B"/>
    <w:pPr>
      <w:spacing w:after="480"/>
      <w:jc w:val="right"/>
    </w:pPr>
    <w:rPr>
      <w:lang w:val="es-ES"/>
    </w:rPr>
  </w:style>
  <w:style w:type="paragraph" w:customStyle="1" w:styleId="RollCallSymbols14pt">
    <w:name w:val="RollCallSymbols14pt"/>
    <w:basedOn w:val="Normal"/>
    <w:rsid w:val="00E84B0B"/>
    <w:pPr>
      <w:spacing w:before="120" w:after="120"/>
      <w:jc w:val="center"/>
    </w:pPr>
    <w:rPr>
      <w:rFonts w:ascii="Arial" w:hAnsi="Arial"/>
      <w:b/>
      <w:bCs/>
      <w:snapToGrid w:val="0"/>
      <w:sz w:val="28"/>
      <w:lang w:val="es-ES" w:eastAsia="en-US"/>
    </w:rPr>
  </w:style>
  <w:style w:type="paragraph" w:customStyle="1" w:styleId="RollCallTabs">
    <w:name w:val="RollCallTabs"/>
    <w:basedOn w:val="Normal"/>
    <w:qFormat/>
    <w:rsid w:val="00E84B0B"/>
    <w:pPr>
      <w:tabs>
        <w:tab w:val="center" w:pos="284"/>
        <w:tab w:val="left" w:pos="426"/>
      </w:tabs>
    </w:pPr>
    <w:rPr>
      <w:snapToGrid w:val="0"/>
      <w:lang w:val="es-ES" w:eastAsia="en-US"/>
    </w:rPr>
  </w:style>
  <w:style w:type="paragraph" w:customStyle="1" w:styleId="RollCallVotes">
    <w:name w:val="RollCallVotes"/>
    <w:basedOn w:val="Normal"/>
    <w:rsid w:val="00E84B0B"/>
    <w:pPr>
      <w:spacing w:before="120" w:after="120"/>
      <w:jc w:val="center"/>
    </w:pPr>
    <w:rPr>
      <w:b/>
      <w:bCs/>
      <w:snapToGrid w:val="0"/>
      <w:sz w:val="16"/>
      <w:lang w:val="es-ES" w:eastAsia="en-US"/>
    </w:rPr>
  </w:style>
  <w:style w:type="paragraph" w:customStyle="1" w:styleId="RollCallTable">
    <w:name w:val="RollCallTable"/>
    <w:basedOn w:val="Normal"/>
    <w:rsid w:val="00E84B0B"/>
    <w:pPr>
      <w:spacing w:before="120" w:after="120"/>
    </w:pPr>
    <w:rPr>
      <w:snapToGrid w:val="0"/>
      <w:sz w:val="16"/>
      <w:lang w:val="es-ES" w:eastAsia="en-US"/>
    </w:rPr>
  </w:style>
  <w:style w:type="character" w:styleId="FollowedHyperlink">
    <w:name w:val="FollowedHyperlink"/>
    <w:basedOn w:val="DefaultParagraphFont"/>
    <w:uiPriority w:val="99"/>
    <w:unhideWhenUsed/>
    <w:rsid w:val="00E84B0B"/>
    <w:rPr>
      <w:color w:val="954F72" w:themeColor="followedHyperlink"/>
      <w:u w:val="single"/>
    </w:rPr>
  </w:style>
  <w:style w:type="paragraph" w:customStyle="1" w:styleId="Normal12Hanging">
    <w:name w:val="Normal12Hanging"/>
    <w:basedOn w:val="Normal12"/>
    <w:rsid w:val="0015437E"/>
    <w:pPr>
      <w:ind w:left="357" w:hanging="357"/>
    </w:pPr>
    <w:rPr>
      <w:noProof w:val="0"/>
      <w:snapToGrid w:val="0"/>
      <w:lang w:val="es-ES_tradnl"/>
    </w:rPr>
  </w:style>
  <w:style w:type="paragraph" w:customStyle="1" w:styleId="AmDocTypeTab">
    <w:name w:val="AmDocTypeTab"/>
    <w:basedOn w:val="Normal"/>
    <w:rsid w:val="0015437E"/>
    <w:pPr>
      <w:tabs>
        <w:tab w:val="right" w:pos="9072"/>
      </w:tabs>
    </w:pPr>
    <w:rPr>
      <w:b/>
    </w:rPr>
  </w:style>
  <w:style w:type="paragraph" w:customStyle="1" w:styleId="NormalCenter12a">
    <w:name w:val="NormalCenter12a"/>
    <w:basedOn w:val="Normal"/>
    <w:rsid w:val="0015437E"/>
    <w:pPr>
      <w:spacing w:after="240"/>
      <w:jc w:val="center"/>
    </w:pPr>
  </w:style>
  <w:style w:type="paragraph" w:customStyle="1" w:styleId="AmDateTab">
    <w:name w:val="AmDateTab"/>
    <w:basedOn w:val="Normal"/>
    <w:rsid w:val="0015437E"/>
    <w:pPr>
      <w:tabs>
        <w:tab w:val="right" w:pos="9072"/>
      </w:tabs>
    </w:pPr>
  </w:style>
  <w:style w:type="paragraph" w:customStyle="1" w:styleId="AmHeadingConsam">
    <w:name w:val="AmHeadingConsam"/>
    <w:basedOn w:val="Normal"/>
    <w:next w:val="NormalCenter12a"/>
    <w:rsid w:val="0015437E"/>
    <w:pPr>
      <w:spacing w:before="720" w:after="240"/>
      <w:jc w:val="center"/>
    </w:pPr>
  </w:style>
  <w:style w:type="numbering" w:customStyle="1" w:styleId="NoList1">
    <w:name w:val="No List1"/>
    <w:next w:val="NoList"/>
    <w:uiPriority w:val="99"/>
    <w:semiHidden/>
    <w:unhideWhenUsed/>
    <w:rsid w:val="0015437E"/>
  </w:style>
  <w:style w:type="paragraph" w:customStyle="1" w:styleId="Title1">
    <w:name w:val="Title1"/>
    <w:basedOn w:val="Normal"/>
    <w:next w:val="Normal"/>
    <w:uiPriority w:val="10"/>
    <w:qFormat/>
    <w:rsid w:val="0015437E"/>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15437E"/>
    <w:rPr>
      <w:rFonts w:ascii="Arial" w:hAnsi="Arial" w:cs="Arial"/>
      <w:b/>
      <w:bCs/>
      <w:kern w:val="28"/>
      <w:sz w:val="32"/>
      <w:szCs w:val="32"/>
      <w:lang w:val="es-ES_tradnl"/>
    </w:rPr>
  </w:style>
  <w:style w:type="paragraph" w:customStyle="1" w:styleId="Subtitle1">
    <w:name w:val="Subtitle1"/>
    <w:basedOn w:val="Normal"/>
    <w:next w:val="Normal"/>
    <w:uiPriority w:val="11"/>
    <w:qFormat/>
    <w:rsid w:val="0015437E"/>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15437E"/>
    <w:rPr>
      <w:rFonts w:ascii="Arial" w:hAnsi="Arial" w:cs="Arial"/>
      <w:sz w:val="24"/>
      <w:szCs w:val="24"/>
      <w:lang w:val="es-ES_tradnl"/>
    </w:rPr>
  </w:style>
  <w:style w:type="character" w:styleId="Strong">
    <w:name w:val="Strong"/>
    <w:basedOn w:val="DefaultParagraphFont"/>
    <w:uiPriority w:val="22"/>
    <w:qFormat/>
    <w:rsid w:val="0015437E"/>
    <w:rPr>
      <w:b/>
      <w:bCs/>
    </w:rPr>
  </w:style>
  <w:style w:type="character" w:customStyle="1" w:styleId="Emphasis1">
    <w:name w:val="Emphasis1"/>
    <w:basedOn w:val="DefaultParagraphFont"/>
    <w:uiPriority w:val="20"/>
    <w:qFormat/>
    <w:rsid w:val="0015437E"/>
    <w:rPr>
      <w:rFonts w:ascii="Calibri" w:hAnsi="Calibri"/>
      <w:b/>
      <w:i/>
      <w:iCs/>
    </w:rPr>
  </w:style>
  <w:style w:type="paragraph" w:customStyle="1" w:styleId="NoSpacing1">
    <w:name w:val="No Spacing1"/>
    <w:basedOn w:val="Normal"/>
    <w:next w:val="NoSpacing"/>
    <w:uiPriority w:val="1"/>
    <w:qFormat/>
    <w:rsid w:val="0015437E"/>
    <w:pPr>
      <w:widowControl/>
      <w:jc w:val="both"/>
    </w:pPr>
    <w:rPr>
      <w:rFonts w:eastAsia="Calibri"/>
      <w:szCs w:val="32"/>
      <w:lang w:eastAsia="en-US"/>
    </w:rPr>
  </w:style>
  <w:style w:type="paragraph" w:customStyle="1" w:styleId="ListParagraph1">
    <w:name w:val="List Paragraph1"/>
    <w:basedOn w:val="Normal"/>
    <w:next w:val="ListParagraph"/>
    <w:uiPriority w:val="34"/>
    <w:qFormat/>
    <w:rsid w:val="0015437E"/>
    <w:pPr>
      <w:widowControl/>
      <w:ind w:left="720"/>
      <w:contextualSpacing/>
      <w:jc w:val="both"/>
    </w:pPr>
    <w:rPr>
      <w:rFonts w:eastAsia="Calibri"/>
      <w:szCs w:val="24"/>
      <w:lang w:eastAsia="en-US"/>
    </w:rPr>
  </w:style>
  <w:style w:type="paragraph" w:customStyle="1" w:styleId="Quote1">
    <w:name w:val="Quote1"/>
    <w:basedOn w:val="Normal"/>
    <w:next w:val="Normal"/>
    <w:uiPriority w:val="29"/>
    <w:qFormat/>
    <w:rsid w:val="0015437E"/>
    <w:pPr>
      <w:widowControl/>
      <w:jc w:val="both"/>
    </w:pPr>
    <w:rPr>
      <w:rFonts w:eastAsia="Calibri"/>
      <w:i/>
      <w:szCs w:val="24"/>
      <w:lang w:eastAsia="en-US"/>
    </w:rPr>
  </w:style>
  <w:style w:type="character" w:customStyle="1" w:styleId="QuoteChar">
    <w:name w:val="Quote Char"/>
    <w:basedOn w:val="DefaultParagraphFont"/>
    <w:link w:val="Quote"/>
    <w:uiPriority w:val="29"/>
    <w:rsid w:val="0015437E"/>
    <w:rPr>
      <w:i/>
      <w:sz w:val="24"/>
      <w:szCs w:val="24"/>
      <w:lang w:val="es-ES_tradnl"/>
    </w:rPr>
  </w:style>
  <w:style w:type="paragraph" w:customStyle="1" w:styleId="IntenseQuote1">
    <w:name w:val="Intense Quote1"/>
    <w:basedOn w:val="Normal"/>
    <w:next w:val="Normal"/>
    <w:uiPriority w:val="30"/>
    <w:qFormat/>
    <w:rsid w:val="0015437E"/>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15437E"/>
    <w:rPr>
      <w:b/>
      <w:i/>
      <w:sz w:val="24"/>
      <w:lang w:val="es-ES_tradnl"/>
    </w:rPr>
  </w:style>
  <w:style w:type="character" w:customStyle="1" w:styleId="SubtleEmphasis1">
    <w:name w:val="Subtle Emphasis1"/>
    <w:uiPriority w:val="19"/>
    <w:qFormat/>
    <w:rsid w:val="0015437E"/>
    <w:rPr>
      <w:i/>
      <w:color w:val="5A5A5A"/>
    </w:rPr>
  </w:style>
  <w:style w:type="character" w:styleId="IntenseEmphasis">
    <w:name w:val="Intense Emphasis"/>
    <w:basedOn w:val="DefaultParagraphFont"/>
    <w:uiPriority w:val="21"/>
    <w:qFormat/>
    <w:rsid w:val="0015437E"/>
    <w:rPr>
      <w:b/>
      <w:i/>
      <w:sz w:val="24"/>
      <w:szCs w:val="24"/>
      <w:u w:val="single"/>
    </w:rPr>
  </w:style>
  <w:style w:type="character" w:styleId="SubtleReference">
    <w:name w:val="Subtle Reference"/>
    <w:basedOn w:val="DefaultParagraphFont"/>
    <w:uiPriority w:val="31"/>
    <w:qFormat/>
    <w:rsid w:val="0015437E"/>
    <w:rPr>
      <w:sz w:val="24"/>
      <w:szCs w:val="24"/>
      <w:u w:val="single"/>
    </w:rPr>
  </w:style>
  <w:style w:type="character" w:styleId="IntenseReference">
    <w:name w:val="Intense Reference"/>
    <w:basedOn w:val="DefaultParagraphFont"/>
    <w:uiPriority w:val="32"/>
    <w:qFormat/>
    <w:rsid w:val="0015437E"/>
    <w:rPr>
      <w:b/>
      <w:sz w:val="24"/>
      <w:u w:val="single"/>
    </w:rPr>
  </w:style>
  <w:style w:type="character" w:customStyle="1" w:styleId="BookTitle1">
    <w:name w:val="Book Title1"/>
    <w:basedOn w:val="DefaultParagraphFont"/>
    <w:uiPriority w:val="33"/>
    <w:qFormat/>
    <w:rsid w:val="0015437E"/>
    <w:rPr>
      <w:rFonts w:ascii="Calibri Light" w:eastAsia="Times New Roman" w:hAnsi="Calibri Light"/>
      <w:b/>
      <w:i/>
      <w:sz w:val="24"/>
      <w:szCs w:val="24"/>
    </w:rPr>
  </w:style>
  <w:style w:type="paragraph" w:customStyle="1" w:styleId="Typedudocument">
    <w:name w:val="Type du document"/>
    <w:basedOn w:val="Normal"/>
    <w:next w:val="Normal"/>
    <w:rsid w:val="0015437E"/>
    <w:pPr>
      <w:widowControl/>
      <w:spacing w:before="360" w:line="360" w:lineRule="auto"/>
      <w:jc w:val="center"/>
    </w:pPr>
    <w:rPr>
      <w:rFonts w:eastAsia="Calibri"/>
      <w:b/>
      <w:szCs w:val="22"/>
      <w:lang w:eastAsia="en-US"/>
    </w:rPr>
  </w:style>
  <w:style w:type="paragraph" w:customStyle="1" w:styleId="CommentText1">
    <w:name w:val="Comment Text1"/>
    <w:basedOn w:val="Normal"/>
    <w:next w:val="CommentText"/>
    <w:uiPriority w:val="99"/>
    <w:unhideWhenUsed/>
    <w:rsid w:val="0015437E"/>
    <w:pPr>
      <w:widowControl/>
      <w:jc w:val="both"/>
    </w:pPr>
    <w:rPr>
      <w:sz w:val="20"/>
    </w:rPr>
  </w:style>
  <w:style w:type="paragraph" w:customStyle="1" w:styleId="CommentSubject1">
    <w:name w:val="Comment Subject1"/>
    <w:basedOn w:val="CommentText"/>
    <w:next w:val="CommentText"/>
    <w:uiPriority w:val="99"/>
    <w:semiHidden/>
    <w:unhideWhenUsed/>
    <w:rsid w:val="0015437E"/>
    <w:pPr>
      <w:widowControl/>
      <w:jc w:val="both"/>
    </w:pPr>
    <w:rPr>
      <w:rFonts w:eastAsia="Calibri"/>
      <w:b/>
      <w:bCs/>
      <w:lang w:eastAsia="en-US"/>
    </w:rPr>
  </w:style>
  <w:style w:type="paragraph" w:customStyle="1" w:styleId="BalloonText1">
    <w:name w:val="Balloon Text1"/>
    <w:basedOn w:val="Normal"/>
    <w:next w:val="BalloonText"/>
    <w:uiPriority w:val="99"/>
    <w:semiHidden/>
    <w:unhideWhenUsed/>
    <w:rsid w:val="0015437E"/>
    <w:pPr>
      <w:widowControl/>
      <w:jc w:val="both"/>
    </w:pPr>
    <w:rPr>
      <w:rFonts w:ascii="Segoe UI" w:hAnsi="Segoe UI" w:cs="Segoe UI"/>
      <w:sz w:val="18"/>
      <w:szCs w:val="18"/>
    </w:rPr>
  </w:style>
  <w:style w:type="paragraph" w:customStyle="1" w:styleId="SectionTitle">
    <w:name w:val="SectionTitle"/>
    <w:basedOn w:val="Normal"/>
    <w:next w:val="Heading1"/>
    <w:rsid w:val="0015437E"/>
    <w:pPr>
      <w:keepNext/>
      <w:widowControl/>
      <w:spacing w:before="120" w:after="360"/>
      <w:jc w:val="center"/>
    </w:pPr>
    <w:rPr>
      <w:rFonts w:eastAsia="Calibri"/>
      <w:b/>
      <w:smallCaps/>
      <w:sz w:val="28"/>
      <w:szCs w:val="22"/>
      <w:lang w:eastAsia="en-US"/>
    </w:rPr>
  </w:style>
  <w:style w:type="paragraph" w:customStyle="1" w:styleId="Titrearticle">
    <w:name w:val="Titre article"/>
    <w:basedOn w:val="Normal"/>
    <w:next w:val="Normal"/>
    <w:rsid w:val="0015437E"/>
    <w:pPr>
      <w:keepNext/>
      <w:widowControl/>
      <w:spacing w:before="360" w:after="120"/>
      <w:jc w:val="center"/>
    </w:pPr>
    <w:rPr>
      <w:rFonts w:eastAsia="Calibri"/>
      <w:i/>
      <w:szCs w:val="22"/>
      <w:lang w:eastAsia="en-US"/>
    </w:rPr>
  </w:style>
  <w:style w:type="paragraph" w:customStyle="1" w:styleId="Point0">
    <w:name w:val="Point 0"/>
    <w:basedOn w:val="Normal"/>
    <w:rsid w:val="0015437E"/>
    <w:pPr>
      <w:widowControl/>
      <w:spacing w:before="120" w:after="120"/>
      <w:ind w:left="850" w:hanging="850"/>
      <w:jc w:val="both"/>
    </w:pPr>
    <w:rPr>
      <w:rFonts w:eastAsia="Calibri"/>
      <w:szCs w:val="22"/>
      <w:lang w:eastAsia="en-US"/>
    </w:rPr>
  </w:style>
  <w:style w:type="paragraph" w:customStyle="1" w:styleId="Fait">
    <w:name w:val="Fait à"/>
    <w:basedOn w:val="Normal"/>
    <w:next w:val="Institutionquisigne"/>
    <w:rsid w:val="0015437E"/>
    <w:pPr>
      <w:keepNext/>
      <w:widowControl/>
      <w:spacing w:before="120"/>
      <w:jc w:val="both"/>
    </w:pPr>
    <w:rPr>
      <w:rFonts w:eastAsia="Calibri"/>
      <w:szCs w:val="22"/>
      <w:lang w:eastAsia="en-US"/>
    </w:rPr>
  </w:style>
  <w:style w:type="paragraph" w:customStyle="1" w:styleId="Institutionquisigne">
    <w:name w:val="Institution qui signe"/>
    <w:basedOn w:val="Normal"/>
    <w:next w:val="Normal"/>
    <w:rsid w:val="0015437E"/>
    <w:pPr>
      <w:keepNext/>
      <w:widowControl/>
      <w:tabs>
        <w:tab w:val="left" w:pos="4252"/>
      </w:tabs>
      <w:spacing w:before="720"/>
      <w:jc w:val="both"/>
    </w:pPr>
    <w:rPr>
      <w:rFonts w:eastAsia="Calibri"/>
      <w:i/>
      <w:szCs w:val="22"/>
      <w:lang w:eastAsia="en-US"/>
    </w:rPr>
  </w:style>
  <w:style w:type="paragraph" w:customStyle="1" w:styleId="NormalCentered">
    <w:name w:val="Normal Centered"/>
    <w:basedOn w:val="Normal"/>
    <w:rsid w:val="0015437E"/>
    <w:pPr>
      <w:widowControl/>
      <w:spacing w:before="120" w:after="120"/>
      <w:jc w:val="center"/>
    </w:pPr>
    <w:rPr>
      <w:rFonts w:eastAsia="Calibri"/>
      <w:szCs w:val="22"/>
      <w:lang w:eastAsia="en-US"/>
    </w:rPr>
  </w:style>
  <w:style w:type="paragraph" w:customStyle="1" w:styleId="NormalLeft">
    <w:name w:val="Normal Left"/>
    <w:basedOn w:val="Normal"/>
    <w:rsid w:val="0015437E"/>
    <w:pPr>
      <w:widowControl/>
      <w:spacing w:before="120" w:after="120"/>
    </w:pPr>
    <w:rPr>
      <w:rFonts w:eastAsia="Calibri"/>
      <w:szCs w:val="22"/>
      <w:lang w:eastAsia="en-US"/>
    </w:rPr>
  </w:style>
  <w:style w:type="paragraph" w:customStyle="1" w:styleId="Revision1">
    <w:name w:val="Revision1"/>
    <w:next w:val="Revision"/>
    <w:hidden/>
    <w:uiPriority w:val="99"/>
    <w:semiHidden/>
    <w:rsid w:val="0015437E"/>
    <w:rPr>
      <w:rFonts w:eastAsia="Calibri"/>
      <w:sz w:val="24"/>
      <w:szCs w:val="24"/>
      <w:lang w:val="es-ES" w:eastAsia="en-US"/>
    </w:rPr>
  </w:style>
  <w:style w:type="paragraph" w:styleId="NormalWeb">
    <w:name w:val="Normal (Web)"/>
    <w:basedOn w:val="Normal"/>
    <w:uiPriority w:val="99"/>
    <w:unhideWhenUsed/>
    <w:rsid w:val="0015437E"/>
    <w:pPr>
      <w:widowControl/>
      <w:spacing w:before="100" w:beforeAutospacing="1" w:after="100" w:afterAutospacing="1"/>
    </w:pPr>
    <w:rPr>
      <w:szCs w:val="24"/>
      <w:lang w:val="es-ES" w:eastAsia="pl-PL"/>
    </w:rPr>
  </w:style>
  <w:style w:type="paragraph" w:customStyle="1" w:styleId="xl65">
    <w:name w:val="xl65"/>
    <w:basedOn w:val="Normal"/>
    <w:rsid w:val="0015437E"/>
    <w:pPr>
      <w:widowControl/>
      <w:pBdr>
        <w:left w:val="single" w:sz="4" w:space="0" w:color="auto"/>
      </w:pBdr>
      <w:spacing w:before="100" w:beforeAutospacing="1" w:after="100" w:afterAutospacing="1"/>
    </w:pPr>
    <w:rPr>
      <w:szCs w:val="24"/>
      <w:lang w:val="es-ES" w:eastAsia="en-IE"/>
    </w:rPr>
  </w:style>
  <w:style w:type="paragraph" w:customStyle="1" w:styleId="xl66">
    <w:name w:val="xl66"/>
    <w:basedOn w:val="Normal"/>
    <w:rsid w:val="0015437E"/>
    <w:pPr>
      <w:widowControl/>
      <w:pBdr>
        <w:right w:val="single" w:sz="4" w:space="0" w:color="auto"/>
      </w:pBdr>
      <w:spacing w:before="100" w:beforeAutospacing="1" w:after="100" w:afterAutospacing="1"/>
    </w:pPr>
    <w:rPr>
      <w:szCs w:val="24"/>
      <w:lang w:val="es-ES" w:eastAsia="en-IE"/>
    </w:rPr>
  </w:style>
  <w:style w:type="paragraph" w:styleId="Title">
    <w:name w:val="Title"/>
    <w:basedOn w:val="Normal"/>
    <w:next w:val="Normal"/>
    <w:link w:val="TitleChar"/>
    <w:uiPriority w:val="10"/>
    <w:qFormat/>
    <w:rsid w:val="0015437E"/>
    <w:pPr>
      <w:contextualSpacing/>
    </w:pPr>
    <w:rPr>
      <w:rFonts w:ascii="Arial" w:hAnsi="Arial" w:cs="Arial"/>
      <w:b/>
      <w:bCs/>
      <w:kern w:val="28"/>
      <w:sz w:val="32"/>
      <w:szCs w:val="32"/>
    </w:rPr>
  </w:style>
  <w:style w:type="character" w:customStyle="1" w:styleId="TitleChar1">
    <w:name w:val="Title Char1"/>
    <w:basedOn w:val="DefaultParagraphFont"/>
    <w:rsid w:val="0015437E"/>
    <w:rPr>
      <w:rFonts w:asciiTheme="majorHAnsi" w:eastAsiaTheme="majorEastAsia" w:hAnsiTheme="majorHAnsi" w:cstheme="majorBidi"/>
      <w:spacing w:val="-10"/>
      <w:kern w:val="28"/>
      <w:sz w:val="56"/>
      <w:szCs w:val="56"/>
      <w:lang w:val="es-ES_tradnl"/>
    </w:rPr>
  </w:style>
  <w:style w:type="paragraph" w:styleId="Subtitle">
    <w:name w:val="Subtitle"/>
    <w:basedOn w:val="Normal"/>
    <w:next w:val="Normal"/>
    <w:link w:val="SubtitleChar"/>
    <w:uiPriority w:val="11"/>
    <w:qFormat/>
    <w:rsid w:val="0015437E"/>
    <w:pPr>
      <w:numPr>
        <w:ilvl w:val="1"/>
      </w:numPr>
      <w:spacing w:after="160"/>
    </w:pPr>
    <w:rPr>
      <w:rFonts w:ascii="Arial" w:hAnsi="Arial" w:cs="Arial"/>
      <w:szCs w:val="24"/>
    </w:rPr>
  </w:style>
  <w:style w:type="character" w:customStyle="1" w:styleId="SubtitleChar1">
    <w:name w:val="Subtitle Char1"/>
    <w:basedOn w:val="DefaultParagraphFont"/>
    <w:rsid w:val="0015437E"/>
    <w:rPr>
      <w:rFonts w:asciiTheme="minorHAnsi" w:eastAsiaTheme="minorEastAsia" w:hAnsiTheme="minorHAnsi" w:cstheme="minorBidi"/>
      <w:color w:val="5A5A5A" w:themeColor="text1" w:themeTint="A5"/>
      <w:spacing w:val="15"/>
      <w:sz w:val="22"/>
      <w:szCs w:val="22"/>
      <w:lang w:val="es-ES_tradnl"/>
    </w:rPr>
  </w:style>
  <w:style w:type="character" w:styleId="Emphasis">
    <w:name w:val="Emphasis"/>
    <w:basedOn w:val="DefaultParagraphFont"/>
    <w:qFormat/>
    <w:rsid w:val="0015437E"/>
    <w:rPr>
      <w:i/>
      <w:iCs/>
    </w:rPr>
  </w:style>
  <w:style w:type="paragraph" w:styleId="NoSpacing">
    <w:name w:val="No Spacing"/>
    <w:uiPriority w:val="1"/>
    <w:qFormat/>
    <w:rsid w:val="0015437E"/>
    <w:pPr>
      <w:widowControl w:val="0"/>
    </w:pPr>
    <w:rPr>
      <w:sz w:val="24"/>
      <w:lang w:val="es-ES_tradnl"/>
    </w:rPr>
  </w:style>
  <w:style w:type="paragraph" w:styleId="Quote">
    <w:name w:val="Quote"/>
    <w:basedOn w:val="Normal"/>
    <w:next w:val="Normal"/>
    <w:link w:val="QuoteChar"/>
    <w:uiPriority w:val="29"/>
    <w:qFormat/>
    <w:rsid w:val="0015437E"/>
    <w:pPr>
      <w:spacing w:before="200" w:after="160"/>
      <w:ind w:left="864" w:right="864"/>
      <w:jc w:val="center"/>
    </w:pPr>
    <w:rPr>
      <w:i/>
      <w:szCs w:val="24"/>
    </w:rPr>
  </w:style>
  <w:style w:type="character" w:customStyle="1" w:styleId="QuoteChar1">
    <w:name w:val="Quote Char1"/>
    <w:basedOn w:val="DefaultParagraphFont"/>
    <w:uiPriority w:val="29"/>
    <w:rsid w:val="0015437E"/>
    <w:rPr>
      <w:i/>
      <w:iCs/>
      <w:color w:val="404040" w:themeColor="text1" w:themeTint="BF"/>
      <w:sz w:val="24"/>
      <w:lang w:val="es-ES_tradnl"/>
    </w:rPr>
  </w:style>
  <w:style w:type="paragraph" w:styleId="IntenseQuote">
    <w:name w:val="Intense Quote"/>
    <w:basedOn w:val="Normal"/>
    <w:next w:val="Normal"/>
    <w:link w:val="IntenseQuoteChar"/>
    <w:uiPriority w:val="30"/>
    <w:qFormat/>
    <w:rsid w:val="0015437E"/>
    <w:pPr>
      <w:pBdr>
        <w:top w:val="single" w:sz="4" w:space="10" w:color="5B9BD5" w:themeColor="accent1"/>
        <w:bottom w:val="single" w:sz="4" w:space="10" w:color="5B9BD5" w:themeColor="accent1"/>
      </w:pBdr>
      <w:spacing w:before="360" w:after="360"/>
      <w:ind w:left="864" w:right="864"/>
      <w:jc w:val="center"/>
    </w:pPr>
    <w:rPr>
      <w:b/>
      <w:i/>
    </w:rPr>
  </w:style>
  <w:style w:type="character" w:customStyle="1" w:styleId="IntenseQuoteChar1">
    <w:name w:val="Intense Quote Char1"/>
    <w:basedOn w:val="DefaultParagraphFont"/>
    <w:uiPriority w:val="30"/>
    <w:rsid w:val="0015437E"/>
    <w:rPr>
      <w:i/>
      <w:iCs/>
      <w:color w:val="5B9BD5" w:themeColor="accent1"/>
      <w:sz w:val="24"/>
      <w:lang w:val="es-ES_tradnl"/>
    </w:rPr>
  </w:style>
  <w:style w:type="character" w:styleId="SubtleEmphasis">
    <w:name w:val="Subtle Emphasis"/>
    <w:basedOn w:val="DefaultParagraphFont"/>
    <w:uiPriority w:val="19"/>
    <w:qFormat/>
    <w:rsid w:val="0015437E"/>
    <w:rPr>
      <w:i/>
      <w:iCs/>
      <w:color w:val="404040" w:themeColor="text1" w:themeTint="BF"/>
    </w:rPr>
  </w:style>
  <w:style w:type="character" w:styleId="BookTitle">
    <w:name w:val="Book Title"/>
    <w:basedOn w:val="DefaultParagraphFont"/>
    <w:uiPriority w:val="33"/>
    <w:qFormat/>
    <w:rsid w:val="0015437E"/>
    <w:rPr>
      <w:b/>
      <w:bCs/>
      <w:i/>
      <w:iCs/>
      <w:spacing w:val="5"/>
    </w:rPr>
  </w:style>
  <w:style w:type="character" w:customStyle="1" w:styleId="CommentTextChar1">
    <w:name w:val="Comment Text Char1"/>
    <w:basedOn w:val="DefaultParagraphFont"/>
    <w:rsid w:val="0015437E"/>
    <w:rPr>
      <w:lang w:val="es-ES_tradnl"/>
    </w:rPr>
  </w:style>
  <w:style w:type="character" w:customStyle="1" w:styleId="CommentSubjectChar1">
    <w:name w:val="Comment Subject Char1"/>
    <w:basedOn w:val="CommentTextChar1"/>
    <w:rsid w:val="0015437E"/>
    <w:rPr>
      <w:b/>
      <w:bCs/>
      <w:lang w:val="es-ES_tradnl"/>
    </w:rPr>
  </w:style>
  <w:style w:type="character" w:customStyle="1" w:styleId="BalloonTextChar1">
    <w:name w:val="Balloon Text Char1"/>
    <w:basedOn w:val="DefaultParagraphFont"/>
    <w:rsid w:val="0015437E"/>
    <w:rPr>
      <w:rFonts w:ascii="Segoe UI" w:hAnsi="Segoe UI" w:cs="Segoe UI"/>
      <w:sz w:val="18"/>
      <w:szCs w:val="18"/>
      <w:lang w:val="es-ES_tradnl"/>
    </w:rPr>
  </w:style>
  <w:style w:type="paragraph" w:styleId="Revision">
    <w:name w:val="Revision"/>
    <w:hidden/>
    <w:uiPriority w:val="99"/>
    <w:semiHidden/>
    <w:rsid w:val="0015437E"/>
    <w:rPr>
      <w:sz w:val="24"/>
      <w:lang w:val="es-ES_tradnl"/>
    </w:rPr>
  </w:style>
  <w:style w:type="paragraph" w:customStyle="1" w:styleId="HeadingDocType24a">
    <w:name w:val="HeadingDocType24a"/>
    <w:basedOn w:val="Normal"/>
    <w:rsid w:val="00076DDF"/>
    <w:pPr>
      <w:spacing w:after="480"/>
      <w:jc w:val="center"/>
    </w:pPr>
    <w:rPr>
      <w:rFonts w:ascii="Arial" w:hAnsi="Arial"/>
      <w:b/>
      <w:sz w:val="48"/>
    </w:rPr>
  </w:style>
  <w:style w:type="paragraph" w:customStyle="1" w:styleId="HeadingReferenceERCO">
    <w:name w:val="HeadingReferenceERCO"/>
    <w:basedOn w:val="Normal"/>
    <w:rsid w:val="00076DDF"/>
    <w:pPr>
      <w:spacing w:before="360" w:after="240"/>
      <w:jc w:val="right"/>
    </w:pPr>
    <w:rPr>
      <w:rFonts w:ascii="Arial" w:hAnsi="Arial"/>
      <w:b/>
    </w:rPr>
  </w:style>
  <w:style w:type="paragraph" w:customStyle="1" w:styleId="NormalCenter">
    <w:name w:val="NormalCenter"/>
    <w:basedOn w:val="Normal"/>
    <w:rsid w:val="00076DDF"/>
    <w:pPr>
      <w:jc w:val="center"/>
    </w:pPr>
  </w:style>
  <w:style w:type="paragraph" w:customStyle="1" w:styleId="LineSingle">
    <w:name w:val="LineSingle"/>
    <w:basedOn w:val="Normal"/>
    <w:next w:val="Normal"/>
    <w:rsid w:val="00076DDF"/>
    <w:pPr>
      <w:pBdr>
        <w:bottom w:val="single" w:sz="4" w:space="1" w:color="auto"/>
      </w:pBdr>
      <w:spacing w:after="240"/>
    </w:pPr>
  </w:style>
  <w:style w:type="paragraph" w:customStyle="1" w:styleId="HeadingDate">
    <w:name w:val="HeadingDate"/>
    <w:basedOn w:val="Normal"/>
    <w:rsid w:val="00076DDF"/>
    <w:pPr>
      <w:spacing w:before="240" w:after="240"/>
    </w:pPr>
  </w:style>
  <w:style w:type="character" w:customStyle="1" w:styleId="bold">
    <w:name w:val="bold"/>
    <w:basedOn w:val="DefaultParagraphFont"/>
    <w:rsid w:val="00076DDF"/>
  </w:style>
  <w:style w:type="paragraph" w:customStyle="1" w:styleId="Rfrenceinterinstitutionnelle">
    <w:name w:val="Référence interinstitutionnelle"/>
    <w:basedOn w:val="Normal"/>
    <w:next w:val="Normal"/>
    <w:rsid w:val="00076DDF"/>
    <w:pPr>
      <w:widowControl/>
      <w:ind w:left="5103"/>
    </w:pPr>
    <w:rPr>
      <w:rFonts w:eastAsia="Calibri"/>
      <w:szCs w:val="22"/>
      <w:lang w:eastAsia="en-US"/>
    </w:rPr>
  </w:style>
  <w:style w:type="character" w:customStyle="1" w:styleId="UnresolvedMention1">
    <w:name w:val="Unresolved Mention1"/>
    <w:basedOn w:val="DefaultParagraphFont"/>
    <w:uiPriority w:val="99"/>
    <w:semiHidden/>
    <w:unhideWhenUsed/>
    <w:rsid w:val="00076DDF"/>
    <w:rPr>
      <w:color w:val="605E5C"/>
      <w:shd w:val="clear" w:color="auto" w:fill="E1DFDD"/>
    </w:rPr>
  </w:style>
  <w:style w:type="character" w:customStyle="1" w:styleId="UnresolvedMention2">
    <w:name w:val="Unresolved Mention2"/>
    <w:basedOn w:val="DefaultParagraphFont"/>
    <w:uiPriority w:val="99"/>
    <w:semiHidden/>
    <w:unhideWhenUsed/>
    <w:rsid w:val="00076DDF"/>
    <w:rPr>
      <w:color w:val="605E5C"/>
      <w:shd w:val="clear" w:color="auto" w:fill="E1DFDD"/>
    </w:rPr>
  </w:style>
  <w:style w:type="character" w:customStyle="1" w:styleId="super">
    <w:name w:val="super"/>
    <w:basedOn w:val="DefaultParagraphFont"/>
    <w:rsid w:val="00076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85568-9A18-4D90-84DA-CB323F4D6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1478</Words>
  <Characters>8190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Rodríguez Fernán</cp:lastModifiedBy>
  <cp:revision>4</cp:revision>
  <cp:lastPrinted>2004-11-19T15:42:00Z</cp:lastPrinted>
  <dcterms:created xsi:type="dcterms:W3CDTF">2024-09-16T15:14:00Z</dcterms:created>
  <dcterms:modified xsi:type="dcterms:W3CDTF">2024-12-03T09:10:00Z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A9-0180/2023</vt:lpwstr>
  </property>
  <property fmtid="{D5CDD505-2E9C-101B-9397-08002B2CF9AE}" pid="4" name="&lt;Type&gt;">
    <vt:lpwstr>RR</vt:lpwstr>
  </property>
</Properties>
</file>