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0827" w:rsidRDefault="00CB0827"/>
    <w:tbl>
      <w:tblPr>
        <w:tblW w:w="9072" w:type="dxa"/>
        <w:tblCellMar>
          <w:left w:w="0" w:type="dxa"/>
          <w:right w:w="0" w:type="dxa"/>
        </w:tblCellMar>
        <w:tblLook w:val="01E0" w:firstRow="1" w:lastRow="1" w:firstColumn="1" w:lastColumn="1" w:noHBand="0" w:noVBand="0"/>
      </w:tblPr>
      <w:tblGrid>
        <w:gridCol w:w="6804"/>
        <w:gridCol w:w="2268"/>
      </w:tblGrid>
      <w:tr w:rsidR="00CB0827" w:rsidRPr="00390831" w:rsidTr="00CB0827">
        <w:trPr>
          <w:trHeight w:hRule="exact" w:val="1418"/>
        </w:trPr>
        <w:tc>
          <w:tcPr>
            <w:tcW w:w="6804" w:type="dxa"/>
            <w:shd w:val="clear" w:color="auto" w:fill="auto"/>
            <w:vAlign w:val="center"/>
          </w:tcPr>
          <w:p w:rsidR="00CB0827" w:rsidRPr="00390831" w:rsidRDefault="00CB0827" w:rsidP="00CB0827">
            <w:pPr>
              <w:pStyle w:val="EPName"/>
            </w:pPr>
            <w:r w:rsidRPr="00390831">
              <w:t>Parlement européen</w:t>
            </w:r>
          </w:p>
          <w:p w:rsidR="00CB0827" w:rsidRPr="00390831" w:rsidRDefault="00CB0827" w:rsidP="00CB0827">
            <w:pPr>
              <w:pStyle w:val="EPTerm"/>
              <w:rPr>
                <w:rStyle w:val="HideTWBExt"/>
                <w:rFonts w:eastAsiaTheme="majorEastAsia"/>
                <w:vanish w:val="0"/>
              </w:rPr>
            </w:pPr>
            <w:r w:rsidRPr="00390831">
              <w:t>2019-2024</w:t>
            </w:r>
          </w:p>
        </w:tc>
        <w:tc>
          <w:tcPr>
            <w:tcW w:w="2268" w:type="dxa"/>
            <w:shd w:val="clear" w:color="auto" w:fill="auto"/>
          </w:tcPr>
          <w:p w:rsidR="00CB0827" w:rsidRPr="00390831" w:rsidRDefault="00CB0827" w:rsidP="00CB0827">
            <w:pPr>
              <w:pStyle w:val="EPLogo"/>
            </w:pPr>
            <w:r w:rsidRPr="00390831">
              <w:rPr>
                <w:noProof/>
                <w:lang w:val="en-GB"/>
              </w:rPr>
              <w:drawing>
                <wp:inline distT="0" distB="0" distL="0" distR="0" wp14:anchorId="065CE835" wp14:editId="3544FAAB">
                  <wp:extent cx="1158875" cy="652145"/>
                  <wp:effectExtent l="0" t="0" r="0" b="0"/>
                  <wp:docPr id="2" name="Picture 2"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CB0827" w:rsidRPr="00390831" w:rsidRDefault="00CB0827" w:rsidP="00CB0827">
      <w:pPr>
        <w:pStyle w:val="LineTop"/>
      </w:pPr>
    </w:p>
    <w:p w:rsidR="00CB0827" w:rsidRPr="00390831" w:rsidRDefault="00CB0827" w:rsidP="00CB0827">
      <w:pPr>
        <w:pStyle w:val="EPBodyTA1"/>
      </w:pPr>
      <w:r w:rsidRPr="00390831">
        <w:t>TEXTES ADOPTÉS</w:t>
      </w:r>
    </w:p>
    <w:p w:rsidR="00CB0827" w:rsidRPr="00390831" w:rsidRDefault="00CB0827" w:rsidP="00CB0827">
      <w:pPr>
        <w:pStyle w:val="LineBottom"/>
      </w:pPr>
    </w:p>
    <w:p w:rsidR="00CB0827" w:rsidRPr="00390831" w:rsidRDefault="00CB0827" w:rsidP="00CB0827">
      <w:pPr>
        <w:pStyle w:val="ATHeading1"/>
      </w:pPr>
      <w:bookmarkStart w:id="0" w:name="TANumber"/>
      <w:r w:rsidRPr="00390831">
        <w:t>P9_</w:t>
      </w:r>
      <w:proofErr w:type="gramStart"/>
      <w:r w:rsidRPr="00390831">
        <w:t>TA(</w:t>
      </w:r>
      <w:proofErr w:type="gramEnd"/>
      <w:r w:rsidRPr="00390831">
        <w:t>2024)0</w:t>
      </w:r>
      <w:r>
        <w:t>163</w:t>
      </w:r>
      <w:bookmarkEnd w:id="0"/>
    </w:p>
    <w:p w:rsidR="00CB0827" w:rsidRPr="00390831" w:rsidRDefault="00CB0827" w:rsidP="00CB0827">
      <w:pPr>
        <w:pStyle w:val="ATHeading2"/>
      </w:pPr>
      <w:bookmarkStart w:id="1" w:name="title"/>
      <w:r w:rsidRPr="00390831">
        <w:t>Règles financières applicables au budget général de l’Union (refonte)</w:t>
      </w:r>
      <w:bookmarkEnd w:id="1"/>
    </w:p>
    <w:p w:rsidR="00CB0827" w:rsidRPr="000F2210" w:rsidRDefault="00CB0827" w:rsidP="00CB0827">
      <w:pPr>
        <w:rPr>
          <w:i/>
          <w:vanish/>
          <w:lang w:val="fr-FR"/>
        </w:rPr>
      </w:pPr>
      <w:r w:rsidRPr="00390831">
        <w:rPr>
          <w:i/>
        </w:rPr>
        <w:fldChar w:fldCharType="begin"/>
      </w:r>
      <w:r w:rsidRPr="000F2210">
        <w:rPr>
          <w:i/>
          <w:lang w:val="fr-FR"/>
        </w:rPr>
        <w:instrText xml:space="preserve"> TC"(</w:instrText>
      </w:r>
      <w:bookmarkStart w:id="2" w:name="DocNumber"/>
      <w:r w:rsidRPr="000F2210">
        <w:rPr>
          <w:i/>
          <w:lang w:val="fr-FR"/>
        </w:rPr>
        <w:instrText>A9-0180/2023</w:instrText>
      </w:r>
      <w:bookmarkEnd w:id="2"/>
      <w:r w:rsidRPr="000F2210">
        <w:rPr>
          <w:i/>
          <w:lang w:val="fr-FR"/>
        </w:rPr>
        <w:instrText xml:space="preserve"> - Rapporteurs: Nils </w:instrText>
      </w:r>
      <w:proofErr w:type="spellStart"/>
      <w:r w:rsidRPr="000F2210">
        <w:rPr>
          <w:i/>
          <w:lang w:val="fr-FR"/>
        </w:rPr>
        <w:instrText>Ušakovs</w:instrText>
      </w:r>
      <w:proofErr w:type="spellEnd"/>
      <w:r w:rsidRPr="000F2210">
        <w:rPr>
          <w:i/>
          <w:lang w:val="fr-FR"/>
        </w:rPr>
        <w:instrText xml:space="preserve">, Monika </w:instrText>
      </w:r>
      <w:proofErr w:type="spellStart"/>
      <w:r w:rsidRPr="000F2210">
        <w:rPr>
          <w:i/>
          <w:lang w:val="fr-FR"/>
        </w:rPr>
        <w:instrText>Hohlmeier</w:instrText>
      </w:r>
      <w:proofErr w:type="spellEnd"/>
      <w:r w:rsidRPr="000F2210">
        <w:rPr>
          <w:i/>
          <w:lang w:val="fr-FR"/>
        </w:rPr>
        <w:instrText xml:space="preserve">)"\l3 \n&gt; \* MERGEFORMAT </w:instrText>
      </w:r>
      <w:r w:rsidRPr="00390831">
        <w:rPr>
          <w:i/>
        </w:rPr>
        <w:fldChar w:fldCharType="end"/>
      </w:r>
    </w:p>
    <w:p w:rsidR="00CB0827" w:rsidRPr="000F2210" w:rsidRDefault="00CB0827" w:rsidP="00CB0827">
      <w:pPr>
        <w:rPr>
          <w:vanish/>
          <w:lang w:val="fr-FR"/>
        </w:rPr>
      </w:pPr>
      <w:bookmarkStart w:id="3" w:name="Commission"/>
      <w:r w:rsidRPr="000F2210">
        <w:rPr>
          <w:vanish/>
          <w:lang w:val="fr-FR"/>
        </w:rPr>
        <w:t>Commission des budgets, Commission du contrôle budgétaire</w:t>
      </w:r>
      <w:bookmarkEnd w:id="3"/>
    </w:p>
    <w:p w:rsidR="00CB0827" w:rsidRPr="000F2210" w:rsidRDefault="00CB0827" w:rsidP="00CB0827">
      <w:pPr>
        <w:rPr>
          <w:vanish/>
          <w:lang w:val="fr-FR"/>
        </w:rPr>
      </w:pPr>
      <w:bookmarkStart w:id="4" w:name="PE"/>
      <w:r w:rsidRPr="000F2210">
        <w:rPr>
          <w:vanish/>
          <w:lang w:val="fr-FR"/>
        </w:rPr>
        <w:t>PE740.802</w:t>
      </w:r>
      <w:bookmarkEnd w:id="4"/>
    </w:p>
    <w:p w:rsidR="00CB0827" w:rsidRPr="00390831" w:rsidRDefault="00CB0827" w:rsidP="00CB0827">
      <w:pPr>
        <w:pStyle w:val="ATHeading3"/>
      </w:pPr>
      <w:bookmarkStart w:id="5" w:name="Sujet"/>
      <w:r w:rsidRPr="00390831">
        <w:t>Résolution législ</w:t>
      </w:r>
      <w:r>
        <w:t>ative du Parlement européen du 14 mars</w:t>
      </w:r>
      <w:r w:rsidRPr="00390831">
        <w:t xml:space="preserve"> 2024 sur la proposition de règlement du Parlement européen et du Conseil relatif aux règles financières applicables au budget général de l’Union (refonte)</w:t>
      </w:r>
      <w:bookmarkEnd w:id="5"/>
      <w:r w:rsidRPr="00390831">
        <w:t xml:space="preserve"> </w:t>
      </w:r>
      <w:bookmarkStart w:id="6" w:name="References"/>
      <w:r w:rsidRPr="00390831">
        <w:t>(</w:t>
      </w:r>
      <w:proofErr w:type="gramStart"/>
      <w:r w:rsidRPr="00390831">
        <w:t>COM(</w:t>
      </w:r>
      <w:proofErr w:type="gramEnd"/>
      <w:r w:rsidRPr="00390831">
        <w:t>2022)0223 – C9-0179/2022 – 2022/0162(COD))</w:t>
      </w:r>
      <w:bookmarkEnd w:id="6"/>
    </w:p>
    <w:p w:rsidR="00CB0827" w:rsidRPr="00390831" w:rsidRDefault="00CB0827" w:rsidP="00CB0827">
      <w:pPr>
        <w:pStyle w:val="NormalBold"/>
      </w:pPr>
      <w:bookmarkStart w:id="7" w:name="TextBodyBegin"/>
      <w:bookmarkEnd w:id="7"/>
      <w:r w:rsidRPr="00390831">
        <w:t>(Procédure législative ordinaire – refonte)</w:t>
      </w:r>
    </w:p>
    <w:p w:rsidR="00CB0827" w:rsidRPr="00390831" w:rsidRDefault="00CB0827" w:rsidP="00CB0827">
      <w:pPr>
        <w:pStyle w:val="EPComma"/>
      </w:pPr>
      <w:r w:rsidRPr="00390831">
        <w:rPr>
          <w:i/>
        </w:rPr>
        <w:t>Le Parlement européen</w:t>
      </w:r>
      <w:r w:rsidRPr="00390831">
        <w:t>,</w:t>
      </w:r>
    </w:p>
    <w:p w:rsidR="00CB0827" w:rsidRPr="00390831" w:rsidRDefault="00CB0827" w:rsidP="00CB0827">
      <w:pPr>
        <w:pStyle w:val="NormalHanging12a"/>
      </w:pPr>
      <w:r w:rsidRPr="00390831">
        <w:t>–</w:t>
      </w:r>
      <w:r w:rsidRPr="00390831">
        <w:tab/>
        <w:t>vu la proposition de la Commission au Parlement européen et au Conseil (</w:t>
      </w:r>
      <w:proofErr w:type="gramStart"/>
      <w:r w:rsidRPr="00390831">
        <w:t>COM(</w:t>
      </w:r>
      <w:proofErr w:type="gramEnd"/>
      <w:r w:rsidRPr="00390831">
        <w:t>2022)0223),</w:t>
      </w:r>
    </w:p>
    <w:p w:rsidR="00CB0827" w:rsidRPr="00390831" w:rsidRDefault="00CB0827" w:rsidP="00CB0827">
      <w:pPr>
        <w:pStyle w:val="NormalHanging12a"/>
      </w:pPr>
      <w:r w:rsidRPr="00390831">
        <w:t>–</w:t>
      </w:r>
      <w:r w:rsidRPr="00390831">
        <w:tab/>
        <w:t>vu l’article 294, paragraphe 2, et l’article 322, paragraphe 1, du traité sur le fonctionnement de l’Union européenne, ainsi que l’article 106 bis du traité instituant la Communauté européenne de l’énergie atomique, conformément auxquels la proposition lui a été présentée par la Commission (C9</w:t>
      </w:r>
      <w:r w:rsidRPr="00390831">
        <w:noBreakHyphen/>
        <w:t>0179/2022),</w:t>
      </w:r>
    </w:p>
    <w:p w:rsidR="00CB0827" w:rsidRPr="00390831" w:rsidRDefault="00CB0827" w:rsidP="00CB0827">
      <w:pPr>
        <w:pStyle w:val="NormalHanging12a"/>
      </w:pPr>
      <w:r w:rsidRPr="00390831">
        <w:t>–</w:t>
      </w:r>
      <w:r w:rsidRPr="00390831">
        <w:tab/>
        <w:t>vu l’article 294, paragraphe 3, du traité sur le fonctionnement de l’Union européenne,</w:t>
      </w:r>
    </w:p>
    <w:p w:rsidR="00CB0827" w:rsidRPr="00390831" w:rsidRDefault="00CB0827" w:rsidP="00CB0827">
      <w:pPr>
        <w:pStyle w:val="NormalHanging12a"/>
      </w:pPr>
      <w:r w:rsidRPr="00390831">
        <w:t>–</w:t>
      </w:r>
      <w:r w:rsidRPr="00390831">
        <w:tab/>
        <w:t>vu l’avis de la Cour des comptes du 31 octobre 2022</w:t>
      </w:r>
      <w:r w:rsidRPr="00390831">
        <w:rPr>
          <w:rStyle w:val="FootnoteReference"/>
          <w:rFonts w:eastAsiaTheme="majorEastAsia"/>
        </w:rPr>
        <w:footnoteReference w:id="1"/>
      </w:r>
      <w:r w:rsidRPr="00390831">
        <w:t>,</w:t>
      </w:r>
    </w:p>
    <w:p w:rsidR="00CB0827" w:rsidRPr="00390831" w:rsidRDefault="00CB0827" w:rsidP="00CB0827">
      <w:pPr>
        <w:pStyle w:val="NormalHanging12a"/>
      </w:pPr>
      <w:r w:rsidRPr="00390831">
        <w:t>–</w:t>
      </w:r>
      <w:r w:rsidRPr="00390831">
        <w:tab/>
        <w:t>vu l’accord interinstitutionnel du 28 novembre 2001 pour un recours plus structuré à la technique de la refonte des actes juridiques</w:t>
      </w:r>
      <w:r w:rsidRPr="00390831">
        <w:rPr>
          <w:rStyle w:val="FootnoteReference"/>
          <w:rFonts w:eastAsiaTheme="majorEastAsia"/>
        </w:rPr>
        <w:footnoteReference w:id="2"/>
      </w:r>
      <w:r w:rsidRPr="00390831">
        <w:t>,</w:t>
      </w:r>
    </w:p>
    <w:p w:rsidR="00CB0827" w:rsidRDefault="00CB0827" w:rsidP="00CB0827">
      <w:pPr>
        <w:pStyle w:val="NormalHanging12a"/>
      </w:pPr>
      <w:r w:rsidRPr="00390831">
        <w:t>–</w:t>
      </w:r>
      <w:r w:rsidRPr="00390831">
        <w:tab/>
        <w:t>vu la lettre</w:t>
      </w:r>
      <w:r>
        <w:t xml:space="preserve"> en date du</w:t>
      </w:r>
      <w:r w:rsidRPr="00390831">
        <w:t xml:space="preserve"> 25 avril 2023 </w:t>
      </w:r>
      <w:r>
        <w:t>de</w:t>
      </w:r>
      <w:r w:rsidRPr="00390831">
        <w:t xml:space="preserve"> la commission des affaires juridiques adressée à la commission des budgets et à la commission du contrôle budgétaire conformément à l’article 110, paragraphe 3, de son règlement intérieur,</w:t>
      </w:r>
    </w:p>
    <w:p w:rsidR="00CB0827" w:rsidRDefault="00CB0827" w:rsidP="00CB0827">
      <w:pPr>
        <w:pStyle w:val="NormalHanging12a"/>
      </w:pPr>
      <w:r w:rsidRPr="00DB1C0F">
        <w:t>–</w:t>
      </w:r>
      <w:r w:rsidRPr="00DB1C0F">
        <w:tab/>
      </w:r>
      <w:r>
        <w:t>vu l’accord provisoire approuvé en vertu de l’article </w:t>
      </w:r>
      <w:r w:rsidRPr="00DB1C0F">
        <w:t>74</w:t>
      </w:r>
      <w:r>
        <w:t>, paragraphe 4, de son règlement intérieur p</w:t>
      </w:r>
      <w:r w:rsidRPr="003C69CF">
        <w:t xml:space="preserve">ar </w:t>
      </w:r>
      <w:r w:rsidRPr="00A46AD4">
        <w:t>l</w:t>
      </w:r>
      <w:r>
        <w:t>es</w:t>
      </w:r>
      <w:r w:rsidRPr="00A46AD4">
        <w:t xml:space="preserve"> commission</w:t>
      </w:r>
      <w:r>
        <w:t>s</w:t>
      </w:r>
      <w:r w:rsidRPr="00A46AD4">
        <w:t xml:space="preserve"> compétente</w:t>
      </w:r>
      <w:r>
        <w:t>s</w:t>
      </w:r>
      <w:r w:rsidRPr="003C69CF">
        <w:t xml:space="preserve"> et l’engagement pris par le représentant du Conseil, par lettre du 20 décembre 202</w:t>
      </w:r>
      <w:r>
        <w:t>3</w:t>
      </w:r>
      <w:r w:rsidRPr="003C69CF">
        <w:t xml:space="preserve">, d’approuver la </w:t>
      </w:r>
      <w:r w:rsidRPr="00A46AD4">
        <w:t xml:space="preserve">position du Parlement </w:t>
      </w:r>
      <w:r w:rsidRPr="00A46AD4">
        <w:lastRenderedPageBreak/>
        <w:t>européen</w:t>
      </w:r>
      <w:r w:rsidRPr="003C69CF">
        <w:t>, conformément à l’article 294, paragraphe 4, du traité sur le fonctionnement de l’Union européenne</w:t>
      </w:r>
      <w:r>
        <w:t>,</w:t>
      </w:r>
    </w:p>
    <w:p w:rsidR="00CB0827" w:rsidRPr="00390831" w:rsidRDefault="00CB0827" w:rsidP="00CB0827">
      <w:pPr>
        <w:pStyle w:val="NormalHanging12a"/>
        <w:rPr>
          <w:szCs w:val="24"/>
        </w:rPr>
      </w:pPr>
      <w:r w:rsidRPr="00390831">
        <w:t>–</w:t>
      </w:r>
      <w:r w:rsidRPr="00390831">
        <w:tab/>
        <w:t>vu les délibérations conjointes de la commission des budgets et de la commission du contrôle budgétaire en vertu de l’article 58 du règlement intérieur,</w:t>
      </w:r>
    </w:p>
    <w:p w:rsidR="00CB0827" w:rsidRPr="00390831" w:rsidRDefault="00CB0827" w:rsidP="00CB0827">
      <w:pPr>
        <w:pStyle w:val="NormalHanging12a"/>
      </w:pPr>
      <w:r w:rsidRPr="00390831">
        <w:t>–</w:t>
      </w:r>
      <w:r w:rsidRPr="00390831">
        <w:tab/>
        <w:t>vu les articles 110 et 59 de son règlement intérieur,</w:t>
      </w:r>
    </w:p>
    <w:p w:rsidR="00CB0827" w:rsidRPr="00390831" w:rsidRDefault="00CB0827" w:rsidP="00CB0827">
      <w:pPr>
        <w:pStyle w:val="NormalHanging12a"/>
      </w:pPr>
      <w:r w:rsidRPr="00390831">
        <w:t>–</w:t>
      </w:r>
      <w:r w:rsidRPr="00390831">
        <w:tab/>
        <w:t>vu l’avis de la commission du développement régional,</w:t>
      </w:r>
    </w:p>
    <w:p w:rsidR="00CB0827" w:rsidRPr="00390831" w:rsidRDefault="00CB0827" w:rsidP="00CB0827">
      <w:pPr>
        <w:pStyle w:val="NormalHanging12a"/>
      </w:pPr>
      <w:r w:rsidRPr="00390831">
        <w:t>–</w:t>
      </w:r>
      <w:r w:rsidRPr="00390831">
        <w:tab/>
        <w:t>vu la lettre de la commission de l’industrie, de la recherche et de l’énergie,</w:t>
      </w:r>
    </w:p>
    <w:p w:rsidR="00CB0827" w:rsidRPr="00390831" w:rsidRDefault="00CB0827" w:rsidP="00CB0827">
      <w:pPr>
        <w:pStyle w:val="NormalHanging12a"/>
      </w:pPr>
      <w:r w:rsidRPr="00390831">
        <w:t>–</w:t>
      </w:r>
      <w:r w:rsidRPr="00390831">
        <w:tab/>
        <w:t>vu le rapport de la commission des budgets et de la commission du contrôle budgétaire (A9-0180/2023),</w:t>
      </w:r>
    </w:p>
    <w:p w:rsidR="00CB0827" w:rsidRPr="00390831" w:rsidRDefault="00CB0827" w:rsidP="00CB0827">
      <w:pPr>
        <w:pStyle w:val="NormalHanging12a"/>
      </w:pPr>
      <w:r w:rsidRPr="00390831">
        <w:t>A.</w:t>
      </w:r>
      <w:r w:rsidRPr="00390831">
        <w:tab/>
        <w:t>considérant que, de l’avis du groupe consultatif des services juridiques du Parlement européen, du Conseil et de la Commission, la proposition de la Commission ne contient aucune modification de fond autre que celles identifiées comme telles dans la proposition et que, en ce qui concerne la codification des dispositions inchangées des actes précédents avec ces modifications, la proposition se limite à une codification pure et simple des actes existants, sans modification de leur substance;</w:t>
      </w:r>
    </w:p>
    <w:p w:rsidR="00CB0827" w:rsidRDefault="00CB0827" w:rsidP="00CB0827">
      <w:pPr>
        <w:pStyle w:val="NormalHanging12a"/>
      </w:pPr>
      <w:r w:rsidRPr="00390831">
        <w:t>1.</w:t>
      </w:r>
      <w:r w:rsidRPr="00390831">
        <w:tab/>
        <w:t>arrête la position en première lecture figurant ci-après, en tenant compte des recommandations du groupe consultatif des services juridiques du Parlement européen, du Conseil et de la Commission;</w:t>
      </w:r>
    </w:p>
    <w:p w:rsidR="00CB0827" w:rsidRPr="0008563F" w:rsidRDefault="00CB0827" w:rsidP="00CB0827">
      <w:pPr>
        <w:pStyle w:val="NormalHanging12a"/>
      </w:pPr>
      <w:r w:rsidRPr="0008563F">
        <w:t>2.</w:t>
      </w:r>
      <w:r w:rsidRPr="0008563F">
        <w:tab/>
        <w:t xml:space="preserve">approuve la déclaration commune du Parlement européen et du Conseil annexée à la présente résolution, qui sera publiée dans la série C du </w:t>
      </w:r>
      <w:r w:rsidRPr="000316D9">
        <w:rPr>
          <w:i/>
        </w:rPr>
        <w:t>Journal officiel de l’Union européenne</w:t>
      </w:r>
      <w:r w:rsidRPr="0008563F">
        <w:t>;</w:t>
      </w:r>
    </w:p>
    <w:p w:rsidR="00CB0827" w:rsidRPr="0008563F" w:rsidRDefault="00CB0827" w:rsidP="00CB0827">
      <w:pPr>
        <w:pStyle w:val="NormalHanging12a"/>
      </w:pPr>
      <w:r w:rsidRPr="0008563F">
        <w:t>3.</w:t>
      </w:r>
      <w:r w:rsidRPr="0008563F">
        <w:tab/>
        <w:t xml:space="preserve">approuve la déclaration commune du Parlement européen, du Conseil et de la Commission annexée à la présente résolution, qui sera publiée dans la série C du </w:t>
      </w:r>
      <w:r w:rsidRPr="000316D9">
        <w:rPr>
          <w:i/>
        </w:rPr>
        <w:t>Journal officiel de l’Union européenne</w:t>
      </w:r>
      <w:r w:rsidRPr="0008563F">
        <w:t>;</w:t>
      </w:r>
    </w:p>
    <w:p w:rsidR="00CB0827" w:rsidRPr="0008563F" w:rsidRDefault="00CB0827" w:rsidP="00CB0827">
      <w:pPr>
        <w:pStyle w:val="NormalHanging12a"/>
      </w:pPr>
      <w:r w:rsidRPr="0008563F">
        <w:t>4.</w:t>
      </w:r>
      <w:r w:rsidRPr="0008563F">
        <w:tab/>
        <w:t>prend note de</w:t>
      </w:r>
      <w:r>
        <w:t>s</w:t>
      </w:r>
      <w:r w:rsidRPr="0008563F">
        <w:t xml:space="preserve"> déclaration</w:t>
      </w:r>
      <w:r>
        <w:t>s</w:t>
      </w:r>
      <w:r w:rsidRPr="0008563F">
        <w:t xml:space="preserve"> de la Commission annexée</w:t>
      </w:r>
      <w:r>
        <w:t>s</w:t>
      </w:r>
      <w:r w:rsidRPr="0008563F">
        <w:t xml:space="preserve"> à la présente résolution;</w:t>
      </w:r>
    </w:p>
    <w:p w:rsidR="00CB0827" w:rsidRPr="00390831" w:rsidRDefault="00CB0827" w:rsidP="00CB0827">
      <w:pPr>
        <w:pStyle w:val="NormalHanging12a"/>
      </w:pPr>
      <w:r>
        <w:t>5</w:t>
      </w:r>
      <w:r w:rsidRPr="00390831">
        <w:t>.</w:t>
      </w:r>
      <w:r w:rsidRPr="00390831">
        <w:tab/>
        <w:t>demande à la Commission de le saisir à nouveau, si elle remplace, modifie de manière substantielle ou entend modifier de manière substantielle sa proposition;</w:t>
      </w:r>
    </w:p>
    <w:p w:rsidR="00CB0827" w:rsidRPr="00390831" w:rsidRDefault="00CB0827" w:rsidP="00CB0827">
      <w:pPr>
        <w:pStyle w:val="NormalHanging12a"/>
      </w:pPr>
      <w:r>
        <w:t>6</w:t>
      </w:r>
      <w:r w:rsidRPr="00390831">
        <w:t>.</w:t>
      </w:r>
      <w:r w:rsidRPr="00390831">
        <w:tab/>
        <w:t>charge sa Présidente de transmettre la position du Parlement au Conseil et à la Commission ainsi qu’aux parlements nationaux.</w:t>
      </w:r>
    </w:p>
    <w:p w:rsidR="00CB0827" w:rsidRPr="00CB0827" w:rsidRDefault="00CB0827" w:rsidP="00CB0827">
      <w:pPr>
        <w:rPr>
          <w:lang w:val="fr-FR"/>
        </w:rPr>
        <w:sectPr w:rsidR="00CB0827" w:rsidRPr="00CB0827" w:rsidSect="00CB0827">
          <w:footnotePr>
            <w:numRestart w:val="eachSect"/>
          </w:footnotePr>
          <w:pgSz w:w="11906" w:h="16838" w:code="9"/>
          <w:pgMar w:top="1134" w:right="1418" w:bottom="1418" w:left="1418" w:header="1134" w:footer="567" w:gutter="0"/>
          <w:cols w:space="720"/>
          <w:noEndnote/>
          <w:docGrid w:linePitch="326"/>
        </w:sectPr>
      </w:pPr>
    </w:p>
    <w:p w:rsidR="00CB0827" w:rsidRPr="00CB0827" w:rsidRDefault="00CB0827" w:rsidP="00CB0827">
      <w:pPr>
        <w:autoSpaceDE w:val="0"/>
        <w:autoSpaceDN w:val="0"/>
        <w:adjustRightInd w:val="0"/>
        <w:spacing w:after="240"/>
        <w:rPr>
          <w:b/>
          <w:bCs/>
          <w:color w:val="000000"/>
          <w:lang w:val="fr-FR"/>
        </w:rPr>
      </w:pPr>
      <w:r w:rsidRPr="00CB0827">
        <w:rPr>
          <w:b/>
          <w:bCs/>
          <w:color w:val="000000"/>
          <w:lang w:val="fr-FR"/>
        </w:rPr>
        <w:lastRenderedPageBreak/>
        <w:t>P9_TC1-</w:t>
      </w:r>
      <w:proofErr w:type="gramStart"/>
      <w:r w:rsidRPr="00CB0827">
        <w:rPr>
          <w:b/>
          <w:bCs/>
          <w:color w:val="000000"/>
          <w:lang w:val="fr-FR"/>
        </w:rPr>
        <w:t>COD(</w:t>
      </w:r>
      <w:proofErr w:type="gramEnd"/>
      <w:r w:rsidRPr="00CB0827">
        <w:rPr>
          <w:b/>
          <w:bCs/>
          <w:color w:val="000000"/>
          <w:lang w:val="fr-FR"/>
        </w:rPr>
        <w:t>2022)0162</w:t>
      </w:r>
    </w:p>
    <w:p w:rsidR="00CB0827" w:rsidRPr="00CB0827" w:rsidRDefault="00CB0827" w:rsidP="00006033">
      <w:pPr>
        <w:spacing w:after="240"/>
        <w:jc w:val="left"/>
        <w:rPr>
          <w:b/>
          <w:lang w:val="fr-FR"/>
        </w:rPr>
      </w:pPr>
      <w:r w:rsidRPr="00CB0827">
        <w:rPr>
          <w:b/>
          <w:lang w:val="fr-FR"/>
        </w:rPr>
        <w:t>Position du Parlement européen arrêtée en première lecture le 14 mars 2024 en vue de l’adoption du règlement (UE</w:t>
      </w:r>
      <w:r>
        <w:rPr>
          <w:b/>
          <w:lang w:val="fr-FR"/>
        </w:rPr>
        <w:t>, Euratom</w:t>
      </w:r>
      <w:r w:rsidRPr="00CB0827">
        <w:rPr>
          <w:b/>
          <w:lang w:val="fr-FR"/>
        </w:rPr>
        <w:t>) 2024/... du Parlement européen et du Conseil relatif aux règles financières applicables au budget général de l’Union (refonte)</w:t>
      </w:r>
    </w:p>
    <w:p w:rsidR="00BC6C0A" w:rsidRPr="00EB53D5" w:rsidRDefault="00BC6C0A" w:rsidP="00BC6C0A">
      <w:pPr>
        <w:pStyle w:val="Datedadoption"/>
        <w:spacing w:after="240" w:line="240" w:lineRule="auto"/>
        <w:jc w:val="left"/>
        <w:rPr>
          <w:b w:val="0"/>
          <w:i/>
        </w:rPr>
      </w:pPr>
      <w:r w:rsidRPr="00EB53D5">
        <w:rPr>
          <w:b w:val="0"/>
          <w:i/>
        </w:rPr>
        <w:t>(Étant donné l'accord intervenu entre le Parlement et le Conseil, la position du Parlement correspond à l'acte législatif final, l</w:t>
      </w:r>
      <w:r>
        <w:rPr>
          <w:b w:val="0"/>
          <w:i/>
        </w:rPr>
        <w:t>e règlement (UE, Euratom) 2024/2509</w:t>
      </w:r>
      <w:r w:rsidRPr="00EB53D5">
        <w:rPr>
          <w:b w:val="0"/>
          <w:i/>
        </w:rPr>
        <w:t>.)</w:t>
      </w:r>
    </w:p>
    <w:p w:rsidR="00BC6C0A" w:rsidRDefault="00BC6C0A">
      <w:pPr>
        <w:jc w:val="left"/>
        <w:rPr>
          <w:lang w:val="fr-FR"/>
        </w:rPr>
      </w:pPr>
      <w:r>
        <w:rPr>
          <w:lang w:val="fr-FR"/>
        </w:rPr>
        <w:br w:type="page"/>
      </w:r>
    </w:p>
    <w:p w:rsidR="00B10285" w:rsidRPr="00B10285" w:rsidRDefault="00B10285" w:rsidP="00B10285">
      <w:pPr>
        <w:jc w:val="right"/>
        <w:rPr>
          <w:lang w:val="fr-FR"/>
        </w:rPr>
      </w:pPr>
      <w:r w:rsidRPr="00B10285">
        <w:rPr>
          <w:lang w:val="fr-FR"/>
        </w:rPr>
        <w:lastRenderedPageBreak/>
        <w:t xml:space="preserve">ANNEXE </w:t>
      </w:r>
      <w:r w:rsidRPr="00B10285">
        <w:rPr>
          <w:caps/>
          <w:lang w:val="fr-FR"/>
        </w:rPr>
        <w:t>à</w:t>
      </w:r>
      <w:r w:rsidRPr="00B10285">
        <w:rPr>
          <w:lang w:val="fr-FR"/>
        </w:rPr>
        <w:t xml:space="preserve"> LA R</w:t>
      </w:r>
      <w:r w:rsidRPr="00B10285">
        <w:rPr>
          <w:caps/>
          <w:lang w:val="fr-FR"/>
        </w:rPr>
        <w:t>é</w:t>
      </w:r>
      <w:r w:rsidRPr="00B10285">
        <w:rPr>
          <w:lang w:val="fr-FR"/>
        </w:rPr>
        <w:t>SOLUTION L</w:t>
      </w:r>
      <w:r w:rsidRPr="00B10285">
        <w:rPr>
          <w:caps/>
          <w:lang w:val="fr-FR"/>
        </w:rPr>
        <w:t>é</w:t>
      </w:r>
      <w:r w:rsidRPr="00B10285">
        <w:rPr>
          <w:lang w:val="fr-FR"/>
        </w:rPr>
        <w:t>GISLATIVE</w:t>
      </w:r>
    </w:p>
    <w:p w:rsidR="00B10285" w:rsidRPr="00B10285" w:rsidRDefault="00B10285" w:rsidP="00B10285">
      <w:pPr>
        <w:rPr>
          <w:lang w:val="fr-FR"/>
        </w:rPr>
      </w:pPr>
    </w:p>
    <w:p w:rsidR="00B10285" w:rsidRPr="00B10285" w:rsidRDefault="00B10285" w:rsidP="00B10285">
      <w:pPr>
        <w:spacing w:before="120" w:after="120" w:line="360" w:lineRule="auto"/>
        <w:jc w:val="center"/>
        <w:rPr>
          <w:b/>
          <w:u w:val="single"/>
          <w:lang w:val="fr-FR"/>
        </w:rPr>
      </w:pPr>
      <w:r w:rsidRPr="00B10285">
        <w:rPr>
          <w:b/>
          <w:u w:val="single"/>
          <w:lang w:val="fr-FR"/>
        </w:rPr>
        <w:t xml:space="preserve">Déclaration commune sur le traitement budgétaire des intérêts ou autres charges dus sur le montant des amendes, autres astreintes ou sanctions annulées ou réduites à l’occasion de l’adoption du règlement </w:t>
      </w:r>
      <w:r w:rsidR="00BC6C0A" w:rsidRPr="00BC6C0A">
        <w:rPr>
          <w:b/>
          <w:u w:val="single"/>
          <w:lang w:val="fr-FR"/>
        </w:rPr>
        <w:t xml:space="preserve">(UE, Euratom) </w:t>
      </w:r>
      <w:r w:rsidRPr="00B10285">
        <w:rPr>
          <w:b/>
          <w:u w:val="single"/>
          <w:lang w:val="fr-FR"/>
        </w:rPr>
        <w:t>2024/</w:t>
      </w:r>
      <w:r w:rsidR="00BC6C0A">
        <w:rPr>
          <w:b/>
          <w:u w:val="single"/>
          <w:lang w:val="fr-FR"/>
        </w:rPr>
        <w:t>2509</w:t>
      </w:r>
    </w:p>
    <w:p w:rsidR="00B10285" w:rsidRPr="00B10285" w:rsidRDefault="00B10285" w:rsidP="00B10285">
      <w:pPr>
        <w:spacing w:before="120" w:after="120" w:line="360" w:lineRule="auto"/>
        <w:rPr>
          <w:lang w:val="fr-FR"/>
        </w:rPr>
      </w:pPr>
      <w:r w:rsidRPr="00B10285">
        <w:rPr>
          <w:lang w:val="fr-FR"/>
        </w:rPr>
        <w:t>Le Parlement européen et le Conseil sont convenus que tout intérêt ou toute autre charge dû sur le montant des amendes, autres astreintes ou sanctions ayant été annulées ou réduites sera inscrit en tant que recette négative pour la durée du cadre pluriannuel actuel. Il s’agit d’une exception à l’interdiction des recettes négatives, qui se limite à cette situation spécifique imprévisible.</w:t>
      </w:r>
    </w:p>
    <w:p w:rsidR="00B10285" w:rsidRPr="00B10285" w:rsidRDefault="00B10285" w:rsidP="00B10285">
      <w:pPr>
        <w:spacing w:before="120" w:after="120" w:line="360" w:lineRule="auto"/>
        <w:rPr>
          <w:lang w:val="fr-FR"/>
        </w:rPr>
      </w:pPr>
      <w:r w:rsidRPr="00B10285">
        <w:rPr>
          <w:lang w:val="fr-FR"/>
        </w:rPr>
        <w:t>Sans préjudice de leurs prérogatives respectives, le Parlement européen, le Conseil et la Commission conviennent, compte tenu de l’expérience passée et des évolutions futures prévisibles, d’examiner une solution viable à longue échéance, conforme à l’application des principes budgétaires du règlement financier, pour le financement de ces intérêts ou autres charges, laquelle s’appliquera après 2027, y compris en ce qui concerne le taux d’intérêt à payer sur le montant des amendes ou autres astreintes à rembourser à titre d’indemnisation adéquate pour les entreprises bénéficiaires en pareilles situations.»</w:t>
      </w:r>
    </w:p>
    <w:p w:rsidR="00B10285" w:rsidRPr="00B10285" w:rsidRDefault="00B10285" w:rsidP="00B10285">
      <w:pPr>
        <w:rPr>
          <w:lang w:val="fr-FR"/>
        </w:rPr>
      </w:pPr>
    </w:p>
    <w:p w:rsidR="00B10285" w:rsidRPr="00B10285" w:rsidRDefault="00B10285" w:rsidP="00B10285">
      <w:pPr>
        <w:spacing w:before="120" w:after="120" w:line="360" w:lineRule="auto"/>
        <w:jc w:val="center"/>
        <w:rPr>
          <w:b/>
          <w:u w:val="single"/>
          <w:lang w:val="fr-FR"/>
        </w:rPr>
      </w:pPr>
      <w:r w:rsidRPr="00B10285">
        <w:rPr>
          <w:b/>
          <w:u w:val="single"/>
          <w:lang w:val="fr-FR"/>
        </w:rPr>
        <w:t xml:space="preserve">Déclaration commune du Parlement européen, du Conseil et de la Commission sur l’outil unique d’exploration de données et de calcul du risque prévu à l’article 36 du règlement financier à l’occasion de l’adoption du règlement </w:t>
      </w:r>
      <w:r w:rsidR="00BC6C0A" w:rsidRPr="00BC6C0A">
        <w:rPr>
          <w:b/>
          <w:u w:val="single"/>
          <w:lang w:val="fr-FR"/>
        </w:rPr>
        <w:t>(UE, Euratom)</w:t>
      </w:r>
      <w:r w:rsidR="00BC6C0A">
        <w:rPr>
          <w:b/>
          <w:u w:val="single"/>
          <w:lang w:val="fr-FR"/>
        </w:rPr>
        <w:t xml:space="preserve"> </w:t>
      </w:r>
      <w:r w:rsidRPr="00B10285">
        <w:rPr>
          <w:b/>
          <w:u w:val="single"/>
          <w:lang w:val="fr-FR"/>
        </w:rPr>
        <w:t>2024/</w:t>
      </w:r>
      <w:r w:rsidR="00BC6C0A">
        <w:rPr>
          <w:b/>
          <w:u w:val="single"/>
          <w:lang w:val="fr-FR"/>
        </w:rPr>
        <w:t>2509</w:t>
      </w:r>
    </w:p>
    <w:p w:rsidR="00B10285" w:rsidRPr="00B10285" w:rsidRDefault="00B10285" w:rsidP="00B10285">
      <w:pPr>
        <w:spacing w:before="120" w:after="120" w:line="360" w:lineRule="auto"/>
        <w:rPr>
          <w:lang w:val="fr-FR"/>
        </w:rPr>
      </w:pPr>
      <w:r w:rsidRPr="00B10285">
        <w:rPr>
          <w:lang w:val="fr-FR"/>
        </w:rPr>
        <w:t xml:space="preserve">Le Parlement européen, le Conseil et la Commission </w:t>
      </w:r>
      <w:proofErr w:type="gramStart"/>
      <w:r w:rsidRPr="00B10285">
        <w:rPr>
          <w:lang w:val="fr-FR"/>
        </w:rPr>
        <w:t>(«les</w:t>
      </w:r>
      <w:proofErr w:type="gramEnd"/>
      <w:r w:rsidRPr="00B10285">
        <w:rPr>
          <w:lang w:val="fr-FR"/>
        </w:rPr>
        <w:t xml:space="preserve"> trois institutions») reconnaissent l’importance du renforcement de la protection des intérêts financiers de l’Union, reconnue dans l’accord interinstitutionnel («AII») du 16 décembre 2020, et inscrite à l’article 325 du traité FUE.</w:t>
      </w:r>
    </w:p>
    <w:p w:rsidR="00B10285" w:rsidRPr="00B10285" w:rsidRDefault="00B10285" w:rsidP="00B10285">
      <w:pPr>
        <w:spacing w:before="120" w:after="120" w:line="360" w:lineRule="auto"/>
        <w:rPr>
          <w:lang w:val="fr-FR"/>
        </w:rPr>
      </w:pPr>
      <w:r w:rsidRPr="00B10285">
        <w:rPr>
          <w:lang w:val="fr-FR"/>
        </w:rPr>
        <w:t>Les trois institutions conviennent qu’il est nécessaire de poursuivre le développement de l’outil conformément aux règles de sécurité informatique et de protection des données. Afin de réduire la charge administrative et d’éviter des frais informatiques disproportionnés pour les États membres et les autres utilisateurs, les systèmes agréés qui existent dans les États membres seront pris en considération.</w:t>
      </w:r>
    </w:p>
    <w:p w:rsidR="00B10285" w:rsidRPr="00B10285" w:rsidRDefault="00B10285" w:rsidP="00B10285">
      <w:pPr>
        <w:spacing w:before="120" w:after="120" w:line="360" w:lineRule="auto"/>
        <w:rPr>
          <w:lang w:val="fr-FR"/>
        </w:rPr>
      </w:pPr>
      <w:r w:rsidRPr="00B10285">
        <w:rPr>
          <w:lang w:val="fr-FR"/>
        </w:rPr>
        <w:t xml:space="preserve">Les trois institutions s’engagent à coopérer à la poursuite du développement de l’outil. La Commission confirme qu’elle poursuivra le développement de l’outil en concertation avec ses utilisateurs et qu’elle continuera de proposer son aide aux États membres pour toute question technique. Les États membres coopéreront avec la Commission pour permettre les synergies </w:t>
      </w:r>
      <w:r w:rsidRPr="00B10285">
        <w:rPr>
          <w:lang w:val="fr-FR"/>
        </w:rPr>
        <w:lastRenderedPageBreak/>
        <w:t>nécessaires à l’interopérabilité avec les systèmes et les bases de données informatiques pertinents.</w:t>
      </w:r>
    </w:p>
    <w:p w:rsidR="00B10285" w:rsidRPr="00B10285" w:rsidRDefault="00B10285" w:rsidP="00B10285">
      <w:pPr>
        <w:spacing w:before="120" w:after="120" w:line="360" w:lineRule="auto"/>
        <w:rPr>
          <w:lang w:val="fr-FR"/>
        </w:rPr>
      </w:pPr>
      <w:r w:rsidRPr="00B10285">
        <w:rPr>
          <w:lang w:val="fr-FR"/>
        </w:rPr>
        <w:t>À la suite d’une évaluation de la Commission indiquant que l’outil est prêt réalisée sur la base des critères visés à l’article 36, paragraphe 6, du règlement financier, les trois institutions, sans préjudice de leurs compétences respectives, s’engagent à examiner et à rediscuter de l’utilisation obligatoire de l’outil pendant la durée du cadre financier pluriannuel pour l’après-2027.</w:t>
      </w:r>
    </w:p>
    <w:p w:rsidR="00BC6C0A" w:rsidRPr="00B10285" w:rsidRDefault="00BC6C0A" w:rsidP="00B10285">
      <w:pPr>
        <w:spacing w:before="120" w:after="120" w:line="360" w:lineRule="auto"/>
        <w:rPr>
          <w:lang w:val="fr-FR"/>
        </w:rPr>
      </w:pPr>
    </w:p>
    <w:p w:rsidR="00B10285" w:rsidRPr="00B10285" w:rsidRDefault="00B10285" w:rsidP="00B10285">
      <w:pPr>
        <w:spacing w:before="120" w:after="120" w:line="360" w:lineRule="auto"/>
        <w:jc w:val="center"/>
        <w:rPr>
          <w:b/>
          <w:u w:val="single"/>
          <w:lang w:val="fr-FR"/>
        </w:rPr>
      </w:pPr>
      <w:r w:rsidRPr="00B10285">
        <w:rPr>
          <w:b/>
          <w:u w:val="single"/>
          <w:lang w:val="fr-FR"/>
        </w:rPr>
        <w:t xml:space="preserve">Déclaration unilatérale de la Commission sur les dégagements à l’occasion de l’adoption du règlement </w:t>
      </w:r>
      <w:r w:rsidR="00BC6C0A" w:rsidRPr="00BC6C0A">
        <w:rPr>
          <w:b/>
          <w:u w:val="single"/>
          <w:lang w:val="fr-FR"/>
        </w:rPr>
        <w:t>(UE, Euratom)</w:t>
      </w:r>
      <w:r w:rsidR="00BC6C0A">
        <w:rPr>
          <w:b/>
          <w:u w:val="single"/>
          <w:lang w:val="fr-FR"/>
        </w:rPr>
        <w:t xml:space="preserve"> 2024/2509</w:t>
      </w:r>
    </w:p>
    <w:p w:rsidR="00B10285" w:rsidRPr="00B10285" w:rsidRDefault="00B10285" w:rsidP="00B10285">
      <w:pPr>
        <w:spacing w:before="120" w:after="120" w:line="360" w:lineRule="auto"/>
        <w:rPr>
          <w:lang w:val="fr-FR"/>
        </w:rPr>
      </w:pPr>
      <w:r w:rsidRPr="00B10285">
        <w:rPr>
          <w:lang w:val="fr-FR"/>
        </w:rPr>
        <w:t>Dans le contexte de la préparation du cadre financier pluriannuel pour la période postérieure à 2027, la Commission examinera la question de l’élargissement du champ d’application de la reconstitution de crédits correspondant à des dégagements. Cela est sans préjudice de la future proposition de la Commission relative au cadre financier pluriannuel pour la période postérieure à 2027 et du droit d’initiative législative de la Commission, tel qu’il est établi par les traités.</w:t>
      </w:r>
    </w:p>
    <w:p w:rsidR="00BC6C0A" w:rsidRPr="00B10285" w:rsidRDefault="00BC6C0A" w:rsidP="00B10285">
      <w:pPr>
        <w:spacing w:before="120" w:after="120" w:line="360" w:lineRule="auto"/>
        <w:jc w:val="center"/>
        <w:rPr>
          <w:b/>
          <w:u w:val="single"/>
          <w:lang w:val="fr-FR"/>
        </w:rPr>
      </w:pPr>
      <w:bookmarkStart w:id="8" w:name="_GoBack"/>
      <w:bookmarkEnd w:id="8"/>
    </w:p>
    <w:p w:rsidR="00B10285" w:rsidRPr="00B10285" w:rsidRDefault="00B10285" w:rsidP="00B10285">
      <w:pPr>
        <w:spacing w:before="120" w:after="120" w:line="360" w:lineRule="auto"/>
        <w:jc w:val="center"/>
        <w:rPr>
          <w:b/>
          <w:u w:val="single"/>
          <w:lang w:val="fr-FR"/>
        </w:rPr>
      </w:pPr>
      <w:r w:rsidRPr="00B10285">
        <w:rPr>
          <w:b/>
          <w:u w:val="single"/>
          <w:lang w:val="fr-FR"/>
        </w:rPr>
        <w:t xml:space="preserve">Déclaration unilatérale de la Commission sur le système de détection rapide et d’exclusion à l’occasion de l’adoption du règlement </w:t>
      </w:r>
      <w:r w:rsidR="00BC6C0A" w:rsidRPr="00BC6C0A">
        <w:rPr>
          <w:b/>
          <w:u w:val="single"/>
          <w:lang w:val="fr-FR"/>
        </w:rPr>
        <w:t>(UE, Euratom)</w:t>
      </w:r>
      <w:r w:rsidR="00BC6C0A">
        <w:rPr>
          <w:b/>
          <w:u w:val="single"/>
          <w:lang w:val="fr-FR"/>
        </w:rPr>
        <w:t xml:space="preserve"> </w:t>
      </w:r>
      <w:r w:rsidRPr="00B10285">
        <w:rPr>
          <w:b/>
          <w:u w:val="single"/>
          <w:lang w:val="fr-FR"/>
        </w:rPr>
        <w:t>2024/</w:t>
      </w:r>
      <w:r w:rsidR="00BC6C0A">
        <w:rPr>
          <w:b/>
          <w:u w:val="single"/>
          <w:lang w:val="fr-FR"/>
        </w:rPr>
        <w:t>2509</w:t>
      </w:r>
    </w:p>
    <w:p w:rsidR="00B10285" w:rsidRPr="00B10285" w:rsidRDefault="00B10285" w:rsidP="00B10285">
      <w:pPr>
        <w:spacing w:before="120" w:after="120" w:line="360" w:lineRule="auto"/>
        <w:rPr>
          <w:lang w:val="fr-FR"/>
        </w:rPr>
      </w:pPr>
      <w:r w:rsidRPr="00B10285">
        <w:rPr>
          <w:lang w:val="fr-FR"/>
        </w:rPr>
        <w:t xml:space="preserve">La Commission européenne reconnaît qu’il est important de limiter autant que possible la charge administrative pesant sur les autorités des États membres dans le cadre de l’extension ciblée du système de détection rapide et d’exclusion (EDES) à la gestion partagée et à la gestion directe avec les États membres. </w:t>
      </w:r>
    </w:p>
    <w:p w:rsidR="00B10285" w:rsidRPr="00B10285" w:rsidRDefault="00B10285" w:rsidP="00B10285">
      <w:pPr>
        <w:spacing w:before="120" w:after="120" w:line="360" w:lineRule="auto"/>
        <w:rPr>
          <w:lang w:val="fr-FR"/>
        </w:rPr>
      </w:pPr>
      <w:r w:rsidRPr="00B10285">
        <w:rPr>
          <w:lang w:val="fr-FR"/>
        </w:rPr>
        <w:t>La Commission s’engage à élaborer des orientations détaillées et à proposer aux États membres des séances de formation sur la mise en œuvre d’EDES et l’utilisation de sa base de données.</w:t>
      </w:r>
    </w:p>
    <w:p w:rsidR="00B10285" w:rsidRPr="00B10285" w:rsidRDefault="00B10285" w:rsidP="00B10285">
      <w:pPr>
        <w:spacing w:before="120" w:after="120" w:line="360" w:lineRule="auto"/>
        <w:rPr>
          <w:lang w:val="fr-FR"/>
        </w:rPr>
      </w:pPr>
      <w:r w:rsidRPr="00B10285">
        <w:rPr>
          <w:lang w:val="fr-FR"/>
        </w:rPr>
        <w:t>La Commission continuera d’améliorer la base de données EDES, notamment en offrant la possibilité de rechercher plusieurs entités et en perfectionnant la présentation de cette base de données.</w:t>
      </w:r>
    </w:p>
    <w:p w:rsidR="00B10285" w:rsidRPr="00B10285" w:rsidRDefault="00B10285" w:rsidP="00B10285">
      <w:pPr>
        <w:spacing w:before="120" w:after="120" w:line="360" w:lineRule="auto"/>
        <w:rPr>
          <w:lang w:val="fr-FR"/>
        </w:rPr>
      </w:pPr>
      <w:r w:rsidRPr="00B10285">
        <w:rPr>
          <w:lang w:val="fr-FR"/>
        </w:rPr>
        <w:t>La Commission s’efforcera de garantir l’interopérabilité informatique entre EDES et les systèmes nationaux correspondants afin de rationaliser le processus et de permettre des contrôles plus rapides des situations d’exclusion des personnes ou entités concernées.</w:t>
      </w:r>
    </w:p>
    <w:p w:rsidR="00B10285" w:rsidRPr="00B10285" w:rsidRDefault="00B10285" w:rsidP="00B10285">
      <w:pPr>
        <w:spacing w:before="120" w:after="120" w:line="360" w:lineRule="auto"/>
        <w:rPr>
          <w:lang w:val="fr-FR"/>
        </w:rPr>
      </w:pPr>
      <w:r w:rsidRPr="00B10285">
        <w:rPr>
          <w:lang w:val="fr-FR"/>
        </w:rPr>
        <w:lastRenderedPageBreak/>
        <w:t>La Commission confirme que toute demande d’informations supplémentaires aux fins d’EDES n’ira pas au-delà de ce qui est strictement nécessaire et proportionné et sera traitée conformément aux règles applicables en matière de protection des données. Il convient de rappeler que dans son avis sur la proposition de refonte du règlement financier présentée par la Commission, le Contrôleur européen de la protection des données n’a fait part d’aucune préoccupation en ce qui concerne EDES.</w:t>
      </w:r>
    </w:p>
    <w:p w:rsidR="00B10285" w:rsidRPr="00B10285" w:rsidRDefault="00B10285" w:rsidP="00B10285">
      <w:pPr>
        <w:spacing w:before="120" w:after="120" w:line="360" w:lineRule="auto"/>
        <w:rPr>
          <w:lang w:val="fr-FR"/>
        </w:rPr>
      </w:pPr>
      <w:r w:rsidRPr="00B10285">
        <w:rPr>
          <w:lang w:val="fr-FR"/>
        </w:rPr>
        <w:t>La Commission est résolue à faciliter une transition en douceur vers l’application d’EDES en totale coopération avec les États membres.</w:t>
      </w:r>
    </w:p>
    <w:p w:rsidR="00CB0827" w:rsidRPr="00B10285" w:rsidRDefault="00CB0827" w:rsidP="00CB0827">
      <w:pPr>
        <w:rPr>
          <w:lang w:val="fr-FR"/>
        </w:rPr>
      </w:pPr>
    </w:p>
    <w:p w:rsidR="008765BE" w:rsidRPr="00B10285" w:rsidRDefault="008765BE">
      <w:pPr>
        <w:rPr>
          <w:lang w:val="fr-FR"/>
        </w:rPr>
      </w:pPr>
    </w:p>
    <w:sectPr w:rsidR="008765BE" w:rsidRPr="00B10285" w:rsidSect="00CB0827">
      <w:footerReference w:type="even" r:id="rId8"/>
      <w:footerReference w:type="default" r:id="rId9"/>
      <w:footerReference w:type="first" r:id="rId10"/>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0827" w:rsidRDefault="00CB0827" w:rsidP="00CB0827">
      <w:r>
        <w:separator/>
      </w:r>
    </w:p>
  </w:endnote>
  <w:endnote w:type="continuationSeparator" w:id="0">
    <w:p w:rsidR="00CB0827" w:rsidRDefault="00CB0827" w:rsidP="00CB08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0827" w:rsidRPr="004C603E" w:rsidRDefault="00CB0827" w:rsidP="00CB0827">
    <w:pPr>
      <w:pStyle w:val="EPFooter"/>
    </w:pPr>
    <w:r w:rsidRPr="004C603E">
      <w:tab/>
    </w:r>
    <w:r w:rsidRPr="004C603E">
      <w:fldChar w:fldCharType="begin"/>
    </w:r>
    <w:r w:rsidRPr="004C603E">
      <w:instrText xml:space="preserve"> PAGE </w:instrText>
    </w:r>
    <w:r w:rsidRPr="004C603E">
      <w:fldChar w:fldCharType="separate"/>
    </w:r>
    <w:r>
      <w:rPr>
        <w:noProof/>
      </w:rPr>
      <w:t>18</w:t>
    </w:r>
    <w:r w:rsidRPr="004C603E">
      <w:fldChar w:fldCharType="end"/>
    </w:r>
    <w:r w:rsidRPr="004C603E">
      <w:t>/</w:t>
    </w:r>
    <w:r w:rsidRPr="004C603E">
      <w:fldChar w:fldCharType="begin"/>
    </w:r>
    <w:r w:rsidRPr="004C603E">
      <w:instrText xml:space="preserve"> NUMPAGES </w:instrText>
    </w:r>
    <w:r w:rsidRPr="004C603E">
      <w:fldChar w:fldCharType="separate"/>
    </w:r>
    <w:r>
      <w:rPr>
        <w:noProof/>
      </w:rPr>
      <w:t>20</w:t>
    </w:r>
    <w:r w:rsidRPr="004C603E">
      <w:rPr>
        <w:noProof/>
      </w:rPr>
      <w:fldChar w:fldCharType="end"/>
    </w:r>
    <w:r w:rsidRPr="004C603E">
      <w:tab/>
    </w:r>
  </w:p>
  <w:p w:rsidR="00CB0827" w:rsidRPr="004C603E" w:rsidRDefault="00CB0827">
    <w:pPr>
      <w:pStyle w:val="EPFooter2"/>
    </w:pPr>
    <w:r w:rsidRPr="004C603E">
      <w:fldChar w:fldCharType="begin"/>
    </w:r>
    <w:r w:rsidRPr="004C603E">
      <w:instrText xml:space="preserve"> DOCPROPERTY "&lt;Extension&gt;" </w:instrText>
    </w:r>
    <w:r w:rsidRPr="004C603E">
      <w:fldChar w:fldCharType="separate"/>
    </w:r>
    <w:r>
      <w:t>FR</w:t>
    </w:r>
    <w:r w:rsidRPr="004C603E">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0827" w:rsidRPr="00006033" w:rsidRDefault="00CB0827" w:rsidP="0000603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0827" w:rsidRPr="00006033" w:rsidRDefault="00CB0827" w:rsidP="000060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0827" w:rsidRDefault="00CB0827" w:rsidP="00CB0827">
      <w:r>
        <w:separator/>
      </w:r>
    </w:p>
  </w:footnote>
  <w:footnote w:type="continuationSeparator" w:id="0">
    <w:p w:rsidR="00CB0827" w:rsidRDefault="00CB0827" w:rsidP="00CB0827">
      <w:r>
        <w:continuationSeparator/>
      </w:r>
    </w:p>
  </w:footnote>
  <w:footnote w:id="1">
    <w:p w:rsidR="00CB0827" w:rsidRPr="008D54A6" w:rsidRDefault="00CB0827" w:rsidP="00CB0827">
      <w:pPr>
        <w:pStyle w:val="FootnoteText"/>
        <w:ind w:left="567" w:hanging="567"/>
        <w:rPr>
          <w:sz w:val="24"/>
          <w:szCs w:val="24"/>
          <w:lang w:val="da-DK"/>
        </w:rPr>
      </w:pPr>
      <w:r w:rsidRPr="008D54A6">
        <w:rPr>
          <w:rStyle w:val="FootnoteReference"/>
          <w:rFonts w:eastAsiaTheme="majorEastAsia"/>
        </w:rPr>
        <w:footnoteRef/>
      </w:r>
      <w:r w:rsidRPr="008D54A6">
        <w:rPr>
          <w:sz w:val="24"/>
          <w:szCs w:val="24"/>
          <w:lang w:val="da-DK"/>
        </w:rPr>
        <w:t xml:space="preserve"> </w:t>
      </w:r>
      <w:r w:rsidRPr="008D54A6">
        <w:rPr>
          <w:sz w:val="24"/>
          <w:szCs w:val="24"/>
          <w:lang w:val="da-DK"/>
        </w:rPr>
        <w:tab/>
        <w:t>JO C 446 du 24.11.2022, p. 26.</w:t>
      </w:r>
    </w:p>
  </w:footnote>
  <w:footnote w:id="2">
    <w:p w:rsidR="00CB0827" w:rsidRPr="008D54A6" w:rsidRDefault="00CB0827" w:rsidP="00CB0827">
      <w:pPr>
        <w:pStyle w:val="FootnoteText"/>
        <w:ind w:left="567" w:hanging="567"/>
        <w:rPr>
          <w:sz w:val="24"/>
          <w:szCs w:val="24"/>
          <w:lang w:val="da-DK"/>
        </w:rPr>
      </w:pPr>
      <w:r w:rsidRPr="008D54A6">
        <w:rPr>
          <w:rStyle w:val="FootnoteReference"/>
          <w:rFonts w:eastAsiaTheme="majorEastAsia"/>
        </w:rPr>
        <w:footnoteRef/>
      </w:r>
      <w:r w:rsidRPr="008D54A6">
        <w:rPr>
          <w:sz w:val="24"/>
          <w:szCs w:val="24"/>
          <w:lang w:val="da-DK"/>
        </w:rPr>
        <w:t xml:space="preserve"> </w:t>
      </w:r>
      <w:r w:rsidRPr="008D54A6">
        <w:rPr>
          <w:sz w:val="24"/>
          <w:szCs w:val="24"/>
          <w:lang w:val="da-DK"/>
        </w:rPr>
        <w:tab/>
        <w:t>JO C 77 du 28.3.2002, p. 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6A4535B1"/>
    <w:multiLevelType w:val="hybridMultilevel"/>
    <w:tmpl w:val="228A622E"/>
    <w:lvl w:ilvl="0" w:tplc="B30A01DE">
      <w:start w:val="1"/>
      <w:numFmt w:val="bullet"/>
      <w:lvlText w:val=""/>
      <w:lvlJc w:val="left"/>
      <w:pPr>
        <w:ind w:left="360" w:hanging="360"/>
      </w:pPr>
      <w:rPr>
        <w:rFonts w:ascii="Symbol" w:hAnsi="Symbol" w:hint="default"/>
      </w:rPr>
    </w:lvl>
    <w:lvl w:ilvl="1" w:tplc="F44A3EB8" w:tentative="1">
      <w:start w:val="1"/>
      <w:numFmt w:val="bullet"/>
      <w:lvlText w:val="o"/>
      <w:lvlJc w:val="left"/>
      <w:pPr>
        <w:ind w:left="1080" w:hanging="360"/>
      </w:pPr>
      <w:rPr>
        <w:rFonts w:ascii="Courier New" w:hAnsi="Courier New" w:cs="Courier New" w:hint="default"/>
      </w:rPr>
    </w:lvl>
    <w:lvl w:ilvl="2" w:tplc="66368A38" w:tentative="1">
      <w:start w:val="1"/>
      <w:numFmt w:val="bullet"/>
      <w:lvlText w:val=""/>
      <w:lvlJc w:val="left"/>
      <w:pPr>
        <w:ind w:left="1800" w:hanging="360"/>
      </w:pPr>
      <w:rPr>
        <w:rFonts w:ascii="Wingdings" w:hAnsi="Wingdings" w:hint="default"/>
      </w:rPr>
    </w:lvl>
    <w:lvl w:ilvl="3" w:tplc="E6D87B8C" w:tentative="1">
      <w:start w:val="1"/>
      <w:numFmt w:val="bullet"/>
      <w:lvlText w:val=""/>
      <w:lvlJc w:val="left"/>
      <w:pPr>
        <w:ind w:left="2520" w:hanging="360"/>
      </w:pPr>
      <w:rPr>
        <w:rFonts w:ascii="Symbol" w:hAnsi="Symbol" w:hint="default"/>
      </w:rPr>
    </w:lvl>
    <w:lvl w:ilvl="4" w:tplc="4A2E5BC2" w:tentative="1">
      <w:start w:val="1"/>
      <w:numFmt w:val="bullet"/>
      <w:lvlText w:val="o"/>
      <w:lvlJc w:val="left"/>
      <w:pPr>
        <w:ind w:left="3240" w:hanging="360"/>
      </w:pPr>
      <w:rPr>
        <w:rFonts w:ascii="Courier New" w:hAnsi="Courier New" w:cs="Courier New" w:hint="default"/>
      </w:rPr>
    </w:lvl>
    <w:lvl w:ilvl="5" w:tplc="BEBA86CA" w:tentative="1">
      <w:start w:val="1"/>
      <w:numFmt w:val="bullet"/>
      <w:lvlText w:val=""/>
      <w:lvlJc w:val="left"/>
      <w:pPr>
        <w:ind w:left="3960" w:hanging="360"/>
      </w:pPr>
      <w:rPr>
        <w:rFonts w:ascii="Wingdings" w:hAnsi="Wingdings" w:hint="default"/>
      </w:rPr>
    </w:lvl>
    <w:lvl w:ilvl="6" w:tplc="80B41B34" w:tentative="1">
      <w:start w:val="1"/>
      <w:numFmt w:val="bullet"/>
      <w:lvlText w:val=""/>
      <w:lvlJc w:val="left"/>
      <w:pPr>
        <w:ind w:left="4680" w:hanging="360"/>
      </w:pPr>
      <w:rPr>
        <w:rFonts w:ascii="Symbol" w:hAnsi="Symbol" w:hint="default"/>
      </w:rPr>
    </w:lvl>
    <w:lvl w:ilvl="7" w:tplc="DDA6DCB0" w:tentative="1">
      <w:start w:val="1"/>
      <w:numFmt w:val="bullet"/>
      <w:lvlText w:val="o"/>
      <w:lvlJc w:val="left"/>
      <w:pPr>
        <w:ind w:left="5400" w:hanging="360"/>
      </w:pPr>
      <w:rPr>
        <w:rFonts w:ascii="Courier New" w:hAnsi="Courier New" w:cs="Courier New" w:hint="default"/>
      </w:rPr>
    </w:lvl>
    <w:lvl w:ilvl="8" w:tplc="F57898BE" w:tentative="1">
      <w:start w:val="1"/>
      <w:numFmt w:val="bullet"/>
      <w:lvlText w:val=""/>
      <w:lvlJc w:val="left"/>
      <w:pPr>
        <w:ind w:left="612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 w:numId="12">
    <w:abstractNumId w:val="11"/>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activeWritingStyle w:appName="MSWord" w:lang="fr-FR" w:vendorID="64" w:dllVersion="131078" w:nlCheck="1" w:checkStyle="0"/>
  <w:activeWritingStyle w:appName="MSWord" w:lang="en-GB" w:vendorID="64" w:dllVersion="131078" w:nlCheck="1" w:checkStyle="1"/>
  <w:activeWritingStyle w:appName="MSWord" w:lang="da-DK" w:vendorID="64" w:dllVersion="131078" w:nlCheck="1" w:checkStyle="0"/>
  <w:activeWritingStyle w:appName="MSWord" w:lang="fr-BE" w:vendorID="64" w:dllVersion="131078" w:nlCheck="1" w:checkStyle="0"/>
  <w:proofState w:spelling="clean" w:grammar="clean"/>
  <w:defaultTabStop w:val="720"/>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A58"/>
    <w:rsid w:val="00006033"/>
    <w:rsid w:val="000F2210"/>
    <w:rsid w:val="001C5A58"/>
    <w:rsid w:val="005762E3"/>
    <w:rsid w:val="00702AAD"/>
    <w:rsid w:val="008765BE"/>
    <w:rsid w:val="00B10285"/>
    <w:rsid w:val="00BC6C0A"/>
    <w:rsid w:val="00C8481A"/>
    <w:rsid w:val="00CB082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59B40D"/>
  <w15:chartTrackingRefBased/>
  <w15:docId w15:val="{96FD0553-3D5D-474C-85CC-E5293D3D9A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imes New Roman"/>
        <w:sz w:val="22"/>
        <w:szCs w:val="22"/>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762E3"/>
    <w:pPr>
      <w:jc w:val="both"/>
    </w:pPr>
    <w:rPr>
      <w:rFonts w:ascii="Times New Roman" w:hAnsi="Times New Roman"/>
      <w:sz w:val="24"/>
      <w:szCs w:val="24"/>
    </w:rPr>
  </w:style>
  <w:style w:type="paragraph" w:styleId="Heading1">
    <w:name w:val="heading 1"/>
    <w:basedOn w:val="Normal"/>
    <w:next w:val="Normal"/>
    <w:link w:val="Heading1Char"/>
    <w:uiPriority w:val="9"/>
    <w:qFormat/>
    <w:rsid w:val="005762E3"/>
    <w:pPr>
      <w:keepNext/>
      <w:spacing w:before="240" w:after="60"/>
      <w:outlineLvl w:val="0"/>
    </w:pPr>
    <w:rPr>
      <w:rFonts w:ascii="Arial" w:eastAsiaTheme="majorEastAsia" w:hAnsi="Arial" w:cs="Arial"/>
      <w:b/>
      <w:bCs/>
      <w:kern w:val="32"/>
      <w:sz w:val="32"/>
      <w:szCs w:val="32"/>
    </w:rPr>
  </w:style>
  <w:style w:type="paragraph" w:styleId="Heading2">
    <w:name w:val="heading 2"/>
    <w:basedOn w:val="Normal"/>
    <w:next w:val="Normal"/>
    <w:link w:val="Heading2Char"/>
    <w:uiPriority w:val="9"/>
    <w:semiHidden/>
    <w:unhideWhenUsed/>
    <w:qFormat/>
    <w:rsid w:val="005762E3"/>
    <w:pPr>
      <w:keepNext/>
      <w:spacing w:before="240" w:after="60"/>
      <w:outlineLvl w:val="1"/>
    </w:pPr>
    <w:rPr>
      <w:rFonts w:ascii="Arial" w:eastAsiaTheme="majorEastAsia" w:hAnsi="Arial" w:cs="Arial"/>
      <w:b/>
      <w:bCs/>
      <w:i/>
      <w:iCs/>
      <w:sz w:val="28"/>
      <w:szCs w:val="28"/>
    </w:rPr>
  </w:style>
  <w:style w:type="paragraph" w:styleId="Heading3">
    <w:name w:val="heading 3"/>
    <w:basedOn w:val="Normal"/>
    <w:next w:val="Normal"/>
    <w:link w:val="Heading3Char"/>
    <w:uiPriority w:val="9"/>
    <w:semiHidden/>
    <w:unhideWhenUsed/>
    <w:qFormat/>
    <w:rsid w:val="005762E3"/>
    <w:pPr>
      <w:keepNext/>
      <w:spacing w:before="240" w:after="60"/>
      <w:outlineLvl w:val="2"/>
    </w:pPr>
    <w:rPr>
      <w:rFonts w:ascii="Arial" w:eastAsiaTheme="majorEastAsia" w:hAnsi="Arial" w:cs="Arial"/>
      <w:b/>
      <w:bCs/>
      <w:sz w:val="26"/>
      <w:szCs w:val="26"/>
    </w:rPr>
  </w:style>
  <w:style w:type="paragraph" w:styleId="Heading4">
    <w:name w:val="heading 4"/>
    <w:basedOn w:val="Normal"/>
    <w:next w:val="Normal"/>
    <w:link w:val="Heading4Char"/>
    <w:uiPriority w:val="9"/>
    <w:semiHidden/>
    <w:unhideWhenUsed/>
    <w:qFormat/>
    <w:rsid w:val="005762E3"/>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5762E3"/>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5762E3"/>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5762E3"/>
    <w:pPr>
      <w:spacing w:before="240" w:after="60"/>
      <w:outlineLvl w:val="6"/>
    </w:pPr>
  </w:style>
  <w:style w:type="paragraph" w:styleId="Heading8">
    <w:name w:val="heading 8"/>
    <w:basedOn w:val="Normal"/>
    <w:next w:val="Normal"/>
    <w:link w:val="Heading8Char"/>
    <w:uiPriority w:val="9"/>
    <w:semiHidden/>
    <w:unhideWhenUsed/>
    <w:qFormat/>
    <w:rsid w:val="005762E3"/>
    <w:pPr>
      <w:spacing w:before="240" w:after="60"/>
      <w:outlineLvl w:val="7"/>
    </w:pPr>
    <w:rPr>
      <w:i/>
      <w:iCs/>
    </w:rPr>
  </w:style>
  <w:style w:type="paragraph" w:styleId="Heading9">
    <w:name w:val="heading 9"/>
    <w:basedOn w:val="Normal"/>
    <w:next w:val="Normal"/>
    <w:link w:val="Heading9Char"/>
    <w:uiPriority w:val="9"/>
    <w:semiHidden/>
    <w:unhideWhenUsed/>
    <w:qFormat/>
    <w:rsid w:val="005762E3"/>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62E3"/>
    <w:rPr>
      <w:rFonts w:ascii="Arial" w:eastAsiaTheme="majorEastAsia" w:hAnsi="Arial" w:cs="Arial"/>
      <w:b/>
      <w:bCs/>
      <w:kern w:val="32"/>
      <w:sz w:val="32"/>
      <w:szCs w:val="32"/>
    </w:rPr>
  </w:style>
  <w:style w:type="character" w:customStyle="1" w:styleId="Heading2Char">
    <w:name w:val="Heading 2 Char"/>
    <w:basedOn w:val="DefaultParagraphFont"/>
    <w:link w:val="Heading2"/>
    <w:uiPriority w:val="9"/>
    <w:semiHidden/>
    <w:rsid w:val="005762E3"/>
    <w:rPr>
      <w:rFonts w:ascii="Arial" w:eastAsiaTheme="majorEastAsia" w:hAnsi="Arial" w:cs="Arial"/>
      <w:b/>
      <w:bCs/>
      <w:i/>
      <w:iCs/>
      <w:sz w:val="28"/>
      <w:szCs w:val="28"/>
    </w:rPr>
  </w:style>
  <w:style w:type="character" w:customStyle="1" w:styleId="Heading3Char">
    <w:name w:val="Heading 3 Char"/>
    <w:basedOn w:val="DefaultParagraphFont"/>
    <w:link w:val="Heading3"/>
    <w:uiPriority w:val="9"/>
    <w:semiHidden/>
    <w:rsid w:val="005762E3"/>
    <w:rPr>
      <w:rFonts w:ascii="Arial" w:eastAsiaTheme="majorEastAsia" w:hAnsi="Arial" w:cs="Arial"/>
      <w:b/>
      <w:bCs/>
      <w:sz w:val="26"/>
      <w:szCs w:val="26"/>
    </w:rPr>
  </w:style>
  <w:style w:type="character" w:customStyle="1" w:styleId="Heading4Char">
    <w:name w:val="Heading 4 Char"/>
    <w:basedOn w:val="DefaultParagraphFont"/>
    <w:link w:val="Heading4"/>
    <w:uiPriority w:val="9"/>
    <w:semiHidden/>
    <w:rsid w:val="005762E3"/>
    <w:rPr>
      <w:b/>
      <w:bCs/>
      <w:sz w:val="28"/>
      <w:szCs w:val="28"/>
    </w:rPr>
  </w:style>
  <w:style w:type="character" w:customStyle="1" w:styleId="Heading5Char">
    <w:name w:val="Heading 5 Char"/>
    <w:basedOn w:val="DefaultParagraphFont"/>
    <w:link w:val="Heading5"/>
    <w:uiPriority w:val="9"/>
    <w:semiHidden/>
    <w:rsid w:val="005762E3"/>
    <w:rPr>
      <w:b/>
      <w:bCs/>
      <w:i/>
      <w:iCs/>
      <w:sz w:val="26"/>
      <w:szCs w:val="26"/>
    </w:rPr>
  </w:style>
  <w:style w:type="character" w:customStyle="1" w:styleId="Heading6Char">
    <w:name w:val="Heading 6 Char"/>
    <w:basedOn w:val="DefaultParagraphFont"/>
    <w:link w:val="Heading6"/>
    <w:uiPriority w:val="9"/>
    <w:semiHidden/>
    <w:rsid w:val="005762E3"/>
    <w:rPr>
      <w:b/>
      <w:bCs/>
    </w:rPr>
  </w:style>
  <w:style w:type="character" w:customStyle="1" w:styleId="Heading7Char">
    <w:name w:val="Heading 7 Char"/>
    <w:basedOn w:val="DefaultParagraphFont"/>
    <w:link w:val="Heading7"/>
    <w:uiPriority w:val="9"/>
    <w:semiHidden/>
    <w:rsid w:val="005762E3"/>
    <w:rPr>
      <w:sz w:val="24"/>
      <w:szCs w:val="24"/>
    </w:rPr>
  </w:style>
  <w:style w:type="character" w:customStyle="1" w:styleId="Heading8Char">
    <w:name w:val="Heading 8 Char"/>
    <w:basedOn w:val="DefaultParagraphFont"/>
    <w:link w:val="Heading8"/>
    <w:uiPriority w:val="9"/>
    <w:semiHidden/>
    <w:rsid w:val="005762E3"/>
    <w:rPr>
      <w:i/>
      <w:iCs/>
      <w:sz w:val="24"/>
      <w:szCs w:val="24"/>
    </w:rPr>
  </w:style>
  <w:style w:type="character" w:customStyle="1" w:styleId="Heading9Char">
    <w:name w:val="Heading 9 Char"/>
    <w:basedOn w:val="DefaultParagraphFont"/>
    <w:link w:val="Heading9"/>
    <w:uiPriority w:val="9"/>
    <w:semiHidden/>
    <w:rsid w:val="005762E3"/>
    <w:rPr>
      <w:rFonts w:asciiTheme="majorHAnsi" w:eastAsiaTheme="majorEastAsia" w:hAnsiTheme="majorHAnsi"/>
    </w:rPr>
  </w:style>
  <w:style w:type="paragraph" w:styleId="Title">
    <w:name w:val="Title"/>
    <w:basedOn w:val="Normal"/>
    <w:next w:val="Normal"/>
    <w:link w:val="TitleChar"/>
    <w:uiPriority w:val="10"/>
    <w:qFormat/>
    <w:rsid w:val="005762E3"/>
    <w:pPr>
      <w:spacing w:before="240" w:after="60"/>
      <w:jc w:val="center"/>
      <w:outlineLvl w:val="0"/>
    </w:pPr>
    <w:rPr>
      <w:rFonts w:ascii="Arial" w:eastAsiaTheme="majorEastAsia" w:hAnsi="Arial" w:cs="Arial"/>
      <w:b/>
      <w:bCs/>
      <w:kern w:val="28"/>
      <w:sz w:val="32"/>
      <w:szCs w:val="32"/>
    </w:rPr>
  </w:style>
  <w:style w:type="character" w:customStyle="1" w:styleId="TitleChar">
    <w:name w:val="Title Char"/>
    <w:basedOn w:val="DefaultParagraphFont"/>
    <w:link w:val="Title"/>
    <w:uiPriority w:val="10"/>
    <w:rsid w:val="005762E3"/>
    <w:rPr>
      <w:rFonts w:ascii="Arial" w:eastAsiaTheme="majorEastAsia" w:hAnsi="Arial" w:cs="Arial"/>
      <w:b/>
      <w:bCs/>
      <w:kern w:val="28"/>
      <w:sz w:val="32"/>
      <w:szCs w:val="32"/>
    </w:rPr>
  </w:style>
  <w:style w:type="paragraph" w:styleId="Subtitle">
    <w:name w:val="Subtitle"/>
    <w:basedOn w:val="Normal"/>
    <w:next w:val="Normal"/>
    <w:link w:val="SubtitleChar"/>
    <w:uiPriority w:val="11"/>
    <w:qFormat/>
    <w:rsid w:val="005762E3"/>
    <w:pPr>
      <w:spacing w:after="60"/>
      <w:jc w:val="center"/>
      <w:outlineLvl w:val="1"/>
    </w:pPr>
    <w:rPr>
      <w:rFonts w:ascii="Arial" w:eastAsiaTheme="majorEastAsia" w:hAnsi="Arial" w:cs="Arial"/>
    </w:rPr>
  </w:style>
  <w:style w:type="character" w:customStyle="1" w:styleId="SubtitleChar">
    <w:name w:val="Subtitle Char"/>
    <w:basedOn w:val="DefaultParagraphFont"/>
    <w:link w:val="Subtitle"/>
    <w:uiPriority w:val="11"/>
    <w:rsid w:val="005762E3"/>
    <w:rPr>
      <w:rFonts w:ascii="Arial" w:eastAsiaTheme="majorEastAsia" w:hAnsi="Arial" w:cs="Arial"/>
      <w:sz w:val="24"/>
      <w:szCs w:val="24"/>
    </w:rPr>
  </w:style>
  <w:style w:type="character" w:styleId="Strong">
    <w:name w:val="Strong"/>
    <w:basedOn w:val="DefaultParagraphFont"/>
    <w:uiPriority w:val="22"/>
    <w:qFormat/>
    <w:rsid w:val="005762E3"/>
    <w:rPr>
      <w:b/>
      <w:bCs/>
    </w:rPr>
  </w:style>
  <w:style w:type="character" w:styleId="Emphasis">
    <w:name w:val="Emphasis"/>
    <w:basedOn w:val="DefaultParagraphFont"/>
    <w:uiPriority w:val="20"/>
    <w:qFormat/>
    <w:rsid w:val="005762E3"/>
    <w:rPr>
      <w:rFonts w:asciiTheme="minorHAnsi" w:hAnsiTheme="minorHAnsi"/>
      <w:b/>
      <w:i/>
      <w:iCs/>
    </w:rPr>
  </w:style>
  <w:style w:type="paragraph" w:styleId="NoSpacing">
    <w:name w:val="No Spacing"/>
    <w:basedOn w:val="Normal"/>
    <w:uiPriority w:val="1"/>
    <w:qFormat/>
    <w:rsid w:val="005762E3"/>
    <w:rPr>
      <w:szCs w:val="32"/>
    </w:rPr>
  </w:style>
  <w:style w:type="paragraph" w:styleId="ListParagraph">
    <w:name w:val="List Paragraph"/>
    <w:basedOn w:val="Normal"/>
    <w:uiPriority w:val="34"/>
    <w:qFormat/>
    <w:rsid w:val="005762E3"/>
    <w:pPr>
      <w:ind w:left="720"/>
      <w:contextualSpacing/>
    </w:pPr>
  </w:style>
  <w:style w:type="paragraph" w:styleId="Quote">
    <w:name w:val="Quote"/>
    <w:basedOn w:val="Normal"/>
    <w:next w:val="Normal"/>
    <w:link w:val="QuoteChar"/>
    <w:uiPriority w:val="29"/>
    <w:qFormat/>
    <w:rsid w:val="005762E3"/>
    <w:rPr>
      <w:i/>
    </w:rPr>
  </w:style>
  <w:style w:type="character" w:customStyle="1" w:styleId="QuoteChar">
    <w:name w:val="Quote Char"/>
    <w:basedOn w:val="DefaultParagraphFont"/>
    <w:link w:val="Quote"/>
    <w:uiPriority w:val="29"/>
    <w:rsid w:val="005762E3"/>
    <w:rPr>
      <w:i/>
      <w:sz w:val="24"/>
      <w:szCs w:val="24"/>
    </w:rPr>
  </w:style>
  <w:style w:type="paragraph" w:styleId="IntenseQuote">
    <w:name w:val="Intense Quote"/>
    <w:basedOn w:val="Normal"/>
    <w:next w:val="Normal"/>
    <w:link w:val="IntenseQuoteChar"/>
    <w:uiPriority w:val="30"/>
    <w:qFormat/>
    <w:rsid w:val="005762E3"/>
    <w:pPr>
      <w:ind w:left="720" w:right="720"/>
    </w:pPr>
    <w:rPr>
      <w:b/>
      <w:i/>
      <w:szCs w:val="22"/>
    </w:rPr>
  </w:style>
  <w:style w:type="character" w:customStyle="1" w:styleId="IntenseQuoteChar">
    <w:name w:val="Intense Quote Char"/>
    <w:basedOn w:val="DefaultParagraphFont"/>
    <w:link w:val="IntenseQuote"/>
    <w:uiPriority w:val="30"/>
    <w:rsid w:val="005762E3"/>
    <w:rPr>
      <w:b/>
      <w:i/>
      <w:sz w:val="24"/>
    </w:rPr>
  </w:style>
  <w:style w:type="character" w:styleId="SubtleEmphasis">
    <w:name w:val="Subtle Emphasis"/>
    <w:uiPriority w:val="19"/>
    <w:qFormat/>
    <w:rsid w:val="005762E3"/>
    <w:rPr>
      <w:i/>
      <w:color w:val="5A5A5A" w:themeColor="text1" w:themeTint="A5"/>
    </w:rPr>
  </w:style>
  <w:style w:type="character" w:styleId="IntenseEmphasis">
    <w:name w:val="Intense Emphasis"/>
    <w:basedOn w:val="DefaultParagraphFont"/>
    <w:uiPriority w:val="21"/>
    <w:qFormat/>
    <w:rsid w:val="005762E3"/>
    <w:rPr>
      <w:b/>
      <w:i/>
      <w:sz w:val="24"/>
      <w:szCs w:val="24"/>
      <w:u w:val="single"/>
    </w:rPr>
  </w:style>
  <w:style w:type="character" w:styleId="SubtleReference">
    <w:name w:val="Subtle Reference"/>
    <w:basedOn w:val="DefaultParagraphFont"/>
    <w:uiPriority w:val="31"/>
    <w:qFormat/>
    <w:rsid w:val="005762E3"/>
    <w:rPr>
      <w:sz w:val="24"/>
      <w:szCs w:val="24"/>
      <w:u w:val="single"/>
    </w:rPr>
  </w:style>
  <w:style w:type="character" w:styleId="IntenseReference">
    <w:name w:val="Intense Reference"/>
    <w:basedOn w:val="DefaultParagraphFont"/>
    <w:uiPriority w:val="32"/>
    <w:qFormat/>
    <w:rsid w:val="005762E3"/>
    <w:rPr>
      <w:b/>
      <w:sz w:val="24"/>
      <w:u w:val="single"/>
    </w:rPr>
  </w:style>
  <w:style w:type="character" w:styleId="BookTitle">
    <w:name w:val="Book Title"/>
    <w:basedOn w:val="DefaultParagraphFont"/>
    <w:uiPriority w:val="33"/>
    <w:qFormat/>
    <w:rsid w:val="005762E3"/>
    <w:rPr>
      <w:rFonts w:asciiTheme="majorHAnsi" w:eastAsiaTheme="majorEastAsia" w:hAnsiTheme="majorHAnsi"/>
      <w:b/>
      <w:i/>
      <w:sz w:val="24"/>
      <w:szCs w:val="24"/>
    </w:rPr>
  </w:style>
  <w:style w:type="paragraph" w:styleId="TOCHeading">
    <w:name w:val="TOC Heading"/>
    <w:basedOn w:val="Heading1"/>
    <w:next w:val="Normal"/>
    <w:uiPriority w:val="39"/>
    <w:unhideWhenUsed/>
    <w:qFormat/>
    <w:rsid w:val="005762E3"/>
    <w:pPr>
      <w:outlineLvl w:val="9"/>
    </w:pPr>
  </w:style>
  <w:style w:type="character" w:customStyle="1" w:styleId="HideTWBExt">
    <w:name w:val="HideTWBExt"/>
    <w:rsid w:val="00CB0827"/>
    <w:rPr>
      <w:rFonts w:ascii="Arial" w:hAnsi="Arial"/>
      <w:noProof/>
      <w:vanish/>
      <w:color w:val="000080"/>
      <w:sz w:val="20"/>
    </w:rPr>
  </w:style>
  <w:style w:type="paragraph" w:customStyle="1" w:styleId="EPFooter2">
    <w:name w:val="EPFooter2"/>
    <w:basedOn w:val="Normal"/>
    <w:next w:val="Normal"/>
    <w:rsid w:val="00CB0827"/>
    <w:pPr>
      <w:tabs>
        <w:tab w:val="center" w:pos="4535"/>
        <w:tab w:val="right" w:pos="9921"/>
      </w:tabs>
      <w:ind w:left="-850" w:right="-850"/>
      <w:jc w:val="left"/>
    </w:pPr>
    <w:rPr>
      <w:rFonts w:ascii="Arial" w:eastAsia="Times New Roman" w:hAnsi="Arial" w:cs="Arial"/>
      <w:b/>
      <w:sz w:val="48"/>
      <w:szCs w:val="20"/>
      <w:lang w:val="fr-FR" w:eastAsia="en-GB"/>
    </w:rPr>
  </w:style>
  <w:style w:type="paragraph" w:customStyle="1" w:styleId="Normal12a">
    <w:name w:val="Normal12a"/>
    <w:basedOn w:val="Normal"/>
    <w:rsid w:val="00CB0827"/>
    <w:pPr>
      <w:widowControl w:val="0"/>
      <w:spacing w:after="240"/>
      <w:jc w:val="left"/>
    </w:pPr>
    <w:rPr>
      <w:rFonts w:eastAsia="Times New Roman"/>
      <w:szCs w:val="20"/>
      <w:lang w:val="fr-FR" w:eastAsia="en-GB"/>
    </w:rPr>
  </w:style>
  <w:style w:type="paragraph" w:styleId="TOC1">
    <w:name w:val="toc 1"/>
    <w:basedOn w:val="Normal12a"/>
    <w:next w:val="Normal12a"/>
    <w:autoRedefine/>
    <w:uiPriority w:val="39"/>
    <w:rsid w:val="00CB0827"/>
  </w:style>
  <w:style w:type="character" w:customStyle="1" w:styleId="HideTWBInt">
    <w:name w:val="HideTWBInt"/>
    <w:rsid w:val="00CB0827"/>
    <w:rPr>
      <w:rFonts w:ascii="Arial" w:hAnsi="Arial" w:cs="Arial"/>
      <w:vanish/>
      <w:color w:val="808080"/>
      <w:sz w:val="20"/>
    </w:rPr>
  </w:style>
  <w:style w:type="paragraph" w:customStyle="1" w:styleId="EPName">
    <w:name w:val="EPName"/>
    <w:basedOn w:val="Normal"/>
    <w:rsid w:val="00CB0827"/>
    <w:pPr>
      <w:widowControl w:val="0"/>
      <w:spacing w:before="80" w:after="80"/>
      <w:jc w:val="left"/>
    </w:pPr>
    <w:rPr>
      <w:rFonts w:ascii="Arial Narrow" w:eastAsia="Times New Roman" w:hAnsi="Arial Narrow" w:cs="Arial"/>
      <w:b/>
      <w:sz w:val="32"/>
      <w:szCs w:val="22"/>
      <w:lang w:val="fr-FR" w:eastAsia="en-GB"/>
    </w:rPr>
  </w:style>
  <w:style w:type="paragraph" w:customStyle="1" w:styleId="HeadingDocType24a">
    <w:name w:val="HeadingDocType24a"/>
    <w:basedOn w:val="Normal"/>
    <w:rsid w:val="00CB0827"/>
    <w:pPr>
      <w:widowControl w:val="0"/>
      <w:spacing w:after="480"/>
      <w:jc w:val="center"/>
    </w:pPr>
    <w:rPr>
      <w:rFonts w:ascii="Arial" w:eastAsia="Times New Roman" w:hAnsi="Arial"/>
      <w:b/>
      <w:sz w:val="48"/>
      <w:szCs w:val="20"/>
      <w:lang w:val="fr-FR" w:eastAsia="en-GB"/>
    </w:rPr>
  </w:style>
  <w:style w:type="paragraph" w:customStyle="1" w:styleId="HeadingReferenceERCO">
    <w:name w:val="HeadingReferenceERCO"/>
    <w:basedOn w:val="Normal"/>
    <w:rsid w:val="00CB0827"/>
    <w:pPr>
      <w:widowControl w:val="0"/>
      <w:spacing w:before="360" w:after="240"/>
      <w:jc w:val="right"/>
    </w:pPr>
    <w:rPr>
      <w:rFonts w:ascii="Arial" w:eastAsia="Times New Roman" w:hAnsi="Arial"/>
      <w:b/>
      <w:szCs w:val="20"/>
      <w:lang w:val="fr-FR" w:eastAsia="en-GB"/>
    </w:rPr>
  </w:style>
  <w:style w:type="paragraph" w:customStyle="1" w:styleId="NormalCenter">
    <w:name w:val="NormalCenter"/>
    <w:basedOn w:val="Normal"/>
    <w:rsid w:val="00CB0827"/>
    <w:pPr>
      <w:widowControl w:val="0"/>
      <w:jc w:val="center"/>
    </w:pPr>
    <w:rPr>
      <w:rFonts w:eastAsia="Times New Roman"/>
      <w:szCs w:val="20"/>
      <w:lang w:val="fr-FR" w:eastAsia="en-GB"/>
    </w:rPr>
  </w:style>
  <w:style w:type="paragraph" w:customStyle="1" w:styleId="Normal24a">
    <w:name w:val="Normal24a"/>
    <w:basedOn w:val="Normal"/>
    <w:link w:val="Normal24aChar"/>
    <w:rsid w:val="00CB0827"/>
    <w:pPr>
      <w:widowControl w:val="0"/>
      <w:spacing w:after="480"/>
      <w:jc w:val="left"/>
    </w:pPr>
    <w:rPr>
      <w:rFonts w:eastAsia="Times New Roman"/>
      <w:szCs w:val="20"/>
      <w:lang w:val="fr-FR" w:eastAsia="en-GB"/>
    </w:rPr>
  </w:style>
  <w:style w:type="character" w:customStyle="1" w:styleId="Normal24aChar">
    <w:name w:val="Normal24a Char"/>
    <w:basedOn w:val="DefaultParagraphFont"/>
    <w:link w:val="Normal24a"/>
    <w:rsid w:val="00CB0827"/>
    <w:rPr>
      <w:rFonts w:ascii="Times New Roman" w:eastAsia="Times New Roman" w:hAnsi="Times New Roman"/>
      <w:sz w:val="24"/>
      <w:szCs w:val="20"/>
      <w:lang w:val="fr-FR" w:eastAsia="en-GB"/>
    </w:rPr>
  </w:style>
  <w:style w:type="table" w:styleId="TableGrid">
    <w:name w:val="Table Grid"/>
    <w:basedOn w:val="TableNormal"/>
    <w:rsid w:val="00CB0827"/>
    <w:rPr>
      <w:rFonts w:ascii="Times New Roman" w:eastAsia="Times New Roman" w:hAnsi="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B0827"/>
    <w:pPr>
      <w:widowControl w:val="0"/>
      <w:jc w:val="center"/>
    </w:pPr>
    <w:rPr>
      <w:rFonts w:ascii="Arial" w:eastAsia="Times New Roman" w:hAnsi="Arial" w:cs="Arial"/>
      <w:i/>
      <w:sz w:val="22"/>
      <w:szCs w:val="22"/>
      <w:lang w:val="fr-FR" w:eastAsia="en-GB"/>
    </w:rPr>
  </w:style>
  <w:style w:type="paragraph" w:customStyle="1" w:styleId="LineTop">
    <w:name w:val="LineTop"/>
    <w:basedOn w:val="Normal"/>
    <w:next w:val="Normal"/>
    <w:rsid w:val="00CB0827"/>
    <w:pPr>
      <w:widowControl w:val="0"/>
      <w:pBdr>
        <w:top w:val="single" w:sz="4" w:space="1" w:color="auto"/>
      </w:pBdr>
      <w:jc w:val="center"/>
    </w:pPr>
    <w:rPr>
      <w:rFonts w:ascii="Arial" w:eastAsia="Times New Roman" w:hAnsi="Arial" w:cs="Arial"/>
      <w:sz w:val="16"/>
      <w:szCs w:val="16"/>
      <w:lang w:val="fr-FR" w:eastAsia="en-GB"/>
    </w:rPr>
  </w:style>
  <w:style w:type="paragraph" w:customStyle="1" w:styleId="LineBottom">
    <w:name w:val="LineBottom"/>
    <w:basedOn w:val="Normal"/>
    <w:next w:val="Normal"/>
    <w:rsid w:val="00CB0827"/>
    <w:pPr>
      <w:widowControl w:val="0"/>
      <w:pBdr>
        <w:bottom w:val="single" w:sz="4" w:space="1" w:color="auto"/>
      </w:pBdr>
      <w:spacing w:after="240"/>
      <w:jc w:val="center"/>
    </w:pPr>
    <w:rPr>
      <w:rFonts w:ascii="Arial" w:eastAsia="Times New Roman" w:hAnsi="Arial" w:cs="Arial"/>
      <w:sz w:val="16"/>
      <w:szCs w:val="16"/>
      <w:lang w:val="fr-FR" w:eastAsia="en-GB"/>
    </w:rPr>
  </w:style>
  <w:style w:type="paragraph" w:customStyle="1" w:styleId="EPTerm">
    <w:name w:val="EPTerm"/>
    <w:basedOn w:val="Normal"/>
    <w:next w:val="Normal"/>
    <w:rsid w:val="00CB0827"/>
    <w:pPr>
      <w:widowControl w:val="0"/>
      <w:spacing w:after="80"/>
      <w:jc w:val="left"/>
    </w:pPr>
    <w:rPr>
      <w:rFonts w:ascii="Arial" w:eastAsia="Times New Roman" w:hAnsi="Arial" w:cs="Arial"/>
      <w:sz w:val="20"/>
      <w:szCs w:val="22"/>
      <w:lang w:val="fr-FR" w:eastAsia="en-GB"/>
    </w:rPr>
  </w:style>
  <w:style w:type="paragraph" w:customStyle="1" w:styleId="EPLogo">
    <w:name w:val="EPLogo"/>
    <w:basedOn w:val="Normal"/>
    <w:qFormat/>
    <w:rsid w:val="00CB0827"/>
    <w:pPr>
      <w:widowControl w:val="0"/>
      <w:jc w:val="right"/>
    </w:pPr>
    <w:rPr>
      <w:rFonts w:eastAsia="Times New Roman"/>
      <w:szCs w:val="20"/>
      <w:lang w:val="fr-FR" w:eastAsia="en-GB"/>
    </w:rPr>
  </w:style>
  <w:style w:type="paragraph" w:customStyle="1" w:styleId="LineSingle">
    <w:name w:val="LineSingle"/>
    <w:basedOn w:val="Normal"/>
    <w:next w:val="Normal"/>
    <w:rsid w:val="00CB0827"/>
    <w:pPr>
      <w:widowControl w:val="0"/>
      <w:pBdr>
        <w:bottom w:val="single" w:sz="4" w:space="1" w:color="auto"/>
      </w:pBdr>
      <w:spacing w:after="240"/>
      <w:jc w:val="left"/>
    </w:pPr>
    <w:rPr>
      <w:rFonts w:eastAsia="Times New Roman"/>
      <w:szCs w:val="20"/>
      <w:lang w:val="fr-FR" w:eastAsia="en-GB"/>
    </w:rPr>
  </w:style>
  <w:style w:type="paragraph" w:customStyle="1" w:styleId="EPFooter">
    <w:name w:val="EPFooter"/>
    <w:basedOn w:val="Normal"/>
    <w:rsid w:val="00CB0827"/>
    <w:pPr>
      <w:widowControl w:val="0"/>
      <w:tabs>
        <w:tab w:val="center" w:pos="4535"/>
        <w:tab w:val="right" w:pos="9071"/>
      </w:tabs>
      <w:spacing w:before="240" w:after="240"/>
      <w:jc w:val="left"/>
    </w:pPr>
    <w:rPr>
      <w:rFonts w:eastAsia="Times New Roman"/>
      <w:sz w:val="22"/>
      <w:szCs w:val="20"/>
      <w:lang w:val="fr-FR" w:eastAsia="en-GB"/>
    </w:rPr>
  </w:style>
  <w:style w:type="paragraph" w:styleId="Header">
    <w:name w:val="header"/>
    <w:basedOn w:val="Normal"/>
    <w:link w:val="HeaderChar"/>
    <w:uiPriority w:val="99"/>
    <w:rsid w:val="00CB0827"/>
    <w:pPr>
      <w:widowControl w:val="0"/>
      <w:tabs>
        <w:tab w:val="center" w:pos="4513"/>
        <w:tab w:val="right" w:pos="9026"/>
      </w:tabs>
      <w:jc w:val="left"/>
    </w:pPr>
    <w:rPr>
      <w:rFonts w:eastAsia="Times New Roman"/>
      <w:szCs w:val="20"/>
      <w:lang w:val="fr-FR" w:eastAsia="en-GB"/>
    </w:rPr>
  </w:style>
  <w:style w:type="character" w:customStyle="1" w:styleId="HeaderChar">
    <w:name w:val="Header Char"/>
    <w:basedOn w:val="DefaultParagraphFont"/>
    <w:link w:val="Header"/>
    <w:uiPriority w:val="99"/>
    <w:rsid w:val="00CB0827"/>
    <w:rPr>
      <w:rFonts w:ascii="Times New Roman" w:eastAsia="Times New Roman" w:hAnsi="Times New Roman"/>
      <w:sz w:val="24"/>
      <w:szCs w:val="20"/>
      <w:lang w:val="fr-FR" w:eastAsia="en-GB"/>
    </w:rPr>
  </w:style>
  <w:style w:type="paragraph" w:customStyle="1" w:styleId="HeadingDate">
    <w:name w:val="HeadingDate"/>
    <w:basedOn w:val="Normal"/>
    <w:rsid w:val="00CB0827"/>
    <w:pPr>
      <w:widowControl w:val="0"/>
      <w:spacing w:before="240" w:after="240"/>
      <w:jc w:val="left"/>
    </w:pPr>
    <w:rPr>
      <w:rFonts w:eastAsia="Times New Roman"/>
      <w:szCs w:val="20"/>
      <w:lang w:val="fr-FR" w:eastAsia="en-GB"/>
    </w:rPr>
  </w:style>
  <w:style w:type="paragraph" w:customStyle="1" w:styleId="EPBodyTA2">
    <w:name w:val="EPBodyTA2"/>
    <w:basedOn w:val="Normal"/>
    <w:rsid w:val="00CB0827"/>
    <w:pPr>
      <w:widowControl w:val="0"/>
      <w:jc w:val="center"/>
    </w:pPr>
    <w:rPr>
      <w:rFonts w:ascii="Arial" w:eastAsia="Times New Roman" w:hAnsi="Arial"/>
      <w:bCs/>
      <w:i/>
      <w:sz w:val="20"/>
      <w:szCs w:val="20"/>
      <w:lang w:val="fr-FR" w:eastAsia="en-GB"/>
    </w:rPr>
  </w:style>
  <w:style w:type="paragraph" w:customStyle="1" w:styleId="EPBodyTA1">
    <w:name w:val="EPBodyTA1"/>
    <w:basedOn w:val="Normal"/>
    <w:rsid w:val="00CB0827"/>
    <w:pPr>
      <w:widowControl w:val="0"/>
      <w:jc w:val="center"/>
    </w:pPr>
    <w:rPr>
      <w:rFonts w:ascii="Arial" w:eastAsia="Times New Roman" w:hAnsi="Arial" w:cs="Arial"/>
      <w:b/>
      <w:sz w:val="22"/>
      <w:szCs w:val="22"/>
      <w:lang w:val="fr-FR" w:eastAsia="en-GB"/>
    </w:rPr>
  </w:style>
  <w:style w:type="paragraph" w:customStyle="1" w:styleId="ATHeading1">
    <w:name w:val="AT Heading 1"/>
    <w:basedOn w:val="Normal"/>
    <w:next w:val="Normal"/>
    <w:rsid w:val="00CB0827"/>
    <w:pPr>
      <w:keepNext/>
      <w:keepLines/>
      <w:spacing w:before="480" w:after="120"/>
      <w:jc w:val="left"/>
      <w:outlineLvl w:val="0"/>
    </w:pPr>
    <w:rPr>
      <w:rFonts w:eastAsia="Times New Roman"/>
      <w:b/>
      <w:sz w:val="28"/>
      <w:szCs w:val="20"/>
      <w:lang w:val="fr-FR" w:eastAsia="fr-FR"/>
    </w:rPr>
  </w:style>
  <w:style w:type="paragraph" w:customStyle="1" w:styleId="ATHeading2">
    <w:name w:val="AT Heading 2"/>
    <w:basedOn w:val="Normal"/>
    <w:next w:val="Normal"/>
    <w:rsid w:val="00CB0827"/>
    <w:pPr>
      <w:spacing w:before="120" w:after="120"/>
      <w:jc w:val="left"/>
      <w:outlineLvl w:val="1"/>
    </w:pPr>
    <w:rPr>
      <w:rFonts w:eastAsia="Times New Roman"/>
      <w:b/>
      <w:sz w:val="28"/>
      <w:szCs w:val="20"/>
      <w:lang w:val="fr-FR" w:eastAsia="fr-FR"/>
    </w:rPr>
  </w:style>
  <w:style w:type="paragraph" w:customStyle="1" w:styleId="ATHeading3">
    <w:name w:val="AT Heading 3"/>
    <w:basedOn w:val="Normal"/>
    <w:next w:val="Normal"/>
    <w:rsid w:val="00CB0827"/>
    <w:pPr>
      <w:keepNext/>
      <w:keepLines/>
      <w:spacing w:before="120" w:after="120"/>
      <w:jc w:val="left"/>
      <w:outlineLvl w:val="2"/>
    </w:pPr>
    <w:rPr>
      <w:rFonts w:eastAsia="Times New Roman"/>
      <w:b/>
      <w:szCs w:val="20"/>
      <w:lang w:val="fr-FR" w:eastAsia="fr-FR"/>
    </w:rPr>
  </w:style>
  <w:style w:type="paragraph" w:customStyle="1" w:styleId="ATHeadingMotiv">
    <w:name w:val="AT Heading Motiv"/>
    <w:basedOn w:val="Normal"/>
    <w:next w:val="Normal"/>
    <w:rsid w:val="00CB0827"/>
    <w:pPr>
      <w:keepNext/>
      <w:spacing w:before="60" w:after="60"/>
      <w:jc w:val="center"/>
    </w:pPr>
    <w:rPr>
      <w:rFonts w:eastAsia="Times New Roman"/>
      <w:i/>
      <w:szCs w:val="20"/>
      <w:lang w:val="fr-FR" w:eastAsia="fr-FR"/>
    </w:rPr>
  </w:style>
  <w:style w:type="character" w:styleId="FootnoteReference">
    <w:name w:val="footnote reference"/>
    <w:uiPriority w:val="99"/>
    <w:rsid w:val="00CB0827"/>
    <w:rPr>
      <w:b w:val="0"/>
      <w:vertAlign w:val="superscript"/>
    </w:rPr>
  </w:style>
  <w:style w:type="paragraph" w:styleId="FootnoteText">
    <w:name w:val="footnote text"/>
    <w:basedOn w:val="Normal"/>
    <w:link w:val="FootnoteTextChar"/>
    <w:uiPriority w:val="99"/>
    <w:rsid w:val="00CB0827"/>
    <w:pPr>
      <w:keepLines/>
      <w:spacing w:line="260" w:lineRule="exact"/>
      <w:ind w:left="425" w:hanging="425"/>
      <w:jc w:val="left"/>
    </w:pPr>
    <w:rPr>
      <w:rFonts w:eastAsia="Times New Roman"/>
      <w:sz w:val="22"/>
      <w:szCs w:val="20"/>
      <w:lang w:val="fr-FR" w:eastAsia="fr-FR"/>
    </w:rPr>
  </w:style>
  <w:style w:type="character" w:customStyle="1" w:styleId="FootnoteTextChar">
    <w:name w:val="Footnote Text Char"/>
    <w:basedOn w:val="DefaultParagraphFont"/>
    <w:link w:val="FootnoteText"/>
    <w:uiPriority w:val="99"/>
    <w:rsid w:val="00CB0827"/>
    <w:rPr>
      <w:rFonts w:ascii="Times New Roman" w:eastAsia="Times New Roman" w:hAnsi="Times New Roman"/>
      <w:szCs w:val="20"/>
      <w:lang w:val="fr-FR" w:eastAsia="fr-FR"/>
    </w:rPr>
  </w:style>
  <w:style w:type="character" w:styleId="PageNumber">
    <w:name w:val="page number"/>
    <w:rsid w:val="00CB0827"/>
  </w:style>
  <w:style w:type="paragraph" w:styleId="TOC2">
    <w:name w:val="toc 2"/>
    <w:basedOn w:val="Normal"/>
    <w:next w:val="Normal"/>
    <w:autoRedefine/>
    <w:rsid w:val="00CB0827"/>
    <w:pPr>
      <w:keepNext/>
      <w:keepLines/>
      <w:jc w:val="left"/>
    </w:pPr>
    <w:rPr>
      <w:rFonts w:eastAsia="Times New Roman"/>
      <w:b/>
      <w:noProof/>
      <w:szCs w:val="20"/>
      <w:lang w:val="fr-FR" w:eastAsia="fr-FR"/>
    </w:rPr>
  </w:style>
  <w:style w:type="paragraph" w:styleId="TOC3">
    <w:name w:val="toc 3"/>
    <w:basedOn w:val="Normal"/>
    <w:next w:val="Normal"/>
    <w:autoRedefine/>
    <w:rsid w:val="00CB0827"/>
    <w:pPr>
      <w:keepLines/>
      <w:ind w:right="510"/>
      <w:jc w:val="left"/>
    </w:pPr>
    <w:rPr>
      <w:rFonts w:eastAsia="Times New Roman"/>
      <w:noProof/>
      <w:szCs w:val="20"/>
      <w:lang w:val="fr-FR" w:eastAsia="fr-FR"/>
    </w:rPr>
  </w:style>
  <w:style w:type="paragraph" w:customStyle="1" w:styleId="PageHeading">
    <w:name w:val="PageHeading"/>
    <w:basedOn w:val="Normal"/>
    <w:rsid w:val="00CB0827"/>
    <w:pPr>
      <w:keepNext/>
      <w:widowControl w:val="0"/>
      <w:spacing w:after="480"/>
      <w:jc w:val="center"/>
    </w:pPr>
    <w:rPr>
      <w:rFonts w:ascii="Arial" w:eastAsia="Times New Roman" w:hAnsi="Arial" w:cs="Arial"/>
      <w:b/>
      <w:szCs w:val="20"/>
      <w:lang w:val="fr-FR" w:eastAsia="en-GB"/>
    </w:rPr>
  </w:style>
  <w:style w:type="paragraph" w:customStyle="1" w:styleId="TOCPage">
    <w:name w:val="TOC Page"/>
    <w:basedOn w:val="Normal"/>
    <w:next w:val="TOC1"/>
    <w:rsid w:val="00CB0827"/>
    <w:pPr>
      <w:keepNext/>
      <w:widowControl w:val="0"/>
      <w:spacing w:after="240"/>
      <w:jc w:val="right"/>
    </w:pPr>
    <w:rPr>
      <w:rFonts w:ascii="Arial" w:eastAsia="Times New Roman" w:hAnsi="Arial"/>
      <w:b/>
      <w:szCs w:val="20"/>
      <w:lang w:val="fr-FR" w:eastAsia="en-GB"/>
    </w:rPr>
  </w:style>
  <w:style w:type="paragraph" w:customStyle="1" w:styleId="Normal6a">
    <w:name w:val="Normal6a"/>
    <w:basedOn w:val="Normal"/>
    <w:rsid w:val="00CB0827"/>
    <w:pPr>
      <w:widowControl w:val="0"/>
      <w:spacing w:after="120"/>
      <w:jc w:val="left"/>
    </w:pPr>
    <w:rPr>
      <w:rFonts w:eastAsia="Times New Roman"/>
      <w:szCs w:val="20"/>
      <w:lang w:val="fr-FR" w:eastAsia="en-GB"/>
    </w:rPr>
  </w:style>
  <w:style w:type="paragraph" w:customStyle="1" w:styleId="NormalBold">
    <w:name w:val="NormalBold"/>
    <w:basedOn w:val="Normal"/>
    <w:link w:val="NormalBoldChar"/>
    <w:rsid w:val="00CB0827"/>
    <w:pPr>
      <w:widowControl w:val="0"/>
      <w:jc w:val="left"/>
    </w:pPr>
    <w:rPr>
      <w:rFonts w:eastAsia="Times New Roman"/>
      <w:b/>
      <w:szCs w:val="20"/>
      <w:lang w:val="fr-FR" w:eastAsia="en-GB"/>
    </w:rPr>
  </w:style>
  <w:style w:type="character" w:customStyle="1" w:styleId="NormalBoldChar">
    <w:name w:val="NormalBold Char"/>
    <w:link w:val="NormalBold"/>
    <w:locked/>
    <w:rsid w:val="00CB0827"/>
    <w:rPr>
      <w:rFonts w:ascii="Times New Roman" w:eastAsia="Times New Roman" w:hAnsi="Times New Roman"/>
      <w:b/>
      <w:sz w:val="24"/>
      <w:szCs w:val="20"/>
      <w:lang w:val="fr-FR" w:eastAsia="en-GB"/>
    </w:rPr>
  </w:style>
  <w:style w:type="paragraph" w:customStyle="1" w:styleId="NormalBold12a">
    <w:name w:val="NormalBold12a"/>
    <w:basedOn w:val="Normal"/>
    <w:rsid w:val="00CB0827"/>
    <w:pPr>
      <w:widowControl w:val="0"/>
      <w:spacing w:after="240"/>
      <w:jc w:val="left"/>
    </w:pPr>
    <w:rPr>
      <w:rFonts w:eastAsia="Times New Roman"/>
      <w:b/>
      <w:szCs w:val="20"/>
      <w:lang w:val="fr-FR" w:eastAsia="en-GB"/>
    </w:rPr>
  </w:style>
  <w:style w:type="paragraph" w:customStyle="1" w:styleId="NormalHanging12a">
    <w:name w:val="NormalHanging12a"/>
    <w:basedOn w:val="Normal"/>
    <w:rsid w:val="00CB0827"/>
    <w:pPr>
      <w:widowControl w:val="0"/>
      <w:spacing w:after="240"/>
      <w:ind w:left="567" w:hanging="567"/>
      <w:jc w:val="left"/>
    </w:pPr>
    <w:rPr>
      <w:rFonts w:eastAsia="Times New Roman"/>
      <w:szCs w:val="20"/>
      <w:lang w:val="fr-FR" w:eastAsia="en-GB"/>
    </w:rPr>
  </w:style>
  <w:style w:type="paragraph" w:customStyle="1" w:styleId="CoverNormal24a">
    <w:name w:val="CoverNormal24a"/>
    <w:basedOn w:val="Normal"/>
    <w:rsid w:val="00CB0827"/>
    <w:pPr>
      <w:widowControl w:val="0"/>
      <w:spacing w:after="480"/>
      <w:ind w:left="1417"/>
      <w:jc w:val="left"/>
    </w:pPr>
    <w:rPr>
      <w:rFonts w:eastAsia="Times New Roman"/>
      <w:szCs w:val="20"/>
      <w:lang w:val="fr-FR" w:eastAsia="en-GB"/>
    </w:rPr>
  </w:style>
  <w:style w:type="paragraph" w:customStyle="1" w:styleId="CoverNormal">
    <w:name w:val="CoverNormal"/>
    <w:basedOn w:val="Normal"/>
    <w:rsid w:val="00CB0827"/>
    <w:pPr>
      <w:widowControl w:val="0"/>
      <w:ind w:left="1418"/>
      <w:jc w:val="left"/>
    </w:pPr>
    <w:rPr>
      <w:rFonts w:eastAsia="Times New Roman"/>
      <w:szCs w:val="20"/>
      <w:lang w:val="fr-FR" w:eastAsia="en-GB"/>
    </w:rPr>
  </w:style>
  <w:style w:type="paragraph" w:customStyle="1" w:styleId="CoverReference">
    <w:name w:val="CoverReference"/>
    <w:basedOn w:val="Normal"/>
    <w:rsid w:val="00CB0827"/>
    <w:pPr>
      <w:widowControl w:val="0"/>
      <w:spacing w:before="1080"/>
      <w:jc w:val="right"/>
    </w:pPr>
    <w:rPr>
      <w:rFonts w:ascii="Arial" w:eastAsia="Times New Roman" w:hAnsi="Arial" w:cs="Arial"/>
      <w:b/>
      <w:szCs w:val="20"/>
      <w:lang w:val="fr-FR" w:eastAsia="en-GB"/>
    </w:rPr>
  </w:style>
  <w:style w:type="paragraph" w:customStyle="1" w:styleId="CoverDocType">
    <w:name w:val="CoverDocType"/>
    <w:basedOn w:val="Normal"/>
    <w:rsid w:val="00CB0827"/>
    <w:pPr>
      <w:widowControl w:val="0"/>
      <w:ind w:left="1418"/>
      <w:jc w:val="left"/>
    </w:pPr>
    <w:rPr>
      <w:rFonts w:ascii="Arial" w:eastAsia="Times New Roman" w:hAnsi="Arial"/>
      <w:b/>
      <w:sz w:val="48"/>
      <w:szCs w:val="20"/>
      <w:lang w:val="fr-FR" w:eastAsia="en-GB"/>
    </w:rPr>
  </w:style>
  <w:style w:type="paragraph" w:customStyle="1" w:styleId="CoverDocType24a">
    <w:name w:val="CoverDocType24a"/>
    <w:basedOn w:val="Normal"/>
    <w:rsid w:val="00CB0827"/>
    <w:pPr>
      <w:widowControl w:val="0"/>
      <w:spacing w:after="480"/>
      <w:ind w:left="1418"/>
      <w:jc w:val="left"/>
    </w:pPr>
    <w:rPr>
      <w:rFonts w:ascii="Arial" w:eastAsia="Times New Roman" w:hAnsi="Arial"/>
      <w:b/>
      <w:sz w:val="48"/>
      <w:szCs w:val="20"/>
      <w:lang w:val="fr-FR" w:eastAsia="en-GB"/>
    </w:rPr>
  </w:style>
  <w:style w:type="paragraph" w:customStyle="1" w:styleId="CoverDate">
    <w:name w:val="CoverDate"/>
    <w:basedOn w:val="Normal"/>
    <w:rsid w:val="00CB0827"/>
    <w:pPr>
      <w:widowControl w:val="0"/>
      <w:spacing w:before="240" w:after="1200"/>
      <w:jc w:val="left"/>
    </w:pPr>
    <w:rPr>
      <w:rFonts w:eastAsia="Times New Roman"/>
      <w:szCs w:val="20"/>
      <w:lang w:val="fr-FR" w:eastAsia="en-GB"/>
    </w:rPr>
  </w:style>
  <w:style w:type="paragraph" w:customStyle="1" w:styleId="AnnexWPTabs">
    <w:name w:val="AnnexWPTabs"/>
    <w:basedOn w:val="Normal"/>
    <w:rsid w:val="00CB0827"/>
    <w:pPr>
      <w:widowControl w:val="0"/>
      <w:tabs>
        <w:tab w:val="right" w:pos="3686"/>
        <w:tab w:val="left" w:pos="3827"/>
      </w:tabs>
      <w:jc w:val="left"/>
    </w:pPr>
    <w:rPr>
      <w:rFonts w:eastAsia="Times New Roman"/>
      <w:b/>
      <w:szCs w:val="20"/>
      <w:lang w:val="fr-FR" w:eastAsia="en-GB"/>
    </w:rPr>
  </w:style>
  <w:style w:type="paragraph" w:customStyle="1" w:styleId="AnnexWPDate">
    <w:name w:val="AnnexWPDate"/>
    <w:basedOn w:val="Normal"/>
    <w:rsid w:val="00CB0827"/>
    <w:pPr>
      <w:widowControl w:val="0"/>
      <w:spacing w:before="240" w:after="480"/>
      <w:jc w:val="right"/>
    </w:pPr>
    <w:rPr>
      <w:rFonts w:eastAsia="Times New Roman"/>
      <w:szCs w:val="20"/>
      <w:lang w:val="fr-FR" w:eastAsia="en-GB"/>
    </w:rPr>
  </w:style>
  <w:style w:type="paragraph" w:customStyle="1" w:styleId="AnnexWPSmall">
    <w:name w:val="AnnexWPSmall"/>
    <w:basedOn w:val="Normal"/>
    <w:rsid w:val="00CB0827"/>
    <w:pPr>
      <w:widowControl w:val="0"/>
      <w:jc w:val="left"/>
    </w:pPr>
    <w:rPr>
      <w:rFonts w:eastAsia="Times New Roman"/>
      <w:smallCaps/>
      <w:sz w:val="20"/>
      <w:szCs w:val="20"/>
      <w:lang w:val="fr-FR" w:eastAsia="en-GB"/>
    </w:rPr>
  </w:style>
  <w:style w:type="paragraph" w:customStyle="1" w:styleId="AnnexWPDocType">
    <w:name w:val="AnnexWPDocType"/>
    <w:basedOn w:val="Normal"/>
    <w:rsid w:val="00CB0827"/>
    <w:pPr>
      <w:widowControl w:val="0"/>
      <w:spacing w:after="240"/>
      <w:jc w:val="center"/>
    </w:pPr>
    <w:rPr>
      <w:rFonts w:eastAsia="Times New Roman"/>
      <w:b/>
      <w:szCs w:val="20"/>
      <w:lang w:val="fr-FR" w:eastAsia="en-GB"/>
    </w:rPr>
  </w:style>
  <w:style w:type="paragraph" w:customStyle="1" w:styleId="AnnexWPTitle">
    <w:name w:val="AnnexWPTitle"/>
    <w:basedOn w:val="Normal"/>
    <w:rsid w:val="00CB0827"/>
    <w:pPr>
      <w:widowControl w:val="0"/>
      <w:spacing w:before="480"/>
      <w:jc w:val="left"/>
    </w:pPr>
    <w:rPr>
      <w:rFonts w:eastAsia="Times New Roman"/>
      <w:b/>
      <w:szCs w:val="20"/>
      <w:lang w:val="fr-FR" w:eastAsia="en-GB"/>
    </w:rPr>
  </w:style>
  <w:style w:type="paragraph" w:customStyle="1" w:styleId="AmJustText">
    <w:name w:val="AmJustText"/>
    <w:basedOn w:val="Normal"/>
    <w:rsid w:val="00CB0827"/>
    <w:pPr>
      <w:widowControl w:val="0"/>
      <w:spacing w:after="240"/>
      <w:jc w:val="left"/>
    </w:pPr>
    <w:rPr>
      <w:rFonts w:eastAsia="Times New Roman"/>
      <w:i/>
      <w:szCs w:val="20"/>
      <w:lang w:val="fr-FR" w:eastAsia="en-GB"/>
    </w:rPr>
  </w:style>
  <w:style w:type="paragraph" w:customStyle="1" w:styleId="AmCrossRef">
    <w:name w:val="AmCrossRef"/>
    <w:basedOn w:val="Normal"/>
    <w:rsid w:val="00CB0827"/>
    <w:pPr>
      <w:widowControl w:val="0"/>
      <w:spacing w:before="240" w:after="240"/>
      <w:jc w:val="center"/>
    </w:pPr>
    <w:rPr>
      <w:rFonts w:eastAsia="Times New Roman"/>
      <w:i/>
      <w:szCs w:val="20"/>
      <w:lang w:val="fr-FR" w:eastAsia="en-GB"/>
    </w:rPr>
  </w:style>
  <w:style w:type="paragraph" w:customStyle="1" w:styleId="AmJustTitle">
    <w:name w:val="AmJustTitle"/>
    <w:basedOn w:val="Normal"/>
    <w:next w:val="AmJustText"/>
    <w:rsid w:val="00CB0827"/>
    <w:pPr>
      <w:keepNext/>
      <w:widowControl w:val="0"/>
      <w:spacing w:before="240" w:after="240"/>
      <w:jc w:val="center"/>
    </w:pPr>
    <w:rPr>
      <w:rFonts w:eastAsia="Times New Roman"/>
      <w:i/>
      <w:szCs w:val="20"/>
      <w:lang w:val="fr-FR" w:eastAsia="en-GB"/>
    </w:rPr>
  </w:style>
  <w:style w:type="paragraph" w:customStyle="1" w:styleId="AmOrLang">
    <w:name w:val="AmOrLang"/>
    <w:basedOn w:val="Normal"/>
    <w:rsid w:val="00CB0827"/>
    <w:pPr>
      <w:widowControl w:val="0"/>
      <w:spacing w:before="240" w:after="240"/>
      <w:jc w:val="right"/>
    </w:pPr>
    <w:rPr>
      <w:rFonts w:eastAsia="Times New Roman"/>
      <w:szCs w:val="20"/>
      <w:lang w:val="fr-FR" w:eastAsia="en-GB"/>
    </w:rPr>
  </w:style>
  <w:style w:type="paragraph" w:customStyle="1" w:styleId="AmColumnHeading">
    <w:name w:val="AmColumnHeading"/>
    <w:basedOn w:val="Normal"/>
    <w:rsid w:val="00CB0827"/>
    <w:pPr>
      <w:widowControl w:val="0"/>
      <w:spacing w:after="240"/>
      <w:jc w:val="center"/>
    </w:pPr>
    <w:rPr>
      <w:rFonts w:eastAsia="Times New Roman"/>
      <w:i/>
      <w:szCs w:val="20"/>
      <w:lang w:val="fr-FR" w:eastAsia="en-GB"/>
    </w:rPr>
  </w:style>
  <w:style w:type="paragraph" w:customStyle="1" w:styleId="AmNumberTabs">
    <w:name w:val="AmNumberTabs"/>
    <w:basedOn w:val="Normal"/>
    <w:link w:val="AmNumberTabsChar"/>
    <w:rsid w:val="00CB0827"/>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jc w:val="left"/>
    </w:pPr>
    <w:rPr>
      <w:rFonts w:eastAsia="Times New Roman"/>
      <w:b/>
      <w:szCs w:val="20"/>
      <w:lang w:val="fr-FR" w:eastAsia="en-GB"/>
    </w:rPr>
  </w:style>
  <w:style w:type="character" w:customStyle="1" w:styleId="AmNumberTabsChar">
    <w:name w:val="AmNumberTabs Char"/>
    <w:basedOn w:val="DefaultParagraphFont"/>
    <w:link w:val="AmNumberTabs"/>
    <w:rsid w:val="00CB0827"/>
    <w:rPr>
      <w:rFonts w:ascii="Times New Roman" w:eastAsia="Times New Roman" w:hAnsi="Times New Roman"/>
      <w:b/>
      <w:sz w:val="24"/>
      <w:szCs w:val="20"/>
      <w:lang w:val="fr-FR" w:eastAsia="en-GB"/>
    </w:rPr>
  </w:style>
  <w:style w:type="paragraph" w:customStyle="1" w:styleId="NormalBold12b">
    <w:name w:val="NormalBold12b"/>
    <w:basedOn w:val="Normal"/>
    <w:link w:val="NormalBold12bChar"/>
    <w:rsid w:val="00CB0827"/>
    <w:pPr>
      <w:widowControl w:val="0"/>
      <w:spacing w:before="240"/>
      <w:jc w:val="left"/>
    </w:pPr>
    <w:rPr>
      <w:rFonts w:eastAsia="Times New Roman"/>
      <w:b/>
      <w:szCs w:val="20"/>
      <w:lang w:val="fr-FR" w:eastAsia="en-GB"/>
    </w:rPr>
  </w:style>
  <w:style w:type="character" w:customStyle="1" w:styleId="NormalBold12bChar">
    <w:name w:val="NormalBold12b Char"/>
    <w:basedOn w:val="AmNumberTabsChar"/>
    <w:link w:val="NormalBold12b"/>
    <w:rsid w:val="00CB0827"/>
    <w:rPr>
      <w:rFonts w:ascii="Times New Roman" w:eastAsia="Times New Roman" w:hAnsi="Times New Roman"/>
      <w:b/>
      <w:sz w:val="24"/>
      <w:szCs w:val="20"/>
      <w:lang w:val="fr-FR" w:eastAsia="en-GB"/>
    </w:rPr>
  </w:style>
  <w:style w:type="paragraph" w:customStyle="1" w:styleId="AnnexWPLogo">
    <w:name w:val="AnnexWPLogo"/>
    <w:basedOn w:val="Normal"/>
    <w:rsid w:val="00CB0827"/>
    <w:pPr>
      <w:widowControl w:val="0"/>
      <w:spacing w:before="120" w:after="120"/>
      <w:jc w:val="left"/>
    </w:pPr>
    <w:rPr>
      <w:rFonts w:eastAsia="Times New Roman"/>
      <w:szCs w:val="20"/>
      <w:lang w:val="fr-FR" w:eastAsia="en-GB"/>
    </w:rPr>
  </w:style>
  <w:style w:type="paragraph" w:customStyle="1" w:styleId="EPComma">
    <w:name w:val="EPComma"/>
    <w:basedOn w:val="Normal"/>
    <w:rsid w:val="00CB0827"/>
    <w:pPr>
      <w:widowControl w:val="0"/>
      <w:spacing w:before="480" w:after="240"/>
      <w:jc w:val="left"/>
    </w:pPr>
    <w:rPr>
      <w:rFonts w:eastAsia="Times New Roman"/>
      <w:szCs w:val="20"/>
      <w:lang w:val="fr-FR" w:eastAsia="en-GB"/>
    </w:rPr>
  </w:style>
  <w:style w:type="paragraph" w:customStyle="1" w:styleId="Lgendesigne">
    <w:name w:val="Légende signe"/>
    <w:basedOn w:val="Normal"/>
    <w:rsid w:val="00CB0827"/>
    <w:pPr>
      <w:widowControl w:val="0"/>
      <w:tabs>
        <w:tab w:val="right" w:pos="454"/>
        <w:tab w:val="left" w:pos="737"/>
      </w:tabs>
      <w:ind w:left="737" w:hanging="737"/>
      <w:jc w:val="left"/>
    </w:pPr>
    <w:rPr>
      <w:rFonts w:eastAsia="Times New Roman"/>
      <w:snapToGrid w:val="0"/>
      <w:sz w:val="18"/>
      <w:szCs w:val="20"/>
      <w:lang w:val="fr-FR"/>
    </w:rPr>
  </w:style>
  <w:style w:type="paragraph" w:customStyle="1" w:styleId="Lgendetitre">
    <w:name w:val="Légende titre"/>
    <w:basedOn w:val="Normal"/>
    <w:rsid w:val="00CB0827"/>
    <w:pPr>
      <w:widowControl w:val="0"/>
      <w:spacing w:before="240" w:after="240"/>
      <w:jc w:val="left"/>
    </w:pPr>
    <w:rPr>
      <w:rFonts w:eastAsia="Times New Roman"/>
      <w:b/>
      <w:i/>
      <w:snapToGrid w:val="0"/>
      <w:szCs w:val="20"/>
      <w:lang w:val="fr-FR"/>
    </w:rPr>
  </w:style>
  <w:style w:type="paragraph" w:customStyle="1" w:styleId="Lgendestandard">
    <w:name w:val="Légende standard"/>
    <w:basedOn w:val="Normal"/>
    <w:rsid w:val="00CB0827"/>
    <w:pPr>
      <w:widowControl w:val="0"/>
      <w:jc w:val="left"/>
    </w:pPr>
    <w:rPr>
      <w:rFonts w:eastAsia="Times New Roman"/>
      <w:sz w:val="18"/>
      <w:szCs w:val="20"/>
      <w:lang w:val="fr-FR" w:eastAsia="en-GB"/>
    </w:rPr>
  </w:style>
  <w:style w:type="paragraph" w:customStyle="1" w:styleId="msonormal0">
    <w:name w:val="msonormal"/>
    <w:basedOn w:val="Normal"/>
    <w:rsid w:val="00CB0827"/>
    <w:pPr>
      <w:spacing w:before="100" w:beforeAutospacing="1" w:after="100" w:afterAutospacing="1"/>
      <w:jc w:val="left"/>
    </w:pPr>
    <w:rPr>
      <w:rFonts w:eastAsia="Times New Roman"/>
      <w:lang w:val="fr-FR" w:eastAsia="en-GB"/>
    </w:rPr>
  </w:style>
  <w:style w:type="paragraph" w:styleId="Footer">
    <w:name w:val="footer"/>
    <w:basedOn w:val="Normal"/>
    <w:link w:val="FooterChar"/>
    <w:uiPriority w:val="99"/>
    <w:rsid w:val="00CB0827"/>
    <w:pPr>
      <w:widowControl w:val="0"/>
      <w:tabs>
        <w:tab w:val="center" w:pos="4513"/>
        <w:tab w:val="right" w:pos="9026"/>
      </w:tabs>
      <w:jc w:val="left"/>
    </w:pPr>
    <w:rPr>
      <w:rFonts w:eastAsia="Times New Roman"/>
      <w:szCs w:val="20"/>
      <w:lang w:val="fr-FR" w:eastAsia="en-GB"/>
    </w:rPr>
  </w:style>
  <w:style w:type="character" w:customStyle="1" w:styleId="FooterChar">
    <w:name w:val="Footer Char"/>
    <w:basedOn w:val="DefaultParagraphFont"/>
    <w:link w:val="Footer"/>
    <w:uiPriority w:val="99"/>
    <w:rsid w:val="00CB0827"/>
    <w:rPr>
      <w:rFonts w:ascii="Times New Roman" w:eastAsia="Times New Roman" w:hAnsi="Times New Roman"/>
      <w:sz w:val="24"/>
      <w:szCs w:val="20"/>
      <w:lang w:val="fr-FR" w:eastAsia="en-GB"/>
    </w:rPr>
  </w:style>
  <w:style w:type="character" w:customStyle="1" w:styleId="Normal12Char">
    <w:name w:val="Normal12 Char"/>
    <w:link w:val="Normal12"/>
    <w:locked/>
    <w:rsid w:val="00CB0827"/>
    <w:rPr>
      <w:noProof/>
      <w:sz w:val="24"/>
    </w:rPr>
  </w:style>
  <w:style w:type="paragraph" w:customStyle="1" w:styleId="Normal12">
    <w:name w:val="Normal12"/>
    <w:basedOn w:val="Normal"/>
    <w:link w:val="Normal12Char"/>
    <w:rsid w:val="00CB0827"/>
    <w:pPr>
      <w:widowControl w:val="0"/>
      <w:spacing w:after="240"/>
      <w:jc w:val="left"/>
    </w:pPr>
    <w:rPr>
      <w:rFonts w:asciiTheme="minorHAnsi" w:hAnsiTheme="minorHAnsi"/>
      <w:noProof/>
      <w:szCs w:val="22"/>
    </w:rPr>
  </w:style>
  <w:style w:type="paragraph" w:customStyle="1" w:styleId="CommitteeAM">
    <w:name w:val="CommitteeAM"/>
    <w:basedOn w:val="Normal"/>
    <w:rsid w:val="00CB0827"/>
    <w:pPr>
      <w:widowControl w:val="0"/>
      <w:spacing w:before="240" w:after="600"/>
      <w:jc w:val="center"/>
    </w:pPr>
    <w:rPr>
      <w:rFonts w:eastAsia="Times New Roman"/>
      <w:i/>
      <w:szCs w:val="20"/>
      <w:lang w:val="fr-FR" w:eastAsia="en-GB"/>
    </w:rPr>
  </w:style>
  <w:style w:type="paragraph" w:customStyle="1" w:styleId="ZDateAM">
    <w:name w:val="ZDateAM"/>
    <w:basedOn w:val="Normal"/>
    <w:rsid w:val="00CB0827"/>
    <w:pPr>
      <w:widowControl w:val="0"/>
      <w:tabs>
        <w:tab w:val="right" w:pos="9356"/>
      </w:tabs>
      <w:spacing w:after="480"/>
      <w:jc w:val="left"/>
    </w:pPr>
    <w:rPr>
      <w:rFonts w:eastAsia="Times New Roman"/>
      <w:noProof/>
      <w:szCs w:val="20"/>
      <w:lang w:val="fr-FR" w:eastAsia="en-GB"/>
    </w:rPr>
  </w:style>
  <w:style w:type="paragraph" w:customStyle="1" w:styleId="ProjRap">
    <w:name w:val="ProjRap"/>
    <w:basedOn w:val="Normal"/>
    <w:rsid w:val="00CB0827"/>
    <w:pPr>
      <w:widowControl w:val="0"/>
      <w:tabs>
        <w:tab w:val="right" w:pos="9356"/>
      </w:tabs>
      <w:jc w:val="left"/>
    </w:pPr>
    <w:rPr>
      <w:rFonts w:eastAsia="Times New Roman"/>
      <w:b/>
      <w:noProof/>
      <w:szCs w:val="20"/>
      <w:lang w:val="fr-FR" w:eastAsia="en-GB"/>
    </w:rPr>
  </w:style>
  <w:style w:type="paragraph" w:customStyle="1" w:styleId="PELeft">
    <w:name w:val="PELeft"/>
    <w:basedOn w:val="Normal"/>
    <w:rsid w:val="00CB0827"/>
    <w:pPr>
      <w:widowControl w:val="0"/>
      <w:spacing w:before="40" w:after="40"/>
      <w:jc w:val="left"/>
    </w:pPr>
    <w:rPr>
      <w:rFonts w:ascii="Arial" w:eastAsia="Times New Roman" w:hAnsi="Arial" w:cs="Arial"/>
      <w:sz w:val="22"/>
      <w:szCs w:val="22"/>
      <w:lang w:val="fr-FR" w:eastAsia="en-GB"/>
    </w:rPr>
  </w:style>
  <w:style w:type="paragraph" w:customStyle="1" w:styleId="PERight">
    <w:name w:val="PERight"/>
    <w:basedOn w:val="Normal"/>
    <w:next w:val="Normal"/>
    <w:rsid w:val="00CB0827"/>
    <w:pPr>
      <w:widowControl w:val="0"/>
      <w:jc w:val="right"/>
    </w:pPr>
    <w:rPr>
      <w:rFonts w:ascii="Arial" w:eastAsia="Times New Roman" w:hAnsi="Arial" w:cs="Arial"/>
      <w:sz w:val="22"/>
      <w:szCs w:val="22"/>
      <w:lang w:val="fr-FR" w:eastAsia="en-GB"/>
    </w:rPr>
  </w:style>
  <w:style w:type="character" w:customStyle="1" w:styleId="Normal6Char">
    <w:name w:val="Normal6 Char"/>
    <w:link w:val="Normal6"/>
    <w:locked/>
    <w:rsid w:val="00CB0827"/>
    <w:rPr>
      <w:sz w:val="24"/>
      <w:lang w:val="fr-FR"/>
    </w:rPr>
  </w:style>
  <w:style w:type="paragraph" w:customStyle="1" w:styleId="Normal6">
    <w:name w:val="Normal6"/>
    <w:basedOn w:val="Normal"/>
    <w:link w:val="Normal6Char"/>
    <w:rsid w:val="00CB0827"/>
    <w:pPr>
      <w:widowControl w:val="0"/>
      <w:spacing w:after="120"/>
      <w:jc w:val="left"/>
    </w:pPr>
    <w:rPr>
      <w:rFonts w:asciiTheme="minorHAnsi" w:hAnsiTheme="minorHAnsi"/>
      <w:szCs w:val="22"/>
      <w:lang w:val="fr-FR"/>
    </w:rPr>
  </w:style>
  <w:style w:type="paragraph" w:customStyle="1" w:styleId="Normal12Italic">
    <w:name w:val="Normal12Italic"/>
    <w:basedOn w:val="Normal12"/>
    <w:rsid w:val="00CB0827"/>
    <w:rPr>
      <w:i/>
    </w:rPr>
  </w:style>
  <w:style w:type="paragraph" w:customStyle="1" w:styleId="JustificationTitle">
    <w:name w:val="JustificationTitle"/>
    <w:basedOn w:val="Normal"/>
    <w:next w:val="Normal12"/>
    <w:rsid w:val="00CB0827"/>
    <w:pPr>
      <w:keepNext/>
      <w:widowControl w:val="0"/>
      <w:spacing w:before="240" w:after="240"/>
      <w:jc w:val="center"/>
    </w:pPr>
    <w:rPr>
      <w:rFonts w:eastAsia="Times New Roman"/>
      <w:i/>
      <w:noProof/>
      <w:szCs w:val="20"/>
      <w:lang w:val="fr-FR" w:eastAsia="en-GB"/>
    </w:rPr>
  </w:style>
  <w:style w:type="paragraph" w:customStyle="1" w:styleId="Olang">
    <w:name w:val="Olang"/>
    <w:basedOn w:val="Normal"/>
    <w:rsid w:val="00CB0827"/>
    <w:pPr>
      <w:widowControl w:val="0"/>
      <w:spacing w:before="240" w:after="240"/>
      <w:jc w:val="right"/>
    </w:pPr>
    <w:rPr>
      <w:rFonts w:eastAsia="Times New Roman"/>
      <w:noProof/>
      <w:lang w:val="fr-FR" w:eastAsia="en-GB"/>
    </w:rPr>
  </w:style>
  <w:style w:type="paragraph" w:customStyle="1" w:styleId="ColumnHeading">
    <w:name w:val="ColumnHeading"/>
    <w:basedOn w:val="Normal"/>
    <w:rsid w:val="00CB0827"/>
    <w:pPr>
      <w:widowControl w:val="0"/>
      <w:spacing w:after="240"/>
      <w:jc w:val="center"/>
    </w:pPr>
    <w:rPr>
      <w:rFonts w:eastAsia="Times New Roman"/>
      <w:i/>
      <w:szCs w:val="20"/>
      <w:lang w:val="fr-FR" w:eastAsia="en-GB"/>
    </w:rPr>
  </w:style>
  <w:style w:type="paragraph" w:customStyle="1" w:styleId="AMNumberTabs0">
    <w:name w:val="AMNumberTabs"/>
    <w:basedOn w:val="Normal"/>
    <w:rsid w:val="00CB0827"/>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jc w:val="left"/>
    </w:pPr>
    <w:rPr>
      <w:rFonts w:eastAsia="Times New Roman"/>
      <w:b/>
      <w:szCs w:val="20"/>
      <w:lang w:val="fr-FR" w:eastAsia="en-GB"/>
    </w:rPr>
  </w:style>
  <w:style w:type="paragraph" w:customStyle="1" w:styleId="CrossRef">
    <w:name w:val="CrossRef"/>
    <w:basedOn w:val="Normal"/>
    <w:rsid w:val="00CB0827"/>
    <w:pPr>
      <w:widowControl w:val="0"/>
      <w:spacing w:before="240"/>
      <w:jc w:val="center"/>
    </w:pPr>
    <w:rPr>
      <w:rFonts w:eastAsia="Times New Roman"/>
      <w:i/>
      <w:szCs w:val="20"/>
      <w:lang w:val="fr-FR" w:eastAsia="en-GB"/>
    </w:rPr>
  </w:style>
  <w:style w:type="character" w:customStyle="1" w:styleId="Footer2Middle">
    <w:name w:val="Footer2Middle"/>
    <w:rsid w:val="00CB0827"/>
    <w:rPr>
      <w:rFonts w:ascii="Arial" w:hAnsi="Arial" w:cs="Arial" w:hint="default"/>
      <w:b w:val="0"/>
      <w:bCs w:val="0"/>
      <w:i/>
      <w:iCs w:val="0"/>
      <w:color w:val="C0C0C0"/>
      <w:sz w:val="22"/>
    </w:rPr>
  </w:style>
  <w:style w:type="paragraph" w:customStyle="1" w:styleId="EntPE">
    <w:name w:val="EntPE"/>
    <w:basedOn w:val="Normal12"/>
    <w:rsid w:val="00CB0827"/>
    <w:pPr>
      <w:jc w:val="center"/>
    </w:pPr>
    <w:rPr>
      <w:noProof w:val="0"/>
      <w:sz w:val="56"/>
    </w:rPr>
  </w:style>
  <w:style w:type="character" w:styleId="CommentReference">
    <w:name w:val="annotation reference"/>
    <w:basedOn w:val="DefaultParagraphFont"/>
    <w:uiPriority w:val="99"/>
    <w:rsid w:val="00CB0827"/>
    <w:rPr>
      <w:sz w:val="16"/>
      <w:szCs w:val="16"/>
    </w:rPr>
  </w:style>
  <w:style w:type="paragraph" w:styleId="CommentText">
    <w:name w:val="annotation text"/>
    <w:basedOn w:val="Normal"/>
    <w:link w:val="CommentTextChar"/>
    <w:uiPriority w:val="99"/>
    <w:rsid w:val="00CB0827"/>
    <w:pPr>
      <w:widowControl w:val="0"/>
      <w:jc w:val="left"/>
    </w:pPr>
    <w:rPr>
      <w:rFonts w:eastAsia="Times New Roman"/>
      <w:sz w:val="20"/>
      <w:szCs w:val="20"/>
      <w:lang w:val="fr-FR" w:eastAsia="en-GB"/>
    </w:rPr>
  </w:style>
  <w:style w:type="character" w:customStyle="1" w:styleId="CommentTextChar">
    <w:name w:val="Comment Text Char"/>
    <w:basedOn w:val="DefaultParagraphFont"/>
    <w:link w:val="CommentText"/>
    <w:uiPriority w:val="99"/>
    <w:rsid w:val="00CB0827"/>
    <w:rPr>
      <w:rFonts w:ascii="Times New Roman" w:eastAsia="Times New Roman" w:hAnsi="Times New Roman"/>
      <w:sz w:val="20"/>
      <w:szCs w:val="20"/>
      <w:lang w:val="fr-FR" w:eastAsia="en-GB"/>
    </w:rPr>
  </w:style>
  <w:style w:type="paragraph" w:styleId="CommentSubject">
    <w:name w:val="annotation subject"/>
    <w:basedOn w:val="CommentText"/>
    <w:next w:val="CommentText"/>
    <w:link w:val="CommentSubjectChar"/>
    <w:uiPriority w:val="99"/>
    <w:unhideWhenUsed/>
    <w:rsid w:val="00CB0827"/>
    <w:rPr>
      <w:b/>
      <w:bCs/>
    </w:rPr>
  </w:style>
  <w:style w:type="character" w:customStyle="1" w:styleId="CommentSubjectChar">
    <w:name w:val="Comment Subject Char"/>
    <w:basedOn w:val="CommentTextChar"/>
    <w:link w:val="CommentSubject"/>
    <w:uiPriority w:val="99"/>
    <w:rsid w:val="00CB0827"/>
    <w:rPr>
      <w:rFonts w:ascii="Times New Roman" w:eastAsia="Times New Roman" w:hAnsi="Times New Roman"/>
      <w:b/>
      <w:bCs/>
      <w:sz w:val="20"/>
      <w:szCs w:val="20"/>
      <w:lang w:val="fr-FR" w:eastAsia="en-GB"/>
    </w:rPr>
  </w:style>
  <w:style w:type="paragraph" w:styleId="BalloonText">
    <w:name w:val="Balloon Text"/>
    <w:basedOn w:val="Normal"/>
    <w:link w:val="BalloonTextChar"/>
    <w:uiPriority w:val="99"/>
    <w:unhideWhenUsed/>
    <w:rsid w:val="00CB0827"/>
    <w:pPr>
      <w:widowControl w:val="0"/>
      <w:jc w:val="left"/>
    </w:pPr>
    <w:rPr>
      <w:rFonts w:ascii="Segoe UI" w:eastAsia="Times New Roman" w:hAnsi="Segoe UI" w:cs="Segoe UI"/>
      <w:sz w:val="18"/>
      <w:szCs w:val="18"/>
      <w:lang w:val="fr-FR" w:eastAsia="en-GB"/>
    </w:rPr>
  </w:style>
  <w:style w:type="character" w:customStyle="1" w:styleId="BalloonTextChar">
    <w:name w:val="Balloon Text Char"/>
    <w:basedOn w:val="DefaultParagraphFont"/>
    <w:link w:val="BalloonText"/>
    <w:uiPriority w:val="99"/>
    <w:rsid w:val="00CB0827"/>
    <w:rPr>
      <w:rFonts w:ascii="Segoe UI" w:eastAsia="Times New Roman" w:hAnsi="Segoe UI" w:cs="Segoe UI"/>
      <w:sz w:val="18"/>
      <w:szCs w:val="18"/>
      <w:lang w:val="fr-FR" w:eastAsia="en-GB"/>
    </w:rPr>
  </w:style>
  <w:style w:type="paragraph" w:customStyle="1" w:styleId="PageHeadingNotTOC">
    <w:name w:val="PageHeadingNotTOC"/>
    <w:basedOn w:val="Normal"/>
    <w:rsid w:val="00CB0827"/>
    <w:pPr>
      <w:keepNext/>
      <w:widowControl w:val="0"/>
      <w:spacing w:after="480"/>
      <w:jc w:val="center"/>
    </w:pPr>
    <w:rPr>
      <w:rFonts w:ascii="Arial" w:eastAsia="Times New Roman" w:hAnsi="Arial" w:cs="Arial"/>
      <w:b/>
      <w:szCs w:val="20"/>
      <w:lang w:val="fr-FR" w:eastAsia="en-GB"/>
    </w:rPr>
  </w:style>
  <w:style w:type="paragraph" w:customStyle="1" w:styleId="AmHeadingPA">
    <w:name w:val="AmHeadingPA"/>
    <w:basedOn w:val="Normal"/>
    <w:next w:val="Normal"/>
    <w:rsid w:val="00CB0827"/>
    <w:pPr>
      <w:widowControl w:val="0"/>
      <w:spacing w:before="480" w:after="240"/>
      <w:jc w:val="center"/>
    </w:pPr>
    <w:rPr>
      <w:rFonts w:ascii="Arial" w:eastAsia="Times New Roman" w:hAnsi="Arial"/>
      <w:b/>
      <w:caps/>
      <w:snapToGrid w:val="0"/>
      <w:lang w:val="fr-FR"/>
    </w:rPr>
  </w:style>
  <w:style w:type="character" w:customStyle="1" w:styleId="Sup">
    <w:name w:val="Sup"/>
    <w:uiPriority w:val="1"/>
    <w:qFormat/>
    <w:rsid w:val="00CB0827"/>
    <w:rPr>
      <w:vertAlign w:val="superscript"/>
    </w:rPr>
  </w:style>
  <w:style w:type="character" w:styleId="Hyperlink">
    <w:name w:val="Hyperlink"/>
    <w:basedOn w:val="DefaultParagraphFont"/>
    <w:uiPriority w:val="99"/>
    <w:rsid w:val="00CB0827"/>
    <w:rPr>
      <w:color w:val="0563C1" w:themeColor="hyperlink"/>
      <w:u w:val="single"/>
    </w:rPr>
  </w:style>
  <w:style w:type="paragraph" w:customStyle="1" w:styleId="LetterSalutation">
    <w:name w:val="LetterSalutation"/>
    <w:basedOn w:val="Normal"/>
    <w:rsid w:val="00CB0827"/>
    <w:pPr>
      <w:widowControl w:val="0"/>
      <w:spacing w:before="600" w:after="360"/>
      <w:jc w:val="left"/>
    </w:pPr>
    <w:rPr>
      <w:rFonts w:eastAsia="Times New Roman"/>
      <w:szCs w:val="20"/>
      <w:lang w:val="fr-FR" w:eastAsia="en-GB"/>
    </w:rPr>
  </w:style>
  <w:style w:type="paragraph" w:customStyle="1" w:styleId="LetterSubject">
    <w:name w:val="LetterSubject"/>
    <w:basedOn w:val="Normal"/>
    <w:rsid w:val="00CB0827"/>
    <w:pPr>
      <w:widowControl w:val="0"/>
      <w:spacing w:before="480"/>
      <w:ind w:left="1134" w:hanging="1134"/>
      <w:jc w:val="left"/>
    </w:pPr>
    <w:rPr>
      <w:rFonts w:eastAsia="Times New Roman"/>
      <w:szCs w:val="20"/>
      <w:lang w:val="fr-FR" w:eastAsia="en-GB"/>
    </w:rPr>
  </w:style>
  <w:style w:type="paragraph" w:customStyle="1" w:styleId="CoverBold">
    <w:name w:val="CoverBold"/>
    <w:basedOn w:val="Normal"/>
    <w:rsid w:val="00CB0827"/>
    <w:pPr>
      <w:widowControl w:val="0"/>
      <w:ind w:left="1417"/>
      <w:jc w:val="left"/>
    </w:pPr>
    <w:rPr>
      <w:rFonts w:eastAsia="Times New Roman"/>
      <w:b/>
      <w:szCs w:val="20"/>
      <w:lang w:val="fr-FR" w:eastAsia="en-GB"/>
    </w:rPr>
  </w:style>
  <w:style w:type="paragraph" w:customStyle="1" w:styleId="Normal2">
    <w:name w:val="Normal2"/>
    <w:basedOn w:val="Normal"/>
    <w:qFormat/>
    <w:rsid w:val="00CB0827"/>
    <w:pPr>
      <w:widowControl w:val="0"/>
      <w:spacing w:line="120" w:lineRule="auto"/>
      <w:jc w:val="left"/>
    </w:pPr>
    <w:rPr>
      <w:rFonts w:eastAsia="Times New Roman"/>
      <w:sz w:val="4"/>
      <w:szCs w:val="20"/>
      <w:lang w:val="fr-FR" w:eastAsia="en-GB"/>
    </w:rPr>
  </w:style>
  <w:style w:type="paragraph" w:customStyle="1" w:styleId="NormalItalic6a">
    <w:name w:val="NormalItalic6a"/>
    <w:basedOn w:val="Normal6a"/>
    <w:qFormat/>
    <w:rsid w:val="00CB0827"/>
    <w:rPr>
      <w:i/>
    </w:rPr>
  </w:style>
  <w:style w:type="paragraph" w:customStyle="1" w:styleId="NormalBoldItalic6a">
    <w:name w:val="NormalBoldItalic6a"/>
    <w:basedOn w:val="Normal6a"/>
    <w:qFormat/>
    <w:rsid w:val="00CB0827"/>
    <w:rPr>
      <w:b/>
      <w:i/>
    </w:rPr>
  </w:style>
  <w:style w:type="paragraph" w:customStyle="1" w:styleId="NormalBoldItalicCenter6a">
    <w:name w:val="NormalBoldItalicCenter6a"/>
    <w:basedOn w:val="Normal6a"/>
    <w:qFormat/>
    <w:rsid w:val="00CB0827"/>
    <w:pPr>
      <w:jc w:val="center"/>
    </w:pPr>
    <w:rPr>
      <w:b/>
      <w:i/>
    </w:rPr>
  </w:style>
  <w:style w:type="paragraph" w:customStyle="1" w:styleId="AnnexRight">
    <w:name w:val="AnnexRight"/>
    <w:basedOn w:val="Normal"/>
    <w:rsid w:val="00CB0827"/>
    <w:pPr>
      <w:widowControl w:val="0"/>
      <w:spacing w:after="480"/>
      <w:jc w:val="right"/>
    </w:pPr>
    <w:rPr>
      <w:rFonts w:eastAsia="Times New Roman"/>
      <w:szCs w:val="20"/>
      <w:lang w:val="fr-FR" w:eastAsia="en-GB"/>
    </w:rPr>
  </w:style>
  <w:style w:type="paragraph" w:customStyle="1" w:styleId="RollCallSymbols14pt">
    <w:name w:val="RollCallSymbols14pt"/>
    <w:basedOn w:val="Normal"/>
    <w:rsid w:val="00CB0827"/>
    <w:pPr>
      <w:widowControl w:val="0"/>
      <w:spacing w:before="120" w:after="120"/>
      <w:jc w:val="center"/>
    </w:pPr>
    <w:rPr>
      <w:rFonts w:ascii="Arial" w:eastAsia="Times New Roman" w:hAnsi="Arial"/>
      <w:b/>
      <w:bCs/>
      <w:snapToGrid w:val="0"/>
      <w:sz w:val="28"/>
      <w:szCs w:val="20"/>
      <w:lang w:val="fr-FR"/>
    </w:rPr>
  </w:style>
  <w:style w:type="paragraph" w:customStyle="1" w:styleId="RollCallTabs">
    <w:name w:val="RollCallTabs"/>
    <w:basedOn w:val="Normal"/>
    <w:qFormat/>
    <w:rsid w:val="00CB0827"/>
    <w:pPr>
      <w:widowControl w:val="0"/>
      <w:tabs>
        <w:tab w:val="center" w:pos="284"/>
        <w:tab w:val="left" w:pos="426"/>
      </w:tabs>
      <w:jc w:val="left"/>
    </w:pPr>
    <w:rPr>
      <w:rFonts w:eastAsia="Times New Roman"/>
      <w:snapToGrid w:val="0"/>
      <w:szCs w:val="20"/>
      <w:lang w:val="fr-FR"/>
    </w:rPr>
  </w:style>
  <w:style w:type="paragraph" w:customStyle="1" w:styleId="RollCallVotes">
    <w:name w:val="RollCallVotes"/>
    <w:basedOn w:val="Normal"/>
    <w:rsid w:val="00CB0827"/>
    <w:pPr>
      <w:widowControl w:val="0"/>
      <w:spacing w:before="120" w:after="120"/>
      <w:jc w:val="center"/>
    </w:pPr>
    <w:rPr>
      <w:rFonts w:eastAsia="Times New Roman"/>
      <w:b/>
      <w:bCs/>
      <w:snapToGrid w:val="0"/>
      <w:sz w:val="16"/>
      <w:szCs w:val="20"/>
      <w:lang w:val="fr-FR"/>
    </w:rPr>
  </w:style>
  <w:style w:type="paragraph" w:customStyle="1" w:styleId="RollCallTable">
    <w:name w:val="RollCallTable"/>
    <w:basedOn w:val="Normal"/>
    <w:rsid w:val="00CB0827"/>
    <w:pPr>
      <w:widowControl w:val="0"/>
      <w:spacing w:before="120" w:after="120"/>
      <w:jc w:val="left"/>
    </w:pPr>
    <w:rPr>
      <w:rFonts w:eastAsia="Times New Roman"/>
      <w:snapToGrid w:val="0"/>
      <w:sz w:val="16"/>
      <w:szCs w:val="20"/>
      <w:lang w:val="fr-FR"/>
    </w:rPr>
  </w:style>
  <w:style w:type="paragraph" w:customStyle="1" w:styleId="AmDocTypeTab">
    <w:name w:val="AmDocTypeTab"/>
    <w:basedOn w:val="Normal"/>
    <w:rsid w:val="00CB0827"/>
    <w:pPr>
      <w:widowControl w:val="0"/>
      <w:tabs>
        <w:tab w:val="right" w:pos="9072"/>
      </w:tabs>
      <w:jc w:val="left"/>
    </w:pPr>
    <w:rPr>
      <w:rFonts w:eastAsia="Times New Roman"/>
      <w:b/>
      <w:szCs w:val="20"/>
      <w:lang w:val="fr-FR" w:eastAsia="en-GB"/>
    </w:rPr>
  </w:style>
  <w:style w:type="paragraph" w:customStyle="1" w:styleId="NormalCenter12a">
    <w:name w:val="NormalCenter12a"/>
    <w:basedOn w:val="Normal"/>
    <w:rsid w:val="00CB0827"/>
    <w:pPr>
      <w:widowControl w:val="0"/>
      <w:spacing w:after="240"/>
      <w:jc w:val="center"/>
    </w:pPr>
    <w:rPr>
      <w:rFonts w:eastAsia="Times New Roman"/>
      <w:szCs w:val="20"/>
      <w:lang w:val="fr-FR" w:eastAsia="en-GB"/>
    </w:rPr>
  </w:style>
  <w:style w:type="paragraph" w:customStyle="1" w:styleId="AmDateTab">
    <w:name w:val="AmDateTab"/>
    <w:basedOn w:val="Normal"/>
    <w:rsid w:val="00CB0827"/>
    <w:pPr>
      <w:widowControl w:val="0"/>
      <w:tabs>
        <w:tab w:val="right" w:pos="9072"/>
      </w:tabs>
      <w:jc w:val="left"/>
    </w:pPr>
    <w:rPr>
      <w:rFonts w:eastAsia="Times New Roman"/>
      <w:szCs w:val="20"/>
      <w:lang w:val="fr-FR" w:eastAsia="en-GB"/>
    </w:rPr>
  </w:style>
  <w:style w:type="paragraph" w:customStyle="1" w:styleId="AmHeadingConsam">
    <w:name w:val="AmHeadingConsam"/>
    <w:basedOn w:val="Normal"/>
    <w:next w:val="NormalCenter12a"/>
    <w:rsid w:val="00CB0827"/>
    <w:pPr>
      <w:widowControl w:val="0"/>
      <w:spacing w:before="720" w:after="240"/>
      <w:jc w:val="center"/>
    </w:pPr>
    <w:rPr>
      <w:rFonts w:eastAsia="Times New Roman"/>
      <w:szCs w:val="20"/>
      <w:lang w:val="fr-FR" w:eastAsia="en-GB"/>
    </w:rPr>
  </w:style>
  <w:style w:type="paragraph" w:customStyle="1" w:styleId="Typedudocument">
    <w:name w:val="Type du document"/>
    <w:basedOn w:val="Normal"/>
    <w:next w:val="Normal"/>
    <w:rsid w:val="00CB0827"/>
    <w:pPr>
      <w:spacing w:before="360" w:line="360" w:lineRule="auto"/>
      <w:jc w:val="center"/>
    </w:pPr>
    <w:rPr>
      <w:b/>
      <w:szCs w:val="22"/>
      <w:lang w:val="fr-FR"/>
    </w:rPr>
  </w:style>
  <w:style w:type="paragraph" w:customStyle="1" w:styleId="SectionTitle">
    <w:name w:val="SectionTitle"/>
    <w:basedOn w:val="Normal"/>
    <w:next w:val="Heading1"/>
    <w:rsid w:val="00CB0827"/>
    <w:pPr>
      <w:keepNext/>
      <w:spacing w:before="120" w:after="360"/>
      <w:jc w:val="center"/>
    </w:pPr>
    <w:rPr>
      <w:rFonts w:eastAsia="Calibri"/>
      <w:b/>
      <w:smallCaps/>
      <w:sz w:val="28"/>
      <w:szCs w:val="22"/>
      <w:lang w:val="fr-FR"/>
    </w:rPr>
  </w:style>
  <w:style w:type="paragraph" w:customStyle="1" w:styleId="Titrearticle">
    <w:name w:val="Titre article"/>
    <w:basedOn w:val="Normal"/>
    <w:next w:val="Normal"/>
    <w:rsid w:val="00CB0827"/>
    <w:pPr>
      <w:keepNext/>
      <w:spacing w:before="360" w:after="120"/>
      <w:jc w:val="center"/>
    </w:pPr>
    <w:rPr>
      <w:rFonts w:eastAsia="Calibri"/>
      <w:i/>
      <w:szCs w:val="22"/>
      <w:lang w:val="fr-FR"/>
    </w:rPr>
  </w:style>
  <w:style w:type="paragraph" w:customStyle="1" w:styleId="Point0">
    <w:name w:val="Point 0"/>
    <w:basedOn w:val="Normal"/>
    <w:rsid w:val="00CB0827"/>
    <w:pPr>
      <w:spacing w:before="120" w:after="120"/>
      <w:ind w:left="850" w:hanging="850"/>
    </w:pPr>
    <w:rPr>
      <w:rFonts w:eastAsia="Calibri"/>
      <w:szCs w:val="22"/>
      <w:lang w:val="fr-FR"/>
    </w:rPr>
  </w:style>
  <w:style w:type="paragraph" w:customStyle="1" w:styleId="Fait">
    <w:name w:val="Fait à"/>
    <w:basedOn w:val="Normal"/>
    <w:next w:val="Institutionquisigne"/>
    <w:rsid w:val="00CB0827"/>
    <w:pPr>
      <w:keepNext/>
      <w:spacing w:before="120"/>
    </w:pPr>
    <w:rPr>
      <w:rFonts w:eastAsia="Calibri"/>
      <w:szCs w:val="22"/>
      <w:lang w:val="fr-FR"/>
    </w:rPr>
  </w:style>
  <w:style w:type="paragraph" w:customStyle="1" w:styleId="Institutionquisigne">
    <w:name w:val="Institution qui signe"/>
    <w:basedOn w:val="Normal"/>
    <w:next w:val="Normal"/>
    <w:rsid w:val="00CB0827"/>
    <w:pPr>
      <w:keepNext/>
      <w:tabs>
        <w:tab w:val="left" w:pos="4252"/>
      </w:tabs>
      <w:spacing w:before="720"/>
    </w:pPr>
    <w:rPr>
      <w:rFonts w:eastAsia="Calibri"/>
      <w:i/>
      <w:szCs w:val="22"/>
      <w:lang w:val="fr-FR"/>
    </w:rPr>
  </w:style>
  <w:style w:type="paragraph" w:customStyle="1" w:styleId="NormalCentered">
    <w:name w:val="Normal Centered"/>
    <w:basedOn w:val="Normal"/>
    <w:rsid w:val="00CB0827"/>
    <w:pPr>
      <w:spacing w:before="120" w:after="120"/>
      <w:jc w:val="center"/>
    </w:pPr>
    <w:rPr>
      <w:rFonts w:eastAsia="Calibri"/>
      <w:szCs w:val="22"/>
      <w:lang w:val="fr-FR"/>
    </w:rPr>
  </w:style>
  <w:style w:type="paragraph" w:customStyle="1" w:styleId="NormalLeft">
    <w:name w:val="Normal Left"/>
    <w:basedOn w:val="Normal"/>
    <w:rsid w:val="00CB0827"/>
    <w:pPr>
      <w:spacing w:before="120" w:after="120"/>
      <w:jc w:val="left"/>
    </w:pPr>
    <w:rPr>
      <w:rFonts w:eastAsia="Calibri"/>
      <w:szCs w:val="22"/>
      <w:lang w:val="fr-FR"/>
    </w:rPr>
  </w:style>
  <w:style w:type="paragraph" w:styleId="NormalWeb">
    <w:name w:val="Normal (Web)"/>
    <w:basedOn w:val="Normal"/>
    <w:uiPriority w:val="99"/>
    <w:unhideWhenUsed/>
    <w:rsid w:val="00CB0827"/>
    <w:pPr>
      <w:spacing w:before="100" w:beforeAutospacing="1" w:after="100" w:afterAutospacing="1"/>
      <w:jc w:val="left"/>
    </w:pPr>
    <w:rPr>
      <w:rFonts w:eastAsia="Times New Roman"/>
      <w:lang w:val="fr-FR" w:eastAsia="pl-PL"/>
    </w:rPr>
  </w:style>
  <w:style w:type="character" w:styleId="FollowedHyperlink">
    <w:name w:val="FollowedHyperlink"/>
    <w:basedOn w:val="DefaultParagraphFont"/>
    <w:uiPriority w:val="99"/>
    <w:unhideWhenUsed/>
    <w:rsid w:val="00CB0827"/>
    <w:rPr>
      <w:color w:val="954F72"/>
      <w:u w:val="single"/>
    </w:rPr>
  </w:style>
  <w:style w:type="paragraph" w:customStyle="1" w:styleId="xl65">
    <w:name w:val="xl65"/>
    <w:basedOn w:val="Normal"/>
    <w:rsid w:val="00CB0827"/>
    <w:pPr>
      <w:pBdr>
        <w:left w:val="single" w:sz="4" w:space="0" w:color="auto"/>
      </w:pBdr>
      <w:spacing w:before="100" w:beforeAutospacing="1" w:after="100" w:afterAutospacing="1"/>
      <w:jc w:val="left"/>
    </w:pPr>
    <w:rPr>
      <w:rFonts w:eastAsia="Times New Roman"/>
      <w:lang w:val="fr-FR" w:eastAsia="en-IE"/>
    </w:rPr>
  </w:style>
  <w:style w:type="paragraph" w:customStyle="1" w:styleId="xl66">
    <w:name w:val="xl66"/>
    <w:basedOn w:val="Normal"/>
    <w:rsid w:val="00CB0827"/>
    <w:pPr>
      <w:pBdr>
        <w:right w:val="single" w:sz="4" w:space="0" w:color="auto"/>
      </w:pBdr>
      <w:spacing w:before="100" w:beforeAutospacing="1" w:after="100" w:afterAutospacing="1"/>
      <w:jc w:val="left"/>
    </w:pPr>
    <w:rPr>
      <w:rFonts w:eastAsia="Times New Roman"/>
      <w:lang w:val="fr-FR" w:eastAsia="en-IE"/>
    </w:rPr>
  </w:style>
  <w:style w:type="paragraph" w:customStyle="1" w:styleId="Datedadoption">
    <w:name w:val="Date d'adoption"/>
    <w:basedOn w:val="Normal"/>
    <w:next w:val="Normal"/>
    <w:rsid w:val="00BC6C0A"/>
    <w:pPr>
      <w:spacing w:before="360" w:line="360" w:lineRule="auto"/>
      <w:jc w:val="center"/>
    </w:pPr>
    <w:rPr>
      <w:rFonts w:eastAsia="Times New Roman"/>
      <w:b/>
      <w:szCs w:val="20"/>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1441</Words>
  <Characters>8215</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European Parliament</Company>
  <LinksUpToDate>false</LinksUpToDate>
  <CharactersWithSpaces>9637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NEUKELMANCE Charlotte Anne Alain Ghislaine</dc:creator>
  <cp:keywords/>
  <dc:description/>
  <cp:lastModifiedBy>DELECROIX Dorothee</cp:lastModifiedBy>
  <cp:revision>2</cp:revision>
  <dcterms:created xsi:type="dcterms:W3CDTF">2024-11-28T15:46:00Z</dcterms:created>
  <dcterms:modified xsi:type="dcterms:W3CDTF">2024-11-28T15:46:00Z</dcterms:modified>
</cp:coreProperties>
</file>