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2A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2A3C" w:rsidRDefault="009F1B5B" w:rsidP="0010095E">
            <w:pPr>
              <w:pStyle w:val="EPName"/>
            </w:pPr>
            <w:r w:rsidRPr="00162A3C">
              <w:t>Európai Parlament</w:t>
            </w:r>
          </w:p>
          <w:p w:rsidR="00751A4A" w:rsidRPr="00162A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A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2A3C" w:rsidRDefault="00187494" w:rsidP="0010095E">
            <w:pPr>
              <w:pStyle w:val="EPLogo"/>
            </w:pPr>
            <w:r w:rsidRPr="00162A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2A3C" w:rsidRDefault="00D058B8" w:rsidP="004C5D52">
      <w:pPr>
        <w:pStyle w:val="LineTop"/>
      </w:pPr>
    </w:p>
    <w:p w:rsidR="00680577" w:rsidRPr="00162A3C" w:rsidRDefault="009F1B5B" w:rsidP="00680577">
      <w:pPr>
        <w:pStyle w:val="EPBodyTA1"/>
      </w:pPr>
      <w:r w:rsidRPr="00162A3C">
        <w:t>ELFOGADOTT SZÖVEGEK</w:t>
      </w:r>
    </w:p>
    <w:p w:rsidR="00D058B8" w:rsidRPr="00162A3C" w:rsidRDefault="00D058B8" w:rsidP="00D058B8">
      <w:pPr>
        <w:pStyle w:val="LineBottom"/>
      </w:pPr>
    </w:p>
    <w:p w:rsidR="009F1B5B" w:rsidRPr="00951FAD" w:rsidRDefault="009F1B5B" w:rsidP="009F1B5B">
      <w:pPr>
        <w:pStyle w:val="ATHeading1"/>
      </w:pPr>
      <w:bookmarkStart w:id="0" w:name="TANumber"/>
      <w:r w:rsidRPr="00951FAD">
        <w:t>P9_</w:t>
      </w:r>
      <w:proofErr w:type="gramStart"/>
      <w:r w:rsidRPr="00951FAD">
        <w:t>TA(</w:t>
      </w:r>
      <w:proofErr w:type="gramEnd"/>
      <w:r w:rsidRPr="00951FAD">
        <w:t>2024)0</w:t>
      </w:r>
      <w:r w:rsidR="00951FAD">
        <w:t>163</w:t>
      </w:r>
      <w:bookmarkEnd w:id="0"/>
    </w:p>
    <w:p w:rsidR="009F1B5B" w:rsidRPr="00951FAD" w:rsidRDefault="001F3BC2" w:rsidP="009F1B5B">
      <w:pPr>
        <w:pStyle w:val="ATHeading2"/>
      </w:pPr>
      <w:bookmarkStart w:id="1" w:name="title"/>
      <w:r w:rsidRPr="00951FAD">
        <w:t>Az Unió általános költségvetésére alkalmazandó pénzügyi szabályok (átdolgozás)</w:t>
      </w:r>
      <w:bookmarkEnd w:id="1"/>
    </w:p>
    <w:p w:rsidR="009F1B5B" w:rsidRPr="00162A3C" w:rsidRDefault="009F1B5B" w:rsidP="009F1B5B">
      <w:pPr>
        <w:rPr>
          <w:i/>
          <w:vanish/>
        </w:rPr>
      </w:pPr>
      <w:r w:rsidRPr="00162A3C">
        <w:rPr>
          <w:i/>
        </w:rPr>
        <w:fldChar w:fldCharType="begin"/>
      </w:r>
      <w:r w:rsidRPr="00162A3C">
        <w:rPr>
          <w:i/>
        </w:rPr>
        <w:instrText xml:space="preserve"> TC"(</w:instrText>
      </w:r>
      <w:bookmarkStart w:id="2" w:name="DocNumber"/>
      <w:r w:rsidRPr="00162A3C">
        <w:rPr>
          <w:i/>
        </w:rPr>
        <w:instrText>A9-0180/2023</w:instrText>
      </w:r>
      <w:bookmarkEnd w:id="2"/>
      <w:r w:rsidRPr="00162A3C">
        <w:rPr>
          <w:i/>
        </w:rPr>
        <w:instrText xml:space="preserve"> - Előadók: Nils Ušakovs, Monika Hohlmeier)"\l3 \n&gt; \* MERGEFORMAT </w:instrText>
      </w:r>
      <w:r w:rsidRPr="00162A3C">
        <w:rPr>
          <w:i/>
        </w:rPr>
        <w:fldChar w:fldCharType="end"/>
      </w:r>
    </w:p>
    <w:p w:rsidR="009F1B5B" w:rsidRPr="00162A3C" w:rsidRDefault="009F1B5B" w:rsidP="009F1B5B">
      <w:pPr>
        <w:rPr>
          <w:vanish/>
        </w:rPr>
      </w:pPr>
      <w:bookmarkStart w:id="3" w:name="Commission"/>
      <w:r w:rsidRPr="00162A3C">
        <w:rPr>
          <w:vanish/>
        </w:rPr>
        <w:t>Költségvetési Bizottság</w:t>
      </w:r>
      <w:r w:rsidR="00FB4C70" w:rsidRPr="00162A3C">
        <w:rPr>
          <w:vanish/>
        </w:rPr>
        <w:t xml:space="preserve"> és</w:t>
      </w:r>
      <w:r w:rsidRPr="00162A3C">
        <w:rPr>
          <w:vanish/>
        </w:rPr>
        <w:t xml:space="preserve"> Költségvetési Ellenőrző Bizottság</w:t>
      </w:r>
      <w:bookmarkEnd w:id="3"/>
    </w:p>
    <w:p w:rsidR="009F1B5B" w:rsidRPr="00162A3C" w:rsidRDefault="009F1B5B" w:rsidP="009F1B5B">
      <w:pPr>
        <w:rPr>
          <w:vanish/>
        </w:rPr>
      </w:pPr>
      <w:bookmarkStart w:id="4" w:name="PE"/>
      <w:r w:rsidRPr="00162A3C">
        <w:rPr>
          <w:vanish/>
        </w:rPr>
        <w:t>PE740.802</w:t>
      </w:r>
      <w:bookmarkEnd w:id="4"/>
    </w:p>
    <w:p w:rsidR="009F1B5B" w:rsidRPr="00951FAD" w:rsidRDefault="009F1B5B" w:rsidP="009F1B5B">
      <w:pPr>
        <w:pStyle w:val="ATHeading3"/>
      </w:pPr>
      <w:bookmarkStart w:id="5" w:name="Sujet"/>
      <w:r w:rsidRPr="00951FAD">
        <w:t xml:space="preserve">Az Európai Parlament 2024. </w:t>
      </w:r>
      <w:r w:rsidR="001F3BC2" w:rsidRPr="00951FAD">
        <w:t>március</w:t>
      </w:r>
      <w:r w:rsidRPr="00951FAD">
        <w:t xml:space="preserve"> </w:t>
      </w:r>
      <w:r w:rsidR="00416212" w:rsidRPr="00951FAD">
        <w:t>1</w:t>
      </w:r>
      <w:r w:rsidR="00FB4C70" w:rsidRPr="00951FAD">
        <w:t>4</w:t>
      </w:r>
      <w:r w:rsidR="00416212" w:rsidRPr="00951FAD">
        <w:t>-</w:t>
      </w:r>
      <w:r w:rsidRPr="00951FAD">
        <w:t xml:space="preserve">i jogalkotási állásfoglalása az Unió általános költségvetésére alkalmazandó pénzügyi szabályokról szóló európai parlamenti és tanácsi </w:t>
      </w:r>
      <w:proofErr w:type="gramStart"/>
      <w:r w:rsidRPr="00951FAD">
        <w:t>rendeletre</w:t>
      </w:r>
      <w:proofErr w:type="gramEnd"/>
      <w:r w:rsidRPr="00951FAD">
        <w:t xml:space="preserve"> </w:t>
      </w:r>
      <w:r w:rsidR="00D30B51" w:rsidRPr="00951FAD">
        <w:t xml:space="preserve">(átdolgozás) </w:t>
      </w:r>
      <w:r w:rsidRPr="00951FAD">
        <w:t>irányuló javaslatról</w:t>
      </w:r>
      <w:bookmarkEnd w:id="5"/>
      <w:r w:rsidRPr="00951FAD">
        <w:t xml:space="preserve"> </w:t>
      </w:r>
      <w:bookmarkStart w:id="6" w:name="References"/>
      <w:r w:rsidRPr="00951FAD">
        <w:t>(COM(2022)0223 – C9-0179/2022 – 2022/0162(COD))</w:t>
      </w:r>
      <w:bookmarkEnd w:id="6"/>
    </w:p>
    <w:p w:rsidR="00ED50AE" w:rsidRPr="00162A3C" w:rsidRDefault="00ED50AE" w:rsidP="00ED50AE">
      <w:pPr>
        <w:pStyle w:val="NormalBold"/>
      </w:pPr>
      <w:bookmarkStart w:id="7" w:name="TextBodyBegin"/>
      <w:bookmarkEnd w:id="7"/>
      <w:r w:rsidRPr="00162A3C">
        <w:t>(Rendes jogalkotási eljárás – átdolgozás)</w:t>
      </w:r>
    </w:p>
    <w:p w:rsidR="00ED50AE" w:rsidRPr="00162A3C" w:rsidRDefault="00ED50AE" w:rsidP="00ED50AE">
      <w:pPr>
        <w:pStyle w:val="EPComma"/>
      </w:pPr>
      <w:r w:rsidRPr="00162A3C">
        <w:rPr>
          <w:i/>
          <w:iCs/>
        </w:rPr>
        <w:t>Az Európai Parlament</w:t>
      </w:r>
      <w:r w:rsidRPr="00162A3C">
        <w:t>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 Bizottság Parlamenthez és Tanácshoz intézett javaslatára (</w:t>
      </w:r>
      <w:proofErr w:type="gramStart"/>
      <w:r w:rsidRPr="00162A3C">
        <w:t>COM(</w:t>
      </w:r>
      <w:proofErr w:type="gramEnd"/>
      <w:r w:rsidRPr="00162A3C">
        <w:t>2022)0223),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az Európai Unió működéséről szóló szerződés 294. cikkének (2) bekezdésére és 322. cikkének (1) bekezdésére, valamint az Európai Atomenergia-közösséget létrehozó szerződés 106a. cikkére, amely</w:t>
      </w:r>
      <w:r w:rsidR="001F3BC2" w:rsidRPr="00162A3C">
        <w:t>ek</w:t>
      </w:r>
      <w:r w:rsidRPr="00162A3C">
        <w:t>nek megfelelően a Bizottság benyújtotta a javaslatot a Parlamentnek (C9</w:t>
      </w:r>
      <w:r w:rsidRPr="00162A3C">
        <w:noBreakHyphen/>
        <w:t>0179/2022),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az Európai Unió működéséről szóló szerződés 294. cikkének (3) bekezdésére,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 Számvevőszék 2022. október 31-i véleményére</w:t>
      </w:r>
      <w:r w:rsidRPr="00162A3C">
        <w:rPr>
          <w:rStyle w:val="FootnoteReference"/>
        </w:rPr>
        <w:footnoteReference w:id="1"/>
      </w:r>
      <w:r w:rsidRPr="00162A3C">
        <w:t>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 xml:space="preserve">tekintettel a jogi </w:t>
      </w:r>
      <w:proofErr w:type="gramStart"/>
      <w:r w:rsidRPr="00162A3C">
        <w:t>aktusok</w:t>
      </w:r>
      <w:proofErr w:type="gramEnd"/>
      <w:r w:rsidRPr="00162A3C">
        <w:t xml:space="preserve"> átdolgozási technikájának szervezettebb használatáról szóló, 2001. november 28-i intézményközi megállapodásra</w:t>
      </w:r>
      <w:r w:rsidRPr="00162A3C">
        <w:rPr>
          <w:rStyle w:val="FootnoteReference"/>
        </w:rPr>
        <w:footnoteReference w:id="2"/>
      </w:r>
      <w:r w:rsidRPr="00162A3C">
        <w:t>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az eljárási szabályzata 110. cikkének (3) bekezdése értelmében a Jogi Bizottság által a Költségvetési Bizottsághoz és a Költségvetési Ellenőrző Bizottsághoz intézett, 2023. április 25-i levélre,</w:t>
      </w:r>
    </w:p>
    <w:p w:rsidR="00910D29" w:rsidRPr="00162A3C" w:rsidRDefault="00910D29" w:rsidP="00910D29">
      <w:pPr>
        <w:pStyle w:val="NormalHanging12a"/>
        <w:widowControl/>
      </w:pPr>
      <w:r w:rsidRPr="00162A3C">
        <w:t>–</w:t>
      </w:r>
      <w:r w:rsidRPr="00162A3C">
        <w:tab/>
        <w:t xml:space="preserve">tekintettel az illetékes bizottság által az eljárási szabályzat 74. cikkének (4) bekezdése alapján jóváhagyott ideiglenes megállapodásra és a Tanács képviselőjének 2023. december 20-i írásbeli kötelezettségvállalására, amely szerint egyetért a Parlament </w:t>
      </w:r>
      <w:r w:rsidRPr="00162A3C">
        <w:lastRenderedPageBreak/>
        <w:t>álláspontjával, az Európai Unió működéséről szóló szerződés 294. cikkének (4) bekezdésével összhangban,</w:t>
      </w:r>
    </w:p>
    <w:p w:rsidR="00ED50AE" w:rsidRPr="00162A3C" w:rsidRDefault="00ED50AE" w:rsidP="00D214A7">
      <w:pPr>
        <w:pStyle w:val="NormalHanging12a"/>
        <w:widowControl/>
        <w:rPr>
          <w:szCs w:val="24"/>
        </w:rPr>
      </w:pPr>
      <w:r w:rsidRPr="00162A3C">
        <w:t>–</w:t>
      </w:r>
      <w:r w:rsidRPr="00162A3C">
        <w:tab/>
        <w:t>tekintettel az eljárási szabályzat 58. cikke alapján a Költségvetési Bizottság és a Költségvetési Ellenőrző Bizottság közös tanácskozásaira,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eljárási szabályzata 110. és 59. cikkére,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 Regionális Fejlesztési Bizottság véleményére,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az Ipari, Kutatási és Energiaügyi Bizottság levelére,</w:t>
      </w:r>
    </w:p>
    <w:p w:rsidR="00ED50AE" w:rsidRPr="00162A3C" w:rsidRDefault="00ED50AE" w:rsidP="00D214A7">
      <w:pPr>
        <w:pStyle w:val="NormalHanging12a"/>
        <w:widowControl/>
      </w:pPr>
      <w:r w:rsidRPr="00162A3C">
        <w:t>–</w:t>
      </w:r>
      <w:r w:rsidRPr="00162A3C">
        <w:tab/>
        <w:t>tekintettel a Költségvetési Bizottság és a Költségvetési Ellenőrző Bizottság jelentésére (A9-0180/2023),</w:t>
      </w:r>
    </w:p>
    <w:p w:rsidR="00ED50AE" w:rsidRPr="00162A3C" w:rsidRDefault="00ED50AE" w:rsidP="00D214A7">
      <w:pPr>
        <w:pStyle w:val="NormalHanging12a"/>
        <w:widowControl/>
      </w:pPr>
      <w:proofErr w:type="gramStart"/>
      <w:r w:rsidRPr="00162A3C">
        <w:t>A.</w:t>
      </w:r>
      <w:proofErr w:type="gramEnd"/>
      <w:r w:rsidRPr="00162A3C">
        <w:tab/>
      </w:r>
      <w:proofErr w:type="gramStart"/>
      <w:r w:rsidRPr="00162A3C">
        <w:t>mivel</w:t>
      </w:r>
      <w:proofErr w:type="gramEnd"/>
      <w:r w:rsidRPr="00162A3C">
        <w:t xml:space="preserve"> az Európai Parlament, a Tanács és a Bizottság jogi szolgálataiból álló tanácsadó munkacsoport szerint a Bizottság javaslata a benne akként megjelölteken kívül egyéb érdemi módosítást nem tartalmaz, és mivel a meglévő jogszabályok változatlanul hagyott rendelkezései és e módosítások egységes szerkezetbe foglalása tekintetében a javaslat a meglévő jogszabályok érdemi módosítás nélküli egyszerű egységes szerkezetbe foglalását tartalmazza</w:t>
      </w:r>
      <w:r w:rsidR="001F3BC2" w:rsidRPr="00162A3C">
        <w:t>;</w:t>
      </w:r>
    </w:p>
    <w:p w:rsidR="00ED50AE" w:rsidRPr="00162A3C" w:rsidRDefault="00ED50AE" w:rsidP="00D214A7">
      <w:pPr>
        <w:pStyle w:val="NormalHanging12a"/>
        <w:widowControl/>
      </w:pPr>
      <w:r w:rsidRPr="00162A3C">
        <w:t>1</w:t>
      </w:r>
      <w:r w:rsidR="001F3BC2" w:rsidRPr="00162A3C">
        <w:t>.</w:t>
      </w:r>
      <w:r w:rsidRPr="00162A3C">
        <w:tab/>
        <w:t>elfogadja első olvasatban az alábbi álláspontot, figyelembe véve az Európai Parlament, a Tanács és a Bizottság jogi szolgálataiból álló tanácsadó munkacsoport ajánlásait;</w:t>
      </w:r>
    </w:p>
    <w:p w:rsidR="002E55A8" w:rsidRPr="00162A3C" w:rsidRDefault="002E55A8" w:rsidP="00D214A7">
      <w:pPr>
        <w:pStyle w:val="NormalHanging12a"/>
        <w:widowControl/>
      </w:pPr>
      <w:r w:rsidRPr="00162A3C">
        <w:t>2.</w:t>
      </w:r>
      <w:r w:rsidRPr="00162A3C">
        <w:tab/>
        <w:t xml:space="preserve"> jóváhagyja a Parlament és a Tanács ezen állásfoglaláshoz csatolt együttes nyilatkozatát, melyet az </w:t>
      </w:r>
      <w:r w:rsidRPr="00162A3C">
        <w:rPr>
          <w:i/>
        </w:rPr>
        <w:t xml:space="preserve">Európai Unió Hivatalos Lapjának </w:t>
      </w:r>
      <w:r w:rsidRPr="00162A3C">
        <w:t>C sorozatában tesznek közzé;</w:t>
      </w:r>
    </w:p>
    <w:p w:rsidR="002E55A8" w:rsidRPr="00162A3C" w:rsidRDefault="002E55A8" w:rsidP="00D214A7">
      <w:pPr>
        <w:pStyle w:val="NormalHanging12a"/>
        <w:widowControl/>
      </w:pPr>
      <w:r w:rsidRPr="00162A3C">
        <w:t>3.</w:t>
      </w:r>
      <w:r w:rsidR="005E03DC" w:rsidRPr="00162A3C">
        <w:tab/>
      </w:r>
      <w:r w:rsidRPr="00162A3C">
        <w:t xml:space="preserve">jóváhagyja a Parlament, a Tanács és a Bizottság ezen állásfoglaláshoz csatolt együttes nyilatkozatát, melyet az </w:t>
      </w:r>
      <w:r w:rsidRPr="00162A3C">
        <w:rPr>
          <w:i/>
        </w:rPr>
        <w:t>Európai Unió Hivatalos Lapjának</w:t>
      </w:r>
      <w:r w:rsidRPr="00162A3C">
        <w:t xml:space="preserve"> C sorozatában tesznek közzé;</w:t>
      </w:r>
    </w:p>
    <w:p w:rsidR="002E55A8" w:rsidRPr="00162A3C" w:rsidRDefault="002E55A8" w:rsidP="00D214A7">
      <w:pPr>
        <w:pStyle w:val="NormalHanging12a"/>
        <w:widowControl/>
      </w:pPr>
      <w:r w:rsidRPr="00162A3C">
        <w:t>4.</w:t>
      </w:r>
      <w:r w:rsidRPr="00162A3C">
        <w:tab/>
        <w:t xml:space="preserve"> tudomásul veszi a Bizottság ezen állásfoglaláshoz csatolt nyilatkozatait;</w:t>
      </w:r>
    </w:p>
    <w:p w:rsidR="00ED50AE" w:rsidRPr="00162A3C" w:rsidRDefault="002E55A8" w:rsidP="00D214A7">
      <w:pPr>
        <w:pStyle w:val="NormalHanging12a"/>
        <w:widowControl/>
      </w:pPr>
      <w:r w:rsidRPr="00162A3C">
        <w:t>5</w:t>
      </w:r>
      <w:r w:rsidR="001F3BC2" w:rsidRPr="00162A3C">
        <w:t>.</w:t>
      </w:r>
      <w:r w:rsidR="00ED50AE" w:rsidRPr="00162A3C">
        <w:tab/>
        <w:t xml:space="preserve">felkéri a Bizottságot, hogy utalja az ügyet újból a Parlamenthez, ha javaslatát másik szöveggel váltja fel, lényegesen </w:t>
      </w:r>
      <w:proofErr w:type="gramStart"/>
      <w:r w:rsidR="00ED50AE" w:rsidRPr="00162A3C">
        <w:t>módosítja</w:t>
      </w:r>
      <w:proofErr w:type="gramEnd"/>
      <w:r w:rsidR="00ED50AE" w:rsidRPr="00162A3C">
        <w:t xml:space="preserve"> vagy lényegesen módosítani kívánja;</w:t>
      </w:r>
    </w:p>
    <w:p w:rsidR="00ED50AE" w:rsidRPr="00162A3C" w:rsidRDefault="002E55A8" w:rsidP="00D214A7">
      <w:pPr>
        <w:pStyle w:val="NormalHanging12a"/>
        <w:widowControl/>
      </w:pPr>
      <w:r w:rsidRPr="00162A3C">
        <w:t>6</w:t>
      </w:r>
      <w:r w:rsidR="001F3BC2" w:rsidRPr="00162A3C">
        <w:t>.</w:t>
      </w:r>
      <w:r w:rsidR="00ED50AE" w:rsidRPr="00162A3C">
        <w:tab/>
        <w:t>utasítja elnökét, hogy továbbítsa a Parlament álláspontját a Tanácsnak és a Bizottságnak, valamint a nemzeti parlamenteknek.</w:t>
      </w:r>
    </w:p>
    <w:p w:rsidR="00FB4C70" w:rsidRPr="00162A3C" w:rsidRDefault="00FB4C70" w:rsidP="00ED50AE">
      <w:pPr>
        <w:sectPr w:rsidR="00FB4C70" w:rsidRPr="00162A3C" w:rsidSect="00C87D0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4C70" w:rsidRPr="00162A3C" w:rsidRDefault="00FB4C70" w:rsidP="00162A3C">
      <w:pPr>
        <w:widowControl/>
        <w:spacing w:after="120"/>
        <w:rPr>
          <w:b/>
          <w:bCs/>
        </w:rPr>
      </w:pPr>
      <w:r w:rsidRPr="00162A3C">
        <w:rPr>
          <w:b/>
          <w:bCs/>
        </w:rPr>
        <w:lastRenderedPageBreak/>
        <w:t>P9_</w:t>
      </w:r>
      <w:proofErr w:type="gramStart"/>
      <w:r w:rsidRPr="00162A3C">
        <w:rPr>
          <w:b/>
          <w:bCs/>
        </w:rPr>
        <w:t>TC1-COD(</w:t>
      </w:r>
      <w:proofErr w:type="gramEnd"/>
      <w:r w:rsidRPr="00162A3C">
        <w:rPr>
          <w:b/>
          <w:bCs/>
        </w:rPr>
        <w:t>2022)0162</w:t>
      </w:r>
    </w:p>
    <w:p w:rsidR="00FB4C70" w:rsidRPr="00162A3C" w:rsidRDefault="00FB4C70" w:rsidP="00162A3C">
      <w:pPr>
        <w:widowControl/>
        <w:spacing w:before="120"/>
        <w:rPr>
          <w:b/>
        </w:rPr>
      </w:pPr>
      <w:r w:rsidRPr="00162A3C">
        <w:rPr>
          <w:b/>
        </w:rPr>
        <w:t>Az Európai Parlament álláspontja, amely első olvasatban 2024. március 1</w:t>
      </w:r>
      <w:r w:rsidR="002E55A8" w:rsidRPr="00162A3C">
        <w:rPr>
          <w:b/>
        </w:rPr>
        <w:t>4</w:t>
      </w:r>
      <w:r w:rsidRPr="00162A3C">
        <w:rPr>
          <w:b/>
        </w:rPr>
        <w:t xml:space="preserve">-én került elfogadásra </w:t>
      </w:r>
      <w:r w:rsidR="002E55A8" w:rsidRPr="00162A3C">
        <w:rPr>
          <w:b/>
        </w:rPr>
        <w:t xml:space="preserve">az Unió általános költségvetésére alkalmazandó pénzügyi szabályokról </w:t>
      </w:r>
      <w:r w:rsidRPr="00162A3C">
        <w:rPr>
          <w:b/>
        </w:rPr>
        <w:t>szóló (EU</w:t>
      </w:r>
      <w:r w:rsidR="00DA7ACC">
        <w:rPr>
          <w:b/>
        </w:rPr>
        <w:t>, Euratom</w:t>
      </w:r>
      <w:r w:rsidRPr="00162A3C">
        <w:rPr>
          <w:b/>
        </w:rPr>
        <w:t>) 2024/</w:t>
      </w:r>
      <w:proofErr w:type="gramStart"/>
      <w:r w:rsidRPr="00162A3C">
        <w:rPr>
          <w:b/>
        </w:rPr>
        <w:t>...</w:t>
      </w:r>
      <w:proofErr w:type="gramEnd"/>
      <w:r w:rsidRPr="00162A3C">
        <w:rPr>
          <w:b/>
        </w:rPr>
        <w:t xml:space="preserve"> európai parlamenti és tanácsi </w:t>
      </w:r>
      <w:r w:rsidR="002E55A8" w:rsidRPr="00162A3C">
        <w:rPr>
          <w:b/>
        </w:rPr>
        <w:t xml:space="preserve">rendelet </w:t>
      </w:r>
      <w:r w:rsidR="00D34B10" w:rsidRPr="00162A3C">
        <w:rPr>
          <w:b/>
        </w:rPr>
        <w:t xml:space="preserve">(átdolgozás) </w:t>
      </w:r>
      <w:r w:rsidRPr="00162A3C">
        <w:rPr>
          <w:b/>
        </w:rPr>
        <w:t>elfogadására tekintettel</w:t>
      </w:r>
    </w:p>
    <w:p w:rsidR="00C35CC6" w:rsidRDefault="00C35CC6" w:rsidP="0065039A">
      <w:pPr>
        <w:widowControl/>
        <w:jc w:val="right"/>
      </w:pPr>
    </w:p>
    <w:p w:rsidR="00C35CC6" w:rsidRDefault="00C35CC6" w:rsidP="00C35CC6">
      <w:pPr>
        <w:widowControl/>
      </w:pPr>
    </w:p>
    <w:p w:rsidR="00C35CC6" w:rsidRDefault="00C35CC6" w:rsidP="00C35CC6">
      <w:pPr>
        <w:widowControl/>
        <w:rPr>
          <w:i/>
        </w:rPr>
      </w:pPr>
      <w:r w:rsidRPr="00C35CC6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35CC6">
        <w:rPr>
          <w:i/>
        </w:rPr>
        <w:t>aktussal</w:t>
      </w:r>
      <w:proofErr w:type="gramEnd"/>
      <w:r w:rsidRPr="00C35CC6">
        <w:rPr>
          <w:i/>
        </w:rPr>
        <w:t>, az (E</w:t>
      </w:r>
      <w:r>
        <w:rPr>
          <w:i/>
        </w:rPr>
        <w:t>U, Euratom</w:t>
      </w:r>
      <w:r w:rsidRPr="00C35CC6">
        <w:rPr>
          <w:i/>
        </w:rPr>
        <w:t>) 20</w:t>
      </w:r>
      <w:r>
        <w:rPr>
          <w:i/>
        </w:rPr>
        <w:t xml:space="preserve">24/2509 </w:t>
      </w:r>
      <w:r w:rsidRPr="00C35CC6">
        <w:rPr>
          <w:i/>
        </w:rPr>
        <w:t>rendelettel.)</w:t>
      </w:r>
    </w:p>
    <w:p w:rsidR="00C35CC6" w:rsidRDefault="00C35CC6">
      <w:pPr>
        <w:widowControl/>
        <w:rPr>
          <w:i/>
        </w:rPr>
      </w:pPr>
      <w:r>
        <w:rPr>
          <w:i/>
        </w:rPr>
        <w:br w:type="page"/>
      </w:r>
    </w:p>
    <w:p w:rsidR="00C35CC6" w:rsidRPr="00C35CC6" w:rsidRDefault="00C35CC6" w:rsidP="00C35CC6">
      <w:pPr>
        <w:widowControl/>
      </w:pPr>
    </w:p>
    <w:p w:rsidR="0065039A" w:rsidRPr="00162A3C" w:rsidRDefault="0065039A" w:rsidP="0065039A">
      <w:pPr>
        <w:widowControl/>
        <w:jc w:val="right"/>
      </w:pPr>
      <w:r w:rsidRPr="00162A3C">
        <w:t xml:space="preserve">MELLÉKLET </w:t>
      </w:r>
      <w:proofErr w:type="gramStart"/>
      <w:r w:rsidRPr="00162A3C">
        <w:t>A</w:t>
      </w:r>
      <w:proofErr w:type="gramEnd"/>
      <w:r w:rsidRPr="00162A3C">
        <w:t xml:space="preserve"> JOGALKOTÁSI ÁLLÁSFOGLALÁSHOZ</w:t>
      </w:r>
    </w:p>
    <w:p w:rsidR="0065039A" w:rsidRPr="00162A3C" w:rsidRDefault="0065039A" w:rsidP="0065039A">
      <w:pPr>
        <w:widowControl/>
        <w:jc w:val="right"/>
      </w:pPr>
    </w:p>
    <w:p w:rsidR="0065039A" w:rsidRPr="00162A3C" w:rsidRDefault="0065039A" w:rsidP="0065039A">
      <w:pPr>
        <w:pStyle w:val="Normal12a"/>
        <w:spacing w:line="360" w:lineRule="auto"/>
        <w:jc w:val="center"/>
        <w:rPr>
          <w:b/>
        </w:rPr>
      </w:pPr>
      <w:r w:rsidRPr="00162A3C">
        <w:rPr>
          <w:b/>
        </w:rPr>
        <w:t>Együttes nyilatkozat az (EU</w:t>
      </w:r>
      <w:r w:rsidR="00C35CC6">
        <w:rPr>
          <w:b/>
        </w:rPr>
        <w:t>, Euratom</w:t>
      </w:r>
      <w:r w:rsidRPr="00162A3C">
        <w:rPr>
          <w:b/>
        </w:rPr>
        <w:t>) 2024/</w:t>
      </w:r>
      <w:r w:rsidR="00C35CC6">
        <w:rPr>
          <w:b/>
        </w:rPr>
        <w:t xml:space="preserve">2509 </w:t>
      </w:r>
      <w:r w:rsidRPr="00162A3C">
        <w:rPr>
          <w:b/>
        </w:rPr>
        <w:t>rendelet elfogadása alkalmával a törölt vagy csökkentett pénzbírságok, egyéb büntetések vagy szankciók után járó kamatok vagy egyéb díjak költségvetési kezeléséről</w:t>
      </w:r>
    </w:p>
    <w:p w:rsidR="00F62D68" w:rsidRDefault="0065039A" w:rsidP="0065039A">
      <w:pPr>
        <w:pStyle w:val="Normal12a"/>
        <w:spacing w:line="360" w:lineRule="auto"/>
      </w:pPr>
      <w:r w:rsidRPr="00162A3C">
        <w:t xml:space="preserve">Az Európai Parlament és a Tanács megállapodott abban, hogy a törölt vagy csökkentett pénzbírságok, egyéb büntetések vagy szankciók után esedékes kamatokat vagy egyéb díjakat negatív bevételként kell elszámolni a jelenlegi többéves keret időtartama alatt. Ez kivételt jelent a negatív bevételek tilalma alól, amely erre a </w:t>
      </w:r>
      <w:proofErr w:type="gramStart"/>
      <w:r w:rsidRPr="00162A3C">
        <w:t>konkrét</w:t>
      </w:r>
      <w:proofErr w:type="gramEnd"/>
      <w:r w:rsidRPr="00162A3C">
        <w:t xml:space="preserve">, előre nem látható helyzetre korlátozódik. </w:t>
      </w:r>
    </w:p>
    <w:p w:rsidR="0065039A" w:rsidRPr="00162A3C" w:rsidRDefault="0065039A" w:rsidP="0065039A">
      <w:pPr>
        <w:pStyle w:val="Normal12a"/>
        <w:spacing w:line="360" w:lineRule="auto"/>
      </w:pPr>
      <w:bookmarkStart w:id="8" w:name="_GoBack"/>
      <w:bookmarkEnd w:id="8"/>
      <w:r w:rsidRPr="00162A3C">
        <w:t xml:space="preserve">A vonatkozó előjogok sérelme nélkül az Európai Parlament, a Tanács és a Bizottság megállapodik abban, hogy – figyelembe véve a múltbeli tapasztalatokat és a várható jövőbeli fejleményeket – a költségvetési rendelet költségvetési elveinek alkalmazásával összhangban megvizsgál egy </w:t>
      </w:r>
      <w:proofErr w:type="gramStart"/>
      <w:r w:rsidRPr="00162A3C">
        <w:t>hosszú távon</w:t>
      </w:r>
      <w:proofErr w:type="gramEnd"/>
      <w:r w:rsidRPr="00162A3C">
        <w:t xml:space="preserve"> fenntartható megoldást az ilyen kamatok vagy egyéb díjak 2027 után történő finanszírozására vonatkozóan, többek között az ilyen helyzetekben a pénzbírságok vagy egyéb szankciók összege után esedékes kamatoknak a kedvezményezett vállalkozásoknak nyújtandó megfelelő kártérítésként </w:t>
      </w:r>
      <w:proofErr w:type="gramStart"/>
      <w:r w:rsidRPr="00162A3C">
        <w:t>történő</w:t>
      </w:r>
      <w:proofErr w:type="gramEnd"/>
      <w:r w:rsidRPr="00162A3C">
        <w:t xml:space="preserve"> visszafizetése tekintetében.</w:t>
      </w:r>
    </w:p>
    <w:p w:rsidR="0065039A" w:rsidRPr="00162A3C" w:rsidRDefault="0065039A" w:rsidP="0065039A">
      <w:pPr>
        <w:pStyle w:val="Normal12a"/>
        <w:spacing w:line="360" w:lineRule="auto"/>
        <w:jc w:val="center"/>
        <w:rPr>
          <w:b/>
        </w:rPr>
      </w:pPr>
      <w:r w:rsidRPr="00162A3C">
        <w:rPr>
          <w:b/>
        </w:rPr>
        <w:t xml:space="preserve">Az Európai Parlament, a Tanács és a Bizottság együttes nyilatkozata az </w:t>
      </w:r>
      <w:r w:rsidR="00C35CC6" w:rsidRPr="00C35CC6">
        <w:rPr>
          <w:b/>
        </w:rPr>
        <w:t xml:space="preserve">(EU, Euratom) 2024/2509 </w:t>
      </w:r>
      <w:r w:rsidRPr="00162A3C">
        <w:rPr>
          <w:b/>
        </w:rPr>
        <w:t>rendelet elfogadása alkalmával a költségvetési rendelet 36. cikkében előírt egységes adatbányászati és kockázatértékelési eszközről</w:t>
      </w:r>
    </w:p>
    <w:p w:rsidR="0065039A" w:rsidRPr="00162A3C" w:rsidRDefault="0065039A" w:rsidP="0065039A">
      <w:pPr>
        <w:pStyle w:val="Normal12a"/>
        <w:spacing w:line="360" w:lineRule="auto"/>
      </w:pPr>
      <w:r w:rsidRPr="00162A3C">
        <w:t>Az Európai Parlament, a Tanács és a Bizottság (a továbbiakban: a három intézmény) elismeri, hogy a 2020. december 16-i intézményközi megállapodásban és az EUMSZ 325. cikkében foglaltaknak megfelelően fokozni kell az Unió pénzügyi érdekeinek védelmét.</w:t>
      </w:r>
    </w:p>
    <w:p w:rsidR="0065039A" w:rsidRPr="00162A3C" w:rsidRDefault="0065039A" w:rsidP="0065039A">
      <w:pPr>
        <w:pStyle w:val="Normal12a"/>
        <w:spacing w:line="360" w:lineRule="auto"/>
      </w:pPr>
      <w:r w:rsidRPr="00162A3C">
        <w:t>A három intézmény egyetért abban, hogy az eszközt az informatikai biztonsági és adatvédelmi szabályokkal összhangban tovább kell fejleszteni. Az adminisztratív terhek csökkentése, valamint a tagállamokra és a többi felhasználóra háruló aránytalan informatikai költségek elkerülése érdekében figyelembe kell venni a tagállamokban létrehozott, jóváhagyott rendszereket.</w:t>
      </w:r>
    </w:p>
    <w:p w:rsidR="0065039A" w:rsidRPr="00162A3C" w:rsidRDefault="0065039A" w:rsidP="0065039A">
      <w:pPr>
        <w:pStyle w:val="Normal12a"/>
        <w:spacing w:line="360" w:lineRule="auto"/>
      </w:pPr>
      <w:r w:rsidRPr="00162A3C">
        <w:t xml:space="preserve">A három intézmény kötelezettséget vállal arra, hogy együttműködik az eszköz továbbfejlesztése érdekében. A Bizottság megerősíti, hogy a felhasználókkal </w:t>
      </w:r>
      <w:proofErr w:type="gramStart"/>
      <w:r w:rsidRPr="00162A3C">
        <w:t>konzultálva</w:t>
      </w:r>
      <w:proofErr w:type="gramEnd"/>
      <w:r w:rsidRPr="00162A3C">
        <w:t xml:space="preserve"> folytatja az eszköz fejlesztését, és támogatást nyújt a tagállamoknak a technikai kérdések megválaszolásához. A tagállamok együttműködnek a Bizottsággal annak érdekében, hogy lehetővé tegyék a releváns informatikai rendszerekkel és adatbázisokkal való </w:t>
      </w:r>
      <w:proofErr w:type="spellStart"/>
      <w:r w:rsidRPr="00162A3C">
        <w:t>interoperabilitáshoz</w:t>
      </w:r>
      <w:proofErr w:type="spellEnd"/>
      <w:r w:rsidRPr="00162A3C">
        <w:t xml:space="preserve"> szükséges szinergiákat.</w:t>
      </w:r>
    </w:p>
    <w:p w:rsidR="0065039A" w:rsidRPr="00162A3C" w:rsidRDefault="0065039A" w:rsidP="0065039A">
      <w:pPr>
        <w:pStyle w:val="Normal12a"/>
        <w:spacing w:line="360" w:lineRule="auto"/>
        <w:rPr>
          <w:b/>
          <w:u w:val="single"/>
        </w:rPr>
      </w:pPr>
      <w:r w:rsidRPr="00162A3C">
        <w:lastRenderedPageBreak/>
        <w:t xml:space="preserve">Miután a Bizottság értékelte az eszköz alkalmasságát a költségvetési rendelet 36. cikkének (6) bekezdésében említett </w:t>
      </w:r>
      <w:proofErr w:type="gramStart"/>
      <w:r w:rsidRPr="00162A3C">
        <w:t>kritériumok</w:t>
      </w:r>
      <w:proofErr w:type="gramEnd"/>
      <w:r w:rsidRPr="00162A3C">
        <w:t xml:space="preserve"> alapján, a három intézmény – hatásköreik sérelme nélkül – vállalja, hogy megvizsgálja az eszköz 2027 utáni többéves pénzügyi keretben történő kötelező használatát, és újra megvitatja azt.</w:t>
      </w:r>
    </w:p>
    <w:p w:rsidR="0065039A" w:rsidRPr="00162A3C" w:rsidRDefault="0065039A" w:rsidP="0065039A">
      <w:pPr>
        <w:pStyle w:val="Normal12a"/>
        <w:spacing w:line="360" w:lineRule="auto"/>
        <w:jc w:val="center"/>
      </w:pPr>
    </w:p>
    <w:p w:rsidR="0065039A" w:rsidRPr="00162A3C" w:rsidRDefault="0065039A" w:rsidP="0065039A">
      <w:pPr>
        <w:pStyle w:val="Normal12a"/>
        <w:spacing w:line="360" w:lineRule="auto"/>
        <w:jc w:val="center"/>
        <w:rPr>
          <w:b/>
        </w:rPr>
      </w:pPr>
      <w:r w:rsidRPr="00162A3C">
        <w:rPr>
          <w:b/>
        </w:rPr>
        <w:t xml:space="preserve">A Bizottság egyoldalú nyilatkozata az </w:t>
      </w:r>
      <w:r w:rsidR="00C35CC6" w:rsidRPr="00C35CC6">
        <w:rPr>
          <w:b/>
        </w:rPr>
        <w:t>(EU, Euratom) 2024/</w:t>
      </w:r>
      <w:proofErr w:type="gramStart"/>
      <w:r w:rsidR="00C35CC6" w:rsidRPr="00C35CC6">
        <w:rPr>
          <w:b/>
        </w:rPr>
        <w:t xml:space="preserve">2509 </w:t>
      </w:r>
      <w:r w:rsidRPr="00162A3C">
        <w:rPr>
          <w:b/>
        </w:rPr>
        <w:t xml:space="preserve"> rendelet</w:t>
      </w:r>
      <w:proofErr w:type="gramEnd"/>
      <w:r w:rsidRPr="00162A3C">
        <w:rPr>
          <w:b/>
        </w:rPr>
        <w:t xml:space="preserve"> elfogadása alkalmával a kötelezettségvállalások visszavonásáról</w:t>
      </w:r>
    </w:p>
    <w:p w:rsidR="0065039A" w:rsidRPr="00162A3C" w:rsidRDefault="0065039A" w:rsidP="0065039A">
      <w:pPr>
        <w:pStyle w:val="Normal12a"/>
        <w:spacing w:line="360" w:lineRule="auto"/>
      </w:pPr>
      <w:r w:rsidRPr="00162A3C">
        <w:t>A 2027 utáni többéves pénzügyi keret előkészítésével összefüggésben a Bizottság meg fogja vizsgálni, hogy ki lehet-e terjeszteni a visszavont kötelezettségvállalásoknak megfelelő előirányzatok újbóli rendelkezésre bocsátásának alkalmazási körét. Ez nem érinti a 2027 utáni többéves pénzügyi keretről szóló jövőbeli bizottsági javaslatot és a Bizottságnak a Szerződésekben meghatározott jogalkotási kezdeményezési jogát.</w:t>
      </w:r>
    </w:p>
    <w:p w:rsidR="0065039A" w:rsidRPr="00162A3C" w:rsidRDefault="0065039A" w:rsidP="0065039A">
      <w:pPr>
        <w:pStyle w:val="Normal12a"/>
        <w:spacing w:line="360" w:lineRule="auto"/>
        <w:rPr>
          <w:b/>
          <w:u w:val="single"/>
        </w:rPr>
      </w:pPr>
    </w:p>
    <w:p w:rsidR="0065039A" w:rsidRPr="00162A3C" w:rsidRDefault="0065039A" w:rsidP="0065039A">
      <w:pPr>
        <w:pStyle w:val="Normal12a"/>
        <w:spacing w:line="360" w:lineRule="auto"/>
        <w:jc w:val="center"/>
        <w:rPr>
          <w:b/>
        </w:rPr>
      </w:pPr>
      <w:r w:rsidRPr="00162A3C">
        <w:rPr>
          <w:b/>
        </w:rPr>
        <w:t xml:space="preserve">A Bizottság egyoldalú nyilatkozata az </w:t>
      </w:r>
      <w:r w:rsidR="00C35CC6" w:rsidRPr="00C35CC6">
        <w:rPr>
          <w:b/>
        </w:rPr>
        <w:t>(EU, Euratom) 2024/</w:t>
      </w:r>
      <w:proofErr w:type="gramStart"/>
      <w:r w:rsidR="00C35CC6" w:rsidRPr="00C35CC6">
        <w:rPr>
          <w:b/>
        </w:rPr>
        <w:t xml:space="preserve">2509 </w:t>
      </w:r>
      <w:r w:rsidRPr="00162A3C">
        <w:rPr>
          <w:b/>
        </w:rPr>
        <w:t xml:space="preserve"> rendelet</w:t>
      </w:r>
      <w:proofErr w:type="gramEnd"/>
      <w:r w:rsidRPr="00162A3C">
        <w:rPr>
          <w:b/>
        </w:rPr>
        <w:t xml:space="preserve"> elfogadása alkalmával a korai felismerési és kizárási rendszerről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 xml:space="preserve">Az Európai Bizottság elismeri, hogy a korai felismerési és kizárási rendszernek a tagállamokkal megosztott és a közvetlen irányításra vonatkozó célzott kiterjesztésével összefüggésben mennyire fontos a tagállamok hatóságaira háruló adminisztratív terhek minimalizálása. 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 xml:space="preserve">A Bizottság elkötelezett amellett, hogy átfogó iránymutatást dolgozzon ki és képzéseket biztosítson a tagállamok számára a korai felismerési és kizárási rendszer végrehajtásáról és adatbázisának használatáról. 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>A Bizottság folytatni fogja a korai felismerési és kizárási rendszer adatbázisának fejlesztését, például azáltal, hogy lehetővé teszi több szervezet keresését és javítja az adatbázis elrendezését.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 xml:space="preserve">A Bizottság törekedni fog a korai felismerési és kizárási rendszer és az érintett nemzeti rendszerek közötti informatikai </w:t>
      </w:r>
      <w:proofErr w:type="spellStart"/>
      <w:r w:rsidRPr="00162A3C">
        <w:t>interoperabilitás</w:t>
      </w:r>
      <w:proofErr w:type="spellEnd"/>
      <w:r w:rsidRPr="00162A3C">
        <w:t xml:space="preserve"> biztosítására a folyamat egyszerűsítése érdekében, valamint, hogy lehetővé váljon az érintett személyek vagy szervezetek kizárását indokoló helyzetének gyorsabb ellenőrzése.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 xml:space="preserve">A Bizottság megerősíti, hogy a korai felismerési és kizárási rendszer céljából történő további </w:t>
      </w:r>
      <w:proofErr w:type="gramStart"/>
      <w:r w:rsidRPr="00162A3C">
        <w:t>információ</w:t>
      </w:r>
      <w:proofErr w:type="gramEnd"/>
      <w:r w:rsidRPr="00162A3C">
        <w:t xml:space="preserve">kérés nem fogja meghaladni a feltétlenül szükséges és indokolt mértéket, és azt az alkalmazandó adatvédelmi szabályoknak megfelelően fogja kezelni. A Bizottság emlékeztet arra, hogy az európai adatvédelmi biztosnak a költségvetési rendelet átdolgozására irányuló bizottsági </w:t>
      </w:r>
      <w:r w:rsidRPr="00162A3C">
        <w:lastRenderedPageBreak/>
        <w:t>javaslatról szóló véleménye nem vetett fel aggályokat a korai felismerési és kizárási rendszerrel kapcsolatban.</w:t>
      </w:r>
    </w:p>
    <w:p w:rsidR="0065039A" w:rsidRPr="00162A3C" w:rsidRDefault="0065039A" w:rsidP="0065039A">
      <w:pPr>
        <w:pStyle w:val="Normal12a"/>
        <w:spacing w:after="0" w:line="360" w:lineRule="auto"/>
      </w:pPr>
      <w:r w:rsidRPr="00162A3C">
        <w:t>A Bizottság elkötelezett amellett, hogy a tagállamokkal teljes mértékben együttműködve elősegítse a korai felismerési és kizárási rendszer alkalmazására való zökkenőmentes átállást.</w:t>
      </w:r>
    </w:p>
    <w:p w:rsidR="0065039A" w:rsidRPr="00162A3C" w:rsidRDefault="0065039A" w:rsidP="0065039A">
      <w:pPr>
        <w:widowControl/>
      </w:pPr>
    </w:p>
    <w:p w:rsidR="002E55A8" w:rsidRPr="00162A3C" w:rsidRDefault="002E55A8" w:rsidP="002E55A8">
      <w:pPr>
        <w:widowControl/>
      </w:pPr>
    </w:p>
    <w:sectPr w:rsidR="002E55A8" w:rsidRPr="00162A3C" w:rsidSect="003C4E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4AF" w:rsidRPr="00C87D0D" w:rsidRDefault="008A74AF">
      <w:r w:rsidRPr="00C87D0D">
        <w:separator/>
      </w:r>
    </w:p>
  </w:endnote>
  <w:endnote w:type="continuationSeparator" w:id="0">
    <w:p w:rsidR="008A74AF" w:rsidRPr="00C87D0D" w:rsidRDefault="008A74AF">
      <w:r w:rsidRPr="00C87D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Default="008A74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Pr="00FB4C70" w:rsidRDefault="008A74AF" w:rsidP="00FB4C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Default="008A7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4AF" w:rsidRPr="00C87D0D" w:rsidRDefault="008A74AF">
      <w:r w:rsidRPr="00C87D0D">
        <w:separator/>
      </w:r>
    </w:p>
  </w:footnote>
  <w:footnote w:type="continuationSeparator" w:id="0">
    <w:p w:rsidR="008A74AF" w:rsidRPr="00C87D0D" w:rsidRDefault="008A74AF">
      <w:r w:rsidRPr="00C87D0D">
        <w:continuationSeparator/>
      </w:r>
    </w:p>
  </w:footnote>
  <w:footnote w:id="1">
    <w:p w:rsidR="008A74AF" w:rsidRPr="003C4E4C" w:rsidRDefault="008A74AF" w:rsidP="005E03DC">
      <w:pPr>
        <w:pStyle w:val="FootnoteText"/>
        <w:ind w:left="567" w:hanging="567"/>
        <w:rPr>
          <w:sz w:val="24"/>
          <w:szCs w:val="24"/>
          <w:lang w:val="hu-HU"/>
        </w:rPr>
      </w:pPr>
      <w:r w:rsidRPr="003C4E4C">
        <w:rPr>
          <w:rStyle w:val="FootnoteReference"/>
          <w:sz w:val="24"/>
          <w:szCs w:val="24"/>
          <w:lang w:val="hu-HU"/>
        </w:rPr>
        <w:footnoteRef/>
      </w:r>
      <w:r w:rsidRPr="003C4E4C">
        <w:rPr>
          <w:sz w:val="24"/>
          <w:szCs w:val="24"/>
          <w:lang w:val="hu-HU"/>
        </w:rPr>
        <w:t xml:space="preserve"> </w:t>
      </w:r>
      <w:r w:rsidRPr="003C4E4C">
        <w:rPr>
          <w:sz w:val="24"/>
          <w:szCs w:val="24"/>
          <w:lang w:val="hu-HU"/>
        </w:rPr>
        <w:tab/>
        <w:t>HL C 446., 2022.11.24</w:t>
      </w:r>
      <w:proofErr w:type="gramStart"/>
      <w:r w:rsidRPr="003C4E4C">
        <w:rPr>
          <w:sz w:val="24"/>
          <w:szCs w:val="24"/>
          <w:lang w:val="hu-HU"/>
        </w:rPr>
        <w:t>.,</w:t>
      </w:r>
      <w:proofErr w:type="gramEnd"/>
      <w:r w:rsidRPr="003C4E4C">
        <w:rPr>
          <w:sz w:val="24"/>
          <w:szCs w:val="24"/>
          <w:lang w:val="hu-HU"/>
        </w:rPr>
        <w:t xml:space="preserve"> 26. o.</w:t>
      </w:r>
    </w:p>
  </w:footnote>
  <w:footnote w:id="2">
    <w:p w:rsidR="008A74AF" w:rsidRPr="003C4E4C" w:rsidRDefault="008A74AF" w:rsidP="005E03DC">
      <w:pPr>
        <w:pStyle w:val="FootnoteText"/>
        <w:ind w:left="567" w:hanging="567"/>
        <w:rPr>
          <w:sz w:val="24"/>
          <w:szCs w:val="24"/>
          <w:lang w:val="hu-HU"/>
        </w:rPr>
      </w:pPr>
      <w:r w:rsidRPr="003C4E4C">
        <w:rPr>
          <w:rStyle w:val="FootnoteReference"/>
          <w:sz w:val="24"/>
          <w:szCs w:val="24"/>
          <w:lang w:val="hu-HU"/>
        </w:rPr>
        <w:footnoteRef/>
      </w:r>
      <w:r w:rsidRPr="003C4E4C">
        <w:rPr>
          <w:sz w:val="24"/>
          <w:szCs w:val="24"/>
          <w:lang w:val="hu-HU"/>
        </w:rPr>
        <w:t xml:space="preserve"> </w:t>
      </w:r>
      <w:r w:rsidRPr="003C4E4C">
        <w:rPr>
          <w:sz w:val="24"/>
          <w:szCs w:val="24"/>
          <w:lang w:val="hu-HU"/>
        </w:rPr>
        <w:tab/>
        <w:t>HL C 77., 2002.3.28</w:t>
      </w:r>
      <w:proofErr w:type="gramStart"/>
      <w:r w:rsidRPr="003C4E4C">
        <w:rPr>
          <w:sz w:val="24"/>
          <w:szCs w:val="24"/>
          <w:lang w:val="hu-HU"/>
        </w:rPr>
        <w:t>.,</w:t>
      </w:r>
      <w:proofErr w:type="gramEnd"/>
      <w:r w:rsidRPr="003C4E4C">
        <w:rPr>
          <w:sz w:val="24"/>
          <w:szCs w:val="24"/>
          <w:lang w:val="hu-HU"/>
        </w:rPr>
        <w:t xml:space="preserve"> 1.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Default="008A74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Default="008A74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4AF" w:rsidRDefault="008A74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HU"/>
    <w:docVar w:name="dvnumam" w:val="212"/>
    <w:docVar w:name="dvpe" w:val="740.802"/>
    <w:docVar w:name="dvrapporteur" w:val="Előadók: "/>
    <w:docVar w:name="dvstar" w:val="***I"/>
    <w:docVar w:name="dvtitre" w:val="Az Európai Parlament 2024.  ...-i jogalkotási állásfoglalása az Unió általános költségvetésére alkalmazandó pénzügyi szabályokról (átdolgozás) szóló európai parlamenti és tanácsi rendeletre irányuló javaslatról(COM(2022)0223 – C9-0179/2022 – 2022/0162(COD))"/>
  </w:docVars>
  <w:rsids>
    <w:rsidRoot w:val="009F1B5B"/>
    <w:rsid w:val="00002272"/>
    <w:rsid w:val="00064002"/>
    <w:rsid w:val="000677B9"/>
    <w:rsid w:val="000831BA"/>
    <w:rsid w:val="000A02F9"/>
    <w:rsid w:val="000A42CC"/>
    <w:rsid w:val="000C0BC9"/>
    <w:rsid w:val="000C1CE7"/>
    <w:rsid w:val="000E7DD9"/>
    <w:rsid w:val="0010095E"/>
    <w:rsid w:val="00125B37"/>
    <w:rsid w:val="00162A3C"/>
    <w:rsid w:val="00187494"/>
    <w:rsid w:val="001F022A"/>
    <w:rsid w:val="001F32AE"/>
    <w:rsid w:val="001F3BC2"/>
    <w:rsid w:val="002767FF"/>
    <w:rsid w:val="002B18FE"/>
    <w:rsid w:val="002B5493"/>
    <w:rsid w:val="002D5427"/>
    <w:rsid w:val="002E55A8"/>
    <w:rsid w:val="00343214"/>
    <w:rsid w:val="00361C00"/>
    <w:rsid w:val="00395FA1"/>
    <w:rsid w:val="003B4967"/>
    <w:rsid w:val="003C4E4C"/>
    <w:rsid w:val="003E15D4"/>
    <w:rsid w:val="00411CCE"/>
    <w:rsid w:val="0041621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406"/>
    <w:rsid w:val="005C2568"/>
    <w:rsid w:val="005D3F36"/>
    <w:rsid w:val="005E03DC"/>
    <w:rsid w:val="006037C0"/>
    <w:rsid w:val="0065039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A47"/>
    <w:rsid w:val="008A74AF"/>
    <w:rsid w:val="008C2AC6"/>
    <w:rsid w:val="00910D29"/>
    <w:rsid w:val="00930C23"/>
    <w:rsid w:val="0093193B"/>
    <w:rsid w:val="009509D8"/>
    <w:rsid w:val="00950B64"/>
    <w:rsid w:val="00951FAD"/>
    <w:rsid w:val="00981893"/>
    <w:rsid w:val="009F1B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7EA"/>
    <w:rsid w:val="00BD48FE"/>
    <w:rsid w:val="00BD7BD8"/>
    <w:rsid w:val="00BE6ADC"/>
    <w:rsid w:val="00C05BFE"/>
    <w:rsid w:val="00C23CD4"/>
    <w:rsid w:val="00C35CC6"/>
    <w:rsid w:val="00C61C0C"/>
    <w:rsid w:val="00C87D0D"/>
    <w:rsid w:val="00C941CB"/>
    <w:rsid w:val="00CC2357"/>
    <w:rsid w:val="00CF071A"/>
    <w:rsid w:val="00D058B8"/>
    <w:rsid w:val="00D075B3"/>
    <w:rsid w:val="00D214A7"/>
    <w:rsid w:val="00D30B51"/>
    <w:rsid w:val="00D34B10"/>
    <w:rsid w:val="00D36802"/>
    <w:rsid w:val="00D56C11"/>
    <w:rsid w:val="00D834A0"/>
    <w:rsid w:val="00D872DF"/>
    <w:rsid w:val="00D91E21"/>
    <w:rsid w:val="00DA7ACC"/>
    <w:rsid w:val="00DA7FCD"/>
    <w:rsid w:val="00DF0380"/>
    <w:rsid w:val="00E365E1"/>
    <w:rsid w:val="00E820A4"/>
    <w:rsid w:val="00EB006A"/>
    <w:rsid w:val="00EB4772"/>
    <w:rsid w:val="00ED169E"/>
    <w:rsid w:val="00ED4235"/>
    <w:rsid w:val="00ED50AE"/>
    <w:rsid w:val="00F04346"/>
    <w:rsid w:val="00F075DC"/>
    <w:rsid w:val="00F149E9"/>
    <w:rsid w:val="00F24191"/>
    <w:rsid w:val="00F5134D"/>
    <w:rsid w:val="00F62D68"/>
    <w:rsid w:val="00F74202"/>
    <w:rsid w:val="00F87713"/>
    <w:rsid w:val="00FB4360"/>
    <w:rsid w:val="00FB4C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034B3"/>
  <w15:chartTrackingRefBased/>
  <w15:docId w15:val="{DD0189A1-A29C-4D65-A421-88C377C6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0A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0A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0A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0A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0A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0A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0A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0A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0AE"/>
    <w:rPr>
      <w:rFonts w:ascii="Arial" w:hAnsi="Arial"/>
      <w:b/>
      <w:i/>
      <w:sz w:val="18"/>
      <w:lang w:val="hu-HU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ED50AE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ED50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ED50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D50AE"/>
    <w:pPr>
      <w:spacing w:after="240"/>
    </w:pPr>
  </w:style>
  <w:style w:type="paragraph" w:customStyle="1" w:styleId="TOCPage">
    <w:name w:val="TOC Page"/>
    <w:basedOn w:val="Normal"/>
    <w:next w:val="TOC1"/>
    <w:rsid w:val="00ED50A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50AE"/>
    <w:pPr>
      <w:spacing w:after="120"/>
    </w:pPr>
  </w:style>
  <w:style w:type="paragraph" w:customStyle="1" w:styleId="NormalBold">
    <w:name w:val="NormalBold"/>
    <w:basedOn w:val="Normal"/>
    <w:link w:val="NormalBoldChar"/>
    <w:rsid w:val="00ED50AE"/>
    <w:rPr>
      <w:b/>
    </w:rPr>
  </w:style>
  <w:style w:type="character" w:customStyle="1" w:styleId="NormalBoldChar">
    <w:name w:val="NormalBold Char"/>
    <w:link w:val="NormalBold"/>
    <w:locked/>
    <w:rsid w:val="00ED50AE"/>
    <w:rPr>
      <w:b/>
      <w:sz w:val="24"/>
      <w:lang w:val="hu-HU"/>
    </w:rPr>
  </w:style>
  <w:style w:type="paragraph" w:customStyle="1" w:styleId="NormalBold12a">
    <w:name w:val="NormalBold12a"/>
    <w:basedOn w:val="Normal"/>
    <w:rsid w:val="00ED50A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D50A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50AE"/>
    <w:pPr>
      <w:spacing w:after="480"/>
      <w:ind w:left="1417"/>
    </w:pPr>
  </w:style>
  <w:style w:type="paragraph" w:customStyle="1" w:styleId="CoverNormal">
    <w:name w:val="CoverNormal"/>
    <w:basedOn w:val="Normal"/>
    <w:rsid w:val="00ED50AE"/>
    <w:pPr>
      <w:ind w:left="1418"/>
    </w:pPr>
  </w:style>
  <w:style w:type="paragraph" w:customStyle="1" w:styleId="CoverReference">
    <w:name w:val="CoverReference"/>
    <w:basedOn w:val="Normal"/>
    <w:rsid w:val="00ED50A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50A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50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50A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D50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0AE"/>
    <w:rPr>
      <w:sz w:val="24"/>
      <w:lang w:val="hu-HU"/>
    </w:rPr>
  </w:style>
  <w:style w:type="paragraph" w:customStyle="1" w:styleId="AnnexWPTabs">
    <w:name w:val="AnnexWPTabs"/>
    <w:basedOn w:val="Normal"/>
    <w:rsid w:val="00ED50AE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ED50AE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ED50AE"/>
    <w:rPr>
      <w:smallCaps/>
      <w:sz w:val="20"/>
    </w:rPr>
  </w:style>
  <w:style w:type="paragraph" w:customStyle="1" w:styleId="AnnexWPDocType">
    <w:name w:val="AnnexWPDocType"/>
    <w:basedOn w:val="Normal"/>
    <w:rsid w:val="00ED50AE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ED50AE"/>
    <w:pPr>
      <w:spacing w:before="480"/>
    </w:pPr>
    <w:rPr>
      <w:b/>
    </w:rPr>
  </w:style>
  <w:style w:type="paragraph" w:customStyle="1" w:styleId="AmJustText">
    <w:name w:val="AmJustText"/>
    <w:basedOn w:val="Normal"/>
    <w:rsid w:val="00ED50AE"/>
    <w:pPr>
      <w:spacing w:after="240"/>
    </w:pPr>
    <w:rPr>
      <w:i/>
    </w:rPr>
  </w:style>
  <w:style w:type="paragraph" w:customStyle="1" w:styleId="AmCrossRef">
    <w:name w:val="AmCrossRef"/>
    <w:basedOn w:val="Normal"/>
    <w:rsid w:val="00ED50A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50AE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ED50A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50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D50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D50AE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ED50AE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ED50AE"/>
    <w:rPr>
      <w:b/>
      <w:sz w:val="24"/>
      <w:lang w:val="hu-HU"/>
    </w:rPr>
  </w:style>
  <w:style w:type="paragraph" w:customStyle="1" w:styleId="EPBody">
    <w:name w:val="EPBody"/>
    <w:basedOn w:val="Normal"/>
    <w:rsid w:val="00ED50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ED50AE"/>
    <w:pPr>
      <w:spacing w:before="120" w:after="120"/>
    </w:pPr>
  </w:style>
  <w:style w:type="paragraph" w:customStyle="1" w:styleId="EPFooter">
    <w:name w:val="EPFooter"/>
    <w:basedOn w:val="Normal"/>
    <w:rsid w:val="00ED50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50AE"/>
    <w:pPr>
      <w:spacing w:before="480" w:after="240"/>
    </w:pPr>
  </w:style>
  <w:style w:type="paragraph" w:customStyle="1" w:styleId="Lgendesigne">
    <w:name w:val="Légende signe"/>
    <w:basedOn w:val="Normal"/>
    <w:rsid w:val="00ED50A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50A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50AE"/>
    <w:rPr>
      <w:sz w:val="18"/>
    </w:rPr>
  </w:style>
  <w:style w:type="paragraph" w:customStyle="1" w:styleId="msonormal0">
    <w:name w:val="msonormal"/>
    <w:basedOn w:val="Normal"/>
    <w:rsid w:val="00ED50AE"/>
    <w:pPr>
      <w:widowControl/>
      <w:spacing w:before="100" w:beforeAutospacing="1" w:after="100" w:afterAutospacing="1"/>
    </w:pPr>
    <w:rPr>
      <w:szCs w:val="24"/>
    </w:rPr>
  </w:style>
  <w:style w:type="paragraph" w:customStyle="1" w:styleId="PageHeadingNotTOC">
    <w:name w:val="PageHeadingNotTOC"/>
    <w:basedOn w:val="Normal"/>
    <w:rsid w:val="00ED50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D50A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link w:val="Normal12"/>
    <w:locked/>
    <w:rsid w:val="00ED50AE"/>
    <w:rPr>
      <w:noProof/>
      <w:sz w:val="24"/>
    </w:rPr>
  </w:style>
  <w:style w:type="paragraph" w:customStyle="1" w:styleId="Normal12">
    <w:name w:val="Normal12"/>
    <w:basedOn w:val="Normal"/>
    <w:link w:val="Normal12Char"/>
    <w:rsid w:val="00ED50A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D50A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D50A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D50A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D50A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D50A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ED50AE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ED50AE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ED50AE"/>
    <w:rPr>
      <w:i/>
    </w:rPr>
  </w:style>
  <w:style w:type="paragraph" w:customStyle="1" w:styleId="JustificationTitle">
    <w:name w:val="JustificationTitle"/>
    <w:basedOn w:val="Normal"/>
    <w:next w:val="Normal12"/>
    <w:rsid w:val="00ED50A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D50A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D50A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D50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D50AE"/>
    <w:pPr>
      <w:spacing w:before="240"/>
      <w:jc w:val="center"/>
    </w:pPr>
    <w:rPr>
      <w:i/>
    </w:rPr>
  </w:style>
  <w:style w:type="character" w:customStyle="1" w:styleId="Footer2Middle">
    <w:name w:val="Footer2Middle"/>
    <w:rsid w:val="00ED50A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D50A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ED50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D50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50A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D5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D50AE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ED5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D50AE"/>
    <w:rPr>
      <w:rFonts w:ascii="Segoe UI" w:hAnsi="Segoe UI" w:cs="Segoe UI"/>
      <w:sz w:val="18"/>
      <w:szCs w:val="18"/>
      <w:lang w:val="hu-HU"/>
    </w:rPr>
  </w:style>
  <w:style w:type="paragraph" w:styleId="ListParagraph">
    <w:name w:val="List Paragraph"/>
    <w:basedOn w:val="Normal"/>
    <w:uiPriority w:val="34"/>
    <w:qFormat/>
    <w:rsid w:val="00ED50A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Sup">
    <w:name w:val="Sup"/>
    <w:uiPriority w:val="1"/>
    <w:qFormat/>
    <w:rsid w:val="00ED50AE"/>
    <w:rPr>
      <w:vertAlign w:val="superscript"/>
    </w:rPr>
  </w:style>
  <w:style w:type="character" w:styleId="Hyperlink">
    <w:name w:val="Hyperlink"/>
    <w:basedOn w:val="DefaultParagraphFont"/>
    <w:uiPriority w:val="99"/>
    <w:rsid w:val="00ED50AE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ED50AE"/>
    <w:pPr>
      <w:spacing w:before="600" w:after="360"/>
    </w:pPr>
  </w:style>
  <w:style w:type="paragraph" w:customStyle="1" w:styleId="LetterSubject">
    <w:name w:val="LetterSubject"/>
    <w:basedOn w:val="Normal"/>
    <w:rsid w:val="00ED50AE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ED50A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D50AE"/>
    <w:rPr>
      <w:sz w:val="24"/>
      <w:lang w:val="hu-HU"/>
    </w:rPr>
  </w:style>
  <w:style w:type="paragraph" w:customStyle="1" w:styleId="CoverBold">
    <w:name w:val="CoverBold"/>
    <w:basedOn w:val="Normal"/>
    <w:rsid w:val="00ED50AE"/>
    <w:pPr>
      <w:ind w:left="1417"/>
    </w:pPr>
    <w:rPr>
      <w:b/>
    </w:rPr>
  </w:style>
  <w:style w:type="paragraph" w:customStyle="1" w:styleId="Normal2">
    <w:name w:val="Normal2"/>
    <w:basedOn w:val="Normal"/>
    <w:qFormat/>
    <w:rsid w:val="00ED50AE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ED50AE"/>
    <w:rPr>
      <w:i/>
    </w:rPr>
  </w:style>
  <w:style w:type="paragraph" w:customStyle="1" w:styleId="NormalBoldItalic6a">
    <w:name w:val="NormalBoldItalic6a"/>
    <w:basedOn w:val="Normal6a"/>
    <w:qFormat/>
    <w:rsid w:val="00ED50AE"/>
    <w:rPr>
      <w:b/>
      <w:i/>
    </w:rPr>
  </w:style>
  <w:style w:type="paragraph" w:customStyle="1" w:styleId="NormalBoldItalicCenter6a">
    <w:name w:val="NormalBoldItalicCenter6a"/>
    <w:basedOn w:val="Normal6a"/>
    <w:qFormat/>
    <w:rsid w:val="00ED50AE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ED50AE"/>
    <w:pPr>
      <w:spacing w:after="480"/>
      <w:jc w:val="right"/>
    </w:pPr>
  </w:style>
  <w:style w:type="paragraph" w:customStyle="1" w:styleId="RollCallSymbols14pt">
    <w:name w:val="RollCallSymbols14pt"/>
    <w:basedOn w:val="Normal"/>
    <w:rsid w:val="00ED50A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D50A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D50A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D50AE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ED50AE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50AE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0AE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D50AE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ED50AE"/>
    <w:rPr>
      <w:b/>
      <w:bCs/>
    </w:rPr>
  </w:style>
  <w:style w:type="character" w:styleId="Emphasis">
    <w:name w:val="Emphasis"/>
    <w:basedOn w:val="DefaultParagraphFont"/>
    <w:uiPriority w:val="20"/>
    <w:qFormat/>
    <w:rsid w:val="00ED50A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D50AE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D50AE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D50AE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0AE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0AE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ED50A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D50A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D50A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D50A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D50AE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rsid w:val="00ED50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0AE"/>
    <w:rPr>
      <w:sz w:val="24"/>
      <w:lang w:val="hu-HU"/>
    </w:rPr>
  </w:style>
  <w:style w:type="paragraph" w:customStyle="1" w:styleId="AmDocTypeTab">
    <w:name w:val="AmDocTypeTab"/>
    <w:basedOn w:val="Normal"/>
    <w:rsid w:val="00FB4C7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B4C70"/>
    <w:pPr>
      <w:spacing w:after="240"/>
      <w:jc w:val="center"/>
    </w:pPr>
  </w:style>
  <w:style w:type="paragraph" w:customStyle="1" w:styleId="AmDateTab">
    <w:name w:val="AmDateTab"/>
    <w:basedOn w:val="Normal"/>
    <w:rsid w:val="00FB4C7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B4C70"/>
    <w:pPr>
      <w:spacing w:before="720" w:after="240"/>
      <w:jc w:val="center"/>
    </w:pPr>
  </w:style>
  <w:style w:type="paragraph" w:customStyle="1" w:styleId="Typedudocument">
    <w:name w:val="Type du document"/>
    <w:basedOn w:val="Normal"/>
    <w:next w:val="Normal"/>
    <w:rsid w:val="00FB4C7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B4C7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B4C70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FB4C7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B4C70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B4C7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FB4C70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B4C7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B4C70"/>
    <w:pPr>
      <w:widowControl/>
      <w:spacing w:before="100" w:beforeAutospacing="1" w:after="100" w:afterAutospacing="1"/>
    </w:pPr>
    <w:rPr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unhideWhenUsed/>
    <w:rsid w:val="00FB4C70"/>
    <w:rPr>
      <w:color w:val="954F72"/>
      <w:u w:val="single"/>
    </w:rPr>
  </w:style>
  <w:style w:type="paragraph" w:customStyle="1" w:styleId="xl65">
    <w:name w:val="xl65"/>
    <w:basedOn w:val="Normal"/>
    <w:rsid w:val="00FB4C70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6">
    <w:name w:val="xl66"/>
    <w:basedOn w:val="Normal"/>
    <w:rsid w:val="00FB4C70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HeadingDocType24a">
    <w:name w:val="HeadingDocType24a"/>
    <w:basedOn w:val="Normal"/>
    <w:rsid w:val="003C4E4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C4E4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C4E4C"/>
    <w:pPr>
      <w:jc w:val="center"/>
    </w:pPr>
  </w:style>
  <w:style w:type="paragraph" w:customStyle="1" w:styleId="LineSingle">
    <w:name w:val="LineSingle"/>
    <w:basedOn w:val="Normal"/>
    <w:next w:val="Normal"/>
    <w:rsid w:val="003C4E4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C4E4C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2D367-371D-4E1A-B805-582CCCBB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1120</Words>
  <Characters>8214</Characters>
  <Application>Microsoft Office Word</Application>
  <DocSecurity>4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GOROPECNIK Tina</cp:lastModifiedBy>
  <cp:revision>2</cp:revision>
  <cp:lastPrinted>2004-11-19T15:42:00Z</cp:lastPrinted>
  <dcterms:created xsi:type="dcterms:W3CDTF">2025-01-13T15:26:00Z</dcterms:created>
  <dcterms:modified xsi:type="dcterms:W3CDTF">2025-01-13T15:26:00Z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P9_TA(2024)0163_</vt:lpwstr>
  </property>
  <property fmtid="{D5CDD505-2E9C-101B-9397-08002B2CF9AE}" pid="4" name="&lt;Type&gt;">
    <vt:lpwstr>RR</vt:lpwstr>
  </property>
</Properties>
</file>