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1E277A" w:rsidRPr="00C901EB" w:rsidTr="00C431F7">
        <w:trPr>
          <w:trHeight w:hRule="exact" w:val="1418"/>
        </w:trPr>
        <w:tc>
          <w:tcPr>
            <w:tcW w:w="6804" w:type="dxa"/>
            <w:shd w:val="clear" w:color="auto" w:fill="auto"/>
            <w:vAlign w:val="center"/>
          </w:tcPr>
          <w:p w:rsidR="001E277A" w:rsidRPr="00C901EB" w:rsidRDefault="001E277A" w:rsidP="001E277A">
            <w:pPr>
              <w:widowControl w:val="0"/>
              <w:spacing w:before="80" w:after="80"/>
              <w:jc w:val="left"/>
              <w:rPr>
                <w:rFonts w:ascii="Arial Narrow" w:eastAsia="Times New Roman" w:hAnsi="Arial Narrow" w:cs="Arial"/>
                <w:b/>
                <w:sz w:val="32"/>
                <w:szCs w:val="22"/>
                <w:lang w:val="it-IT" w:eastAsia="en-GB"/>
              </w:rPr>
            </w:pPr>
            <w:r w:rsidRPr="00C901EB">
              <w:rPr>
                <w:rFonts w:ascii="Arial Narrow" w:eastAsia="Times New Roman" w:hAnsi="Arial Narrow" w:cs="Arial"/>
                <w:b/>
                <w:sz w:val="32"/>
                <w:szCs w:val="22"/>
                <w:lang w:val="it-IT" w:eastAsia="en-GB"/>
              </w:rPr>
              <w:t>Parlamento europeo</w:t>
            </w:r>
          </w:p>
          <w:p w:rsidR="001E277A" w:rsidRPr="00C901EB" w:rsidRDefault="001E277A" w:rsidP="001E277A">
            <w:pPr>
              <w:widowControl w:val="0"/>
              <w:spacing w:after="80"/>
              <w:jc w:val="left"/>
              <w:rPr>
                <w:rFonts w:ascii="Arial" w:eastAsia="Times New Roman" w:hAnsi="Arial" w:cs="Arial"/>
                <w:sz w:val="20"/>
                <w:szCs w:val="22"/>
                <w:lang w:val="it-IT" w:eastAsia="en-GB"/>
              </w:rPr>
            </w:pPr>
            <w:r w:rsidRPr="00C901EB">
              <w:rPr>
                <w:rFonts w:ascii="Arial" w:eastAsia="Times New Roman" w:hAnsi="Arial" w:cs="Arial"/>
                <w:sz w:val="20"/>
                <w:szCs w:val="22"/>
                <w:lang w:val="it-IT" w:eastAsia="en-GB"/>
              </w:rPr>
              <w:t>2019-2024</w:t>
            </w:r>
          </w:p>
        </w:tc>
        <w:tc>
          <w:tcPr>
            <w:tcW w:w="2268" w:type="dxa"/>
            <w:shd w:val="clear" w:color="auto" w:fill="auto"/>
          </w:tcPr>
          <w:p w:rsidR="001E277A" w:rsidRPr="00C901EB" w:rsidRDefault="001E277A" w:rsidP="001E277A">
            <w:pPr>
              <w:widowControl w:val="0"/>
              <w:jc w:val="right"/>
              <w:rPr>
                <w:rFonts w:eastAsia="Times New Roman"/>
                <w:szCs w:val="20"/>
                <w:lang w:val="it-IT" w:eastAsia="en-GB"/>
              </w:rPr>
            </w:pPr>
            <w:r w:rsidRPr="00C901EB">
              <w:rPr>
                <w:rFonts w:eastAsia="Times New Roman"/>
                <w:noProof/>
                <w:szCs w:val="20"/>
                <w:lang w:eastAsia="en-GB"/>
              </w:rPr>
              <w:drawing>
                <wp:inline distT="0" distB="0" distL="0" distR="0" wp14:anchorId="77191D67" wp14:editId="1989E33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1E277A" w:rsidRPr="00C901EB" w:rsidRDefault="001E277A" w:rsidP="001E277A">
      <w:pPr>
        <w:widowControl w:val="0"/>
        <w:pBdr>
          <w:top w:val="single" w:sz="4" w:space="1" w:color="auto"/>
        </w:pBdr>
        <w:jc w:val="center"/>
        <w:rPr>
          <w:rFonts w:ascii="Arial" w:eastAsia="Times New Roman" w:hAnsi="Arial" w:cs="Arial"/>
          <w:sz w:val="16"/>
          <w:szCs w:val="16"/>
          <w:lang w:val="it-IT" w:eastAsia="en-GB"/>
        </w:rPr>
      </w:pPr>
    </w:p>
    <w:p w:rsidR="001E277A" w:rsidRPr="00C901EB" w:rsidRDefault="001E277A" w:rsidP="001E277A">
      <w:pPr>
        <w:widowControl w:val="0"/>
        <w:jc w:val="center"/>
        <w:rPr>
          <w:rFonts w:ascii="Arial" w:eastAsia="Times New Roman" w:hAnsi="Arial" w:cs="Arial"/>
          <w:b/>
          <w:sz w:val="22"/>
          <w:szCs w:val="22"/>
          <w:lang w:val="it-IT" w:eastAsia="en-GB"/>
        </w:rPr>
      </w:pPr>
      <w:r w:rsidRPr="00C901EB">
        <w:rPr>
          <w:rFonts w:ascii="Arial" w:eastAsia="Times New Roman" w:hAnsi="Arial" w:cs="Arial"/>
          <w:b/>
          <w:sz w:val="22"/>
          <w:szCs w:val="22"/>
          <w:lang w:val="it-IT" w:eastAsia="en-GB"/>
        </w:rPr>
        <w:t>TESTI APPROVATI</w:t>
      </w:r>
    </w:p>
    <w:p w:rsidR="001E277A" w:rsidRPr="00C901EB" w:rsidRDefault="001E277A" w:rsidP="001E277A">
      <w:pPr>
        <w:widowControl w:val="0"/>
        <w:pBdr>
          <w:bottom w:val="single" w:sz="4" w:space="1" w:color="auto"/>
        </w:pBdr>
        <w:spacing w:after="240"/>
        <w:jc w:val="center"/>
        <w:rPr>
          <w:rFonts w:ascii="Arial" w:eastAsia="Times New Roman" w:hAnsi="Arial" w:cs="Arial"/>
          <w:sz w:val="16"/>
          <w:szCs w:val="16"/>
          <w:lang w:val="it-IT" w:eastAsia="en-GB"/>
        </w:rPr>
      </w:pPr>
    </w:p>
    <w:p w:rsidR="00C901EB" w:rsidRPr="00C901EB" w:rsidRDefault="00C901EB" w:rsidP="00C901EB">
      <w:pPr>
        <w:pStyle w:val="ATHeading1"/>
      </w:pPr>
      <w:bookmarkStart w:id="0" w:name="TANumber"/>
      <w:r w:rsidRPr="00C901EB">
        <w:t>P9_</w:t>
      </w:r>
      <w:proofErr w:type="gramStart"/>
      <w:r w:rsidRPr="00C901EB">
        <w:t>TA(</w:t>
      </w:r>
      <w:proofErr w:type="gramEnd"/>
      <w:r w:rsidRPr="00C901EB">
        <w:t>2024)0163</w:t>
      </w:r>
      <w:bookmarkEnd w:id="0"/>
    </w:p>
    <w:p w:rsidR="00C901EB" w:rsidRPr="00C901EB" w:rsidRDefault="00C901EB" w:rsidP="00C901EB">
      <w:pPr>
        <w:pStyle w:val="ATHeading2"/>
      </w:pPr>
      <w:bookmarkStart w:id="1" w:name="title"/>
      <w:r w:rsidRPr="00C901EB">
        <w:t>Regole finanziarie applicabili al bilancio generale dell'Unione (rifusione)</w:t>
      </w:r>
      <w:bookmarkEnd w:id="1"/>
    </w:p>
    <w:p w:rsidR="00C901EB" w:rsidRPr="00C901EB" w:rsidRDefault="00C901EB" w:rsidP="00C901EB">
      <w:pPr>
        <w:jc w:val="left"/>
        <w:rPr>
          <w:i/>
          <w:vanish/>
          <w:lang w:val="it-IT"/>
        </w:rPr>
      </w:pPr>
      <w:r w:rsidRPr="00C901EB">
        <w:rPr>
          <w:i/>
        </w:rPr>
        <w:fldChar w:fldCharType="begin"/>
      </w:r>
      <w:r w:rsidRPr="00C901EB">
        <w:rPr>
          <w:i/>
          <w:lang w:val="it-IT"/>
        </w:rPr>
        <w:instrText xml:space="preserve"> TC"(</w:instrText>
      </w:r>
      <w:bookmarkStart w:id="2" w:name="DocNumber"/>
      <w:r w:rsidRPr="00C901EB">
        <w:rPr>
          <w:i/>
          <w:lang w:val="it-IT"/>
        </w:rPr>
        <w:instrText>A9-0180/2023</w:instrText>
      </w:r>
      <w:bookmarkEnd w:id="2"/>
      <w:r w:rsidRPr="00C901EB">
        <w:rPr>
          <w:i/>
          <w:lang w:val="it-IT"/>
        </w:rPr>
        <w:instrText xml:space="preserve"> - Relatori: Nils </w:instrText>
      </w:r>
      <w:proofErr w:type="spellStart"/>
      <w:r w:rsidRPr="00C901EB">
        <w:rPr>
          <w:i/>
          <w:lang w:val="it-IT"/>
        </w:rPr>
        <w:instrText>Ušakovs</w:instrText>
      </w:r>
      <w:proofErr w:type="spellEnd"/>
      <w:r w:rsidRPr="00C901EB">
        <w:rPr>
          <w:i/>
          <w:lang w:val="it-IT"/>
        </w:rPr>
        <w:instrText xml:space="preserve">, Monika </w:instrText>
      </w:r>
      <w:proofErr w:type="spellStart"/>
      <w:r w:rsidRPr="00C901EB">
        <w:rPr>
          <w:i/>
          <w:lang w:val="it-IT"/>
        </w:rPr>
        <w:instrText>Hohlmeier</w:instrText>
      </w:r>
      <w:proofErr w:type="spellEnd"/>
      <w:r w:rsidRPr="00C901EB">
        <w:rPr>
          <w:i/>
          <w:lang w:val="it-IT"/>
        </w:rPr>
        <w:instrText xml:space="preserve">)"\l3 \n&gt; \* MERGEFORMAT </w:instrText>
      </w:r>
      <w:r w:rsidRPr="00C901EB">
        <w:rPr>
          <w:i/>
        </w:rPr>
        <w:fldChar w:fldCharType="end"/>
      </w:r>
    </w:p>
    <w:p w:rsidR="00C901EB" w:rsidRPr="00C901EB" w:rsidRDefault="00C901EB" w:rsidP="00C901EB">
      <w:pPr>
        <w:jc w:val="left"/>
        <w:rPr>
          <w:vanish/>
          <w:lang w:val="it-IT"/>
        </w:rPr>
      </w:pPr>
      <w:bookmarkStart w:id="3" w:name="Commission"/>
      <w:r w:rsidRPr="00C901EB">
        <w:rPr>
          <w:vanish/>
          <w:lang w:val="it-IT"/>
        </w:rPr>
        <w:t>Commissione per i bilanci</w:t>
      </w:r>
      <w:bookmarkEnd w:id="3"/>
      <w:r w:rsidRPr="00C901EB">
        <w:rPr>
          <w:vanish/>
          <w:lang w:val="it-IT"/>
        </w:rPr>
        <w:t xml:space="preserve"> e commissione per il controllo dei bilanci</w:t>
      </w:r>
    </w:p>
    <w:p w:rsidR="00C901EB" w:rsidRPr="00C901EB" w:rsidRDefault="00C901EB" w:rsidP="00C901EB">
      <w:pPr>
        <w:jc w:val="left"/>
        <w:rPr>
          <w:vanish/>
          <w:lang w:val="it-IT"/>
        </w:rPr>
      </w:pPr>
      <w:bookmarkStart w:id="4" w:name="PE"/>
      <w:r w:rsidRPr="00C901EB">
        <w:rPr>
          <w:vanish/>
          <w:lang w:val="it-IT"/>
        </w:rPr>
        <w:t>PE740.802</w:t>
      </w:r>
      <w:bookmarkEnd w:id="4"/>
    </w:p>
    <w:p w:rsidR="00C901EB" w:rsidRPr="00C901EB" w:rsidRDefault="00C901EB" w:rsidP="00C901EB">
      <w:pPr>
        <w:pStyle w:val="ATHeading3"/>
      </w:pPr>
      <w:bookmarkStart w:id="5" w:name="Sujet"/>
      <w:r w:rsidRPr="00C901EB">
        <w:t>Risoluzione legislativa del Parlamento europeo del 14 marzo 2024 sulla proposta di regolamento del Parlamento europeo e del Consiglio che stabilisce le regole finanziarie applicabili al bilancio generale dell'Unione (rifusione)</w:t>
      </w:r>
      <w:bookmarkEnd w:id="5"/>
      <w:r w:rsidRPr="00C901EB">
        <w:t xml:space="preserve"> </w:t>
      </w:r>
      <w:bookmarkStart w:id="6" w:name="References"/>
      <w:r w:rsidRPr="00C901EB">
        <w:t>(</w:t>
      </w:r>
      <w:proofErr w:type="gramStart"/>
      <w:r w:rsidRPr="00C901EB">
        <w:t>COM(</w:t>
      </w:r>
      <w:proofErr w:type="gramEnd"/>
      <w:r w:rsidRPr="00C901EB">
        <w:t>2022)0223 – C9-0179/2022 – 2022/0162(COD))</w:t>
      </w:r>
      <w:bookmarkEnd w:id="6"/>
    </w:p>
    <w:p w:rsidR="001E277A" w:rsidRPr="00C901EB" w:rsidRDefault="00C901EB" w:rsidP="00C901EB">
      <w:pPr>
        <w:widowControl w:val="0"/>
        <w:spacing w:before="360"/>
        <w:jc w:val="left"/>
        <w:rPr>
          <w:rFonts w:eastAsia="Times New Roman"/>
          <w:b/>
          <w:szCs w:val="20"/>
          <w:lang w:val="it-IT" w:eastAsia="en-GB"/>
        </w:rPr>
      </w:pPr>
      <w:bookmarkStart w:id="7" w:name="TextBodyBegin"/>
      <w:bookmarkEnd w:id="7"/>
      <w:r w:rsidRPr="00C901EB">
        <w:rPr>
          <w:b/>
        </w:rPr>
        <w:t>(</w:t>
      </w:r>
      <w:proofErr w:type="spellStart"/>
      <w:r w:rsidRPr="00C901EB">
        <w:rPr>
          <w:b/>
        </w:rPr>
        <w:t>Procedura</w:t>
      </w:r>
      <w:proofErr w:type="spellEnd"/>
      <w:r w:rsidRPr="00C901EB">
        <w:rPr>
          <w:b/>
        </w:rPr>
        <w:t xml:space="preserve"> </w:t>
      </w:r>
      <w:proofErr w:type="spellStart"/>
      <w:r w:rsidRPr="00C901EB">
        <w:rPr>
          <w:b/>
        </w:rPr>
        <w:t>legi</w:t>
      </w:r>
      <w:bookmarkStart w:id="8" w:name="_GoBack"/>
      <w:bookmarkEnd w:id="8"/>
      <w:r w:rsidRPr="00C901EB">
        <w:rPr>
          <w:b/>
        </w:rPr>
        <w:t>slativa</w:t>
      </w:r>
      <w:proofErr w:type="spellEnd"/>
      <w:r w:rsidRPr="00C901EB">
        <w:rPr>
          <w:b/>
        </w:rPr>
        <w:t xml:space="preserve"> </w:t>
      </w:r>
      <w:proofErr w:type="spellStart"/>
      <w:r w:rsidRPr="00C901EB">
        <w:rPr>
          <w:b/>
        </w:rPr>
        <w:t>ordinaria</w:t>
      </w:r>
      <w:proofErr w:type="spellEnd"/>
      <w:r w:rsidRPr="00C901EB">
        <w:rPr>
          <w:b/>
        </w:rPr>
        <w:t xml:space="preserve"> – </w:t>
      </w:r>
      <w:proofErr w:type="spellStart"/>
      <w:r w:rsidRPr="00C901EB">
        <w:rPr>
          <w:b/>
        </w:rPr>
        <w:t>rifusione</w:t>
      </w:r>
      <w:proofErr w:type="spellEnd"/>
      <w:r w:rsidRPr="00C901EB">
        <w:rPr>
          <w:b/>
        </w:rPr>
        <w:t>)</w:t>
      </w:r>
    </w:p>
    <w:p w:rsidR="001E277A" w:rsidRPr="00C901EB" w:rsidRDefault="001E277A" w:rsidP="001E277A">
      <w:pPr>
        <w:widowControl w:val="0"/>
        <w:spacing w:before="480" w:after="240"/>
        <w:jc w:val="left"/>
        <w:rPr>
          <w:rFonts w:eastAsia="Times New Roman"/>
          <w:szCs w:val="20"/>
          <w:lang w:val="it-IT" w:eastAsia="en-GB"/>
        </w:rPr>
      </w:pPr>
      <w:r w:rsidRPr="00C901EB">
        <w:rPr>
          <w:rFonts w:eastAsia="Times New Roman"/>
          <w:i/>
          <w:szCs w:val="20"/>
          <w:lang w:val="it-IT" w:eastAsia="en-GB"/>
        </w:rPr>
        <w:t>Il Parlamento europeo</w:t>
      </w:r>
      <w:r w:rsidRPr="00C901EB">
        <w:rPr>
          <w:rFonts w:eastAsia="Times New Roman"/>
          <w:szCs w:val="20"/>
          <w:lang w:val="it-IT" w:eastAsia="en-GB"/>
        </w:rPr>
        <w:t>,</w:t>
      </w:r>
    </w:p>
    <w:p w:rsidR="001E277A" w:rsidRPr="00C901EB" w:rsidRDefault="001E277A" w:rsidP="001E277A">
      <w:pPr>
        <w:widowControl w:val="0"/>
        <w:spacing w:after="240"/>
        <w:ind w:left="567" w:hanging="567"/>
        <w:jc w:val="left"/>
        <w:rPr>
          <w:rFonts w:eastAsia="Times New Roman"/>
          <w:szCs w:val="20"/>
          <w:lang w:val="it-IT" w:eastAsia="en-GB"/>
        </w:rPr>
      </w:pPr>
      <w:r w:rsidRPr="00C901EB">
        <w:rPr>
          <w:rFonts w:eastAsia="Times New Roman"/>
          <w:szCs w:val="20"/>
          <w:lang w:val="it-IT" w:eastAsia="en-GB"/>
        </w:rPr>
        <w:t>–</w:t>
      </w:r>
      <w:r w:rsidRPr="00C901EB">
        <w:rPr>
          <w:rFonts w:eastAsia="Times New Roman"/>
          <w:szCs w:val="20"/>
          <w:lang w:val="it-IT" w:eastAsia="en-GB"/>
        </w:rPr>
        <w:tab/>
        <w:t>vista la proposta della Commissione al Parlamento europeo e al Consiglio (</w:t>
      </w:r>
      <w:proofErr w:type="gramStart"/>
      <w:r w:rsidRPr="00C901EB">
        <w:rPr>
          <w:rFonts w:eastAsia="Times New Roman"/>
          <w:szCs w:val="20"/>
          <w:lang w:val="it-IT" w:eastAsia="en-GB"/>
        </w:rPr>
        <w:t>COM(</w:t>
      </w:r>
      <w:proofErr w:type="gramEnd"/>
      <w:r w:rsidRPr="00C901EB">
        <w:rPr>
          <w:rFonts w:eastAsia="Times New Roman"/>
          <w:szCs w:val="20"/>
          <w:lang w:val="it-IT" w:eastAsia="en-GB"/>
        </w:rPr>
        <w:t>2022)0223),</w:t>
      </w:r>
    </w:p>
    <w:p w:rsidR="001E277A" w:rsidRPr="00C901EB" w:rsidRDefault="001E277A" w:rsidP="001E277A">
      <w:pPr>
        <w:widowControl w:val="0"/>
        <w:spacing w:after="240"/>
        <w:ind w:left="567" w:hanging="567"/>
        <w:jc w:val="left"/>
        <w:rPr>
          <w:rFonts w:eastAsia="Times New Roman"/>
          <w:szCs w:val="20"/>
          <w:lang w:val="it-IT" w:eastAsia="en-GB"/>
        </w:rPr>
      </w:pPr>
      <w:r w:rsidRPr="00C901EB">
        <w:rPr>
          <w:rFonts w:eastAsia="Times New Roman"/>
          <w:szCs w:val="20"/>
          <w:lang w:val="it-IT" w:eastAsia="en-GB"/>
        </w:rPr>
        <w:t>–</w:t>
      </w:r>
      <w:r w:rsidRPr="00C901EB">
        <w:rPr>
          <w:rFonts w:eastAsia="Times New Roman"/>
          <w:szCs w:val="20"/>
          <w:lang w:val="it-IT" w:eastAsia="en-GB"/>
        </w:rPr>
        <w:tab/>
        <w:t>visti l'articolo 294, paragrafo 2, e l'articolo 322, paragrafo 1, del trattato sul funzionamento dell'Unione europea, e l'articolo 106 bis del trattato che istituisce la Comunità europea dell'energia atomica, a norma dei quali la proposta gli è stata presentata dalla Commissione (C9</w:t>
      </w:r>
      <w:r w:rsidRPr="00C901EB">
        <w:rPr>
          <w:rFonts w:eastAsia="Times New Roman"/>
          <w:szCs w:val="20"/>
          <w:lang w:val="it-IT" w:eastAsia="en-GB"/>
        </w:rPr>
        <w:noBreakHyphen/>
        <w:t>0179/2022),</w:t>
      </w:r>
    </w:p>
    <w:p w:rsidR="001E277A" w:rsidRPr="00C901EB" w:rsidRDefault="001E277A" w:rsidP="001E277A">
      <w:pPr>
        <w:widowControl w:val="0"/>
        <w:spacing w:after="240"/>
        <w:ind w:left="567" w:hanging="567"/>
        <w:jc w:val="left"/>
        <w:rPr>
          <w:rFonts w:eastAsia="Times New Roman"/>
          <w:szCs w:val="20"/>
          <w:lang w:val="it-IT" w:eastAsia="en-GB"/>
        </w:rPr>
      </w:pPr>
      <w:r w:rsidRPr="00C901EB">
        <w:rPr>
          <w:rFonts w:eastAsia="Times New Roman"/>
          <w:szCs w:val="20"/>
          <w:lang w:val="it-IT" w:eastAsia="en-GB"/>
        </w:rPr>
        <w:t>–</w:t>
      </w:r>
      <w:r w:rsidRPr="00C901EB">
        <w:rPr>
          <w:rFonts w:eastAsia="Times New Roman"/>
          <w:szCs w:val="20"/>
          <w:lang w:val="it-IT" w:eastAsia="en-GB"/>
        </w:rPr>
        <w:tab/>
        <w:t>visto l'articolo 294, paragrafo 3, del trattato sul funzionamento dell'Unione europea,</w:t>
      </w:r>
    </w:p>
    <w:p w:rsidR="001E277A" w:rsidRPr="00C901EB" w:rsidRDefault="001E277A" w:rsidP="001E277A">
      <w:pPr>
        <w:widowControl w:val="0"/>
        <w:spacing w:after="240"/>
        <w:ind w:left="567" w:hanging="567"/>
        <w:jc w:val="left"/>
        <w:rPr>
          <w:rFonts w:eastAsia="Times New Roman"/>
          <w:szCs w:val="20"/>
          <w:lang w:val="it-IT" w:eastAsia="en-GB"/>
        </w:rPr>
      </w:pPr>
      <w:r w:rsidRPr="00C901EB">
        <w:rPr>
          <w:rFonts w:eastAsia="Times New Roman"/>
          <w:szCs w:val="20"/>
          <w:lang w:val="it-IT" w:eastAsia="en-GB"/>
        </w:rPr>
        <w:t>–</w:t>
      </w:r>
      <w:r w:rsidRPr="00C901EB">
        <w:rPr>
          <w:rFonts w:eastAsia="Times New Roman"/>
          <w:szCs w:val="20"/>
          <w:lang w:val="it-IT" w:eastAsia="en-GB"/>
        </w:rPr>
        <w:tab/>
        <w:t>visto il parere della Corte dei conti del 31 ottobre 2022</w:t>
      </w:r>
      <w:r w:rsidRPr="00C901EB">
        <w:rPr>
          <w:rFonts w:eastAsia="Times New Roman"/>
          <w:szCs w:val="20"/>
          <w:vertAlign w:val="superscript"/>
          <w:lang w:val="it-IT" w:eastAsia="en-GB"/>
        </w:rPr>
        <w:footnoteReference w:id="1"/>
      </w:r>
      <w:r w:rsidRPr="00C901EB">
        <w:rPr>
          <w:rFonts w:eastAsia="Times New Roman"/>
          <w:szCs w:val="20"/>
          <w:lang w:val="it-IT" w:eastAsia="en-GB"/>
        </w:rPr>
        <w:t>,</w:t>
      </w:r>
    </w:p>
    <w:p w:rsidR="001E277A" w:rsidRPr="00C901EB" w:rsidRDefault="001E277A" w:rsidP="001E277A">
      <w:pPr>
        <w:widowControl w:val="0"/>
        <w:spacing w:after="240"/>
        <w:ind w:left="567" w:hanging="567"/>
        <w:jc w:val="left"/>
        <w:rPr>
          <w:rFonts w:eastAsia="Times New Roman"/>
          <w:szCs w:val="20"/>
          <w:lang w:val="it-IT" w:eastAsia="en-GB"/>
        </w:rPr>
      </w:pPr>
      <w:r w:rsidRPr="00C901EB">
        <w:rPr>
          <w:rFonts w:eastAsia="Times New Roman"/>
          <w:szCs w:val="20"/>
          <w:lang w:val="it-IT" w:eastAsia="en-GB"/>
        </w:rPr>
        <w:t>–</w:t>
      </w:r>
      <w:r w:rsidRPr="00C901EB">
        <w:rPr>
          <w:rFonts w:eastAsia="Times New Roman"/>
          <w:szCs w:val="20"/>
          <w:lang w:val="it-IT" w:eastAsia="en-GB"/>
        </w:rPr>
        <w:tab/>
        <w:t>visto l'accordo interistituzionale del 28 novembre 2001 ai fini di un ricorso più strutturato alla tecnica della rifusione degli atti normativi</w:t>
      </w:r>
      <w:r w:rsidRPr="00C901EB">
        <w:rPr>
          <w:rFonts w:eastAsia="Times New Roman"/>
          <w:szCs w:val="20"/>
          <w:vertAlign w:val="superscript"/>
          <w:lang w:val="it-IT" w:eastAsia="en-GB"/>
        </w:rPr>
        <w:footnoteReference w:id="2"/>
      </w:r>
      <w:r w:rsidRPr="00C901EB">
        <w:rPr>
          <w:rFonts w:eastAsia="Times New Roman"/>
          <w:szCs w:val="20"/>
          <w:lang w:val="it-IT" w:eastAsia="en-GB"/>
        </w:rPr>
        <w:t>,</w:t>
      </w:r>
    </w:p>
    <w:p w:rsidR="001E277A" w:rsidRPr="00C901EB" w:rsidRDefault="001E277A" w:rsidP="001E277A">
      <w:pPr>
        <w:widowControl w:val="0"/>
        <w:spacing w:after="240"/>
        <w:ind w:left="567" w:hanging="567"/>
        <w:jc w:val="left"/>
        <w:rPr>
          <w:rFonts w:eastAsia="Times New Roman"/>
          <w:szCs w:val="20"/>
          <w:lang w:val="it-IT" w:eastAsia="en-GB"/>
        </w:rPr>
      </w:pPr>
      <w:r w:rsidRPr="00C901EB">
        <w:rPr>
          <w:rFonts w:eastAsia="Times New Roman"/>
          <w:szCs w:val="20"/>
          <w:lang w:val="it-IT" w:eastAsia="en-GB"/>
        </w:rPr>
        <w:t>–</w:t>
      </w:r>
      <w:r w:rsidRPr="00C901EB">
        <w:rPr>
          <w:rFonts w:eastAsia="Times New Roman"/>
          <w:szCs w:val="20"/>
          <w:lang w:val="it-IT" w:eastAsia="en-GB"/>
        </w:rPr>
        <w:tab/>
        <w:t>vista la lettera del 25 aprile 2023 della commissione giuridica alla commissione per i bilanci e alla commissione per il controllo dei bilanci a norma dell'articolo 110, paragrafo 3, del suo regolamento,</w:t>
      </w:r>
    </w:p>
    <w:p w:rsidR="001E277A" w:rsidRPr="00C901EB" w:rsidRDefault="001E277A" w:rsidP="001E277A">
      <w:pPr>
        <w:widowControl w:val="0"/>
        <w:spacing w:after="240"/>
        <w:ind w:left="567" w:hanging="567"/>
        <w:jc w:val="left"/>
        <w:rPr>
          <w:rFonts w:eastAsia="Times New Roman"/>
          <w:snapToGrid w:val="0"/>
          <w:szCs w:val="20"/>
          <w:lang w:val="it-IT" w:eastAsia="en-GB"/>
        </w:rPr>
      </w:pPr>
      <w:r w:rsidRPr="00C901EB">
        <w:rPr>
          <w:rFonts w:eastAsia="Times New Roman"/>
          <w:snapToGrid w:val="0"/>
          <w:szCs w:val="20"/>
          <w:lang w:val="it-IT" w:eastAsia="en-GB"/>
        </w:rPr>
        <w:t>–</w:t>
      </w:r>
      <w:r w:rsidRPr="00C901EB">
        <w:rPr>
          <w:rFonts w:eastAsia="Times New Roman"/>
          <w:snapToGrid w:val="0"/>
          <w:szCs w:val="20"/>
          <w:lang w:val="it-IT" w:eastAsia="en-GB"/>
        </w:rPr>
        <w:tab/>
        <w:t xml:space="preserve">visti l'accordo provvisorio approvato dalle commissioni competenti a norma dell'articolo 74, paragrafo 4, del regolamento e l'impegno assunto dal rappresentante del Consiglio, con lettera del 20 dicembre 2023, di approvare la posizione del Parlamento </w:t>
      </w:r>
      <w:r w:rsidRPr="00C901EB">
        <w:rPr>
          <w:rFonts w:eastAsia="Times New Roman"/>
          <w:snapToGrid w:val="0"/>
          <w:szCs w:val="20"/>
          <w:lang w:val="it-IT" w:eastAsia="en-GB"/>
        </w:rPr>
        <w:lastRenderedPageBreak/>
        <w:t>europeo, in conformità dell'articolo 294, paragrafo 4, del trattato sul funzionamento dell'Unione europea,</w:t>
      </w:r>
    </w:p>
    <w:p w:rsidR="001E277A" w:rsidRPr="00C901EB" w:rsidRDefault="001E277A" w:rsidP="001E277A">
      <w:pPr>
        <w:widowControl w:val="0"/>
        <w:spacing w:after="240"/>
        <w:ind w:left="567" w:hanging="567"/>
        <w:jc w:val="left"/>
        <w:rPr>
          <w:rFonts w:eastAsia="Times New Roman"/>
          <w:szCs w:val="20"/>
          <w:lang w:val="it-IT" w:eastAsia="en-GB"/>
        </w:rPr>
      </w:pPr>
      <w:r w:rsidRPr="00C901EB">
        <w:rPr>
          <w:rFonts w:eastAsia="Times New Roman"/>
          <w:szCs w:val="20"/>
          <w:lang w:val="it-IT" w:eastAsia="en-GB"/>
        </w:rPr>
        <w:t>–</w:t>
      </w:r>
      <w:r w:rsidRPr="00C901EB">
        <w:rPr>
          <w:rFonts w:eastAsia="Times New Roman"/>
          <w:szCs w:val="20"/>
          <w:lang w:val="it-IT" w:eastAsia="en-GB"/>
        </w:rPr>
        <w:tab/>
        <w:t>viste le deliberazioni congiunte della commissione per i bilanci e della commissione per il controllo dei bilanci a norma dell'articolo 58 del regolamento,</w:t>
      </w:r>
    </w:p>
    <w:p w:rsidR="001E277A" w:rsidRPr="00C901EB" w:rsidRDefault="001E277A" w:rsidP="001E277A">
      <w:pPr>
        <w:widowControl w:val="0"/>
        <w:spacing w:after="240"/>
        <w:ind w:left="567" w:hanging="567"/>
        <w:jc w:val="left"/>
        <w:rPr>
          <w:rFonts w:eastAsia="Times New Roman"/>
          <w:szCs w:val="20"/>
          <w:lang w:val="it-IT" w:eastAsia="en-GB"/>
        </w:rPr>
      </w:pPr>
      <w:r w:rsidRPr="00C901EB">
        <w:rPr>
          <w:rFonts w:eastAsia="Times New Roman"/>
          <w:szCs w:val="20"/>
          <w:lang w:val="it-IT" w:eastAsia="en-GB"/>
        </w:rPr>
        <w:t>–</w:t>
      </w:r>
      <w:r w:rsidRPr="00C901EB">
        <w:rPr>
          <w:rFonts w:eastAsia="Times New Roman"/>
          <w:szCs w:val="20"/>
          <w:lang w:val="it-IT" w:eastAsia="en-GB"/>
        </w:rPr>
        <w:tab/>
        <w:t>visti gli articoli 110 e 59 del suo regolamento,</w:t>
      </w:r>
    </w:p>
    <w:p w:rsidR="001E277A" w:rsidRPr="00C901EB" w:rsidRDefault="001E277A" w:rsidP="001E277A">
      <w:pPr>
        <w:widowControl w:val="0"/>
        <w:spacing w:after="240"/>
        <w:ind w:left="567" w:hanging="567"/>
        <w:jc w:val="left"/>
        <w:rPr>
          <w:rFonts w:eastAsia="Times New Roman"/>
          <w:szCs w:val="20"/>
          <w:lang w:val="it-IT" w:eastAsia="en-GB"/>
        </w:rPr>
      </w:pPr>
      <w:r w:rsidRPr="00C901EB">
        <w:rPr>
          <w:rFonts w:eastAsia="Times New Roman"/>
          <w:szCs w:val="20"/>
          <w:lang w:val="it-IT" w:eastAsia="en-GB"/>
        </w:rPr>
        <w:t>–</w:t>
      </w:r>
      <w:r w:rsidRPr="00C901EB">
        <w:rPr>
          <w:rFonts w:eastAsia="Times New Roman"/>
          <w:szCs w:val="20"/>
          <w:lang w:val="it-IT" w:eastAsia="en-GB"/>
        </w:rPr>
        <w:tab/>
        <w:t>visto il parere della commissione per lo sviluppo regionale,</w:t>
      </w:r>
    </w:p>
    <w:p w:rsidR="001E277A" w:rsidRPr="00C901EB" w:rsidRDefault="001E277A" w:rsidP="001E277A">
      <w:pPr>
        <w:widowControl w:val="0"/>
        <w:spacing w:after="240"/>
        <w:ind w:left="567" w:hanging="567"/>
        <w:jc w:val="left"/>
        <w:rPr>
          <w:rFonts w:eastAsia="Times New Roman"/>
          <w:szCs w:val="20"/>
          <w:lang w:val="it-IT" w:eastAsia="en-GB"/>
        </w:rPr>
      </w:pPr>
      <w:r w:rsidRPr="00C901EB">
        <w:rPr>
          <w:rFonts w:eastAsia="Times New Roman"/>
          <w:szCs w:val="20"/>
          <w:lang w:val="it-IT" w:eastAsia="en-GB"/>
        </w:rPr>
        <w:t>–</w:t>
      </w:r>
      <w:r w:rsidRPr="00C901EB">
        <w:rPr>
          <w:rFonts w:eastAsia="Times New Roman"/>
          <w:szCs w:val="20"/>
          <w:lang w:val="it-IT" w:eastAsia="en-GB"/>
        </w:rPr>
        <w:tab/>
        <w:t>vista la lettera della commissione per l'industria, la ricerca e l'energia,</w:t>
      </w:r>
    </w:p>
    <w:p w:rsidR="001E277A" w:rsidRPr="00C901EB" w:rsidRDefault="001E277A" w:rsidP="001E277A">
      <w:pPr>
        <w:widowControl w:val="0"/>
        <w:spacing w:after="240"/>
        <w:ind w:left="567" w:hanging="567"/>
        <w:jc w:val="left"/>
        <w:rPr>
          <w:rFonts w:eastAsia="Times New Roman"/>
          <w:szCs w:val="20"/>
          <w:lang w:val="it-IT" w:eastAsia="en-GB"/>
        </w:rPr>
      </w:pPr>
      <w:r w:rsidRPr="00C901EB">
        <w:rPr>
          <w:rFonts w:eastAsia="Times New Roman"/>
          <w:szCs w:val="20"/>
          <w:lang w:val="it-IT" w:eastAsia="en-GB"/>
        </w:rPr>
        <w:t>–</w:t>
      </w:r>
      <w:r w:rsidRPr="00C901EB">
        <w:rPr>
          <w:rFonts w:eastAsia="Times New Roman"/>
          <w:szCs w:val="20"/>
          <w:lang w:val="it-IT" w:eastAsia="en-GB"/>
        </w:rPr>
        <w:tab/>
        <w:t>vista la relazione della commissione per i bilanci e della commissione per il controllo dei bilanci(A9</w:t>
      </w:r>
      <w:r w:rsidRPr="00C901EB">
        <w:rPr>
          <w:rFonts w:eastAsia="Times New Roman"/>
          <w:szCs w:val="20"/>
          <w:lang w:val="it-IT" w:eastAsia="en-GB"/>
        </w:rPr>
        <w:noBreakHyphen/>
        <w:t>0180/2023),</w:t>
      </w:r>
    </w:p>
    <w:p w:rsidR="001E277A" w:rsidRPr="00C901EB" w:rsidRDefault="001E277A" w:rsidP="001E277A">
      <w:pPr>
        <w:widowControl w:val="0"/>
        <w:spacing w:after="240"/>
        <w:ind w:left="567" w:hanging="567"/>
        <w:jc w:val="left"/>
        <w:rPr>
          <w:rFonts w:eastAsia="Times New Roman"/>
          <w:szCs w:val="20"/>
          <w:lang w:val="it-IT" w:eastAsia="en-GB"/>
        </w:rPr>
      </w:pPr>
      <w:r w:rsidRPr="00C901EB">
        <w:rPr>
          <w:rFonts w:eastAsia="Times New Roman"/>
          <w:szCs w:val="20"/>
          <w:lang w:val="it-IT" w:eastAsia="en-GB"/>
        </w:rPr>
        <w:t>A.</w:t>
      </w:r>
      <w:r w:rsidRPr="00C901EB">
        <w:rPr>
          <w:rFonts w:eastAsia="Times New Roman"/>
          <w:szCs w:val="20"/>
          <w:lang w:val="it-IT" w:eastAsia="en-GB"/>
        </w:rPr>
        <w:tab/>
        <w:t>considerando che, secondo il gruppo consultivo dei servizi giuridici del Parlamento europeo, del Consiglio e della Commissione, la proposta della Commissione non contiene modificazioni sostanziali se non quelle espressamente indicate come tali e che, per quanto concerne la codificazione delle disposizioni immutate degli atti precedenti e di tali modificazioni, la proposta si limita ad una mera codificazione degli atti esistenti, senza modificazioni sostanziali;</w:t>
      </w:r>
    </w:p>
    <w:p w:rsidR="001E277A" w:rsidRPr="00C901EB" w:rsidRDefault="001E277A" w:rsidP="001E277A">
      <w:pPr>
        <w:widowControl w:val="0"/>
        <w:spacing w:after="240"/>
        <w:ind w:left="567" w:hanging="567"/>
        <w:jc w:val="left"/>
        <w:rPr>
          <w:rFonts w:eastAsia="Times New Roman"/>
          <w:szCs w:val="20"/>
          <w:lang w:val="it-IT" w:eastAsia="en-GB"/>
        </w:rPr>
      </w:pPr>
      <w:r w:rsidRPr="00C901EB">
        <w:rPr>
          <w:rFonts w:eastAsia="Times New Roman"/>
          <w:szCs w:val="20"/>
          <w:lang w:val="it-IT" w:eastAsia="en-GB"/>
        </w:rPr>
        <w:t>1.</w:t>
      </w:r>
      <w:r w:rsidRPr="00C901EB">
        <w:rPr>
          <w:rFonts w:eastAsia="Times New Roman"/>
          <w:szCs w:val="20"/>
          <w:lang w:val="it-IT" w:eastAsia="en-GB"/>
        </w:rPr>
        <w:tab/>
        <w:t>adotta la posizione in prima lettura figurante in appresso, tenendo conto delle raccomandazioni del gruppo consultivo dei servizi giuridici del Parlamento europeo, del Consiglio e della Commissione;</w:t>
      </w:r>
    </w:p>
    <w:p w:rsidR="001E277A" w:rsidRPr="00C901EB" w:rsidRDefault="001E277A" w:rsidP="001E277A">
      <w:pPr>
        <w:widowControl w:val="0"/>
        <w:spacing w:after="240"/>
        <w:ind w:left="567" w:hanging="567"/>
        <w:jc w:val="left"/>
        <w:rPr>
          <w:rFonts w:eastAsia="Times New Roman"/>
          <w:szCs w:val="20"/>
          <w:lang w:val="it-IT" w:eastAsia="en-GB"/>
        </w:rPr>
      </w:pPr>
      <w:r w:rsidRPr="00C901EB">
        <w:rPr>
          <w:rFonts w:eastAsia="Times New Roman"/>
          <w:szCs w:val="20"/>
          <w:lang w:val="it-IT" w:eastAsia="en-GB"/>
        </w:rPr>
        <w:t>2.</w:t>
      </w:r>
      <w:r w:rsidRPr="00C901EB">
        <w:rPr>
          <w:rFonts w:eastAsia="Times New Roman"/>
          <w:szCs w:val="20"/>
          <w:lang w:val="it-IT" w:eastAsia="en-GB"/>
        </w:rPr>
        <w:tab/>
        <w:t xml:space="preserve">approva la dichiarazione comune del Parlamento europeo e del Consiglio allegata alla presente risoluzione, che sarà pubblicata nella </w:t>
      </w:r>
      <w:r w:rsidRPr="00C901EB">
        <w:rPr>
          <w:rFonts w:eastAsia="Times New Roman"/>
          <w:i/>
          <w:szCs w:val="20"/>
          <w:lang w:val="it-IT" w:eastAsia="en-GB"/>
        </w:rPr>
        <w:t>Gazzetta ufficiale dell'Unione europea,</w:t>
      </w:r>
      <w:r w:rsidRPr="00C901EB">
        <w:rPr>
          <w:rFonts w:eastAsia="Times New Roman"/>
          <w:szCs w:val="20"/>
          <w:lang w:val="it-IT" w:eastAsia="en-GB"/>
        </w:rPr>
        <w:t xml:space="preserve"> serie C;</w:t>
      </w:r>
    </w:p>
    <w:p w:rsidR="001E277A" w:rsidRPr="00C901EB" w:rsidRDefault="001E277A" w:rsidP="001E277A">
      <w:pPr>
        <w:widowControl w:val="0"/>
        <w:spacing w:after="240"/>
        <w:ind w:left="567" w:hanging="567"/>
        <w:jc w:val="left"/>
        <w:rPr>
          <w:rFonts w:eastAsia="Times New Roman"/>
          <w:szCs w:val="20"/>
          <w:lang w:val="it-IT" w:eastAsia="en-GB"/>
        </w:rPr>
      </w:pPr>
      <w:r w:rsidRPr="00C901EB">
        <w:rPr>
          <w:rFonts w:eastAsia="Times New Roman"/>
          <w:szCs w:val="20"/>
          <w:lang w:val="it-IT" w:eastAsia="en-GB"/>
        </w:rPr>
        <w:t>3.</w:t>
      </w:r>
      <w:r w:rsidRPr="00C901EB">
        <w:rPr>
          <w:rFonts w:eastAsia="Times New Roman"/>
          <w:szCs w:val="20"/>
          <w:lang w:val="it-IT" w:eastAsia="en-GB"/>
        </w:rPr>
        <w:tab/>
        <w:t xml:space="preserve">approva la dichiarazione comune del Parlamento europeo, del Consiglio e della Commissione allegata alla presente risoluzione, che sarà pubblicata nella </w:t>
      </w:r>
      <w:r w:rsidRPr="00C901EB">
        <w:rPr>
          <w:rFonts w:eastAsia="Times New Roman"/>
          <w:i/>
          <w:szCs w:val="20"/>
          <w:lang w:val="it-IT" w:eastAsia="en-GB"/>
        </w:rPr>
        <w:t>Gazzetta ufficiale dell'Unione europea,</w:t>
      </w:r>
      <w:r w:rsidRPr="00C901EB">
        <w:rPr>
          <w:rFonts w:eastAsia="Times New Roman"/>
          <w:szCs w:val="20"/>
          <w:lang w:val="it-IT" w:eastAsia="en-GB"/>
        </w:rPr>
        <w:t xml:space="preserve"> serie C;</w:t>
      </w:r>
    </w:p>
    <w:p w:rsidR="001E277A" w:rsidRPr="00C901EB" w:rsidRDefault="001E277A" w:rsidP="001E277A">
      <w:pPr>
        <w:widowControl w:val="0"/>
        <w:spacing w:after="240"/>
        <w:ind w:left="567" w:hanging="567"/>
        <w:jc w:val="left"/>
        <w:rPr>
          <w:rFonts w:eastAsia="Times New Roman"/>
          <w:szCs w:val="20"/>
          <w:lang w:val="it-IT" w:eastAsia="en-GB"/>
        </w:rPr>
      </w:pPr>
      <w:r w:rsidRPr="00C901EB">
        <w:rPr>
          <w:rFonts w:eastAsia="Times New Roman"/>
          <w:szCs w:val="20"/>
          <w:lang w:val="it-IT" w:eastAsia="en-GB"/>
        </w:rPr>
        <w:t>4.</w:t>
      </w:r>
      <w:r w:rsidRPr="00C901EB">
        <w:rPr>
          <w:rFonts w:eastAsia="Times New Roman"/>
          <w:szCs w:val="20"/>
          <w:lang w:val="it-IT" w:eastAsia="en-GB"/>
        </w:rPr>
        <w:tab/>
        <w:t>prende atto delle dichiarazioni della Commissione allegate alla presente risoluzione;</w:t>
      </w:r>
    </w:p>
    <w:p w:rsidR="001E277A" w:rsidRPr="00C901EB" w:rsidRDefault="001E277A" w:rsidP="001E277A">
      <w:pPr>
        <w:widowControl w:val="0"/>
        <w:spacing w:after="240"/>
        <w:ind w:left="567" w:hanging="567"/>
        <w:jc w:val="left"/>
        <w:rPr>
          <w:rFonts w:eastAsia="Times New Roman"/>
          <w:szCs w:val="20"/>
          <w:lang w:val="it-IT" w:eastAsia="en-GB"/>
        </w:rPr>
      </w:pPr>
      <w:r w:rsidRPr="00C901EB">
        <w:rPr>
          <w:rFonts w:eastAsia="Times New Roman"/>
          <w:szCs w:val="20"/>
          <w:lang w:val="it-IT" w:eastAsia="en-GB"/>
        </w:rPr>
        <w:t>5.</w:t>
      </w:r>
      <w:r w:rsidRPr="00C901EB">
        <w:rPr>
          <w:rFonts w:eastAsia="Times New Roman"/>
          <w:szCs w:val="20"/>
          <w:lang w:val="it-IT" w:eastAsia="en-GB"/>
        </w:rPr>
        <w:tab/>
        <w:t>chiede alla Commissione di presentargli nuovamente la proposta qualora la sostituisca, la modifichi sostanzialmente o intenda modificarla sostanzialmente;</w:t>
      </w:r>
    </w:p>
    <w:p w:rsidR="001E277A" w:rsidRPr="00C901EB" w:rsidRDefault="001E277A" w:rsidP="001E277A">
      <w:pPr>
        <w:widowControl w:val="0"/>
        <w:spacing w:after="240"/>
        <w:ind w:left="567" w:hanging="567"/>
        <w:jc w:val="left"/>
        <w:rPr>
          <w:rFonts w:eastAsia="Times New Roman"/>
          <w:szCs w:val="20"/>
          <w:lang w:val="it-IT" w:eastAsia="en-GB"/>
        </w:rPr>
        <w:sectPr w:rsidR="001E277A" w:rsidRPr="00C901EB" w:rsidSect="00F279B4">
          <w:footnotePr>
            <w:numRestart w:val="eachSect"/>
          </w:footnotePr>
          <w:pgSz w:w="11906" w:h="16838" w:code="9"/>
          <w:pgMar w:top="1134" w:right="1418" w:bottom="1418" w:left="1418" w:header="1134" w:footer="567" w:gutter="0"/>
          <w:cols w:space="720"/>
          <w:noEndnote/>
          <w:docGrid w:linePitch="326"/>
        </w:sectPr>
      </w:pPr>
      <w:r w:rsidRPr="00C901EB">
        <w:rPr>
          <w:rFonts w:eastAsia="Times New Roman"/>
          <w:szCs w:val="20"/>
          <w:lang w:val="it-IT" w:eastAsia="en-GB"/>
        </w:rPr>
        <w:t>6.</w:t>
      </w:r>
      <w:r w:rsidRPr="00C901EB">
        <w:rPr>
          <w:rFonts w:eastAsia="Times New Roman"/>
          <w:szCs w:val="20"/>
          <w:lang w:val="it-IT" w:eastAsia="en-GB"/>
        </w:rPr>
        <w:tab/>
        <w:t>incarica la sua Presidente di trasmettere la posizione del Parlamento al Consiglio e alla Commissione nonché ai parlamenti nazionali.</w:t>
      </w:r>
    </w:p>
    <w:p w:rsidR="00A72E65" w:rsidRPr="00C901EB" w:rsidRDefault="00A72E65" w:rsidP="00A72E65">
      <w:pPr>
        <w:widowControl w:val="0"/>
        <w:spacing w:after="240"/>
        <w:jc w:val="left"/>
        <w:rPr>
          <w:rFonts w:eastAsia="Times New Roman"/>
          <w:b/>
          <w:szCs w:val="20"/>
          <w:lang w:val="it-IT" w:eastAsia="en-GB"/>
        </w:rPr>
      </w:pPr>
      <w:r w:rsidRPr="00C901EB">
        <w:rPr>
          <w:rFonts w:eastAsia="Times New Roman"/>
          <w:b/>
          <w:szCs w:val="20"/>
          <w:lang w:val="it-IT" w:eastAsia="en-GB"/>
        </w:rPr>
        <w:lastRenderedPageBreak/>
        <w:t>P9_TC1-</w:t>
      </w:r>
      <w:proofErr w:type="gramStart"/>
      <w:r w:rsidRPr="00C901EB">
        <w:rPr>
          <w:rFonts w:eastAsia="Times New Roman"/>
          <w:b/>
          <w:szCs w:val="20"/>
          <w:lang w:val="it-IT" w:eastAsia="en-GB"/>
        </w:rPr>
        <w:t>COD(</w:t>
      </w:r>
      <w:proofErr w:type="gramEnd"/>
      <w:r w:rsidRPr="00C901EB">
        <w:rPr>
          <w:rFonts w:eastAsia="Times New Roman"/>
          <w:b/>
          <w:szCs w:val="20"/>
          <w:lang w:val="it-IT" w:eastAsia="en-GB"/>
        </w:rPr>
        <w:t>2022)0162</w:t>
      </w:r>
    </w:p>
    <w:p w:rsidR="00A72E65" w:rsidRPr="00C901EB" w:rsidRDefault="00A72E65" w:rsidP="00A72E65">
      <w:pPr>
        <w:widowControl w:val="0"/>
        <w:spacing w:before="120" w:after="360"/>
        <w:jc w:val="left"/>
        <w:rPr>
          <w:rFonts w:eastAsia="Times New Roman"/>
          <w:b/>
          <w:szCs w:val="20"/>
          <w:lang w:val="it-IT" w:eastAsia="en-GB"/>
        </w:rPr>
      </w:pPr>
      <w:r w:rsidRPr="00C901EB">
        <w:rPr>
          <w:rFonts w:eastAsia="Times New Roman"/>
          <w:b/>
          <w:szCs w:val="20"/>
          <w:lang w:val="it-IT" w:eastAsia="en-GB"/>
        </w:rPr>
        <w:t>Posizione del Parlamento europeo definita in prima lettura il 14 marzo 2024 in vista dell'adozione del regolamento (UE</w:t>
      </w:r>
      <w:r w:rsidR="000517E6" w:rsidRPr="00C901EB">
        <w:rPr>
          <w:rFonts w:eastAsia="Times New Roman"/>
          <w:b/>
          <w:szCs w:val="20"/>
          <w:lang w:val="it-IT" w:eastAsia="en-GB"/>
        </w:rPr>
        <w:t>, Euratom</w:t>
      </w:r>
      <w:r w:rsidRPr="00C901EB">
        <w:rPr>
          <w:rFonts w:eastAsia="Times New Roman"/>
          <w:b/>
          <w:szCs w:val="20"/>
          <w:lang w:val="it-IT" w:eastAsia="en-GB"/>
        </w:rPr>
        <w:t>) 2024/... del Parlamento europeo e del Consiglio che stabilisce le regole finanziarie applicabili al bilancio generale dell'Unione (rifusione)</w:t>
      </w:r>
    </w:p>
    <w:p w:rsidR="00D84219" w:rsidRPr="00C901EB" w:rsidRDefault="00D84219" w:rsidP="00D84219">
      <w:pPr>
        <w:jc w:val="left"/>
        <w:rPr>
          <w:lang w:val="it-IT"/>
        </w:rPr>
      </w:pPr>
      <w:r w:rsidRPr="00C901EB">
        <w:rPr>
          <w:i/>
          <w:lang w:val="it-IT"/>
        </w:rPr>
        <w:t>(Dato l'accordo tra il Parlamento e il Consiglio, la posizione del Parlamento corrisponde all'atto legislativo finale, il regolamento (UE, Euratom) 2024/2509.)</w:t>
      </w:r>
    </w:p>
    <w:p w:rsidR="00D84219" w:rsidRPr="00C901EB" w:rsidRDefault="00D84219" w:rsidP="00D84219">
      <w:pPr>
        <w:widowControl w:val="0"/>
        <w:spacing w:before="600" w:after="120" w:line="360" w:lineRule="auto"/>
        <w:jc w:val="left"/>
        <w:rPr>
          <w:rFonts w:eastAsia="Times New Roman"/>
          <w:szCs w:val="20"/>
          <w:lang w:val="it-IT" w:eastAsia="en-GB"/>
        </w:rPr>
      </w:pPr>
      <w:r w:rsidRPr="00C901EB">
        <w:rPr>
          <w:rFonts w:eastAsia="Times New Roman"/>
          <w:szCs w:val="20"/>
          <w:lang w:val="it-IT" w:eastAsia="en-GB"/>
        </w:rPr>
        <w:br w:type="page"/>
      </w:r>
    </w:p>
    <w:p w:rsidR="00A72E65" w:rsidRPr="00C901EB" w:rsidRDefault="00A72E65" w:rsidP="00D84219">
      <w:pPr>
        <w:widowControl w:val="0"/>
        <w:spacing w:before="120" w:after="120" w:line="360" w:lineRule="auto"/>
        <w:ind w:left="851" w:hanging="851"/>
        <w:jc w:val="right"/>
        <w:rPr>
          <w:rFonts w:eastAsia="Times New Roman"/>
          <w:szCs w:val="20"/>
          <w:lang w:val="it-IT" w:eastAsia="en-GB"/>
        </w:rPr>
      </w:pPr>
      <w:r w:rsidRPr="00C901EB">
        <w:rPr>
          <w:rFonts w:eastAsia="Times New Roman"/>
          <w:szCs w:val="20"/>
          <w:lang w:val="it-IT" w:eastAsia="en-GB"/>
        </w:rPr>
        <w:lastRenderedPageBreak/>
        <w:t>ALLEGATO ALLA RISOLUZIONE LEGISLATIVA</w:t>
      </w:r>
    </w:p>
    <w:p w:rsidR="00A72E65" w:rsidRPr="00C901EB" w:rsidRDefault="00A72E65" w:rsidP="00A72E65">
      <w:pPr>
        <w:jc w:val="right"/>
        <w:rPr>
          <w:rFonts w:eastAsia="Times New Roman"/>
          <w:szCs w:val="20"/>
          <w:lang w:val="it-IT" w:eastAsia="en-GB"/>
        </w:rPr>
      </w:pPr>
    </w:p>
    <w:p w:rsidR="00A72E65" w:rsidRPr="00C901EB" w:rsidRDefault="00A72E65" w:rsidP="00A72E65">
      <w:pPr>
        <w:widowControl w:val="0"/>
        <w:spacing w:line="360" w:lineRule="auto"/>
        <w:jc w:val="center"/>
        <w:rPr>
          <w:rFonts w:eastAsia="Calibri"/>
          <w:b/>
          <w:szCs w:val="22"/>
          <w:u w:val="single"/>
          <w:lang w:val="it-IT"/>
        </w:rPr>
      </w:pPr>
      <w:r w:rsidRPr="00C901EB">
        <w:rPr>
          <w:rFonts w:eastAsia="Calibri"/>
          <w:b/>
          <w:szCs w:val="22"/>
          <w:u w:val="single"/>
          <w:lang w:val="it-IT"/>
        </w:rPr>
        <w:t>Dichiarazione comune sul trattamento di bilancio degli interessi o di altri oneri dovuti su ammende, altre penali o sanzioni annullate o ridotte in occasione dell’adozione del regolamento</w:t>
      </w:r>
      <w:r w:rsidR="00D84219" w:rsidRPr="00C901EB">
        <w:rPr>
          <w:rFonts w:eastAsia="Calibri"/>
          <w:b/>
          <w:szCs w:val="22"/>
          <w:u w:val="single"/>
          <w:lang w:val="it-IT"/>
        </w:rPr>
        <w:t xml:space="preserve"> (UE, Euratom) </w:t>
      </w:r>
      <w:r w:rsidRPr="00C901EB">
        <w:rPr>
          <w:rFonts w:eastAsia="Calibri"/>
          <w:b/>
          <w:szCs w:val="22"/>
          <w:u w:val="single"/>
          <w:lang w:val="it-IT"/>
        </w:rPr>
        <w:t>2024/</w:t>
      </w:r>
      <w:r w:rsidR="00D84219" w:rsidRPr="00C901EB">
        <w:rPr>
          <w:rFonts w:eastAsia="Calibri"/>
          <w:b/>
          <w:szCs w:val="22"/>
          <w:u w:val="single"/>
          <w:lang w:val="it-IT"/>
        </w:rPr>
        <w:t>2509</w:t>
      </w:r>
    </w:p>
    <w:p w:rsidR="00A72E65" w:rsidRPr="00C901EB" w:rsidRDefault="00A72E65" w:rsidP="00A72E65">
      <w:pPr>
        <w:spacing w:before="120" w:after="120" w:line="360" w:lineRule="auto"/>
        <w:jc w:val="left"/>
        <w:rPr>
          <w:rFonts w:eastAsia="Calibri"/>
          <w:szCs w:val="22"/>
          <w:lang w:val="it-IT"/>
        </w:rPr>
      </w:pPr>
      <w:r w:rsidRPr="00C901EB">
        <w:rPr>
          <w:rFonts w:eastAsia="Calibri"/>
          <w:szCs w:val="22"/>
          <w:lang w:val="it-IT"/>
        </w:rPr>
        <w:t>"Il Parlamento europeo e il Consiglio convengono sul fatto che eventuali interessi o altri oneri dovuti su ammende, altre penali o sanzioni annullate o ridotte saranno iscritti come entrate negative per la durata dell'attuale quadro pluriennale. Si tratta di un'eccezione al divieto di entrate negative, limitato a questa specifica situazione imprevedibile.</w:t>
      </w:r>
    </w:p>
    <w:p w:rsidR="00A72E65" w:rsidRPr="00C901EB" w:rsidRDefault="00A72E65" w:rsidP="00A72E65">
      <w:pPr>
        <w:widowControl w:val="0"/>
        <w:spacing w:before="120" w:after="120" w:line="360" w:lineRule="auto"/>
        <w:jc w:val="left"/>
        <w:rPr>
          <w:rFonts w:eastAsia="Calibri"/>
          <w:szCs w:val="22"/>
          <w:lang w:val="it-IT"/>
        </w:rPr>
      </w:pPr>
      <w:r w:rsidRPr="00C901EB">
        <w:rPr>
          <w:rFonts w:eastAsia="Calibri"/>
          <w:szCs w:val="22"/>
          <w:lang w:val="it-IT"/>
        </w:rPr>
        <w:t>Fatte salve le rispettive prerogative, il Parlamento europeo, il Consiglio e la Commissione convengono, tenendo conto dell'esperienza passata e dell'evoluzione futura prevista, di esaminare una soluzione sostenibile a lungo termine, in linea con l'applicazione dei principi di bilancio del regolamento finanziario, per il finanziamento di tali interessi o altri oneri, che si applichi dopo il 2027, anche per quanto riguarda il tasso di interesse da pagare sull'importo delle ammende o di altre penali da rimborsare a titolo di idonea compensazione per le imprese beneficiarie in siffatte situazioni."</w:t>
      </w:r>
    </w:p>
    <w:p w:rsidR="00A72E65" w:rsidRPr="00C901EB" w:rsidRDefault="00A72E65" w:rsidP="00A72E65">
      <w:pPr>
        <w:widowControl w:val="0"/>
        <w:spacing w:before="120" w:after="120" w:line="360" w:lineRule="auto"/>
        <w:jc w:val="left"/>
        <w:rPr>
          <w:rFonts w:eastAsia="Times New Roman"/>
          <w:szCs w:val="20"/>
          <w:lang w:val="it-IT" w:eastAsia="en-GB"/>
        </w:rPr>
      </w:pPr>
    </w:p>
    <w:p w:rsidR="00A72E65" w:rsidRPr="00C901EB" w:rsidRDefault="00A72E65" w:rsidP="00A72E65">
      <w:pPr>
        <w:widowControl w:val="0"/>
        <w:spacing w:before="120" w:after="120" w:line="360" w:lineRule="auto"/>
        <w:jc w:val="left"/>
        <w:rPr>
          <w:rFonts w:eastAsia="Times New Roman"/>
          <w:szCs w:val="20"/>
          <w:lang w:val="it-IT" w:eastAsia="en-GB"/>
        </w:rPr>
      </w:pPr>
    </w:p>
    <w:p w:rsidR="00A72E65" w:rsidRPr="00C901EB" w:rsidRDefault="00A72E65" w:rsidP="00A72E65">
      <w:pPr>
        <w:widowControl w:val="0"/>
        <w:spacing w:line="360" w:lineRule="auto"/>
        <w:jc w:val="center"/>
        <w:rPr>
          <w:rFonts w:eastAsia="Calibri"/>
          <w:b/>
          <w:szCs w:val="22"/>
          <w:u w:val="single"/>
          <w:lang w:val="it-IT"/>
        </w:rPr>
      </w:pPr>
      <w:r w:rsidRPr="00C901EB">
        <w:rPr>
          <w:rFonts w:eastAsia="Calibri"/>
          <w:b/>
          <w:szCs w:val="22"/>
          <w:u w:val="single"/>
          <w:lang w:val="it-IT"/>
        </w:rPr>
        <w:t xml:space="preserve">Dichiarazione comune del Parlamento europeo, del Consiglio e della Commissione sullo strumento unico di estrazione di dati e valutazione del rischio di cui all'articolo 36 del regolamento finanziario in occasione dell’adozione del regolamento </w:t>
      </w:r>
      <w:r w:rsidR="00D84219" w:rsidRPr="00C901EB">
        <w:rPr>
          <w:rFonts w:eastAsia="Calibri"/>
          <w:b/>
          <w:szCs w:val="22"/>
          <w:u w:val="single"/>
          <w:lang w:val="it-IT"/>
        </w:rPr>
        <w:t>(UE, Euratom) 2024/2509</w:t>
      </w:r>
    </w:p>
    <w:p w:rsidR="00A72E65" w:rsidRPr="00C901EB" w:rsidRDefault="00A72E65" w:rsidP="00A72E65">
      <w:pPr>
        <w:spacing w:before="120" w:after="120" w:line="360" w:lineRule="auto"/>
        <w:jc w:val="left"/>
        <w:rPr>
          <w:rFonts w:eastAsia="Calibri"/>
          <w:szCs w:val="22"/>
          <w:lang w:val="it-IT"/>
        </w:rPr>
      </w:pPr>
      <w:r w:rsidRPr="00C901EB">
        <w:rPr>
          <w:rFonts w:eastAsia="Calibri"/>
          <w:szCs w:val="22"/>
          <w:lang w:val="it-IT"/>
        </w:rPr>
        <w:t>"Il Parlamento europeo, il Consiglio e la Commissione ("le tre istituzioni") riconoscono l'importanza di rafforzare la tutela degli interessi finanziari dell'Unione, come riconosciuto nell'accordo interistituzionale ("AII") del 16 dicembre 2020 e come sancito dall'articolo 325 TFUE.</w:t>
      </w:r>
    </w:p>
    <w:p w:rsidR="00A72E65" w:rsidRPr="00C901EB" w:rsidRDefault="00A72E65" w:rsidP="00A72E65">
      <w:pPr>
        <w:spacing w:before="120" w:after="120" w:line="360" w:lineRule="auto"/>
        <w:jc w:val="left"/>
        <w:rPr>
          <w:rFonts w:eastAsia="Calibri"/>
          <w:szCs w:val="22"/>
          <w:lang w:val="it-IT"/>
        </w:rPr>
      </w:pPr>
      <w:r w:rsidRPr="00C901EB">
        <w:rPr>
          <w:rFonts w:eastAsia="Calibri"/>
          <w:szCs w:val="22"/>
          <w:lang w:val="it-IT"/>
        </w:rPr>
        <w:t>Le tre istituzioni convengono sulla necessità di sviluppare ulteriormente lo strumento in conformità delle norme in materia di sicurezza informatica e protezione dei dati. Allo scopo di ridurre gli oneri amministrativi ed evitare costi informatici sproporzionati per gli Stati membri e gli altri utenti, si terrà conto dei sistemi approvati esistenti negli Stati membri.</w:t>
      </w:r>
    </w:p>
    <w:p w:rsidR="00A72E65" w:rsidRPr="00C901EB" w:rsidRDefault="00A72E65" w:rsidP="00A72E65">
      <w:pPr>
        <w:spacing w:before="120" w:after="120" w:line="360" w:lineRule="auto"/>
        <w:jc w:val="left"/>
        <w:rPr>
          <w:rFonts w:eastAsia="Calibri"/>
          <w:szCs w:val="22"/>
          <w:lang w:val="it-IT"/>
        </w:rPr>
      </w:pPr>
      <w:r w:rsidRPr="00C901EB">
        <w:rPr>
          <w:rFonts w:eastAsia="Calibri"/>
          <w:szCs w:val="22"/>
          <w:lang w:val="it-IT"/>
        </w:rPr>
        <w:t xml:space="preserve">Le tre istituzioni si impegnano a cooperare per l'ulteriore sviluppo dello strumento. La Commissione conferma che continuerà a sviluppare lo strumento in consultazione con i propri </w:t>
      </w:r>
      <w:r w:rsidRPr="00C901EB">
        <w:rPr>
          <w:rFonts w:eastAsia="Calibri"/>
          <w:szCs w:val="22"/>
          <w:lang w:val="it-IT"/>
        </w:rPr>
        <w:lastRenderedPageBreak/>
        <w:t>utenti e ad assistere gli Stati membri per qualsiasi questione tecnica. Gli Stati membri collaboreranno con la Commissione per generare le necessarie sinergie ai fini dell'interoperabilità con i sistemi informatici e le banche dati pertinenti.</w:t>
      </w:r>
    </w:p>
    <w:p w:rsidR="00A72E65" w:rsidRPr="00C901EB" w:rsidRDefault="00A72E65" w:rsidP="00A72E65">
      <w:pPr>
        <w:widowControl w:val="0"/>
        <w:spacing w:before="120" w:after="120" w:line="360" w:lineRule="auto"/>
        <w:jc w:val="left"/>
        <w:rPr>
          <w:rFonts w:eastAsia="Times New Roman"/>
          <w:szCs w:val="20"/>
          <w:lang w:val="it-IT" w:eastAsia="en-GB"/>
        </w:rPr>
      </w:pPr>
      <w:r w:rsidRPr="00C901EB">
        <w:rPr>
          <w:rFonts w:eastAsia="Calibri"/>
          <w:szCs w:val="22"/>
          <w:lang w:val="it-IT"/>
        </w:rPr>
        <w:t>A seguito di una valutazione della Commissione che sancisca la disponibilità dello strumento sulla base dei criteri di cui all'articolo 36, paragrafo 6, del regolamento finanziario, le tre istituzioni, fatte salve le rispettive competenze, si impegnano a esaminare e ridiscutere l'uso obbligatorio dello strumento durante il quadro finanziario pluriennale successivo al 2027."</w:t>
      </w:r>
    </w:p>
    <w:p w:rsidR="00A72E65" w:rsidRPr="00C901EB" w:rsidRDefault="00A72E65" w:rsidP="00A72E65">
      <w:pPr>
        <w:widowControl w:val="0"/>
        <w:spacing w:before="120" w:after="120" w:line="360" w:lineRule="auto"/>
        <w:jc w:val="left"/>
        <w:rPr>
          <w:rFonts w:eastAsia="Times New Roman"/>
          <w:szCs w:val="20"/>
          <w:lang w:val="it-IT" w:eastAsia="en-GB"/>
        </w:rPr>
      </w:pPr>
    </w:p>
    <w:p w:rsidR="00A72E65" w:rsidRPr="00C901EB" w:rsidRDefault="00A72E65" w:rsidP="00A72E65">
      <w:pPr>
        <w:widowControl w:val="0"/>
        <w:spacing w:before="120" w:after="120" w:line="360" w:lineRule="auto"/>
        <w:jc w:val="center"/>
        <w:rPr>
          <w:rFonts w:eastAsia="Calibri"/>
          <w:b/>
          <w:szCs w:val="22"/>
          <w:u w:val="single"/>
          <w:lang w:val="it-IT"/>
        </w:rPr>
      </w:pPr>
      <w:r w:rsidRPr="00C901EB">
        <w:rPr>
          <w:rFonts w:eastAsia="Calibri"/>
          <w:b/>
          <w:szCs w:val="22"/>
          <w:u w:val="single"/>
          <w:lang w:val="it-IT"/>
        </w:rPr>
        <w:t xml:space="preserve">Dichiarazione unilaterale della Commissione sui disimpegni in occasione dell’adozione del regolamento </w:t>
      </w:r>
      <w:r w:rsidR="00D84219" w:rsidRPr="00C901EB">
        <w:rPr>
          <w:rFonts w:eastAsia="Calibri"/>
          <w:b/>
          <w:szCs w:val="22"/>
          <w:u w:val="single"/>
          <w:lang w:val="it-IT"/>
        </w:rPr>
        <w:t>(UE, Euratom) </w:t>
      </w:r>
      <w:r w:rsidRPr="00C901EB">
        <w:rPr>
          <w:rFonts w:eastAsia="Calibri"/>
          <w:b/>
          <w:szCs w:val="22"/>
          <w:u w:val="single"/>
          <w:lang w:val="it-IT"/>
        </w:rPr>
        <w:t>2024/</w:t>
      </w:r>
      <w:r w:rsidR="00D84219" w:rsidRPr="00C901EB">
        <w:rPr>
          <w:rFonts w:eastAsia="Calibri"/>
          <w:b/>
          <w:szCs w:val="22"/>
          <w:u w:val="single"/>
          <w:lang w:val="it-IT"/>
        </w:rPr>
        <w:t>2509</w:t>
      </w:r>
    </w:p>
    <w:p w:rsidR="00A72E65" w:rsidRPr="00C901EB" w:rsidRDefault="00A72E65" w:rsidP="00A72E65">
      <w:pPr>
        <w:spacing w:before="120" w:after="120" w:line="360" w:lineRule="auto"/>
        <w:jc w:val="left"/>
        <w:rPr>
          <w:rFonts w:eastAsia="Calibri"/>
          <w:szCs w:val="22"/>
          <w:lang w:val="it-IT"/>
        </w:rPr>
      </w:pPr>
      <w:r w:rsidRPr="00C901EB">
        <w:rPr>
          <w:rFonts w:eastAsia="Calibri"/>
          <w:szCs w:val="22"/>
          <w:lang w:val="it-IT"/>
        </w:rPr>
        <w:t>"Nel contesto della preparazione del quadro finanziario pluriennale per il periodo successivo al 2027, la Commissione esaminerà la possibilità di ampliare la portata della ricostituzione degli stanziamenti corrispondenti ai disimpegni. Ciò non pregiudica la futura proposta della Commissione relativa al quadro finanziario pluriennale per il periodo successivo al 2027 né il diritto di iniziativa legislativa della Commissione, come stabilito nei trattati."</w:t>
      </w:r>
    </w:p>
    <w:p w:rsidR="00A72E65" w:rsidRPr="00C901EB" w:rsidRDefault="00A72E65" w:rsidP="00A72E65">
      <w:pPr>
        <w:spacing w:before="120" w:after="120" w:line="360" w:lineRule="auto"/>
        <w:jc w:val="center"/>
        <w:rPr>
          <w:rFonts w:eastAsia="Calibri"/>
          <w:b/>
          <w:szCs w:val="22"/>
          <w:u w:val="single"/>
          <w:lang w:val="it-IT"/>
        </w:rPr>
      </w:pPr>
    </w:p>
    <w:p w:rsidR="00A72E65" w:rsidRPr="00C901EB" w:rsidRDefault="00A72E65" w:rsidP="00A72E65">
      <w:pPr>
        <w:spacing w:before="120" w:after="120" w:line="360" w:lineRule="auto"/>
        <w:jc w:val="center"/>
        <w:rPr>
          <w:rFonts w:eastAsia="Calibri"/>
          <w:b/>
          <w:szCs w:val="22"/>
          <w:u w:val="single"/>
          <w:lang w:val="it-IT"/>
        </w:rPr>
      </w:pPr>
    </w:p>
    <w:p w:rsidR="00A72E65" w:rsidRPr="00C901EB" w:rsidRDefault="00A72E65" w:rsidP="00A72E65">
      <w:pPr>
        <w:spacing w:before="120" w:after="120" w:line="360" w:lineRule="auto"/>
        <w:jc w:val="center"/>
        <w:rPr>
          <w:rFonts w:eastAsia="Times New Roman"/>
          <w:b/>
          <w:szCs w:val="20"/>
          <w:u w:val="single"/>
          <w:lang w:val="it-IT" w:eastAsia="en-GB"/>
        </w:rPr>
      </w:pPr>
      <w:r w:rsidRPr="00C901EB">
        <w:rPr>
          <w:rFonts w:eastAsia="Calibri"/>
          <w:b/>
          <w:szCs w:val="22"/>
          <w:u w:val="single"/>
          <w:lang w:val="it-IT"/>
        </w:rPr>
        <w:t xml:space="preserve">Dichiarazione unilaterale della Commissione sul sistema di individuazione precoce e di esclusione in occasione dell’adozione del regolamento </w:t>
      </w:r>
      <w:r w:rsidR="00D84219" w:rsidRPr="00C901EB">
        <w:rPr>
          <w:rFonts w:eastAsia="Calibri"/>
          <w:b/>
          <w:szCs w:val="22"/>
          <w:u w:val="single"/>
          <w:lang w:val="it-IT"/>
        </w:rPr>
        <w:t>(UE, Euratom) 2024/2509</w:t>
      </w:r>
    </w:p>
    <w:p w:rsidR="00A72E65" w:rsidRPr="00C901EB" w:rsidRDefault="00A72E65" w:rsidP="00A72E65">
      <w:pPr>
        <w:spacing w:before="120" w:after="120" w:line="360" w:lineRule="auto"/>
        <w:jc w:val="left"/>
        <w:rPr>
          <w:rFonts w:eastAsia="Calibri"/>
          <w:szCs w:val="22"/>
          <w:lang w:val="it-IT"/>
        </w:rPr>
      </w:pPr>
      <w:r w:rsidRPr="00C901EB">
        <w:rPr>
          <w:rFonts w:eastAsia="Calibri"/>
          <w:szCs w:val="22"/>
          <w:lang w:val="it-IT"/>
        </w:rPr>
        <w:t xml:space="preserve">"La Commissione europea riconosce l'importanza di ridurre al minimo gli oneri amministrativi a carico delle autorità degli Stati membri nel contesto dell'estensione mirata del sistema di individuazione precoce e di esclusione (EDES) alla gestione concorrente e alla gestione diretta con gli Stati membri. </w:t>
      </w:r>
    </w:p>
    <w:p w:rsidR="00A72E65" w:rsidRPr="00C901EB" w:rsidRDefault="00A72E65" w:rsidP="00A72E65">
      <w:pPr>
        <w:spacing w:before="120" w:after="120" w:line="360" w:lineRule="auto"/>
        <w:jc w:val="left"/>
        <w:rPr>
          <w:rFonts w:eastAsia="Calibri"/>
          <w:szCs w:val="22"/>
          <w:lang w:val="it-IT"/>
        </w:rPr>
      </w:pPr>
      <w:r w:rsidRPr="00C901EB">
        <w:rPr>
          <w:rFonts w:eastAsia="Calibri"/>
          <w:szCs w:val="22"/>
          <w:lang w:val="it-IT"/>
        </w:rPr>
        <w:t xml:space="preserve">La Commissione si impegna a elaborare orientamenti completi e a offrire agli Stati membri sessioni di formazione sull'attuazione dell'EDES e sull'uso della sua banca dati. </w:t>
      </w:r>
    </w:p>
    <w:p w:rsidR="00A72E65" w:rsidRPr="00C901EB" w:rsidRDefault="00A72E65" w:rsidP="00A72E65">
      <w:pPr>
        <w:spacing w:before="120" w:after="120" w:line="360" w:lineRule="auto"/>
        <w:jc w:val="left"/>
        <w:rPr>
          <w:rFonts w:eastAsia="Calibri"/>
          <w:szCs w:val="22"/>
          <w:lang w:val="it-IT"/>
        </w:rPr>
      </w:pPr>
      <w:r w:rsidRPr="00C901EB">
        <w:rPr>
          <w:rFonts w:eastAsia="Calibri"/>
          <w:szCs w:val="22"/>
          <w:lang w:val="it-IT"/>
        </w:rPr>
        <w:t>La Commissione continuerà a migliorare la banca dati EDES, ad esempio consentendo la ricerca di più entità e migliorando i layout della banca dati.</w:t>
      </w:r>
    </w:p>
    <w:p w:rsidR="00A72E65" w:rsidRPr="00C901EB" w:rsidRDefault="00A72E65" w:rsidP="00A72E65">
      <w:pPr>
        <w:spacing w:before="120" w:after="120" w:line="360" w:lineRule="auto"/>
        <w:jc w:val="left"/>
        <w:rPr>
          <w:rFonts w:eastAsia="Calibri"/>
          <w:szCs w:val="22"/>
          <w:lang w:val="it-IT"/>
        </w:rPr>
      </w:pPr>
      <w:r w:rsidRPr="00C901EB">
        <w:rPr>
          <w:rFonts w:eastAsia="Calibri"/>
          <w:szCs w:val="22"/>
          <w:lang w:val="it-IT"/>
        </w:rPr>
        <w:t>La Commissione si adopererà per garantire l'interoperabilità informatica tra l'EDES e i sistemi nazionali pertinenti al fine di razionalizzare il processo e consentire controlli più rapidi sulle situazioni di esclusione di persone o entità pertinenti.</w:t>
      </w:r>
    </w:p>
    <w:p w:rsidR="00A72E65" w:rsidRPr="00C901EB" w:rsidRDefault="00A72E65" w:rsidP="00A72E65">
      <w:pPr>
        <w:spacing w:before="120" w:after="120" w:line="360" w:lineRule="auto"/>
        <w:jc w:val="left"/>
        <w:rPr>
          <w:rFonts w:eastAsia="Calibri"/>
          <w:szCs w:val="22"/>
          <w:lang w:val="it-IT"/>
        </w:rPr>
      </w:pPr>
      <w:r w:rsidRPr="00C901EB">
        <w:rPr>
          <w:rFonts w:eastAsia="Calibri"/>
          <w:szCs w:val="22"/>
          <w:lang w:val="it-IT"/>
        </w:rPr>
        <w:lastRenderedPageBreak/>
        <w:t>La Commissione conferma che qualsiasi richiesta di ulteriori informazioni ai fini dell'EDES si limiterà a quanto strettamente necessario e proporzionato e sarà trattata in conformità alle norme applicabili in materia di protezione dei dati. Si ricorda che il Garante europeo della protezione dei dati, nel parere sulla proposta della Commissione di rifusione del regolamento finanziario, non ha espresso preoccupazioni in merito all'EDES.</w:t>
      </w:r>
    </w:p>
    <w:p w:rsidR="00A72E65" w:rsidRPr="00C901EB" w:rsidRDefault="00A72E65" w:rsidP="00A72E65">
      <w:pPr>
        <w:spacing w:before="120" w:after="120" w:line="360" w:lineRule="auto"/>
        <w:jc w:val="left"/>
        <w:rPr>
          <w:rFonts w:eastAsia="Calibri"/>
          <w:b/>
          <w:szCs w:val="22"/>
          <w:u w:val="single"/>
          <w:lang w:val="it-IT"/>
        </w:rPr>
      </w:pPr>
      <w:r w:rsidRPr="00C901EB">
        <w:rPr>
          <w:rFonts w:eastAsia="Calibri"/>
          <w:szCs w:val="22"/>
          <w:lang w:val="it-IT"/>
        </w:rPr>
        <w:t>La Commissione si impegna ad agevolare una transizione agevole verso l'applicazione dell'EDES in piena cooperazione con gli Stati membri.".</w:t>
      </w:r>
    </w:p>
    <w:p w:rsidR="00A72E65" w:rsidRPr="00C901EB" w:rsidRDefault="00A72E65" w:rsidP="00A72E65">
      <w:pPr>
        <w:rPr>
          <w:rFonts w:eastAsia="Calibri"/>
          <w:lang w:val="it-IT"/>
        </w:rPr>
      </w:pPr>
    </w:p>
    <w:p w:rsidR="00A72E65" w:rsidRPr="00C901EB" w:rsidRDefault="00A72E65" w:rsidP="00A72E65">
      <w:pPr>
        <w:widowControl w:val="0"/>
        <w:jc w:val="left"/>
        <w:rPr>
          <w:rFonts w:eastAsia="Times New Roman"/>
          <w:szCs w:val="20"/>
          <w:lang w:val="it-IT" w:eastAsia="en-GB"/>
        </w:rPr>
      </w:pPr>
    </w:p>
    <w:p w:rsidR="008765BE" w:rsidRPr="00C901EB" w:rsidRDefault="008765BE">
      <w:pPr>
        <w:rPr>
          <w:lang w:val="it-IT"/>
        </w:rPr>
      </w:pPr>
    </w:p>
    <w:sectPr w:rsidR="008765BE" w:rsidRPr="00C901EB" w:rsidSect="00C35B71">
      <w:footerReference w:type="even" r:id="rId8"/>
      <w:footerReference w:type="default" r:id="rId9"/>
      <w:footerReference w:type="first" r:id="rId10"/>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2E65" w:rsidRDefault="00A72E65" w:rsidP="00A72E65">
      <w:r>
        <w:separator/>
      </w:r>
    </w:p>
  </w:endnote>
  <w:endnote w:type="continuationSeparator" w:id="0">
    <w:p w:rsidR="00A72E65" w:rsidRDefault="00A72E65" w:rsidP="00A72E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2E65" w:rsidRPr="00D85B8F" w:rsidRDefault="00A72E65" w:rsidP="00D85B8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2E65" w:rsidRPr="00D85B8F" w:rsidRDefault="00A72E65" w:rsidP="00D85B8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2E65" w:rsidRPr="00D85B8F" w:rsidRDefault="00A72E65" w:rsidP="00D85B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2E65" w:rsidRDefault="00A72E65" w:rsidP="00A72E65">
      <w:r>
        <w:separator/>
      </w:r>
    </w:p>
  </w:footnote>
  <w:footnote w:type="continuationSeparator" w:id="0">
    <w:p w:rsidR="00A72E65" w:rsidRDefault="00A72E65" w:rsidP="00A72E65">
      <w:r>
        <w:continuationSeparator/>
      </w:r>
    </w:p>
  </w:footnote>
  <w:footnote w:id="1">
    <w:p w:rsidR="001E277A" w:rsidRPr="001E277A" w:rsidRDefault="001E277A" w:rsidP="001E277A">
      <w:pPr>
        <w:pStyle w:val="FootnoteText"/>
        <w:ind w:left="851" w:hanging="851"/>
        <w:rPr>
          <w:sz w:val="24"/>
          <w:szCs w:val="24"/>
          <w:lang w:val="es-ES"/>
        </w:rPr>
      </w:pPr>
      <w:r w:rsidRPr="001E277A">
        <w:rPr>
          <w:rStyle w:val="FootnoteReference"/>
          <w:sz w:val="24"/>
          <w:szCs w:val="24"/>
          <w:lang w:val="it-IT"/>
        </w:rPr>
        <w:footnoteRef/>
      </w:r>
      <w:r w:rsidRPr="001E277A">
        <w:rPr>
          <w:sz w:val="24"/>
          <w:szCs w:val="24"/>
          <w:lang w:val="es-ES"/>
        </w:rPr>
        <w:t xml:space="preserve"> </w:t>
      </w:r>
      <w:r w:rsidRPr="001E277A">
        <w:rPr>
          <w:sz w:val="24"/>
          <w:szCs w:val="24"/>
          <w:lang w:val="es-ES"/>
        </w:rPr>
        <w:tab/>
        <w:t xml:space="preserve">GU C 446 del 24.11.2022, </w:t>
      </w:r>
      <w:proofErr w:type="spellStart"/>
      <w:r w:rsidRPr="001E277A">
        <w:rPr>
          <w:sz w:val="24"/>
          <w:szCs w:val="24"/>
          <w:lang w:val="es-ES"/>
        </w:rPr>
        <w:t>p</w:t>
      </w:r>
      <w:r w:rsidR="00D86AF9">
        <w:rPr>
          <w:sz w:val="24"/>
          <w:szCs w:val="24"/>
          <w:lang w:val="es-ES"/>
        </w:rPr>
        <w:t>ag</w:t>
      </w:r>
      <w:proofErr w:type="spellEnd"/>
      <w:r w:rsidRPr="001E277A">
        <w:rPr>
          <w:sz w:val="24"/>
          <w:szCs w:val="24"/>
          <w:lang w:val="es-ES"/>
        </w:rPr>
        <w:t>. 26.</w:t>
      </w:r>
    </w:p>
  </w:footnote>
  <w:footnote w:id="2">
    <w:p w:rsidR="001E277A" w:rsidRPr="001E277A" w:rsidRDefault="001E277A" w:rsidP="001E277A">
      <w:pPr>
        <w:pStyle w:val="FootnoteText"/>
        <w:ind w:left="851" w:hanging="851"/>
        <w:rPr>
          <w:sz w:val="24"/>
          <w:szCs w:val="24"/>
          <w:lang w:val="es-ES"/>
        </w:rPr>
      </w:pPr>
      <w:r w:rsidRPr="001E277A">
        <w:rPr>
          <w:rStyle w:val="FootnoteReference"/>
          <w:sz w:val="24"/>
          <w:szCs w:val="24"/>
          <w:lang w:val="it-IT"/>
        </w:rPr>
        <w:footnoteRef/>
      </w:r>
      <w:r w:rsidRPr="001E277A">
        <w:rPr>
          <w:sz w:val="24"/>
          <w:szCs w:val="24"/>
          <w:lang w:val="es-ES"/>
        </w:rPr>
        <w:t xml:space="preserve"> </w:t>
      </w:r>
      <w:r w:rsidRPr="001E277A">
        <w:rPr>
          <w:sz w:val="24"/>
          <w:szCs w:val="24"/>
          <w:lang w:val="es-ES"/>
        </w:rPr>
        <w:tab/>
        <w:t xml:space="preserve">GU C 77 del 28.3.2002, </w:t>
      </w:r>
      <w:proofErr w:type="spellStart"/>
      <w:r w:rsidRPr="001E277A">
        <w:rPr>
          <w:sz w:val="24"/>
          <w:szCs w:val="24"/>
          <w:lang w:val="es-ES"/>
        </w:rPr>
        <w:t>pag</w:t>
      </w:r>
      <w:proofErr w:type="spellEnd"/>
      <w:r w:rsidRPr="001E277A">
        <w:rPr>
          <w:sz w:val="24"/>
          <w:szCs w:val="24"/>
          <w:lang w:val="es-ES"/>
        </w:rPr>
        <w:t>.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6A4535B1"/>
    <w:multiLevelType w:val="hybridMultilevel"/>
    <w:tmpl w:val="228A622E"/>
    <w:lvl w:ilvl="0" w:tplc="B65C5AB0">
      <w:start w:val="1"/>
      <w:numFmt w:val="bullet"/>
      <w:lvlText w:val=""/>
      <w:lvlJc w:val="left"/>
      <w:pPr>
        <w:ind w:left="360" w:hanging="360"/>
      </w:pPr>
      <w:rPr>
        <w:rFonts w:ascii="Symbol" w:hAnsi="Symbol" w:hint="default"/>
      </w:rPr>
    </w:lvl>
    <w:lvl w:ilvl="1" w:tplc="9B00CC62" w:tentative="1">
      <w:start w:val="1"/>
      <w:numFmt w:val="bullet"/>
      <w:lvlText w:val="o"/>
      <w:lvlJc w:val="left"/>
      <w:pPr>
        <w:ind w:left="1080" w:hanging="360"/>
      </w:pPr>
      <w:rPr>
        <w:rFonts w:ascii="Courier New" w:hAnsi="Courier New" w:cs="Courier New" w:hint="default"/>
      </w:rPr>
    </w:lvl>
    <w:lvl w:ilvl="2" w:tplc="64AA5C7E" w:tentative="1">
      <w:start w:val="1"/>
      <w:numFmt w:val="bullet"/>
      <w:lvlText w:val=""/>
      <w:lvlJc w:val="left"/>
      <w:pPr>
        <w:ind w:left="1800" w:hanging="360"/>
      </w:pPr>
      <w:rPr>
        <w:rFonts w:ascii="Wingdings" w:hAnsi="Wingdings" w:hint="default"/>
      </w:rPr>
    </w:lvl>
    <w:lvl w:ilvl="3" w:tplc="C21C45B0" w:tentative="1">
      <w:start w:val="1"/>
      <w:numFmt w:val="bullet"/>
      <w:lvlText w:val=""/>
      <w:lvlJc w:val="left"/>
      <w:pPr>
        <w:ind w:left="2520" w:hanging="360"/>
      </w:pPr>
      <w:rPr>
        <w:rFonts w:ascii="Symbol" w:hAnsi="Symbol" w:hint="default"/>
      </w:rPr>
    </w:lvl>
    <w:lvl w:ilvl="4" w:tplc="04D82C08" w:tentative="1">
      <w:start w:val="1"/>
      <w:numFmt w:val="bullet"/>
      <w:lvlText w:val="o"/>
      <w:lvlJc w:val="left"/>
      <w:pPr>
        <w:ind w:left="3240" w:hanging="360"/>
      </w:pPr>
      <w:rPr>
        <w:rFonts w:ascii="Courier New" w:hAnsi="Courier New" w:cs="Courier New" w:hint="default"/>
      </w:rPr>
    </w:lvl>
    <w:lvl w:ilvl="5" w:tplc="97F8953C" w:tentative="1">
      <w:start w:val="1"/>
      <w:numFmt w:val="bullet"/>
      <w:lvlText w:val=""/>
      <w:lvlJc w:val="left"/>
      <w:pPr>
        <w:ind w:left="3960" w:hanging="360"/>
      </w:pPr>
      <w:rPr>
        <w:rFonts w:ascii="Wingdings" w:hAnsi="Wingdings" w:hint="default"/>
      </w:rPr>
    </w:lvl>
    <w:lvl w:ilvl="6" w:tplc="85988B6A" w:tentative="1">
      <w:start w:val="1"/>
      <w:numFmt w:val="bullet"/>
      <w:lvlText w:val=""/>
      <w:lvlJc w:val="left"/>
      <w:pPr>
        <w:ind w:left="4680" w:hanging="360"/>
      </w:pPr>
      <w:rPr>
        <w:rFonts w:ascii="Symbol" w:hAnsi="Symbol" w:hint="default"/>
      </w:rPr>
    </w:lvl>
    <w:lvl w:ilvl="7" w:tplc="C660F28E" w:tentative="1">
      <w:start w:val="1"/>
      <w:numFmt w:val="bullet"/>
      <w:lvlText w:val="o"/>
      <w:lvlJc w:val="left"/>
      <w:pPr>
        <w:ind w:left="5400" w:hanging="360"/>
      </w:pPr>
      <w:rPr>
        <w:rFonts w:ascii="Courier New" w:hAnsi="Courier New" w:cs="Courier New" w:hint="default"/>
      </w:rPr>
    </w:lvl>
    <w:lvl w:ilvl="8" w:tplc="E5188318" w:tentative="1">
      <w:start w:val="1"/>
      <w:numFmt w:val="bullet"/>
      <w:lvlText w:val=""/>
      <w:lvlJc w:val="left"/>
      <w:pPr>
        <w:ind w:left="6120" w:hanging="360"/>
      </w:pPr>
      <w:rPr>
        <w:rFonts w:ascii="Wingdings" w:hAnsi="Wingdings" w:hint="default"/>
      </w:rPr>
    </w:lvl>
  </w:abstractNum>
  <w:abstractNum w:abstractNumId="13" w15:restartNumberingAfterBreak="0">
    <w:nsid w:val="7FCF770B"/>
    <w:multiLevelType w:val="hybridMultilevel"/>
    <w:tmpl w:val="73C6E150"/>
    <w:lvl w:ilvl="0" w:tplc="45B6E2FE">
      <w:start w:val="1"/>
      <w:numFmt w:val="bullet"/>
      <w:lvlText w:val=""/>
      <w:lvlJc w:val="left"/>
      <w:pPr>
        <w:ind w:left="1440" w:hanging="360"/>
      </w:pPr>
      <w:rPr>
        <w:rFonts w:ascii="Symbol" w:hAnsi="Symbol"/>
      </w:rPr>
    </w:lvl>
    <w:lvl w:ilvl="1" w:tplc="B96013A6">
      <w:start w:val="1"/>
      <w:numFmt w:val="bullet"/>
      <w:lvlText w:val=""/>
      <w:lvlJc w:val="left"/>
      <w:pPr>
        <w:ind w:left="1440" w:hanging="360"/>
      </w:pPr>
      <w:rPr>
        <w:rFonts w:ascii="Symbol" w:hAnsi="Symbol"/>
      </w:rPr>
    </w:lvl>
    <w:lvl w:ilvl="2" w:tplc="0792C544">
      <w:start w:val="1"/>
      <w:numFmt w:val="bullet"/>
      <w:lvlText w:val=""/>
      <w:lvlJc w:val="left"/>
      <w:pPr>
        <w:ind w:left="1440" w:hanging="360"/>
      </w:pPr>
      <w:rPr>
        <w:rFonts w:ascii="Symbol" w:hAnsi="Symbol"/>
      </w:rPr>
    </w:lvl>
    <w:lvl w:ilvl="3" w:tplc="6554E330">
      <w:start w:val="1"/>
      <w:numFmt w:val="bullet"/>
      <w:lvlText w:val=""/>
      <w:lvlJc w:val="left"/>
      <w:pPr>
        <w:ind w:left="1440" w:hanging="360"/>
      </w:pPr>
      <w:rPr>
        <w:rFonts w:ascii="Symbol" w:hAnsi="Symbol"/>
      </w:rPr>
    </w:lvl>
    <w:lvl w:ilvl="4" w:tplc="4FAA81C4">
      <w:start w:val="1"/>
      <w:numFmt w:val="bullet"/>
      <w:lvlText w:val=""/>
      <w:lvlJc w:val="left"/>
      <w:pPr>
        <w:ind w:left="1440" w:hanging="360"/>
      </w:pPr>
      <w:rPr>
        <w:rFonts w:ascii="Symbol" w:hAnsi="Symbol"/>
      </w:rPr>
    </w:lvl>
    <w:lvl w:ilvl="5" w:tplc="C910F71C">
      <w:start w:val="1"/>
      <w:numFmt w:val="bullet"/>
      <w:lvlText w:val=""/>
      <w:lvlJc w:val="left"/>
      <w:pPr>
        <w:ind w:left="1440" w:hanging="360"/>
      </w:pPr>
      <w:rPr>
        <w:rFonts w:ascii="Symbol" w:hAnsi="Symbol"/>
      </w:rPr>
    </w:lvl>
    <w:lvl w:ilvl="6" w:tplc="9F9CB2B8">
      <w:start w:val="1"/>
      <w:numFmt w:val="bullet"/>
      <w:lvlText w:val=""/>
      <w:lvlJc w:val="left"/>
      <w:pPr>
        <w:ind w:left="1440" w:hanging="360"/>
      </w:pPr>
      <w:rPr>
        <w:rFonts w:ascii="Symbol" w:hAnsi="Symbol"/>
      </w:rPr>
    </w:lvl>
    <w:lvl w:ilvl="7" w:tplc="D47C18F2">
      <w:start w:val="1"/>
      <w:numFmt w:val="bullet"/>
      <w:lvlText w:val=""/>
      <w:lvlJc w:val="left"/>
      <w:pPr>
        <w:ind w:left="1440" w:hanging="360"/>
      </w:pPr>
      <w:rPr>
        <w:rFonts w:ascii="Symbol" w:hAnsi="Symbol"/>
      </w:rPr>
    </w:lvl>
    <w:lvl w:ilvl="8" w:tplc="5A62CDA0">
      <w:start w:val="1"/>
      <w:numFmt w:val="bullet"/>
      <w:lvlText w:val=""/>
      <w:lvlJc w:val="left"/>
      <w:pPr>
        <w:ind w:left="1440" w:hanging="360"/>
      </w:pPr>
      <w:rPr>
        <w:rFonts w:ascii="Symbol" w:hAnsi="Symbol"/>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1"/>
  </w:num>
  <w:num w:numId="13">
    <w:abstractNumId w:val="12"/>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proofState w:spelling="clean" w:grammar="clean"/>
  <w:defaultTabStop w:val="720"/>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4B4B"/>
    <w:rsid w:val="000517E6"/>
    <w:rsid w:val="001A7725"/>
    <w:rsid w:val="001E277A"/>
    <w:rsid w:val="00454B4B"/>
    <w:rsid w:val="005762E3"/>
    <w:rsid w:val="008765BE"/>
    <w:rsid w:val="00A72E65"/>
    <w:rsid w:val="00C901EB"/>
    <w:rsid w:val="00D84219"/>
    <w:rsid w:val="00D86AF9"/>
    <w:rsid w:val="00DE6F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03603D-A5A6-437C-B19C-F5E2A118C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imes New Roman"/>
        <w:sz w:val="22"/>
        <w:szCs w:val="22"/>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62E3"/>
    <w:pPr>
      <w:jc w:val="both"/>
    </w:pPr>
    <w:rPr>
      <w:rFonts w:ascii="Times New Roman" w:hAnsi="Times New Roman"/>
      <w:sz w:val="24"/>
      <w:szCs w:val="24"/>
    </w:rPr>
  </w:style>
  <w:style w:type="paragraph" w:styleId="Heading1">
    <w:name w:val="heading 1"/>
    <w:basedOn w:val="Normal"/>
    <w:next w:val="Normal"/>
    <w:link w:val="Heading1Char"/>
    <w:uiPriority w:val="9"/>
    <w:qFormat/>
    <w:rsid w:val="005762E3"/>
    <w:pPr>
      <w:keepNext/>
      <w:spacing w:before="240" w:after="60"/>
      <w:outlineLvl w:val="0"/>
    </w:pPr>
    <w:rPr>
      <w:rFonts w:ascii="Arial" w:eastAsiaTheme="majorEastAsia" w:hAnsi="Arial" w:cs="Arial"/>
      <w:b/>
      <w:bCs/>
      <w:kern w:val="32"/>
      <w:sz w:val="32"/>
      <w:szCs w:val="32"/>
    </w:rPr>
  </w:style>
  <w:style w:type="paragraph" w:styleId="Heading2">
    <w:name w:val="heading 2"/>
    <w:basedOn w:val="Normal"/>
    <w:next w:val="Normal"/>
    <w:link w:val="Heading2Char"/>
    <w:uiPriority w:val="9"/>
    <w:semiHidden/>
    <w:unhideWhenUsed/>
    <w:qFormat/>
    <w:rsid w:val="005762E3"/>
    <w:pPr>
      <w:keepNext/>
      <w:spacing w:before="240" w:after="60"/>
      <w:outlineLvl w:val="1"/>
    </w:pPr>
    <w:rPr>
      <w:rFonts w:ascii="Arial" w:eastAsiaTheme="majorEastAsia" w:hAnsi="Arial" w:cs="Arial"/>
      <w:b/>
      <w:bCs/>
      <w:i/>
      <w:iCs/>
      <w:sz w:val="28"/>
      <w:szCs w:val="28"/>
    </w:rPr>
  </w:style>
  <w:style w:type="paragraph" w:styleId="Heading3">
    <w:name w:val="heading 3"/>
    <w:basedOn w:val="Normal"/>
    <w:next w:val="Normal"/>
    <w:link w:val="Heading3Char"/>
    <w:uiPriority w:val="9"/>
    <w:semiHidden/>
    <w:unhideWhenUsed/>
    <w:qFormat/>
    <w:rsid w:val="005762E3"/>
    <w:pPr>
      <w:keepNext/>
      <w:spacing w:before="240" w:after="60"/>
      <w:outlineLvl w:val="2"/>
    </w:pPr>
    <w:rPr>
      <w:rFonts w:ascii="Arial" w:eastAsiaTheme="majorEastAsia" w:hAnsi="Arial" w:cs="Arial"/>
      <w:b/>
      <w:bCs/>
      <w:sz w:val="26"/>
      <w:szCs w:val="26"/>
    </w:rPr>
  </w:style>
  <w:style w:type="paragraph" w:styleId="Heading4">
    <w:name w:val="heading 4"/>
    <w:basedOn w:val="Normal"/>
    <w:next w:val="Normal"/>
    <w:link w:val="Heading4Char"/>
    <w:uiPriority w:val="9"/>
    <w:semiHidden/>
    <w:unhideWhenUsed/>
    <w:qFormat/>
    <w:rsid w:val="005762E3"/>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5762E3"/>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5762E3"/>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5762E3"/>
    <w:pPr>
      <w:spacing w:before="240" w:after="60"/>
      <w:outlineLvl w:val="6"/>
    </w:pPr>
  </w:style>
  <w:style w:type="paragraph" w:styleId="Heading8">
    <w:name w:val="heading 8"/>
    <w:basedOn w:val="Normal"/>
    <w:next w:val="Normal"/>
    <w:link w:val="Heading8Char"/>
    <w:uiPriority w:val="9"/>
    <w:semiHidden/>
    <w:unhideWhenUsed/>
    <w:qFormat/>
    <w:rsid w:val="005762E3"/>
    <w:pPr>
      <w:spacing w:before="240" w:after="60"/>
      <w:outlineLvl w:val="7"/>
    </w:pPr>
    <w:rPr>
      <w:i/>
      <w:iCs/>
    </w:rPr>
  </w:style>
  <w:style w:type="paragraph" w:styleId="Heading9">
    <w:name w:val="heading 9"/>
    <w:basedOn w:val="Normal"/>
    <w:next w:val="Normal"/>
    <w:link w:val="Heading9Char"/>
    <w:uiPriority w:val="9"/>
    <w:semiHidden/>
    <w:unhideWhenUsed/>
    <w:qFormat/>
    <w:rsid w:val="005762E3"/>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62E3"/>
    <w:rPr>
      <w:rFonts w:ascii="Arial" w:eastAsiaTheme="majorEastAsia" w:hAnsi="Arial" w:cs="Arial"/>
      <w:b/>
      <w:bCs/>
      <w:kern w:val="32"/>
      <w:sz w:val="32"/>
      <w:szCs w:val="32"/>
    </w:rPr>
  </w:style>
  <w:style w:type="character" w:customStyle="1" w:styleId="Heading2Char">
    <w:name w:val="Heading 2 Char"/>
    <w:basedOn w:val="DefaultParagraphFont"/>
    <w:link w:val="Heading2"/>
    <w:uiPriority w:val="9"/>
    <w:semiHidden/>
    <w:rsid w:val="005762E3"/>
    <w:rPr>
      <w:rFonts w:ascii="Arial" w:eastAsiaTheme="majorEastAsia" w:hAnsi="Arial" w:cs="Arial"/>
      <w:b/>
      <w:bCs/>
      <w:i/>
      <w:iCs/>
      <w:sz w:val="28"/>
      <w:szCs w:val="28"/>
    </w:rPr>
  </w:style>
  <w:style w:type="character" w:customStyle="1" w:styleId="Heading3Char">
    <w:name w:val="Heading 3 Char"/>
    <w:basedOn w:val="DefaultParagraphFont"/>
    <w:link w:val="Heading3"/>
    <w:uiPriority w:val="9"/>
    <w:semiHidden/>
    <w:rsid w:val="005762E3"/>
    <w:rPr>
      <w:rFonts w:ascii="Arial" w:eastAsiaTheme="majorEastAsia" w:hAnsi="Arial" w:cs="Arial"/>
      <w:b/>
      <w:bCs/>
      <w:sz w:val="26"/>
      <w:szCs w:val="26"/>
    </w:rPr>
  </w:style>
  <w:style w:type="character" w:customStyle="1" w:styleId="Heading4Char">
    <w:name w:val="Heading 4 Char"/>
    <w:basedOn w:val="DefaultParagraphFont"/>
    <w:link w:val="Heading4"/>
    <w:uiPriority w:val="9"/>
    <w:semiHidden/>
    <w:rsid w:val="005762E3"/>
    <w:rPr>
      <w:b/>
      <w:bCs/>
      <w:sz w:val="28"/>
      <w:szCs w:val="28"/>
    </w:rPr>
  </w:style>
  <w:style w:type="character" w:customStyle="1" w:styleId="Heading5Char">
    <w:name w:val="Heading 5 Char"/>
    <w:basedOn w:val="DefaultParagraphFont"/>
    <w:link w:val="Heading5"/>
    <w:uiPriority w:val="9"/>
    <w:semiHidden/>
    <w:rsid w:val="005762E3"/>
    <w:rPr>
      <w:b/>
      <w:bCs/>
      <w:i/>
      <w:iCs/>
      <w:sz w:val="26"/>
      <w:szCs w:val="26"/>
    </w:rPr>
  </w:style>
  <w:style w:type="character" w:customStyle="1" w:styleId="Heading6Char">
    <w:name w:val="Heading 6 Char"/>
    <w:basedOn w:val="DefaultParagraphFont"/>
    <w:link w:val="Heading6"/>
    <w:uiPriority w:val="9"/>
    <w:semiHidden/>
    <w:rsid w:val="005762E3"/>
    <w:rPr>
      <w:b/>
      <w:bCs/>
    </w:rPr>
  </w:style>
  <w:style w:type="character" w:customStyle="1" w:styleId="Heading7Char">
    <w:name w:val="Heading 7 Char"/>
    <w:basedOn w:val="DefaultParagraphFont"/>
    <w:link w:val="Heading7"/>
    <w:uiPriority w:val="9"/>
    <w:semiHidden/>
    <w:rsid w:val="005762E3"/>
    <w:rPr>
      <w:sz w:val="24"/>
      <w:szCs w:val="24"/>
    </w:rPr>
  </w:style>
  <w:style w:type="character" w:customStyle="1" w:styleId="Heading8Char">
    <w:name w:val="Heading 8 Char"/>
    <w:basedOn w:val="DefaultParagraphFont"/>
    <w:link w:val="Heading8"/>
    <w:uiPriority w:val="9"/>
    <w:semiHidden/>
    <w:rsid w:val="005762E3"/>
    <w:rPr>
      <w:i/>
      <w:iCs/>
      <w:sz w:val="24"/>
      <w:szCs w:val="24"/>
    </w:rPr>
  </w:style>
  <w:style w:type="character" w:customStyle="1" w:styleId="Heading9Char">
    <w:name w:val="Heading 9 Char"/>
    <w:basedOn w:val="DefaultParagraphFont"/>
    <w:link w:val="Heading9"/>
    <w:uiPriority w:val="9"/>
    <w:semiHidden/>
    <w:rsid w:val="005762E3"/>
    <w:rPr>
      <w:rFonts w:asciiTheme="majorHAnsi" w:eastAsiaTheme="majorEastAsia" w:hAnsiTheme="majorHAnsi"/>
    </w:rPr>
  </w:style>
  <w:style w:type="paragraph" w:styleId="Title">
    <w:name w:val="Title"/>
    <w:basedOn w:val="Normal"/>
    <w:next w:val="Normal"/>
    <w:link w:val="TitleChar"/>
    <w:uiPriority w:val="10"/>
    <w:qFormat/>
    <w:rsid w:val="005762E3"/>
    <w:pPr>
      <w:spacing w:before="240" w:after="60"/>
      <w:jc w:val="center"/>
      <w:outlineLvl w:val="0"/>
    </w:pPr>
    <w:rPr>
      <w:rFonts w:ascii="Arial" w:eastAsiaTheme="majorEastAsia" w:hAnsi="Arial" w:cs="Arial"/>
      <w:b/>
      <w:bCs/>
      <w:kern w:val="28"/>
      <w:sz w:val="32"/>
      <w:szCs w:val="32"/>
    </w:rPr>
  </w:style>
  <w:style w:type="character" w:customStyle="1" w:styleId="TitleChar">
    <w:name w:val="Title Char"/>
    <w:basedOn w:val="DefaultParagraphFont"/>
    <w:link w:val="Title"/>
    <w:uiPriority w:val="10"/>
    <w:rsid w:val="005762E3"/>
    <w:rPr>
      <w:rFonts w:ascii="Arial" w:eastAsiaTheme="majorEastAsia" w:hAnsi="Arial" w:cs="Arial"/>
      <w:b/>
      <w:bCs/>
      <w:kern w:val="28"/>
      <w:sz w:val="32"/>
      <w:szCs w:val="32"/>
    </w:rPr>
  </w:style>
  <w:style w:type="paragraph" w:styleId="Subtitle">
    <w:name w:val="Subtitle"/>
    <w:basedOn w:val="Normal"/>
    <w:next w:val="Normal"/>
    <w:link w:val="SubtitleChar"/>
    <w:uiPriority w:val="11"/>
    <w:qFormat/>
    <w:rsid w:val="005762E3"/>
    <w:pPr>
      <w:spacing w:after="60"/>
      <w:jc w:val="center"/>
      <w:outlineLvl w:val="1"/>
    </w:pPr>
    <w:rPr>
      <w:rFonts w:ascii="Arial" w:eastAsiaTheme="majorEastAsia" w:hAnsi="Arial" w:cs="Arial"/>
    </w:rPr>
  </w:style>
  <w:style w:type="character" w:customStyle="1" w:styleId="SubtitleChar">
    <w:name w:val="Subtitle Char"/>
    <w:basedOn w:val="DefaultParagraphFont"/>
    <w:link w:val="Subtitle"/>
    <w:uiPriority w:val="11"/>
    <w:rsid w:val="005762E3"/>
    <w:rPr>
      <w:rFonts w:ascii="Arial" w:eastAsiaTheme="majorEastAsia" w:hAnsi="Arial" w:cs="Arial"/>
      <w:sz w:val="24"/>
      <w:szCs w:val="24"/>
    </w:rPr>
  </w:style>
  <w:style w:type="character" w:styleId="Strong">
    <w:name w:val="Strong"/>
    <w:basedOn w:val="DefaultParagraphFont"/>
    <w:uiPriority w:val="22"/>
    <w:qFormat/>
    <w:rsid w:val="005762E3"/>
    <w:rPr>
      <w:b/>
      <w:bCs/>
    </w:rPr>
  </w:style>
  <w:style w:type="character" w:styleId="Emphasis">
    <w:name w:val="Emphasis"/>
    <w:basedOn w:val="DefaultParagraphFont"/>
    <w:qFormat/>
    <w:rsid w:val="005762E3"/>
    <w:rPr>
      <w:rFonts w:asciiTheme="minorHAnsi" w:hAnsiTheme="minorHAnsi"/>
      <w:b/>
      <w:i/>
      <w:iCs/>
    </w:rPr>
  </w:style>
  <w:style w:type="paragraph" w:styleId="NoSpacing">
    <w:name w:val="No Spacing"/>
    <w:basedOn w:val="Normal"/>
    <w:uiPriority w:val="1"/>
    <w:qFormat/>
    <w:rsid w:val="005762E3"/>
    <w:rPr>
      <w:szCs w:val="32"/>
    </w:rPr>
  </w:style>
  <w:style w:type="paragraph" w:styleId="ListParagraph">
    <w:name w:val="List Paragraph"/>
    <w:basedOn w:val="Normal"/>
    <w:uiPriority w:val="34"/>
    <w:qFormat/>
    <w:rsid w:val="005762E3"/>
    <w:pPr>
      <w:ind w:left="720"/>
      <w:contextualSpacing/>
    </w:pPr>
  </w:style>
  <w:style w:type="paragraph" w:styleId="Quote">
    <w:name w:val="Quote"/>
    <w:basedOn w:val="Normal"/>
    <w:next w:val="Normal"/>
    <w:link w:val="QuoteChar"/>
    <w:uiPriority w:val="29"/>
    <w:qFormat/>
    <w:rsid w:val="005762E3"/>
    <w:rPr>
      <w:i/>
    </w:rPr>
  </w:style>
  <w:style w:type="character" w:customStyle="1" w:styleId="QuoteChar">
    <w:name w:val="Quote Char"/>
    <w:basedOn w:val="DefaultParagraphFont"/>
    <w:link w:val="Quote"/>
    <w:uiPriority w:val="29"/>
    <w:rsid w:val="005762E3"/>
    <w:rPr>
      <w:i/>
      <w:sz w:val="24"/>
      <w:szCs w:val="24"/>
    </w:rPr>
  </w:style>
  <w:style w:type="paragraph" w:styleId="IntenseQuote">
    <w:name w:val="Intense Quote"/>
    <w:basedOn w:val="Normal"/>
    <w:next w:val="Normal"/>
    <w:link w:val="IntenseQuoteChar"/>
    <w:uiPriority w:val="30"/>
    <w:qFormat/>
    <w:rsid w:val="005762E3"/>
    <w:pPr>
      <w:ind w:left="720" w:right="720"/>
    </w:pPr>
    <w:rPr>
      <w:b/>
      <w:i/>
      <w:szCs w:val="22"/>
    </w:rPr>
  </w:style>
  <w:style w:type="character" w:customStyle="1" w:styleId="IntenseQuoteChar">
    <w:name w:val="Intense Quote Char"/>
    <w:basedOn w:val="DefaultParagraphFont"/>
    <w:link w:val="IntenseQuote"/>
    <w:uiPriority w:val="30"/>
    <w:rsid w:val="005762E3"/>
    <w:rPr>
      <w:b/>
      <w:i/>
      <w:sz w:val="24"/>
    </w:rPr>
  </w:style>
  <w:style w:type="character" w:styleId="SubtleEmphasis">
    <w:name w:val="Subtle Emphasis"/>
    <w:uiPriority w:val="19"/>
    <w:qFormat/>
    <w:rsid w:val="005762E3"/>
    <w:rPr>
      <w:i/>
      <w:color w:val="5A5A5A" w:themeColor="text1" w:themeTint="A5"/>
    </w:rPr>
  </w:style>
  <w:style w:type="character" w:styleId="IntenseEmphasis">
    <w:name w:val="Intense Emphasis"/>
    <w:basedOn w:val="DefaultParagraphFont"/>
    <w:uiPriority w:val="21"/>
    <w:qFormat/>
    <w:rsid w:val="005762E3"/>
    <w:rPr>
      <w:b/>
      <w:i/>
      <w:sz w:val="24"/>
      <w:szCs w:val="24"/>
      <w:u w:val="single"/>
    </w:rPr>
  </w:style>
  <w:style w:type="character" w:styleId="SubtleReference">
    <w:name w:val="Subtle Reference"/>
    <w:basedOn w:val="DefaultParagraphFont"/>
    <w:uiPriority w:val="31"/>
    <w:qFormat/>
    <w:rsid w:val="005762E3"/>
    <w:rPr>
      <w:sz w:val="24"/>
      <w:szCs w:val="24"/>
      <w:u w:val="single"/>
    </w:rPr>
  </w:style>
  <w:style w:type="character" w:styleId="IntenseReference">
    <w:name w:val="Intense Reference"/>
    <w:basedOn w:val="DefaultParagraphFont"/>
    <w:uiPriority w:val="32"/>
    <w:qFormat/>
    <w:rsid w:val="005762E3"/>
    <w:rPr>
      <w:b/>
      <w:sz w:val="24"/>
      <w:u w:val="single"/>
    </w:rPr>
  </w:style>
  <w:style w:type="character" w:styleId="BookTitle">
    <w:name w:val="Book Title"/>
    <w:basedOn w:val="DefaultParagraphFont"/>
    <w:uiPriority w:val="33"/>
    <w:qFormat/>
    <w:rsid w:val="005762E3"/>
    <w:rPr>
      <w:rFonts w:asciiTheme="majorHAnsi" w:eastAsiaTheme="majorEastAsia" w:hAnsiTheme="majorHAnsi"/>
      <w:b/>
      <w:i/>
      <w:sz w:val="24"/>
      <w:szCs w:val="24"/>
    </w:rPr>
  </w:style>
  <w:style w:type="paragraph" w:styleId="TOCHeading">
    <w:name w:val="TOC Heading"/>
    <w:basedOn w:val="Heading1"/>
    <w:next w:val="Normal"/>
    <w:uiPriority w:val="39"/>
    <w:unhideWhenUsed/>
    <w:qFormat/>
    <w:rsid w:val="005762E3"/>
    <w:pPr>
      <w:outlineLvl w:val="9"/>
    </w:pPr>
  </w:style>
  <w:style w:type="numbering" w:customStyle="1" w:styleId="NoList1">
    <w:name w:val="No List1"/>
    <w:next w:val="NoList"/>
    <w:uiPriority w:val="99"/>
    <w:semiHidden/>
    <w:unhideWhenUsed/>
    <w:rsid w:val="00A72E65"/>
  </w:style>
  <w:style w:type="character" w:customStyle="1" w:styleId="HideTWBExt">
    <w:name w:val="HideTWBExt"/>
    <w:rsid w:val="00A72E65"/>
    <w:rPr>
      <w:rFonts w:ascii="Arial" w:hAnsi="Arial"/>
      <w:noProof/>
      <w:vanish/>
      <w:color w:val="000080"/>
      <w:sz w:val="20"/>
    </w:rPr>
  </w:style>
  <w:style w:type="paragraph" w:customStyle="1" w:styleId="EPFooter2">
    <w:name w:val="EPFooter2"/>
    <w:basedOn w:val="Normal"/>
    <w:next w:val="Normal"/>
    <w:rsid w:val="00A72E65"/>
    <w:pPr>
      <w:tabs>
        <w:tab w:val="center" w:pos="4535"/>
        <w:tab w:val="right" w:pos="9921"/>
      </w:tabs>
      <w:ind w:left="-850" w:right="-850"/>
      <w:jc w:val="left"/>
    </w:pPr>
    <w:rPr>
      <w:rFonts w:ascii="Arial" w:eastAsia="Times New Roman" w:hAnsi="Arial" w:cs="Arial"/>
      <w:b/>
      <w:sz w:val="48"/>
      <w:szCs w:val="20"/>
      <w:lang w:val="it-IT" w:eastAsia="en-GB"/>
    </w:rPr>
  </w:style>
  <w:style w:type="paragraph" w:customStyle="1" w:styleId="Normal12a">
    <w:name w:val="Normal12a"/>
    <w:basedOn w:val="Normal"/>
    <w:rsid w:val="00A72E65"/>
    <w:pPr>
      <w:widowControl w:val="0"/>
      <w:spacing w:after="240"/>
      <w:jc w:val="left"/>
    </w:pPr>
    <w:rPr>
      <w:rFonts w:eastAsia="Times New Roman"/>
      <w:szCs w:val="20"/>
      <w:lang w:val="it-IT" w:eastAsia="en-GB"/>
    </w:rPr>
  </w:style>
  <w:style w:type="paragraph" w:styleId="TOC1">
    <w:name w:val="toc 1"/>
    <w:basedOn w:val="Normal12a"/>
    <w:next w:val="Normal12a"/>
    <w:autoRedefine/>
    <w:uiPriority w:val="39"/>
    <w:rsid w:val="00A72E65"/>
  </w:style>
  <w:style w:type="character" w:customStyle="1" w:styleId="HideTWBInt">
    <w:name w:val="HideTWBInt"/>
    <w:rsid w:val="00A72E65"/>
    <w:rPr>
      <w:rFonts w:ascii="Arial" w:hAnsi="Arial" w:cs="Arial"/>
      <w:vanish/>
      <w:color w:val="808080"/>
      <w:sz w:val="20"/>
    </w:rPr>
  </w:style>
  <w:style w:type="paragraph" w:customStyle="1" w:styleId="EPName">
    <w:name w:val="EPName"/>
    <w:basedOn w:val="Normal"/>
    <w:rsid w:val="00A72E65"/>
    <w:pPr>
      <w:widowControl w:val="0"/>
      <w:spacing w:before="80" w:after="80"/>
      <w:jc w:val="left"/>
    </w:pPr>
    <w:rPr>
      <w:rFonts w:ascii="Arial Narrow" w:eastAsia="Times New Roman" w:hAnsi="Arial Narrow" w:cs="Arial"/>
      <w:b/>
      <w:sz w:val="32"/>
      <w:szCs w:val="22"/>
      <w:lang w:val="it-IT" w:eastAsia="en-GB"/>
    </w:rPr>
  </w:style>
  <w:style w:type="paragraph" w:customStyle="1" w:styleId="HeadingDocType24a">
    <w:name w:val="HeadingDocType24a"/>
    <w:basedOn w:val="Normal"/>
    <w:rsid w:val="00A72E65"/>
    <w:pPr>
      <w:widowControl w:val="0"/>
      <w:spacing w:after="480"/>
      <w:jc w:val="center"/>
    </w:pPr>
    <w:rPr>
      <w:rFonts w:ascii="Arial" w:eastAsia="Times New Roman" w:hAnsi="Arial"/>
      <w:b/>
      <w:sz w:val="48"/>
      <w:szCs w:val="20"/>
      <w:lang w:val="it-IT" w:eastAsia="en-GB"/>
    </w:rPr>
  </w:style>
  <w:style w:type="paragraph" w:customStyle="1" w:styleId="HeadingReferenceERCO">
    <w:name w:val="HeadingReferenceERCO"/>
    <w:basedOn w:val="Normal"/>
    <w:rsid w:val="00A72E65"/>
    <w:pPr>
      <w:widowControl w:val="0"/>
      <w:spacing w:before="360" w:after="240"/>
      <w:jc w:val="right"/>
    </w:pPr>
    <w:rPr>
      <w:rFonts w:ascii="Arial" w:eastAsia="Times New Roman" w:hAnsi="Arial"/>
      <w:b/>
      <w:szCs w:val="20"/>
      <w:lang w:val="it-IT" w:eastAsia="en-GB"/>
    </w:rPr>
  </w:style>
  <w:style w:type="paragraph" w:customStyle="1" w:styleId="NormalCenter">
    <w:name w:val="NormalCenter"/>
    <w:basedOn w:val="Normal"/>
    <w:rsid w:val="00A72E65"/>
    <w:pPr>
      <w:widowControl w:val="0"/>
      <w:jc w:val="center"/>
    </w:pPr>
    <w:rPr>
      <w:rFonts w:eastAsia="Times New Roman"/>
      <w:szCs w:val="20"/>
      <w:lang w:val="it-IT" w:eastAsia="en-GB"/>
    </w:rPr>
  </w:style>
  <w:style w:type="paragraph" w:customStyle="1" w:styleId="Normal24a">
    <w:name w:val="Normal24a"/>
    <w:basedOn w:val="Normal"/>
    <w:link w:val="Normal24aChar"/>
    <w:rsid w:val="00A72E65"/>
    <w:pPr>
      <w:widowControl w:val="0"/>
      <w:spacing w:after="480"/>
      <w:jc w:val="left"/>
    </w:pPr>
    <w:rPr>
      <w:rFonts w:eastAsia="Times New Roman"/>
      <w:szCs w:val="20"/>
      <w:lang w:val="it-IT" w:eastAsia="en-GB"/>
    </w:rPr>
  </w:style>
  <w:style w:type="table" w:styleId="TableGrid">
    <w:name w:val="Table Grid"/>
    <w:basedOn w:val="TableNormal"/>
    <w:rsid w:val="00A72E65"/>
    <w:rPr>
      <w:rFonts w:ascii="Times New Roman" w:eastAsia="Times New Roman" w:hAnsi="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A72E65"/>
    <w:pPr>
      <w:widowControl w:val="0"/>
      <w:jc w:val="center"/>
    </w:pPr>
    <w:rPr>
      <w:rFonts w:ascii="Arial" w:eastAsia="Times New Roman" w:hAnsi="Arial" w:cs="Arial"/>
      <w:i/>
      <w:sz w:val="22"/>
      <w:szCs w:val="22"/>
      <w:lang w:val="it-IT" w:eastAsia="en-GB"/>
    </w:rPr>
  </w:style>
  <w:style w:type="paragraph" w:customStyle="1" w:styleId="LineTop">
    <w:name w:val="LineTop"/>
    <w:basedOn w:val="Normal"/>
    <w:next w:val="Normal"/>
    <w:rsid w:val="00A72E65"/>
    <w:pPr>
      <w:widowControl w:val="0"/>
      <w:pBdr>
        <w:top w:val="single" w:sz="4" w:space="1" w:color="auto"/>
      </w:pBdr>
      <w:jc w:val="center"/>
    </w:pPr>
    <w:rPr>
      <w:rFonts w:ascii="Arial" w:eastAsia="Times New Roman" w:hAnsi="Arial" w:cs="Arial"/>
      <w:sz w:val="16"/>
      <w:szCs w:val="16"/>
      <w:lang w:val="it-IT" w:eastAsia="en-GB"/>
    </w:rPr>
  </w:style>
  <w:style w:type="paragraph" w:customStyle="1" w:styleId="LineBottom">
    <w:name w:val="LineBottom"/>
    <w:basedOn w:val="Normal"/>
    <w:next w:val="Normal"/>
    <w:rsid w:val="00A72E65"/>
    <w:pPr>
      <w:widowControl w:val="0"/>
      <w:pBdr>
        <w:bottom w:val="single" w:sz="4" w:space="1" w:color="auto"/>
      </w:pBdr>
      <w:spacing w:after="240"/>
      <w:jc w:val="center"/>
    </w:pPr>
    <w:rPr>
      <w:rFonts w:ascii="Arial" w:eastAsia="Times New Roman" w:hAnsi="Arial" w:cs="Arial"/>
      <w:sz w:val="16"/>
      <w:szCs w:val="16"/>
      <w:lang w:val="it-IT" w:eastAsia="en-GB"/>
    </w:rPr>
  </w:style>
  <w:style w:type="paragraph" w:customStyle="1" w:styleId="EPTerm">
    <w:name w:val="EPTerm"/>
    <w:basedOn w:val="Normal"/>
    <w:next w:val="Normal"/>
    <w:rsid w:val="00A72E65"/>
    <w:pPr>
      <w:widowControl w:val="0"/>
      <w:spacing w:after="80"/>
      <w:jc w:val="left"/>
    </w:pPr>
    <w:rPr>
      <w:rFonts w:ascii="Arial" w:eastAsia="Times New Roman" w:hAnsi="Arial" w:cs="Arial"/>
      <w:sz w:val="20"/>
      <w:szCs w:val="22"/>
      <w:lang w:val="it-IT" w:eastAsia="en-GB"/>
    </w:rPr>
  </w:style>
  <w:style w:type="paragraph" w:customStyle="1" w:styleId="EPLogo">
    <w:name w:val="EPLogo"/>
    <w:basedOn w:val="Normal"/>
    <w:qFormat/>
    <w:rsid w:val="00A72E65"/>
    <w:pPr>
      <w:widowControl w:val="0"/>
      <w:jc w:val="right"/>
    </w:pPr>
    <w:rPr>
      <w:rFonts w:eastAsia="Times New Roman"/>
      <w:szCs w:val="20"/>
      <w:lang w:val="it-IT" w:eastAsia="en-GB"/>
    </w:rPr>
  </w:style>
  <w:style w:type="paragraph" w:customStyle="1" w:styleId="LineSingle">
    <w:name w:val="LineSingle"/>
    <w:basedOn w:val="Normal"/>
    <w:next w:val="Normal"/>
    <w:rsid w:val="00A72E65"/>
    <w:pPr>
      <w:widowControl w:val="0"/>
      <w:pBdr>
        <w:bottom w:val="single" w:sz="4" w:space="1" w:color="auto"/>
      </w:pBdr>
      <w:spacing w:after="240"/>
      <w:jc w:val="left"/>
    </w:pPr>
    <w:rPr>
      <w:rFonts w:eastAsia="Times New Roman"/>
      <w:szCs w:val="20"/>
      <w:lang w:val="it-IT" w:eastAsia="en-GB"/>
    </w:rPr>
  </w:style>
  <w:style w:type="paragraph" w:customStyle="1" w:styleId="EPFooter">
    <w:name w:val="EPFooter"/>
    <w:basedOn w:val="Normal"/>
    <w:rsid w:val="00A72E65"/>
    <w:pPr>
      <w:widowControl w:val="0"/>
      <w:tabs>
        <w:tab w:val="center" w:pos="4535"/>
        <w:tab w:val="right" w:pos="9071"/>
      </w:tabs>
      <w:spacing w:before="240" w:after="240"/>
      <w:jc w:val="left"/>
    </w:pPr>
    <w:rPr>
      <w:rFonts w:eastAsia="Times New Roman"/>
      <w:sz w:val="22"/>
      <w:szCs w:val="20"/>
      <w:lang w:val="it-IT" w:eastAsia="en-GB"/>
    </w:rPr>
  </w:style>
  <w:style w:type="paragraph" w:styleId="Header">
    <w:name w:val="header"/>
    <w:basedOn w:val="Normal"/>
    <w:link w:val="HeaderChar"/>
    <w:uiPriority w:val="99"/>
    <w:rsid w:val="00A72E65"/>
    <w:pPr>
      <w:widowControl w:val="0"/>
      <w:tabs>
        <w:tab w:val="center" w:pos="4513"/>
        <w:tab w:val="right" w:pos="9026"/>
      </w:tabs>
      <w:jc w:val="left"/>
    </w:pPr>
    <w:rPr>
      <w:rFonts w:eastAsia="Times New Roman"/>
      <w:szCs w:val="20"/>
      <w:lang w:val="it-IT" w:eastAsia="en-GB"/>
    </w:rPr>
  </w:style>
  <w:style w:type="character" w:customStyle="1" w:styleId="HeaderChar">
    <w:name w:val="Header Char"/>
    <w:basedOn w:val="DefaultParagraphFont"/>
    <w:link w:val="Header"/>
    <w:uiPriority w:val="99"/>
    <w:rsid w:val="00A72E65"/>
    <w:rPr>
      <w:rFonts w:ascii="Times New Roman" w:eastAsia="Times New Roman" w:hAnsi="Times New Roman"/>
      <w:sz w:val="24"/>
      <w:szCs w:val="20"/>
      <w:lang w:val="it-IT" w:eastAsia="en-GB"/>
    </w:rPr>
  </w:style>
  <w:style w:type="paragraph" w:customStyle="1" w:styleId="HeadingDate">
    <w:name w:val="HeadingDate"/>
    <w:basedOn w:val="Normal"/>
    <w:rsid w:val="00A72E65"/>
    <w:pPr>
      <w:widowControl w:val="0"/>
      <w:spacing w:before="240" w:after="240"/>
      <w:jc w:val="left"/>
    </w:pPr>
    <w:rPr>
      <w:rFonts w:eastAsia="Times New Roman"/>
      <w:szCs w:val="20"/>
      <w:lang w:val="it-IT" w:eastAsia="en-GB"/>
    </w:rPr>
  </w:style>
  <w:style w:type="numbering" w:customStyle="1" w:styleId="NoList11">
    <w:name w:val="No List11"/>
    <w:next w:val="NoList"/>
    <w:uiPriority w:val="99"/>
    <w:semiHidden/>
    <w:unhideWhenUsed/>
    <w:rsid w:val="00A72E65"/>
  </w:style>
  <w:style w:type="paragraph" w:customStyle="1" w:styleId="Title1">
    <w:name w:val="Title1"/>
    <w:basedOn w:val="Normal"/>
    <w:next w:val="Normal"/>
    <w:uiPriority w:val="10"/>
    <w:qFormat/>
    <w:rsid w:val="00A72E65"/>
    <w:pPr>
      <w:spacing w:before="240" w:after="60"/>
      <w:jc w:val="center"/>
      <w:outlineLvl w:val="0"/>
    </w:pPr>
    <w:rPr>
      <w:rFonts w:ascii="Arial" w:eastAsia="Times New Roman" w:hAnsi="Arial" w:cs="Arial"/>
      <w:b/>
      <w:bCs/>
      <w:kern w:val="28"/>
      <w:sz w:val="32"/>
      <w:szCs w:val="32"/>
    </w:rPr>
  </w:style>
  <w:style w:type="paragraph" w:customStyle="1" w:styleId="Subtitle1">
    <w:name w:val="Subtitle1"/>
    <w:basedOn w:val="Normal"/>
    <w:next w:val="Normal"/>
    <w:uiPriority w:val="11"/>
    <w:qFormat/>
    <w:rsid w:val="00A72E65"/>
    <w:pPr>
      <w:spacing w:after="60"/>
      <w:jc w:val="center"/>
      <w:outlineLvl w:val="1"/>
    </w:pPr>
    <w:rPr>
      <w:rFonts w:ascii="Arial" w:eastAsia="Times New Roman" w:hAnsi="Arial" w:cs="Arial"/>
    </w:rPr>
  </w:style>
  <w:style w:type="character" w:customStyle="1" w:styleId="Emphasis1">
    <w:name w:val="Emphasis1"/>
    <w:basedOn w:val="DefaultParagraphFont"/>
    <w:uiPriority w:val="20"/>
    <w:qFormat/>
    <w:rsid w:val="00A72E65"/>
    <w:rPr>
      <w:rFonts w:ascii="Calibri" w:hAnsi="Calibri"/>
      <w:b/>
      <w:i/>
      <w:iCs/>
    </w:rPr>
  </w:style>
  <w:style w:type="character" w:customStyle="1" w:styleId="SubtleEmphasis1">
    <w:name w:val="Subtle Emphasis1"/>
    <w:uiPriority w:val="19"/>
    <w:qFormat/>
    <w:rsid w:val="00A72E65"/>
    <w:rPr>
      <w:i/>
      <w:color w:val="5A5A5A"/>
    </w:rPr>
  </w:style>
  <w:style w:type="character" w:customStyle="1" w:styleId="BookTitle1">
    <w:name w:val="Book Title1"/>
    <w:basedOn w:val="DefaultParagraphFont"/>
    <w:uiPriority w:val="33"/>
    <w:qFormat/>
    <w:rsid w:val="00A72E65"/>
    <w:rPr>
      <w:rFonts w:ascii="Calibri Light" w:eastAsia="Times New Roman" w:hAnsi="Calibri Light"/>
      <w:b/>
      <w:i/>
      <w:sz w:val="24"/>
      <w:szCs w:val="24"/>
    </w:rPr>
  </w:style>
  <w:style w:type="numbering" w:customStyle="1" w:styleId="NoList111">
    <w:name w:val="No List111"/>
    <w:next w:val="NoList"/>
    <w:uiPriority w:val="99"/>
    <w:semiHidden/>
    <w:unhideWhenUsed/>
    <w:rsid w:val="00A72E65"/>
  </w:style>
  <w:style w:type="paragraph" w:customStyle="1" w:styleId="EPBodyTA2">
    <w:name w:val="EPBodyTA2"/>
    <w:basedOn w:val="Normal"/>
    <w:rsid w:val="00A72E65"/>
    <w:pPr>
      <w:widowControl w:val="0"/>
      <w:jc w:val="center"/>
    </w:pPr>
    <w:rPr>
      <w:rFonts w:ascii="Arial" w:eastAsia="Times New Roman" w:hAnsi="Arial"/>
      <w:bCs/>
      <w:i/>
      <w:sz w:val="20"/>
      <w:szCs w:val="20"/>
      <w:lang w:val="it-IT" w:eastAsia="en-GB"/>
    </w:rPr>
  </w:style>
  <w:style w:type="table" w:customStyle="1" w:styleId="TableGrid1">
    <w:name w:val="Table Grid1"/>
    <w:basedOn w:val="TableNormal"/>
    <w:next w:val="TableGrid"/>
    <w:rsid w:val="00A72E65"/>
    <w:rPr>
      <w:rFonts w:ascii="Times New Roman" w:eastAsia="Times New Roman" w:hAnsi="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72E65"/>
    <w:pPr>
      <w:widowControl w:val="0"/>
      <w:jc w:val="center"/>
    </w:pPr>
    <w:rPr>
      <w:rFonts w:ascii="Arial" w:eastAsia="Times New Roman" w:hAnsi="Arial" w:cs="Arial"/>
      <w:b/>
      <w:sz w:val="22"/>
      <w:szCs w:val="22"/>
      <w:lang w:val="it-IT" w:eastAsia="en-GB"/>
    </w:rPr>
  </w:style>
  <w:style w:type="paragraph" w:customStyle="1" w:styleId="ATHeading1">
    <w:name w:val="AT Heading 1"/>
    <w:basedOn w:val="Normal"/>
    <w:next w:val="Normal"/>
    <w:rsid w:val="00A72E65"/>
    <w:pPr>
      <w:keepNext/>
      <w:keepLines/>
      <w:spacing w:before="480" w:after="120"/>
      <w:jc w:val="left"/>
      <w:outlineLvl w:val="0"/>
    </w:pPr>
    <w:rPr>
      <w:rFonts w:eastAsia="Times New Roman"/>
      <w:b/>
      <w:sz w:val="28"/>
      <w:szCs w:val="20"/>
      <w:lang w:val="it-IT" w:eastAsia="fr-FR"/>
    </w:rPr>
  </w:style>
  <w:style w:type="paragraph" w:customStyle="1" w:styleId="ATHeading2">
    <w:name w:val="AT Heading 2"/>
    <w:basedOn w:val="Normal"/>
    <w:next w:val="Normal"/>
    <w:rsid w:val="00A72E65"/>
    <w:pPr>
      <w:spacing w:before="120" w:after="120"/>
      <w:jc w:val="left"/>
      <w:outlineLvl w:val="1"/>
    </w:pPr>
    <w:rPr>
      <w:rFonts w:eastAsia="Times New Roman"/>
      <w:b/>
      <w:sz w:val="28"/>
      <w:szCs w:val="20"/>
      <w:lang w:val="it-IT" w:eastAsia="fr-FR"/>
    </w:rPr>
  </w:style>
  <w:style w:type="paragraph" w:customStyle="1" w:styleId="ATHeading3">
    <w:name w:val="AT Heading 3"/>
    <w:basedOn w:val="Normal"/>
    <w:next w:val="Normal"/>
    <w:rsid w:val="00A72E65"/>
    <w:pPr>
      <w:keepNext/>
      <w:keepLines/>
      <w:spacing w:before="120" w:after="120"/>
      <w:jc w:val="left"/>
      <w:outlineLvl w:val="2"/>
    </w:pPr>
    <w:rPr>
      <w:rFonts w:eastAsia="Times New Roman"/>
      <w:b/>
      <w:szCs w:val="20"/>
      <w:lang w:val="it-IT" w:eastAsia="fr-FR"/>
    </w:rPr>
  </w:style>
  <w:style w:type="paragraph" w:customStyle="1" w:styleId="ATHeadingMotiv">
    <w:name w:val="AT Heading Motiv"/>
    <w:basedOn w:val="Normal"/>
    <w:next w:val="Normal"/>
    <w:rsid w:val="00A72E65"/>
    <w:pPr>
      <w:keepNext/>
      <w:spacing w:before="60" w:after="60"/>
      <w:jc w:val="center"/>
    </w:pPr>
    <w:rPr>
      <w:rFonts w:eastAsia="Times New Roman"/>
      <w:i/>
      <w:szCs w:val="20"/>
      <w:lang w:val="it-IT" w:eastAsia="fr-FR"/>
    </w:rPr>
  </w:style>
  <w:style w:type="character" w:styleId="FootnoteReference">
    <w:name w:val="footnote reference"/>
    <w:uiPriority w:val="99"/>
    <w:rsid w:val="00A72E65"/>
    <w:rPr>
      <w:b w:val="0"/>
      <w:vertAlign w:val="superscript"/>
    </w:rPr>
  </w:style>
  <w:style w:type="paragraph" w:styleId="FootnoteText">
    <w:name w:val="footnote text"/>
    <w:basedOn w:val="Normal"/>
    <w:link w:val="FootnoteTextChar"/>
    <w:uiPriority w:val="99"/>
    <w:rsid w:val="00A72E65"/>
    <w:pPr>
      <w:keepLines/>
      <w:spacing w:line="260" w:lineRule="exact"/>
      <w:ind w:left="425" w:hanging="425"/>
      <w:jc w:val="left"/>
    </w:pPr>
    <w:rPr>
      <w:rFonts w:eastAsia="Times New Roman"/>
      <w:sz w:val="22"/>
      <w:szCs w:val="20"/>
      <w:lang w:val="fr-FR" w:eastAsia="fr-FR"/>
    </w:rPr>
  </w:style>
  <w:style w:type="character" w:customStyle="1" w:styleId="FootnoteTextChar">
    <w:name w:val="Footnote Text Char"/>
    <w:basedOn w:val="DefaultParagraphFont"/>
    <w:link w:val="FootnoteText"/>
    <w:uiPriority w:val="99"/>
    <w:rsid w:val="00A72E65"/>
    <w:rPr>
      <w:rFonts w:ascii="Times New Roman" w:eastAsia="Times New Roman" w:hAnsi="Times New Roman"/>
      <w:szCs w:val="20"/>
      <w:lang w:val="fr-FR" w:eastAsia="fr-FR"/>
    </w:rPr>
  </w:style>
  <w:style w:type="character" w:styleId="PageNumber">
    <w:name w:val="page number"/>
    <w:rsid w:val="00A72E65"/>
  </w:style>
  <w:style w:type="paragraph" w:styleId="TOC2">
    <w:name w:val="toc 2"/>
    <w:basedOn w:val="Normal"/>
    <w:next w:val="Normal"/>
    <w:autoRedefine/>
    <w:rsid w:val="00A72E65"/>
    <w:pPr>
      <w:keepNext/>
      <w:keepLines/>
      <w:jc w:val="left"/>
    </w:pPr>
    <w:rPr>
      <w:rFonts w:eastAsia="Times New Roman"/>
      <w:b/>
      <w:noProof/>
      <w:szCs w:val="20"/>
      <w:lang w:val="fr-FR" w:eastAsia="fr-FR"/>
    </w:rPr>
  </w:style>
  <w:style w:type="paragraph" w:styleId="TOC3">
    <w:name w:val="toc 3"/>
    <w:basedOn w:val="Normal"/>
    <w:next w:val="Normal"/>
    <w:autoRedefine/>
    <w:rsid w:val="00A72E65"/>
    <w:pPr>
      <w:keepLines/>
      <w:ind w:right="510"/>
      <w:jc w:val="left"/>
    </w:pPr>
    <w:rPr>
      <w:rFonts w:eastAsia="Times New Roman"/>
      <w:noProof/>
      <w:szCs w:val="20"/>
      <w:lang w:val="fr-FR" w:eastAsia="fr-FR"/>
    </w:rPr>
  </w:style>
  <w:style w:type="paragraph" w:customStyle="1" w:styleId="PageHeading">
    <w:name w:val="PageHeading"/>
    <w:basedOn w:val="Normal"/>
    <w:rsid w:val="00A72E65"/>
    <w:pPr>
      <w:keepNext/>
      <w:widowControl w:val="0"/>
      <w:spacing w:after="480"/>
      <w:jc w:val="center"/>
    </w:pPr>
    <w:rPr>
      <w:rFonts w:ascii="Arial" w:eastAsia="Times New Roman" w:hAnsi="Arial" w:cs="Arial"/>
      <w:b/>
      <w:szCs w:val="20"/>
      <w:lang w:val="it-IT" w:eastAsia="en-GB"/>
    </w:rPr>
  </w:style>
  <w:style w:type="paragraph" w:customStyle="1" w:styleId="TOCPage">
    <w:name w:val="TOC Page"/>
    <w:basedOn w:val="Normal"/>
    <w:next w:val="TOC1"/>
    <w:rsid w:val="00A72E65"/>
    <w:pPr>
      <w:keepNext/>
      <w:widowControl w:val="0"/>
      <w:spacing w:after="240"/>
      <w:jc w:val="right"/>
    </w:pPr>
    <w:rPr>
      <w:rFonts w:ascii="Arial" w:eastAsia="Times New Roman" w:hAnsi="Arial"/>
      <w:b/>
      <w:szCs w:val="20"/>
      <w:lang w:val="it-IT" w:eastAsia="en-GB"/>
    </w:rPr>
  </w:style>
  <w:style w:type="paragraph" w:customStyle="1" w:styleId="Normal6a">
    <w:name w:val="Normal6a"/>
    <w:basedOn w:val="Normal"/>
    <w:rsid w:val="00A72E65"/>
    <w:pPr>
      <w:widowControl w:val="0"/>
      <w:spacing w:after="120"/>
      <w:jc w:val="left"/>
    </w:pPr>
    <w:rPr>
      <w:rFonts w:eastAsia="Times New Roman"/>
      <w:szCs w:val="20"/>
      <w:lang w:val="it-IT" w:eastAsia="en-GB"/>
    </w:rPr>
  </w:style>
  <w:style w:type="paragraph" w:customStyle="1" w:styleId="NormalBold">
    <w:name w:val="NormalBold"/>
    <w:basedOn w:val="Normal"/>
    <w:link w:val="NormalBoldChar"/>
    <w:rsid w:val="00A72E65"/>
    <w:pPr>
      <w:widowControl w:val="0"/>
      <w:jc w:val="left"/>
    </w:pPr>
    <w:rPr>
      <w:rFonts w:eastAsia="Times New Roman"/>
      <w:b/>
      <w:szCs w:val="20"/>
      <w:lang w:val="it-IT" w:eastAsia="en-GB"/>
    </w:rPr>
  </w:style>
  <w:style w:type="paragraph" w:customStyle="1" w:styleId="NormalBold12a">
    <w:name w:val="NormalBold12a"/>
    <w:basedOn w:val="Normal"/>
    <w:rsid w:val="00A72E65"/>
    <w:pPr>
      <w:widowControl w:val="0"/>
      <w:spacing w:after="240"/>
      <w:jc w:val="left"/>
    </w:pPr>
    <w:rPr>
      <w:rFonts w:eastAsia="Times New Roman"/>
      <w:b/>
      <w:szCs w:val="20"/>
      <w:lang w:val="it-IT" w:eastAsia="en-GB"/>
    </w:rPr>
  </w:style>
  <w:style w:type="paragraph" w:customStyle="1" w:styleId="NormalHanging12a">
    <w:name w:val="NormalHanging12a"/>
    <w:basedOn w:val="Normal"/>
    <w:rsid w:val="00A72E65"/>
    <w:pPr>
      <w:widowControl w:val="0"/>
      <w:spacing w:after="240"/>
      <w:ind w:left="567" w:hanging="567"/>
      <w:jc w:val="left"/>
    </w:pPr>
    <w:rPr>
      <w:rFonts w:eastAsia="Times New Roman"/>
      <w:szCs w:val="20"/>
      <w:lang w:val="it-IT" w:eastAsia="en-GB"/>
    </w:rPr>
  </w:style>
  <w:style w:type="paragraph" w:customStyle="1" w:styleId="CoverNormal24a">
    <w:name w:val="CoverNormal24a"/>
    <w:basedOn w:val="Normal"/>
    <w:rsid w:val="00A72E65"/>
    <w:pPr>
      <w:widowControl w:val="0"/>
      <w:spacing w:after="480"/>
      <w:ind w:left="1417"/>
      <w:jc w:val="left"/>
    </w:pPr>
    <w:rPr>
      <w:rFonts w:eastAsia="Times New Roman"/>
      <w:szCs w:val="20"/>
      <w:lang w:val="it-IT" w:eastAsia="en-GB"/>
    </w:rPr>
  </w:style>
  <w:style w:type="paragraph" w:customStyle="1" w:styleId="CoverNormal">
    <w:name w:val="CoverNormal"/>
    <w:basedOn w:val="Normal"/>
    <w:rsid w:val="00A72E65"/>
    <w:pPr>
      <w:widowControl w:val="0"/>
      <w:ind w:left="1418"/>
      <w:jc w:val="left"/>
    </w:pPr>
    <w:rPr>
      <w:rFonts w:eastAsia="Times New Roman"/>
      <w:szCs w:val="20"/>
      <w:lang w:val="it-IT" w:eastAsia="en-GB"/>
    </w:rPr>
  </w:style>
  <w:style w:type="paragraph" w:customStyle="1" w:styleId="CoverReference">
    <w:name w:val="CoverReference"/>
    <w:basedOn w:val="Normal"/>
    <w:rsid w:val="00A72E65"/>
    <w:pPr>
      <w:widowControl w:val="0"/>
      <w:spacing w:before="1080"/>
      <w:jc w:val="right"/>
    </w:pPr>
    <w:rPr>
      <w:rFonts w:ascii="Arial" w:eastAsia="Times New Roman" w:hAnsi="Arial" w:cs="Arial"/>
      <w:b/>
      <w:szCs w:val="20"/>
      <w:lang w:val="it-IT" w:eastAsia="en-GB"/>
    </w:rPr>
  </w:style>
  <w:style w:type="paragraph" w:customStyle="1" w:styleId="CoverDocType">
    <w:name w:val="CoverDocType"/>
    <w:basedOn w:val="Normal"/>
    <w:rsid w:val="00A72E65"/>
    <w:pPr>
      <w:widowControl w:val="0"/>
      <w:ind w:left="1418"/>
      <w:jc w:val="left"/>
    </w:pPr>
    <w:rPr>
      <w:rFonts w:ascii="Arial" w:eastAsia="Times New Roman" w:hAnsi="Arial"/>
      <w:b/>
      <w:sz w:val="48"/>
      <w:szCs w:val="20"/>
      <w:lang w:val="it-IT" w:eastAsia="en-GB"/>
    </w:rPr>
  </w:style>
  <w:style w:type="paragraph" w:customStyle="1" w:styleId="CoverDocType24a">
    <w:name w:val="CoverDocType24a"/>
    <w:basedOn w:val="Normal"/>
    <w:rsid w:val="00A72E65"/>
    <w:pPr>
      <w:widowControl w:val="0"/>
      <w:spacing w:after="480"/>
      <w:ind w:left="1418"/>
      <w:jc w:val="left"/>
    </w:pPr>
    <w:rPr>
      <w:rFonts w:ascii="Arial" w:eastAsia="Times New Roman" w:hAnsi="Arial"/>
      <w:b/>
      <w:sz w:val="48"/>
      <w:szCs w:val="20"/>
      <w:lang w:val="it-IT" w:eastAsia="en-GB"/>
    </w:rPr>
  </w:style>
  <w:style w:type="paragraph" w:customStyle="1" w:styleId="CoverDate">
    <w:name w:val="CoverDate"/>
    <w:basedOn w:val="Normal"/>
    <w:rsid w:val="00A72E65"/>
    <w:pPr>
      <w:widowControl w:val="0"/>
      <w:spacing w:before="240" w:after="1200"/>
      <w:jc w:val="left"/>
    </w:pPr>
    <w:rPr>
      <w:rFonts w:eastAsia="Times New Roman"/>
      <w:szCs w:val="20"/>
      <w:lang w:val="it-IT" w:eastAsia="en-GB"/>
    </w:rPr>
  </w:style>
  <w:style w:type="paragraph" w:customStyle="1" w:styleId="AnnexWPTabs">
    <w:name w:val="AnnexWPTabs"/>
    <w:basedOn w:val="Normal"/>
    <w:rsid w:val="00A72E65"/>
    <w:pPr>
      <w:widowControl w:val="0"/>
      <w:tabs>
        <w:tab w:val="right" w:pos="3686"/>
        <w:tab w:val="left" w:pos="3827"/>
      </w:tabs>
      <w:jc w:val="left"/>
    </w:pPr>
    <w:rPr>
      <w:rFonts w:eastAsia="Times New Roman"/>
      <w:b/>
      <w:szCs w:val="20"/>
      <w:lang w:val="it-IT" w:eastAsia="en-GB"/>
    </w:rPr>
  </w:style>
  <w:style w:type="paragraph" w:customStyle="1" w:styleId="AnnexWPDate">
    <w:name w:val="AnnexWPDate"/>
    <w:basedOn w:val="Normal"/>
    <w:rsid w:val="00A72E65"/>
    <w:pPr>
      <w:widowControl w:val="0"/>
      <w:spacing w:before="240" w:after="480"/>
      <w:jc w:val="right"/>
    </w:pPr>
    <w:rPr>
      <w:rFonts w:eastAsia="Times New Roman"/>
      <w:szCs w:val="20"/>
      <w:lang w:val="it-IT" w:eastAsia="en-GB"/>
    </w:rPr>
  </w:style>
  <w:style w:type="paragraph" w:customStyle="1" w:styleId="AnnexWPSmall">
    <w:name w:val="AnnexWPSmall"/>
    <w:basedOn w:val="Normal"/>
    <w:rsid w:val="00A72E65"/>
    <w:pPr>
      <w:widowControl w:val="0"/>
      <w:jc w:val="left"/>
    </w:pPr>
    <w:rPr>
      <w:rFonts w:eastAsia="Times New Roman"/>
      <w:smallCaps/>
      <w:sz w:val="20"/>
      <w:szCs w:val="20"/>
      <w:lang w:val="it-IT" w:eastAsia="en-GB"/>
    </w:rPr>
  </w:style>
  <w:style w:type="paragraph" w:customStyle="1" w:styleId="AnnexWPDocType">
    <w:name w:val="AnnexWPDocType"/>
    <w:basedOn w:val="Normal"/>
    <w:rsid w:val="00A72E65"/>
    <w:pPr>
      <w:widowControl w:val="0"/>
      <w:spacing w:after="240"/>
      <w:jc w:val="center"/>
    </w:pPr>
    <w:rPr>
      <w:rFonts w:eastAsia="Times New Roman"/>
      <w:b/>
      <w:szCs w:val="20"/>
      <w:lang w:val="it-IT" w:eastAsia="en-GB"/>
    </w:rPr>
  </w:style>
  <w:style w:type="paragraph" w:customStyle="1" w:styleId="AnnexWPTitle">
    <w:name w:val="AnnexWPTitle"/>
    <w:basedOn w:val="Normal"/>
    <w:rsid w:val="00A72E65"/>
    <w:pPr>
      <w:widowControl w:val="0"/>
      <w:spacing w:before="480"/>
      <w:jc w:val="left"/>
    </w:pPr>
    <w:rPr>
      <w:rFonts w:eastAsia="Times New Roman"/>
      <w:b/>
      <w:szCs w:val="20"/>
      <w:lang w:val="it-IT" w:eastAsia="en-GB"/>
    </w:rPr>
  </w:style>
  <w:style w:type="paragraph" w:customStyle="1" w:styleId="AmJustText">
    <w:name w:val="AmJustText"/>
    <w:basedOn w:val="Normal"/>
    <w:rsid w:val="00A72E65"/>
    <w:pPr>
      <w:widowControl w:val="0"/>
      <w:spacing w:after="240"/>
      <w:jc w:val="left"/>
    </w:pPr>
    <w:rPr>
      <w:rFonts w:eastAsia="Times New Roman"/>
      <w:i/>
      <w:szCs w:val="20"/>
      <w:lang w:val="it-IT" w:eastAsia="en-GB"/>
    </w:rPr>
  </w:style>
  <w:style w:type="paragraph" w:customStyle="1" w:styleId="AmCrossRef">
    <w:name w:val="AmCrossRef"/>
    <w:basedOn w:val="Normal"/>
    <w:rsid w:val="00A72E65"/>
    <w:pPr>
      <w:widowControl w:val="0"/>
      <w:spacing w:before="240" w:after="240"/>
      <w:jc w:val="center"/>
    </w:pPr>
    <w:rPr>
      <w:rFonts w:eastAsia="Times New Roman"/>
      <w:i/>
      <w:szCs w:val="20"/>
      <w:lang w:val="it-IT" w:eastAsia="en-GB"/>
    </w:rPr>
  </w:style>
  <w:style w:type="paragraph" w:customStyle="1" w:styleId="AmJustTitle">
    <w:name w:val="AmJustTitle"/>
    <w:basedOn w:val="Normal"/>
    <w:next w:val="AmJustText"/>
    <w:rsid w:val="00A72E65"/>
    <w:pPr>
      <w:keepNext/>
      <w:widowControl w:val="0"/>
      <w:spacing w:before="240" w:after="240"/>
      <w:jc w:val="center"/>
    </w:pPr>
    <w:rPr>
      <w:rFonts w:eastAsia="Times New Roman"/>
      <w:i/>
      <w:szCs w:val="20"/>
      <w:lang w:val="it-IT" w:eastAsia="en-GB"/>
    </w:rPr>
  </w:style>
  <w:style w:type="paragraph" w:customStyle="1" w:styleId="AmOrLang">
    <w:name w:val="AmOrLang"/>
    <w:basedOn w:val="Normal"/>
    <w:rsid w:val="00A72E65"/>
    <w:pPr>
      <w:widowControl w:val="0"/>
      <w:spacing w:before="240" w:after="240"/>
      <w:jc w:val="right"/>
    </w:pPr>
    <w:rPr>
      <w:rFonts w:eastAsia="Times New Roman"/>
      <w:szCs w:val="20"/>
      <w:lang w:val="it-IT" w:eastAsia="en-GB"/>
    </w:rPr>
  </w:style>
  <w:style w:type="paragraph" w:customStyle="1" w:styleId="AmColumnHeading">
    <w:name w:val="AmColumnHeading"/>
    <w:basedOn w:val="Normal"/>
    <w:rsid w:val="00A72E65"/>
    <w:pPr>
      <w:widowControl w:val="0"/>
      <w:spacing w:after="240"/>
      <w:jc w:val="center"/>
    </w:pPr>
    <w:rPr>
      <w:rFonts w:eastAsia="Times New Roman"/>
      <w:i/>
      <w:szCs w:val="20"/>
      <w:lang w:val="it-IT" w:eastAsia="en-GB"/>
    </w:rPr>
  </w:style>
  <w:style w:type="paragraph" w:customStyle="1" w:styleId="AmNumberTabs">
    <w:name w:val="AmNumberTabs"/>
    <w:basedOn w:val="Normal"/>
    <w:link w:val="AmNumberTabsChar"/>
    <w:rsid w:val="00A72E65"/>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jc w:val="left"/>
    </w:pPr>
    <w:rPr>
      <w:rFonts w:eastAsia="Times New Roman"/>
      <w:b/>
      <w:szCs w:val="20"/>
      <w:lang w:val="it-IT" w:eastAsia="en-GB"/>
    </w:rPr>
  </w:style>
  <w:style w:type="paragraph" w:customStyle="1" w:styleId="NormalBold12b">
    <w:name w:val="NormalBold12b"/>
    <w:basedOn w:val="Normal"/>
    <w:link w:val="NormalBold12bChar"/>
    <w:rsid w:val="00A72E65"/>
    <w:pPr>
      <w:widowControl w:val="0"/>
      <w:spacing w:before="240"/>
      <w:jc w:val="left"/>
    </w:pPr>
    <w:rPr>
      <w:rFonts w:eastAsia="Times New Roman"/>
      <w:b/>
      <w:szCs w:val="20"/>
      <w:lang w:val="it-IT" w:eastAsia="en-GB"/>
    </w:rPr>
  </w:style>
  <w:style w:type="paragraph" w:customStyle="1" w:styleId="AnnexWPLogo">
    <w:name w:val="AnnexWPLogo"/>
    <w:basedOn w:val="Normal"/>
    <w:rsid w:val="00A72E65"/>
    <w:pPr>
      <w:widowControl w:val="0"/>
      <w:spacing w:before="120" w:after="120"/>
      <w:jc w:val="left"/>
    </w:pPr>
    <w:rPr>
      <w:rFonts w:eastAsia="Times New Roman"/>
      <w:szCs w:val="20"/>
      <w:lang w:val="it-IT" w:eastAsia="en-GB"/>
    </w:rPr>
  </w:style>
  <w:style w:type="paragraph" w:customStyle="1" w:styleId="EPComma">
    <w:name w:val="EPComma"/>
    <w:basedOn w:val="Normal"/>
    <w:rsid w:val="00A72E65"/>
    <w:pPr>
      <w:widowControl w:val="0"/>
      <w:spacing w:before="480" w:after="240"/>
      <w:jc w:val="left"/>
    </w:pPr>
    <w:rPr>
      <w:rFonts w:eastAsia="Times New Roman"/>
      <w:szCs w:val="20"/>
      <w:lang w:val="it-IT" w:eastAsia="en-GB"/>
    </w:rPr>
  </w:style>
  <w:style w:type="paragraph" w:customStyle="1" w:styleId="Lgendesigne">
    <w:name w:val="Légende signe"/>
    <w:basedOn w:val="Normal"/>
    <w:rsid w:val="00A72E65"/>
    <w:pPr>
      <w:widowControl w:val="0"/>
      <w:tabs>
        <w:tab w:val="right" w:pos="454"/>
        <w:tab w:val="left" w:pos="737"/>
      </w:tabs>
      <w:ind w:left="737" w:hanging="737"/>
      <w:jc w:val="left"/>
    </w:pPr>
    <w:rPr>
      <w:rFonts w:eastAsia="Times New Roman"/>
      <w:snapToGrid w:val="0"/>
      <w:sz w:val="18"/>
      <w:szCs w:val="20"/>
      <w:lang w:val="it-IT"/>
    </w:rPr>
  </w:style>
  <w:style w:type="paragraph" w:customStyle="1" w:styleId="Lgendetitre">
    <w:name w:val="Légende titre"/>
    <w:basedOn w:val="Normal"/>
    <w:rsid w:val="00A72E65"/>
    <w:pPr>
      <w:widowControl w:val="0"/>
      <w:spacing w:before="240" w:after="240"/>
      <w:jc w:val="left"/>
    </w:pPr>
    <w:rPr>
      <w:rFonts w:eastAsia="Times New Roman"/>
      <w:b/>
      <w:i/>
      <w:snapToGrid w:val="0"/>
      <w:szCs w:val="20"/>
      <w:lang w:val="it-IT"/>
    </w:rPr>
  </w:style>
  <w:style w:type="paragraph" w:customStyle="1" w:styleId="Lgendestandard">
    <w:name w:val="Légende standard"/>
    <w:basedOn w:val="Normal"/>
    <w:rsid w:val="00A72E65"/>
    <w:pPr>
      <w:widowControl w:val="0"/>
      <w:jc w:val="left"/>
    </w:pPr>
    <w:rPr>
      <w:rFonts w:eastAsia="Times New Roman"/>
      <w:sz w:val="18"/>
      <w:szCs w:val="20"/>
      <w:lang w:val="it-IT" w:eastAsia="en-GB"/>
    </w:rPr>
  </w:style>
  <w:style w:type="paragraph" w:customStyle="1" w:styleId="msonormal0">
    <w:name w:val="msonormal"/>
    <w:basedOn w:val="Normal"/>
    <w:rsid w:val="00A72E65"/>
    <w:pPr>
      <w:spacing w:before="100" w:beforeAutospacing="1" w:after="100" w:afterAutospacing="1"/>
      <w:jc w:val="left"/>
    </w:pPr>
    <w:rPr>
      <w:rFonts w:eastAsia="Times New Roman"/>
      <w:lang w:val="it-IT" w:eastAsia="en-GB"/>
    </w:rPr>
  </w:style>
  <w:style w:type="character" w:customStyle="1" w:styleId="NormalBI">
    <w:name w:val="NormalBI"/>
    <w:basedOn w:val="DefaultParagraphFont"/>
    <w:uiPriority w:val="1"/>
    <w:qFormat/>
    <w:rsid w:val="00A72E65"/>
    <w:rPr>
      <w:rFonts w:ascii="Times New Roman" w:hAnsi="Times New Roman"/>
      <w:b/>
      <w:i/>
      <w:sz w:val="24"/>
    </w:rPr>
  </w:style>
  <w:style w:type="paragraph" w:customStyle="1" w:styleId="EPFooter2Landscape">
    <w:name w:val="EPFooter2Landscape"/>
    <w:qFormat/>
    <w:rsid w:val="00A72E65"/>
    <w:pPr>
      <w:tabs>
        <w:tab w:val="center" w:pos="4536"/>
        <w:tab w:val="center" w:pos="9923"/>
        <w:tab w:val="right" w:pos="15026"/>
      </w:tabs>
    </w:pPr>
    <w:rPr>
      <w:rFonts w:ascii="Arial" w:eastAsia="Times New Roman" w:hAnsi="Arial" w:cs="Arial"/>
      <w:b/>
      <w:sz w:val="48"/>
      <w:lang w:val="it-IT" w:eastAsia="en-GB"/>
    </w:rPr>
  </w:style>
  <w:style w:type="character" w:customStyle="1" w:styleId="Normal12Char">
    <w:name w:val="Normal12 Char"/>
    <w:link w:val="Normal12"/>
    <w:locked/>
    <w:rsid w:val="00A72E65"/>
    <w:rPr>
      <w:noProof/>
      <w:sz w:val="24"/>
    </w:rPr>
  </w:style>
  <w:style w:type="paragraph" w:customStyle="1" w:styleId="Normal12">
    <w:name w:val="Normal12"/>
    <w:basedOn w:val="Normal"/>
    <w:link w:val="Normal12Char"/>
    <w:rsid w:val="00A72E65"/>
    <w:pPr>
      <w:widowControl w:val="0"/>
      <w:spacing w:after="240"/>
      <w:jc w:val="left"/>
    </w:pPr>
    <w:rPr>
      <w:rFonts w:asciiTheme="minorHAnsi" w:hAnsiTheme="minorHAnsi"/>
      <w:noProof/>
      <w:szCs w:val="22"/>
    </w:rPr>
  </w:style>
  <w:style w:type="paragraph" w:customStyle="1" w:styleId="CommitteeAM">
    <w:name w:val="CommitteeAM"/>
    <w:basedOn w:val="Normal"/>
    <w:rsid w:val="00A72E65"/>
    <w:pPr>
      <w:widowControl w:val="0"/>
      <w:spacing w:before="240" w:after="600"/>
      <w:jc w:val="center"/>
    </w:pPr>
    <w:rPr>
      <w:rFonts w:eastAsia="Times New Roman"/>
      <w:i/>
      <w:szCs w:val="20"/>
      <w:lang w:val="it-IT" w:eastAsia="en-GB"/>
    </w:rPr>
  </w:style>
  <w:style w:type="paragraph" w:customStyle="1" w:styleId="ZDateAM">
    <w:name w:val="ZDateAM"/>
    <w:basedOn w:val="Normal"/>
    <w:rsid w:val="00A72E65"/>
    <w:pPr>
      <w:widowControl w:val="0"/>
      <w:tabs>
        <w:tab w:val="right" w:pos="9356"/>
      </w:tabs>
      <w:spacing w:after="480"/>
      <w:jc w:val="left"/>
    </w:pPr>
    <w:rPr>
      <w:rFonts w:eastAsia="Times New Roman"/>
      <w:noProof/>
      <w:szCs w:val="20"/>
      <w:lang w:val="it-IT" w:eastAsia="en-GB"/>
    </w:rPr>
  </w:style>
  <w:style w:type="paragraph" w:customStyle="1" w:styleId="ProjRap">
    <w:name w:val="ProjRap"/>
    <w:basedOn w:val="Normal"/>
    <w:rsid w:val="00A72E65"/>
    <w:pPr>
      <w:widowControl w:val="0"/>
      <w:tabs>
        <w:tab w:val="right" w:pos="9356"/>
      </w:tabs>
      <w:jc w:val="left"/>
    </w:pPr>
    <w:rPr>
      <w:rFonts w:eastAsia="Times New Roman"/>
      <w:b/>
      <w:noProof/>
      <w:szCs w:val="20"/>
      <w:lang w:val="it-IT" w:eastAsia="en-GB"/>
    </w:rPr>
  </w:style>
  <w:style w:type="paragraph" w:customStyle="1" w:styleId="PELeft">
    <w:name w:val="PELeft"/>
    <w:basedOn w:val="Normal"/>
    <w:rsid w:val="00A72E65"/>
    <w:pPr>
      <w:widowControl w:val="0"/>
      <w:spacing w:before="40" w:after="40"/>
      <w:jc w:val="left"/>
    </w:pPr>
    <w:rPr>
      <w:rFonts w:ascii="Arial" w:eastAsia="Times New Roman" w:hAnsi="Arial" w:cs="Arial"/>
      <w:sz w:val="22"/>
      <w:szCs w:val="22"/>
      <w:lang w:val="it-IT" w:eastAsia="en-GB"/>
    </w:rPr>
  </w:style>
  <w:style w:type="paragraph" w:customStyle="1" w:styleId="PERight">
    <w:name w:val="PERight"/>
    <w:basedOn w:val="Normal"/>
    <w:next w:val="Normal"/>
    <w:rsid w:val="00A72E65"/>
    <w:pPr>
      <w:widowControl w:val="0"/>
      <w:jc w:val="right"/>
    </w:pPr>
    <w:rPr>
      <w:rFonts w:ascii="Arial" w:eastAsia="Times New Roman" w:hAnsi="Arial" w:cs="Arial"/>
      <w:sz w:val="22"/>
      <w:szCs w:val="22"/>
      <w:lang w:val="it-IT" w:eastAsia="en-GB"/>
    </w:rPr>
  </w:style>
  <w:style w:type="character" w:customStyle="1" w:styleId="Normal6Char">
    <w:name w:val="Normal6 Char"/>
    <w:link w:val="Normal6"/>
    <w:locked/>
    <w:rsid w:val="00A72E65"/>
    <w:rPr>
      <w:sz w:val="24"/>
      <w:lang w:val="it-IT"/>
    </w:rPr>
  </w:style>
  <w:style w:type="paragraph" w:customStyle="1" w:styleId="Normal6">
    <w:name w:val="Normal6"/>
    <w:basedOn w:val="Normal"/>
    <w:link w:val="Normal6Char"/>
    <w:rsid w:val="00A72E65"/>
    <w:pPr>
      <w:widowControl w:val="0"/>
      <w:spacing w:after="120"/>
      <w:jc w:val="left"/>
    </w:pPr>
    <w:rPr>
      <w:rFonts w:asciiTheme="minorHAnsi" w:hAnsiTheme="minorHAnsi"/>
      <w:szCs w:val="22"/>
      <w:lang w:val="it-IT"/>
    </w:rPr>
  </w:style>
  <w:style w:type="character" w:customStyle="1" w:styleId="NormalBoldChar">
    <w:name w:val="NormalBold Char"/>
    <w:link w:val="NormalBold"/>
    <w:locked/>
    <w:rsid w:val="00A72E65"/>
    <w:rPr>
      <w:rFonts w:ascii="Times New Roman" w:eastAsia="Times New Roman" w:hAnsi="Times New Roman"/>
      <w:b/>
      <w:sz w:val="24"/>
      <w:szCs w:val="20"/>
      <w:lang w:val="it-IT" w:eastAsia="en-GB"/>
    </w:rPr>
  </w:style>
  <w:style w:type="paragraph" w:customStyle="1" w:styleId="Normal12Italic">
    <w:name w:val="Normal12Italic"/>
    <w:basedOn w:val="Normal12"/>
    <w:rsid w:val="00A72E65"/>
    <w:rPr>
      <w:rFonts w:ascii="Calibri" w:eastAsia="Calibri" w:hAnsi="Calibri"/>
      <w:i/>
    </w:rPr>
  </w:style>
  <w:style w:type="paragraph" w:customStyle="1" w:styleId="JustificationTitle">
    <w:name w:val="JustificationTitle"/>
    <w:basedOn w:val="Normal"/>
    <w:next w:val="Normal12"/>
    <w:rsid w:val="00A72E65"/>
    <w:pPr>
      <w:keepNext/>
      <w:widowControl w:val="0"/>
      <w:spacing w:before="240" w:after="240"/>
      <w:jc w:val="center"/>
    </w:pPr>
    <w:rPr>
      <w:rFonts w:eastAsia="Times New Roman"/>
      <w:i/>
      <w:noProof/>
      <w:szCs w:val="20"/>
      <w:lang w:val="it-IT" w:eastAsia="en-GB"/>
    </w:rPr>
  </w:style>
  <w:style w:type="paragraph" w:customStyle="1" w:styleId="Olang">
    <w:name w:val="Olang"/>
    <w:basedOn w:val="Normal"/>
    <w:rsid w:val="00A72E65"/>
    <w:pPr>
      <w:widowControl w:val="0"/>
      <w:spacing w:before="240" w:after="240"/>
      <w:jc w:val="right"/>
    </w:pPr>
    <w:rPr>
      <w:rFonts w:eastAsia="Times New Roman"/>
      <w:noProof/>
      <w:lang w:val="it-IT" w:eastAsia="en-GB"/>
    </w:rPr>
  </w:style>
  <w:style w:type="paragraph" w:customStyle="1" w:styleId="ColumnHeading">
    <w:name w:val="ColumnHeading"/>
    <w:basedOn w:val="Normal"/>
    <w:rsid w:val="00A72E65"/>
    <w:pPr>
      <w:widowControl w:val="0"/>
      <w:spacing w:after="240"/>
      <w:jc w:val="center"/>
    </w:pPr>
    <w:rPr>
      <w:rFonts w:eastAsia="Times New Roman"/>
      <w:i/>
      <w:szCs w:val="20"/>
      <w:lang w:val="it-IT" w:eastAsia="en-GB"/>
    </w:rPr>
  </w:style>
  <w:style w:type="paragraph" w:customStyle="1" w:styleId="AMNumberTabs0">
    <w:name w:val="AMNumberTabs"/>
    <w:basedOn w:val="Normal"/>
    <w:rsid w:val="00A72E65"/>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jc w:val="left"/>
    </w:pPr>
    <w:rPr>
      <w:rFonts w:eastAsia="Times New Roman"/>
      <w:b/>
      <w:szCs w:val="20"/>
      <w:lang w:val="it-IT" w:eastAsia="en-GB"/>
    </w:rPr>
  </w:style>
  <w:style w:type="paragraph" w:customStyle="1" w:styleId="CrossRef">
    <w:name w:val="CrossRef"/>
    <w:basedOn w:val="Normal"/>
    <w:rsid w:val="00A72E65"/>
    <w:pPr>
      <w:widowControl w:val="0"/>
      <w:spacing w:before="240"/>
      <w:jc w:val="center"/>
    </w:pPr>
    <w:rPr>
      <w:rFonts w:eastAsia="Times New Roman"/>
      <w:i/>
      <w:szCs w:val="20"/>
      <w:lang w:val="it-IT" w:eastAsia="en-GB"/>
    </w:rPr>
  </w:style>
  <w:style w:type="character" w:customStyle="1" w:styleId="EPFooter2Motto">
    <w:name w:val="EPFooter2Motto"/>
    <w:uiPriority w:val="1"/>
    <w:qFormat/>
    <w:rsid w:val="00A72E65"/>
    <w:rPr>
      <w:rFonts w:ascii="Arial" w:hAnsi="Arial"/>
      <w:b/>
      <w:i/>
      <w:color w:val="C0C0C0"/>
      <w:sz w:val="22"/>
    </w:rPr>
  </w:style>
  <w:style w:type="character" w:customStyle="1" w:styleId="Footer2Middle">
    <w:name w:val="Footer2Middle"/>
    <w:rsid w:val="00A72E65"/>
    <w:rPr>
      <w:rFonts w:ascii="Arial" w:hAnsi="Arial" w:cs="Arial" w:hint="default"/>
      <w:b w:val="0"/>
      <w:bCs w:val="0"/>
      <w:i/>
      <w:iCs w:val="0"/>
      <w:color w:val="C0C0C0"/>
      <w:sz w:val="22"/>
    </w:rPr>
  </w:style>
  <w:style w:type="paragraph" w:customStyle="1" w:styleId="EntPE">
    <w:name w:val="EntPE"/>
    <w:basedOn w:val="Normal12"/>
    <w:rsid w:val="00A72E65"/>
    <w:pPr>
      <w:jc w:val="center"/>
    </w:pPr>
    <w:rPr>
      <w:rFonts w:ascii="Calibri" w:eastAsia="Calibri" w:hAnsi="Calibri"/>
      <w:noProof w:val="0"/>
      <w:sz w:val="56"/>
    </w:rPr>
  </w:style>
  <w:style w:type="character" w:styleId="CommentReference">
    <w:name w:val="annotation reference"/>
    <w:basedOn w:val="DefaultParagraphFont"/>
    <w:rsid w:val="00A72E65"/>
    <w:rPr>
      <w:sz w:val="16"/>
      <w:szCs w:val="16"/>
    </w:rPr>
  </w:style>
  <w:style w:type="paragraph" w:styleId="CommentText">
    <w:name w:val="annotation text"/>
    <w:basedOn w:val="Normal"/>
    <w:link w:val="CommentTextChar"/>
    <w:uiPriority w:val="99"/>
    <w:rsid w:val="00A72E65"/>
    <w:pPr>
      <w:widowControl w:val="0"/>
      <w:jc w:val="left"/>
    </w:pPr>
    <w:rPr>
      <w:rFonts w:eastAsia="Times New Roman"/>
      <w:sz w:val="20"/>
      <w:szCs w:val="20"/>
      <w:lang w:val="it-IT" w:eastAsia="en-GB"/>
    </w:rPr>
  </w:style>
  <w:style w:type="character" w:customStyle="1" w:styleId="CommentTextChar">
    <w:name w:val="Comment Text Char"/>
    <w:basedOn w:val="DefaultParagraphFont"/>
    <w:link w:val="CommentText"/>
    <w:uiPriority w:val="99"/>
    <w:rsid w:val="00A72E65"/>
    <w:rPr>
      <w:rFonts w:ascii="Times New Roman" w:eastAsia="Times New Roman" w:hAnsi="Times New Roman"/>
      <w:sz w:val="20"/>
      <w:szCs w:val="20"/>
      <w:lang w:val="it-IT" w:eastAsia="en-GB"/>
    </w:rPr>
  </w:style>
  <w:style w:type="paragraph" w:styleId="CommentSubject">
    <w:name w:val="annotation subject"/>
    <w:basedOn w:val="CommentText"/>
    <w:next w:val="CommentText"/>
    <w:link w:val="CommentSubjectChar"/>
    <w:uiPriority w:val="99"/>
    <w:unhideWhenUsed/>
    <w:rsid w:val="00A72E65"/>
    <w:rPr>
      <w:b/>
      <w:bCs/>
    </w:rPr>
  </w:style>
  <w:style w:type="character" w:customStyle="1" w:styleId="CommentSubjectChar">
    <w:name w:val="Comment Subject Char"/>
    <w:basedOn w:val="CommentTextChar"/>
    <w:link w:val="CommentSubject"/>
    <w:uiPriority w:val="99"/>
    <w:rsid w:val="00A72E65"/>
    <w:rPr>
      <w:rFonts w:ascii="Times New Roman" w:eastAsia="Times New Roman" w:hAnsi="Times New Roman"/>
      <w:b/>
      <w:bCs/>
      <w:sz w:val="20"/>
      <w:szCs w:val="20"/>
      <w:lang w:val="it-IT" w:eastAsia="en-GB"/>
    </w:rPr>
  </w:style>
  <w:style w:type="paragraph" w:styleId="BalloonText">
    <w:name w:val="Balloon Text"/>
    <w:basedOn w:val="Normal"/>
    <w:link w:val="BalloonTextChar"/>
    <w:uiPriority w:val="99"/>
    <w:unhideWhenUsed/>
    <w:rsid w:val="00A72E65"/>
    <w:pPr>
      <w:widowControl w:val="0"/>
      <w:jc w:val="left"/>
    </w:pPr>
    <w:rPr>
      <w:rFonts w:ascii="Segoe UI" w:eastAsia="Times New Roman" w:hAnsi="Segoe UI" w:cs="Segoe UI"/>
      <w:sz w:val="18"/>
      <w:szCs w:val="18"/>
      <w:lang w:val="it-IT" w:eastAsia="en-GB"/>
    </w:rPr>
  </w:style>
  <w:style w:type="character" w:customStyle="1" w:styleId="BalloonTextChar">
    <w:name w:val="Balloon Text Char"/>
    <w:basedOn w:val="DefaultParagraphFont"/>
    <w:link w:val="BalloonText"/>
    <w:uiPriority w:val="99"/>
    <w:rsid w:val="00A72E65"/>
    <w:rPr>
      <w:rFonts w:ascii="Segoe UI" w:eastAsia="Times New Roman" w:hAnsi="Segoe UI" w:cs="Segoe UI"/>
      <w:sz w:val="18"/>
      <w:szCs w:val="18"/>
      <w:lang w:val="it-IT" w:eastAsia="en-GB"/>
    </w:rPr>
  </w:style>
  <w:style w:type="character" w:customStyle="1" w:styleId="AmNumberTabsChar">
    <w:name w:val="AmNumberTabs Char"/>
    <w:basedOn w:val="DefaultParagraphFont"/>
    <w:link w:val="AmNumberTabs"/>
    <w:rsid w:val="00A72E65"/>
    <w:rPr>
      <w:rFonts w:ascii="Times New Roman" w:eastAsia="Times New Roman" w:hAnsi="Times New Roman"/>
      <w:b/>
      <w:sz w:val="24"/>
      <w:szCs w:val="20"/>
      <w:lang w:val="it-IT" w:eastAsia="en-GB"/>
    </w:rPr>
  </w:style>
  <w:style w:type="character" w:customStyle="1" w:styleId="NormalBold12bChar">
    <w:name w:val="NormalBold12b Char"/>
    <w:basedOn w:val="AmNumberTabsChar"/>
    <w:link w:val="NormalBold12b"/>
    <w:rsid w:val="00A72E65"/>
    <w:rPr>
      <w:rFonts w:ascii="Times New Roman" w:eastAsia="Times New Roman" w:hAnsi="Times New Roman"/>
      <w:b/>
      <w:sz w:val="24"/>
      <w:szCs w:val="20"/>
      <w:lang w:val="it-IT" w:eastAsia="en-GB"/>
    </w:rPr>
  </w:style>
  <w:style w:type="paragraph" w:customStyle="1" w:styleId="PageHeadingNotTOC">
    <w:name w:val="PageHeadingNotTOC"/>
    <w:basedOn w:val="Normal"/>
    <w:rsid w:val="00A72E65"/>
    <w:pPr>
      <w:keepNext/>
      <w:widowControl w:val="0"/>
      <w:spacing w:after="480"/>
      <w:jc w:val="center"/>
    </w:pPr>
    <w:rPr>
      <w:rFonts w:ascii="Arial" w:eastAsia="Times New Roman" w:hAnsi="Arial" w:cs="Arial"/>
      <w:b/>
      <w:szCs w:val="20"/>
      <w:lang w:val="it-IT" w:eastAsia="en-GB"/>
    </w:rPr>
  </w:style>
  <w:style w:type="paragraph" w:customStyle="1" w:styleId="AmHeadingPA">
    <w:name w:val="AmHeadingPA"/>
    <w:basedOn w:val="Normal"/>
    <w:next w:val="Normal"/>
    <w:rsid w:val="00A72E65"/>
    <w:pPr>
      <w:widowControl w:val="0"/>
      <w:spacing w:before="480" w:after="240"/>
      <w:jc w:val="center"/>
    </w:pPr>
    <w:rPr>
      <w:rFonts w:ascii="Arial" w:eastAsia="Times New Roman" w:hAnsi="Arial"/>
      <w:b/>
      <w:caps/>
      <w:snapToGrid w:val="0"/>
      <w:lang w:val="it-IT"/>
    </w:rPr>
  </w:style>
  <w:style w:type="character" w:customStyle="1" w:styleId="Sup">
    <w:name w:val="Sup"/>
    <w:uiPriority w:val="1"/>
    <w:qFormat/>
    <w:rsid w:val="00A72E65"/>
    <w:rPr>
      <w:vertAlign w:val="superscript"/>
    </w:rPr>
  </w:style>
  <w:style w:type="character" w:customStyle="1" w:styleId="Hyperlink1">
    <w:name w:val="Hyperlink1"/>
    <w:basedOn w:val="DefaultParagraphFont"/>
    <w:uiPriority w:val="99"/>
    <w:rsid w:val="00A72E65"/>
    <w:rPr>
      <w:color w:val="0563C1"/>
      <w:u w:val="single"/>
    </w:rPr>
  </w:style>
  <w:style w:type="paragraph" w:customStyle="1" w:styleId="LetterSalutation">
    <w:name w:val="LetterSalutation"/>
    <w:basedOn w:val="Normal"/>
    <w:rsid w:val="00A72E65"/>
    <w:pPr>
      <w:widowControl w:val="0"/>
      <w:spacing w:before="600" w:after="360"/>
      <w:jc w:val="left"/>
    </w:pPr>
    <w:rPr>
      <w:rFonts w:eastAsia="Times New Roman"/>
      <w:szCs w:val="20"/>
      <w:lang w:val="it-IT" w:eastAsia="en-GB"/>
    </w:rPr>
  </w:style>
  <w:style w:type="paragraph" w:customStyle="1" w:styleId="LetterSubject">
    <w:name w:val="LetterSubject"/>
    <w:basedOn w:val="Normal"/>
    <w:rsid w:val="00A72E65"/>
    <w:pPr>
      <w:widowControl w:val="0"/>
      <w:spacing w:before="480"/>
      <w:ind w:left="1134" w:hanging="1134"/>
      <w:jc w:val="left"/>
    </w:pPr>
    <w:rPr>
      <w:rFonts w:eastAsia="Times New Roman"/>
      <w:szCs w:val="20"/>
      <w:lang w:val="it-IT" w:eastAsia="en-GB"/>
    </w:rPr>
  </w:style>
  <w:style w:type="character" w:customStyle="1" w:styleId="Normal24aChar">
    <w:name w:val="Normal24a Char"/>
    <w:basedOn w:val="DefaultParagraphFont"/>
    <w:link w:val="Normal24a"/>
    <w:rsid w:val="00A72E65"/>
    <w:rPr>
      <w:rFonts w:ascii="Times New Roman" w:eastAsia="Times New Roman" w:hAnsi="Times New Roman"/>
      <w:sz w:val="24"/>
      <w:szCs w:val="20"/>
      <w:lang w:val="it-IT" w:eastAsia="en-GB"/>
    </w:rPr>
  </w:style>
  <w:style w:type="paragraph" w:customStyle="1" w:styleId="CoverBold">
    <w:name w:val="CoverBold"/>
    <w:basedOn w:val="Normal"/>
    <w:rsid w:val="00A72E65"/>
    <w:pPr>
      <w:widowControl w:val="0"/>
      <w:ind w:left="1417"/>
      <w:jc w:val="left"/>
    </w:pPr>
    <w:rPr>
      <w:rFonts w:eastAsia="Times New Roman"/>
      <w:b/>
      <w:szCs w:val="20"/>
      <w:lang w:val="it-IT" w:eastAsia="en-GB"/>
    </w:rPr>
  </w:style>
  <w:style w:type="paragraph" w:customStyle="1" w:styleId="Normal2">
    <w:name w:val="Normal2"/>
    <w:basedOn w:val="Normal"/>
    <w:qFormat/>
    <w:rsid w:val="00A72E65"/>
    <w:pPr>
      <w:widowControl w:val="0"/>
      <w:spacing w:line="120" w:lineRule="auto"/>
      <w:jc w:val="left"/>
    </w:pPr>
    <w:rPr>
      <w:rFonts w:eastAsia="Times New Roman"/>
      <w:sz w:val="4"/>
      <w:szCs w:val="20"/>
      <w:lang w:val="it-IT" w:eastAsia="en-GB"/>
    </w:rPr>
  </w:style>
  <w:style w:type="paragraph" w:customStyle="1" w:styleId="NormalItalic6a">
    <w:name w:val="NormalItalic6a"/>
    <w:basedOn w:val="Normal6a"/>
    <w:qFormat/>
    <w:rsid w:val="00A72E65"/>
    <w:rPr>
      <w:i/>
    </w:rPr>
  </w:style>
  <w:style w:type="paragraph" w:customStyle="1" w:styleId="NormalBoldItalic6a">
    <w:name w:val="NormalBoldItalic6a"/>
    <w:basedOn w:val="Normal6a"/>
    <w:qFormat/>
    <w:rsid w:val="00A72E65"/>
    <w:rPr>
      <w:b/>
      <w:i/>
    </w:rPr>
  </w:style>
  <w:style w:type="paragraph" w:customStyle="1" w:styleId="NormalBoldItalicCenter6a">
    <w:name w:val="NormalBoldItalicCenter6a"/>
    <w:basedOn w:val="Normal6a"/>
    <w:qFormat/>
    <w:rsid w:val="00A72E65"/>
    <w:pPr>
      <w:jc w:val="center"/>
    </w:pPr>
    <w:rPr>
      <w:b/>
      <w:i/>
    </w:rPr>
  </w:style>
  <w:style w:type="paragraph" w:customStyle="1" w:styleId="AnnexRight">
    <w:name w:val="AnnexRight"/>
    <w:basedOn w:val="Normal"/>
    <w:rsid w:val="00A72E65"/>
    <w:pPr>
      <w:widowControl w:val="0"/>
      <w:spacing w:after="480"/>
      <w:jc w:val="right"/>
    </w:pPr>
    <w:rPr>
      <w:rFonts w:eastAsia="Times New Roman"/>
      <w:szCs w:val="20"/>
      <w:lang w:val="it-IT" w:eastAsia="en-GB"/>
    </w:rPr>
  </w:style>
  <w:style w:type="paragraph" w:customStyle="1" w:styleId="RollCallSymbols14pt">
    <w:name w:val="RollCallSymbols14pt"/>
    <w:basedOn w:val="Normal"/>
    <w:rsid w:val="00A72E65"/>
    <w:pPr>
      <w:widowControl w:val="0"/>
      <w:spacing w:before="120" w:after="120"/>
      <w:jc w:val="center"/>
    </w:pPr>
    <w:rPr>
      <w:rFonts w:ascii="Arial" w:eastAsia="Times New Roman" w:hAnsi="Arial"/>
      <w:b/>
      <w:bCs/>
      <w:snapToGrid w:val="0"/>
      <w:sz w:val="28"/>
      <w:szCs w:val="20"/>
      <w:lang w:val="it-IT"/>
    </w:rPr>
  </w:style>
  <w:style w:type="paragraph" w:customStyle="1" w:styleId="RollCallTabs">
    <w:name w:val="RollCallTabs"/>
    <w:basedOn w:val="Normal"/>
    <w:qFormat/>
    <w:rsid w:val="00A72E65"/>
    <w:pPr>
      <w:widowControl w:val="0"/>
      <w:tabs>
        <w:tab w:val="center" w:pos="284"/>
        <w:tab w:val="left" w:pos="426"/>
      </w:tabs>
      <w:jc w:val="left"/>
    </w:pPr>
    <w:rPr>
      <w:rFonts w:eastAsia="Times New Roman"/>
      <w:snapToGrid w:val="0"/>
      <w:szCs w:val="20"/>
      <w:lang w:val="it-IT"/>
    </w:rPr>
  </w:style>
  <w:style w:type="paragraph" w:customStyle="1" w:styleId="RollCallVotes">
    <w:name w:val="RollCallVotes"/>
    <w:basedOn w:val="Normal"/>
    <w:rsid w:val="00A72E65"/>
    <w:pPr>
      <w:widowControl w:val="0"/>
      <w:spacing w:before="120" w:after="120"/>
      <w:jc w:val="center"/>
    </w:pPr>
    <w:rPr>
      <w:rFonts w:eastAsia="Times New Roman"/>
      <w:b/>
      <w:bCs/>
      <w:snapToGrid w:val="0"/>
      <w:sz w:val="16"/>
      <w:szCs w:val="20"/>
      <w:lang w:val="it-IT"/>
    </w:rPr>
  </w:style>
  <w:style w:type="paragraph" w:customStyle="1" w:styleId="RollCallTable">
    <w:name w:val="RollCallTable"/>
    <w:basedOn w:val="Normal"/>
    <w:rsid w:val="00A72E65"/>
    <w:pPr>
      <w:widowControl w:val="0"/>
      <w:spacing w:before="120" w:after="120"/>
      <w:jc w:val="left"/>
    </w:pPr>
    <w:rPr>
      <w:rFonts w:eastAsia="Times New Roman"/>
      <w:snapToGrid w:val="0"/>
      <w:sz w:val="16"/>
      <w:szCs w:val="20"/>
      <w:lang w:val="it-IT"/>
    </w:rPr>
  </w:style>
  <w:style w:type="character" w:customStyle="1" w:styleId="Bold">
    <w:name w:val="Bold"/>
    <w:uiPriority w:val="1"/>
    <w:qFormat/>
    <w:rsid w:val="00A72E65"/>
    <w:rPr>
      <w:b/>
    </w:rPr>
  </w:style>
  <w:style w:type="paragraph" w:customStyle="1" w:styleId="LetterSignature66b">
    <w:name w:val="LetterSignature66b"/>
    <w:basedOn w:val="Normal"/>
    <w:next w:val="Normal"/>
    <w:rsid w:val="00A72E65"/>
    <w:pPr>
      <w:widowControl w:val="0"/>
      <w:spacing w:before="1320"/>
      <w:jc w:val="left"/>
    </w:pPr>
    <w:rPr>
      <w:rFonts w:eastAsia="Times New Roman"/>
      <w:szCs w:val="20"/>
      <w:lang w:val="it-IT" w:eastAsia="en-GB"/>
    </w:rPr>
  </w:style>
  <w:style w:type="character" w:customStyle="1" w:styleId="Italic">
    <w:name w:val="Italic"/>
    <w:uiPriority w:val="1"/>
    <w:qFormat/>
    <w:rsid w:val="00A72E65"/>
    <w:rPr>
      <w:i/>
    </w:rPr>
  </w:style>
  <w:style w:type="character" w:customStyle="1" w:styleId="BoldItalic">
    <w:name w:val="BoldItalic"/>
    <w:uiPriority w:val="1"/>
    <w:qFormat/>
    <w:rsid w:val="00A72E65"/>
    <w:rPr>
      <w:b/>
      <w:i/>
    </w:rPr>
  </w:style>
  <w:style w:type="character" w:customStyle="1" w:styleId="Underline">
    <w:name w:val="Underline"/>
    <w:uiPriority w:val="1"/>
    <w:qFormat/>
    <w:rsid w:val="00A72E65"/>
    <w:rPr>
      <w:u w:val="single"/>
    </w:rPr>
  </w:style>
  <w:style w:type="character" w:customStyle="1" w:styleId="Sub">
    <w:name w:val="Sub"/>
    <w:uiPriority w:val="1"/>
    <w:qFormat/>
    <w:rsid w:val="00A72E65"/>
    <w:rPr>
      <w:vertAlign w:val="subscript"/>
    </w:rPr>
  </w:style>
  <w:style w:type="character" w:customStyle="1" w:styleId="SupBoldItalic">
    <w:name w:val="SupBoldItalic"/>
    <w:uiPriority w:val="1"/>
    <w:qFormat/>
    <w:rsid w:val="00A72E65"/>
    <w:rPr>
      <w:b/>
      <w:i/>
      <w:vertAlign w:val="superscript"/>
    </w:rPr>
  </w:style>
  <w:style w:type="character" w:customStyle="1" w:styleId="SubBoldItalic">
    <w:name w:val="SubBoldItalic"/>
    <w:uiPriority w:val="1"/>
    <w:qFormat/>
    <w:rsid w:val="00A72E65"/>
    <w:rPr>
      <w:b/>
      <w:i/>
      <w:vertAlign w:val="subscript"/>
    </w:rPr>
  </w:style>
  <w:style w:type="paragraph" w:customStyle="1" w:styleId="EPFooterLandscape">
    <w:name w:val="EPFooterLandscape"/>
    <w:qFormat/>
    <w:rsid w:val="00A72E65"/>
    <w:pPr>
      <w:tabs>
        <w:tab w:val="center" w:pos="6804"/>
        <w:tab w:val="right" w:pos="15026"/>
      </w:tabs>
    </w:pPr>
    <w:rPr>
      <w:rFonts w:ascii="Times New Roman" w:eastAsia="Times New Roman" w:hAnsi="Times New Roman"/>
      <w:szCs w:val="20"/>
      <w:lang w:val="it-IT" w:eastAsia="en-GB"/>
    </w:rPr>
  </w:style>
  <w:style w:type="paragraph" w:styleId="Footer">
    <w:name w:val="footer"/>
    <w:basedOn w:val="Normal"/>
    <w:link w:val="FooterChar"/>
    <w:uiPriority w:val="99"/>
    <w:rsid w:val="00A72E65"/>
    <w:pPr>
      <w:widowControl w:val="0"/>
      <w:tabs>
        <w:tab w:val="center" w:pos="4513"/>
        <w:tab w:val="right" w:pos="9026"/>
      </w:tabs>
      <w:jc w:val="left"/>
    </w:pPr>
    <w:rPr>
      <w:rFonts w:eastAsia="Times New Roman"/>
      <w:szCs w:val="20"/>
      <w:lang w:val="it-IT" w:eastAsia="en-GB"/>
    </w:rPr>
  </w:style>
  <w:style w:type="character" w:customStyle="1" w:styleId="FooterChar">
    <w:name w:val="Footer Char"/>
    <w:basedOn w:val="DefaultParagraphFont"/>
    <w:link w:val="Footer"/>
    <w:uiPriority w:val="99"/>
    <w:rsid w:val="00A72E65"/>
    <w:rPr>
      <w:rFonts w:ascii="Times New Roman" w:eastAsia="Times New Roman" w:hAnsi="Times New Roman"/>
      <w:sz w:val="24"/>
      <w:szCs w:val="20"/>
      <w:lang w:val="it-IT" w:eastAsia="en-GB"/>
    </w:rPr>
  </w:style>
  <w:style w:type="paragraph" w:customStyle="1" w:styleId="Normal12Hanging">
    <w:name w:val="Normal12Hanging"/>
    <w:basedOn w:val="Normal"/>
    <w:link w:val="CharChar1"/>
    <w:rsid w:val="00A72E65"/>
    <w:pPr>
      <w:widowControl w:val="0"/>
      <w:spacing w:after="240"/>
      <w:ind w:left="357" w:hanging="357"/>
      <w:jc w:val="left"/>
    </w:pPr>
    <w:rPr>
      <w:rFonts w:eastAsia="Times New Roman"/>
      <w:snapToGrid w:val="0"/>
      <w:szCs w:val="20"/>
      <w:lang w:val="it-IT" w:eastAsia="en-GB"/>
    </w:rPr>
  </w:style>
  <w:style w:type="character" w:customStyle="1" w:styleId="CharChar1">
    <w:name w:val="Char Char1"/>
    <w:link w:val="Normal12Hanging"/>
    <w:locked/>
    <w:rsid w:val="00A72E65"/>
    <w:rPr>
      <w:rFonts w:ascii="Times New Roman" w:eastAsia="Times New Roman" w:hAnsi="Times New Roman"/>
      <w:snapToGrid w:val="0"/>
      <w:sz w:val="24"/>
      <w:szCs w:val="20"/>
      <w:lang w:val="it-IT" w:eastAsia="en-GB"/>
    </w:rPr>
  </w:style>
  <w:style w:type="paragraph" w:customStyle="1" w:styleId="AmDocTypeTab">
    <w:name w:val="AmDocTypeTab"/>
    <w:basedOn w:val="Normal"/>
    <w:rsid w:val="00A72E65"/>
    <w:pPr>
      <w:widowControl w:val="0"/>
      <w:tabs>
        <w:tab w:val="right" w:pos="9072"/>
      </w:tabs>
      <w:jc w:val="left"/>
    </w:pPr>
    <w:rPr>
      <w:rFonts w:eastAsia="Times New Roman"/>
      <w:b/>
      <w:szCs w:val="20"/>
      <w:lang w:val="it-IT" w:eastAsia="en-GB"/>
    </w:rPr>
  </w:style>
  <w:style w:type="paragraph" w:customStyle="1" w:styleId="NormalCenter12a">
    <w:name w:val="NormalCenter12a"/>
    <w:basedOn w:val="Normal"/>
    <w:rsid w:val="00A72E65"/>
    <w:pPr>
      <w:widowControl w:val="0"/>
      <w:spacing w:after="240"/>
      <w:jc w:val="center"/>
    </w:pPr>
    <w:rPr>
      <w:rFonts w:eastAsia="Times New Roman"/>
      <w:szCs w:val="20"/>
      <w:lang w:val="it-IT" w:eastAsia="en-GB"/>
    </w:rPr>
  </w:style>
  <w:style w:type="paragraph" w:customStyle="1" w:styleId="AmDateTab">
    <w:name w:val="AmDateTab"/>
    <w:basedOn w:val="Normal"/>
    <w:rsid w:val="00A72E65"/>
    <w:pPr>
      <w:widowControl w:val="0"/>
      <w:tabs>
        <w:tab w:val="right" w:pos="9072"/>
      </w:tabs>
      <w:jc w:val="left"/>
    </w:pPr>
    <w:rPr>
      <w:rFonts w:eastAsia="Times New Roman"/>
      <w:szCs w:val="20"/>
      <w:lang w:val="it-IT" w:eastAsia="en-GB"/>
    </w:rPr>
  </w:style>
  <w:style w:type="paragraph" w:customStyle="1" w:styleId="AmHeadingConsam">
    <w:name w:val="AmHeadingConsam"/>
    <w:basedOn w:val="Normal"/>
    <w:next w:val="NormalCenter12a"/>
    <w:rsid w:val="00A72E65"/>
    <w:pPr>
      <w:widowControl w:val="0"/>
      <w:spacing w:before="720" w:after="240"/>
      <w:jc w:val="center"/>
    </w:pPr>
    <w:rPr>
      <w:rFonts w:eastAsia="Times New Roman"/>
      <w:szCs w:val="20"/>
      <w:lang w:val="it-IT" w:eastAsia="en-GB"/>
    </w:rPr>
  </w:style>
  <w:style w:type="paragraph" w:customStyle="1" w:styleId="Typedudocument">
    <w:name w:val="Type du document"/>
    <w:basedOn w:val="Normal"/>
    <w:next w:val="Normal"/>
    <w:rsid w:val="00A72E65"/>
    <w:pPr>
      <w:spacing w:before="360" w:line="360" w:lineRule="auto"/>
      <w:jc w:val="center"/>
    </w:pPr>
    <w:rPr>
      <w:rFonts w:eastAsia="Calibri"/>
      <w:b/>
      <w:szCs w:val="22"/>
      <w:lang w:val="it-IT"/>
    </w:rPr>
  </w:style>
  <w:style w:type="paragraph" w:customStyle="1" w:styleId="SectionTitle">
    <w:name w:val="SectionTitle"/>
    <w:basedOn w:val="Normal"/>
    <w:next w:val="Heading1"/>
    <w:rsid w:val="00A72E65"/>
    <w:pPr>
      <w:keepNext/>
      <w:spacing w:before="120" w:after="360"/>
      <w:jc w:val="center"/>
    </w:pPr>
    <w:rPr>
      <w:rFonts w:eastAsia="Calibri"/>
      <w:b/>
      <w:smallCaps/>
      <w:sz w:val="28"/>
      <w:szCs w:val="22"/>
      <w:lang w:val="it-IT"/>
    </w:rPr>
  </w:style>
  <w:style w:type="paragraph" w:customStyle="1" w:styleId="Titrearticle">
    <w:name w:val="Titre article"/>
    <w:basedOn w:val="Normal"/>
    <w:next w:val="Normal"/>
    <w:rsid w:val="00A72E65"/>
    <w:pPr>
      <w:keepNext/>
      <w:spacing w:before="360" w:after="120"/>
      <w:jc w:val="center"/>
    </w:pPr>
    <w:rPr>
      <w:rFonts w:eastAsia="Calibri"/>
      <w:i/>
      <w:szCs w:val="22"/>
      <w:lang w:val="it-IT"/>
    </w:rPr>
  </w:style>
  <w:style w:type="paragraph" w:customStyle="1" w:styleId="Point0">
    <w:name w:val="Point 0"/>
    <w:basedOn w:val="Normal"/>
    <w:rsid w:val="00A72E65"/>
    <w:pPr>
      <w:spacing w:before="120" w:after="120"/>
      <w:ind w:left="850" w:hanging="850"/>
    </w:pPr>
    <w:rPr>
      <w:rFonts w:eastAsia="Calibri"/>
      <w:szCs w:val="22"/>
      <w:lang w:val="it-IT"/>
    </w:rPr>
  </w:style>
  <w:style w:type="paragraph" w:customStyle="1" w:styleId="Fait">
    <w:name w:val="Fait à"/>
    <w:basedOn w:val="Normal"/>
    <w:next w:val="Institutionquisigne"/>
    <w:rsid w:val="00A72E65"/>
    <w:pPr>
      <w:keepNext/>
      <w:spacing w:before="120"/>
    </w:pPr>
    <w:rPr>
      <w:rFonts w:eastAsia="Calibri"/>
      <w:szCs w:val="22"/>
      <w:lang w:val="it-IT"/>
    </w:rPr>
  </w:style>
  <w:style w:type="paragraph" w:customStyle="1" w:styleId="Institutionquisigne">
    <w:name w:val="Institution qui signe"/>
    <w:basedOn w:val="Normal"/>
    <w:next w:val="Normal"/>
    <w:rsid w:val="00A72E65"/>
    <w:pPr>
      <w:keepNext/>
      <w:tabs>
        <w:tab w:val="left" w:pos="4252"/>
      </w:tabs>
      <w:spacing w:before="720"/>
    </w:pPr>
    <w:rPr>
      <w:rFonts w:eastAsia="Calibri"/>
      <w:i/>
      <w:szCs w:val="22"/>
      <w:lang w:val="it-IT"/>
    </w:rPr>
  </w:style>
  <w:style w:type="paragraph" w:customStyle="1" w:styleId="NormalCentered">
    <w:name w:val="Normal Centered"/>
    <w:basedOn w:val="Normal"/>
    <w:rsid w:val="00A72E65"/>
    <w:pPr>
      <w:spacing w:before="120" w:after="120"/>
      <w:jc w:val="center"/>
    </w:pPr>
    <w:rPr>
      <w:rFonts w:eastAsia="Calibri"/>
      <w:szCs w:val="22"/>
      <w:lang w:val="it-IT"/>
    </w:rPr>
  </w:style>
  <w:style w:type="paragraph" w:customStyle="1" w:styleId="NormalLeft">
    <w:name w:val="Normal Left"/>
    <w:basedOn w:val="Normal"/>
    <w:rsid w:val="00A72E65"/>
    <w:pPr>
      <w:spacing w:before="120" w:after="120"/>
      <w:jc w:val="left"/>
    </w:pPr>
    <w:rPr>
      <w:rFonts w:eastAsia="Calibri"/>
      <w:szCs w:val="22"/>
      <w:lang w:val="it-IT"/>
    </w:rPr>
  </w:style>
  <w:style w:type="paragraph" w:customStyle="1" w:styleId="Revision1">
    <w:name w:val="Revision1"/>
    <w:next w:val="Revision"/>
    <w:hidden/>
    <w:uiPriority w:val="99"/>
    <w:semiHidden/>
    <w:rsid w:val="00A72E65"/>
    <w:rPr>
      <w:rFonts w:ascii="Times New Roman" w:eastAsia="Calibri" w:hAnsi="Times New Roman"/>
      <w:sz w:val="24"/>
      <w:szCs w:val="24"/>
      <w:lang w:val="it-IT"/>
    </w:rPr>
  </w:style>
  <w:style w:type="paragraph" w:styleId="NormalWeb">
    <w:name w:val="Normal (Web)"/>
    <w:basedOn w:val="Normal"/>
    <w:uiPriority w:val="99"/>
    <w:unhideWhenUsed/>
    <w:rsid w:val="00A72E65"/>
    <w:pPr>
      <w:spacing w:before="100" w:beforeAutospacing="1" w:after="100" w:afterAutospacing="1"/>
      <w:jc w:val="left"/>
    </w:pPr>
    <w:rPr>
      <w:rFonts w:eastAsia="Times New Roman"/>
      <w:lang w:val="it-IT" w:eastAsia="pl-PL"/>
    </w:rPr>
  </w:style>
  <w:style w:type="character" w:styleId="FollowedHyperlink">
    <w:name w:val="FollowedHyperlink"/>
    <w:basedOn w:val="DefaultParagraphFont"/>
    <w:uiPriority w:val="99"/>
    <w:unhideWhenUsed/>
    <w:rsid w:val="00A72E65"/>
    <w:rPr>
      <w:color w:val="954F72"/>
      <w:u w:val="single"/>
    </w:rPr>
  </w:style>
  <w:style w:type="paragraph" w:customStyle="1" w:styleId="xl65">
    <w:name w:val="xl65"/>
    <w:basedOn w:val="Normal"/>
    <w:rsid w:val="00A72E65"/>
    <w:pPr>
      <w:pBdr>
        <w:left w:val="single" w:sz="4" w:space="0" w:color="auto"/>
      </w:pBdr>
      <w:spacing w:before="100" w:beforeAutospacing="1" w:after="100" w:afterAutospacing="1"/>
      <w:jc w:val="left"/>
    </w:pPr>
    <w:rPr>
      <w:rFonts w:eastAsia="Times New Roman"/>
      <w:lang w:val="it-IT" w:eastAsia="en-IE"/>
    </w:rPr>
  </w:style>
  <w:style w:type="paragraph" w:customStyle="1" w:styleId="xl66">
    <w:name w:val="xl66"/>
    <w:basedOn w:val="Normal"/>
    <w:rsid w:val="00A72E65"/>
    <w:pPr>
      <w:pBdr>
        <w:right w:val="single" w:sz="4" w:space="0" w:color="auto"/>
      </w:pBdr>
      <w:spacing w:before="100" w:beforeAutospacing="1" w:after="100" w:afterAutospacing="1"/>
      <w:jc w:val="left"/>
    </w:pPr>
    <w:rPr>
      <w:rFonts w:eastAsia="Times New Roman"/>
      <w:lang w:val="it-IT" w:eastAsia="en-IE"/>
    </w:rPr>
  </w:style>
  <w:style w:type="character" w:customStyle="1" w:styleId="ui-provider">
    <w:name w:val="ui-provider"/>
    <w:rsid w:val="00A72E65"/>
  </w:style>
  <w:style w:type="character" w:customStyle="1" w:styleId="markedcontent">
    <w:name w:val="markedcontent"/>
    <w:basedOn w:val="DefaultParagraphFont"/>
    <w:rsid w:val="00A72E65"/>
  </w:style>
  <w:style w:type="character" w:customStyle="1" w:styleId="UnresolvedMention1">
    <w:name w:val="Unresolved Mention1"/>
    <w:basedOn w:val="DefaultParagraphFont"/>
    <w:uiPriority w:val="99"/>
    <w:semiHidden/>
    <w:unhideWhenUsed/>
    <w:rsid w:val="00A72E65"/>
    <w:rPr>
      <w:color w:val="605E5C"/>
      <w:shd w:val="clear" w:color="auto" w:fill="E1DFDD"/>
    </w:rPr>
  </w:style>
  <w:style w:type="character" w:customStyle="1" w:styleId="Hyperlink2">
    <w:name w:val="Hyperlink2"/>
    <w:basedOn w:val="DefaultParagraphFont"/>
    <w:uiPriority w:val="99"/>
    <w:semiHidden/>
    <w:unhideWhenUsed/>
    <w:rsid w:val="00A72E65"/>
    <w:rPr>
      <w:color w:val="0563C1"/>
      <w:u w:val="single"/>
    </w:rPr>
  </w:style>
  <w:style w:type="paragraph" w:customStyle="1" w:styleId="Revision2">
    <w:name w:val="Revision2"/>
    <w:next w:val="Revision"/>
    <w:hidden/>
    <w:uiPriority w:val="99"/>
    <w:semiHidden/>
    <w:rsid w:val="00A72E65"/>
    <w:rPr>
      <w:rFonts w:ascii="Times New Roman" w:eastAsia="Calibri" w:hAnsi="Times New Roman"/>
      <w:sz w:val="24"/>
      <w:szCs w:val="24"/>
    </w:rPr>
  </w:style>
  <w:style w:type="character" w:customStyle="1" w:styleId="TitleChar1">
    <w:name w:val="Title Char1"/>
    <w:basedOn w:val="DefaultParagraphFont"/>
    <w:rsid w:val="00A72E65"/>
    <w:rPr>
      <w:rFonts w:ascii="Calibri Light" w:eastAsia="Times New Roman" w:hAnsi="Calibri Light" w:cs="DokChampa"/>
      <w:spacing w:val="-10"/>
      <w:kern w:val="28"/>
      <w:sz w:val="56"/>
      <w:szCs w:val="56"/>
      <w:lang w:val="it-IT"/>
    </w:rPr>
  </w:style>
  <w:style w:type="character" w:customStyle="1" w:styleId="SubtitleChar1">
    <w:name w:val="Subtitle Char1"/>
    <w:basedOn w:val="DefaultParagraphFont"/>
    <w:rsid w:val="00A72E65"/>
    <w:rPr>
      <w:rFonts w:ascii="Calibri" w:eastAsia="Times New Roman" w:hAnsi="Calibri" w:cs="DokChampa"/>
      <w:color w:val="5A5A5A"/>
      <w:spacing w:val="15"/>
      <w:sz w:val="22"/>
      <w:szCs w:val="22"/>
      <w:lang w:val="it-IT"/>
    </w:rPr>
  </w:style>
  <w:style w:type="character" w:customStyle="1" w:styleId="Hyperlink3">
    <w:name w:val="Hyperlink3"/>
    <w:basedOn w:val="DefaultParagraphFont"/>
    <w:rsid w:val="00A72E65"/>
    <w:rPr>
      <w:color w:val="0563C1"/>
      <w:u w:val="single"/>
    </w:rPr>
  </w:style>
  <w:style w:type="paragraph" w:styleId="Revision">
    <w:name w:val="Revision"/>
    <w:hidden/>
    <w:uiPriority w:val="99"/>
    <w:semiHidden/>
    <w:rsid w:val="00A72E65"/>
    <w:rPr>
      <w:rFonts w:ascii="Times New Roman" w:eastAsia="Times New Roman" w:hAnsi="Times New Roman"/>
      <w:sz w:val="24"/>
      <w:szCs w:val="20"/>
      <w:lang w:val="it-IT" w:eastAsia="en-GB"/>
    </w:rPr>
  </w:style>
  <w:style w:type="character" w:styleId="Hyperlink">
    <w:name w:val="Hyperlink"/>
    <w:basedOn w:val="DefaultParagraphFont"/>
    <w:uiPriority w:val="99"/>
    <w:semiHidden/>
    <w:unhideWhenUsed/>
    <w:rsid w:val="00A72E6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1236</Words>
  <Characters>8188</Characters>
  <Application>Microsoft Office Word</Application>
  <DocSecurity>4</DocSecurity>
  <Lines>584</Lines>
  <Paragraphs>409</Paragraphs>
  <ScaleCrop>false</ScaleCrop>
  <Company>European Parliament</Company>
  <LinksUpToDate>false</LinksUpToDate>
  <CharactersWithSpaces>9015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ARossi-RELFINALE</dc:creator>
  <cp:keywords/>
  <dc:description/>
  <cp:lastModifiedBy>AR_</cp:lastModifiedBy>
  <cp:revision>2</cp:revision>
  <dcterms:created xsi:type="dcterms:W3CDTF">2025-01-08T13:25:00Z</dcterms:created>
  <dcterms:modified xsi:type="dcterms:W3CDTF">2025-01-08T13:25:00Z</dcterms:modified>
</cp:coreProperties>
</file>