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86E43" w:rsidRPr="002323AF" w:rsidTr="00CB0BC6">
        <w:trPr>
          <w:trHeight w:hRule="exact" w:val="1418"/>
        </w:trPr>
        <w:tc>
          <w:tcPr>
            <w:tcW w:w="6804" w:type="dxa"/>
            <w:shd w:val="clear" w:color="auto" w:fill="auto"/>
            <w:vAlign w:val="center"/>
          </w:tcPr>
          <w:p w:rsidR="00786E43" w:rsidRPr="002323AF" w:rsidRDefault="00786E43" w:rsidP="00CB0BC6">
            <w:pPr>
              <w:pStyle w:val="EPName"/>
            </w:pPr>
            <w:r w:rsidRPr="002323AF">
              <w:t>Eiropas Parlaments</w:t>
            </w:r>
          </w:p>
          <w:p w:rsidR="00786E43" w:rsidRPr="002323AF" w:rsidRDefault="00786E43" w:rsidP="00CB0BC6">
            <w:pPr>
              <w:pStyle w:val="EPTerm"/>
              <w:rPr>
                <w:rStyle w:val="HideTWBExt"/>
                <w:rFonts w:eastAsiaTheme="majorEastAsia"/>
                <w:vanish w:val="0"/>
              </w:rPr>
            </w:pPr>
            <w:r w:rsidRPr="002323AF">
              <w:t>2019-2024</w:t>
            </w:r>
          </w:p>
        </w:tc>
        <w:tc>
          <w:tcPr>
            <w:tcW w:w="2268" w:type="dxa"/>
            <w:shd w:val="clear" w:color="auto" w:fill="auto"/>
          </w:tcPr>
          <w:p w:rsidR="00786E43" w:rsidRPr="002323AF" w:rsidRDefault="00786E43" w:rsidP="00CB0BC6">
            <w:pPr>
              <w:pStyle w:val="EPLogo"/>
            </w:pPr>
            <w:r w:rsidRPr="002323AF">
              <w:rPr>
                <w:noProof/>
                <w:lang w:val="en-GB"/>
              </w:rPr>
              <w:drawing>
                <wp:inline distT="0" distB="0" distL="0" distR="0" wp14:anchorId="2F296B5D" wp14:editId="630899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86E43" w:rsidRPr="002323AF" w:rsidRDefault="00786E43" w:rsidP="00786E43">
      <w:pPr>
        <w:pStyle w:val="LineTop"/>
      </w:pPr>
    </w:p>
    <w:p w:rsidR="00786E43" w:rsidRPr="002323AF" w:rsidRDefault="00786E43" w:rsidP="00786E43">
      <w:pPr>
        <w:pStyle w:val="EPBodyTA1"/>
      </w:pPr>
      <w:r w:rsidRPr="002323AF">
        <w:t>PIEŅEMTIE TEKSTI</w:t>
      </w:r>
    </w:p>
    <w:p w:rsidR="00786E43" w:rsidRPr="002323AF" w:rsidRDefault="00786E43" w:rsidP="00786E43">
      <w:pPr>
        <w:pStyle w:val="LineBottom"/>
      </w:pPr>
    </w:p>
    <w:p w:rsidR="00786E43" w:rsidRPr="002323AF" w:rsidRDefault="00786E43" w:rsidP="00786E43">
      <w:pPr>
        <w:pStyle w:val="ATHeading1"/>
      </w:pPr>
      <w:bookmarkStart w:id="0" w:name="TANumber"/>
      <w:r w:rsidRPr="002323AF">
        <w:t>P9_TA(2024)0163</w:t>
      </w:r>
      <w:bookmarkEnd w:id="0"/>
    </w:p>
    <w:p w:rsidR="00786E43" w:rsidRPr="002323AF" w:rsidRDefault="00786E43" w:rsidP="00786E43">
      <w:pPr>
        <w:pStyle w:val="ATHeading2"/>
      </w:pPr>
      <w:bookmarkStart w:id="1" w:name="title"/>
      <w:r w:rsidRPr="002323AF">
        <w:t>Finanšu noteikumi, ko piemēro Savienības vispārējam budžetam (pārstrādāta redakcija)</w:t>
      </w:r>
      <w:bookmarkEnd w:id="1"/>
    </w:p>
    <w:p w:rsidR="00786E43" w:rsidRPr="0059763D" w:rsidRDefault="00786E43" w:rsidP="0059763D">
      <w:pPr>
        <w:jc w:val="left"/>
        <w:rPr>
          <w:i/>
          <w:vanish/>
          <w:lang w:val="lv-LV"/>
        </w:rPr>
      </w:pPr>
      <w:r w:rsidRPr="002323AF">
        <w:rPr>
          <w:i/>
        </w:rPr>
        <w:fldChar w:fldCharType="begin"/>
      </w:r>
      <w:r w:rsidRPr="0059763D">
        <w:rPr>
          <w:i/>
          <w:lang w:val="lv-LV"/>
        </w:rPr>
        <w:instrText xml:space="preserve"> TC"(</w:instrText>
      </w:r>
      <w:bookmarkStart w:id="2" w:name="DocNumber"/>
      <w:r w:rsidRPr="0059763D">
        <w:rPr>
          <w:i/>
          <w:lang w:val="lv-LV"/>
        </w:rPr>
        <w:instrText>A9-0180/2023</w:instrText>
      </w:r>
      <w:bookmarkEnd w:id="2"/>
      <w:r w:rsidRPr="0059763D">
        <w:rPr>
          <w:i/>
          <w:lang w:val="lv-LV"/>
        </w:rPr>
        <w:instrText xml:space="preserve"> - Referenti: Nils Ušakovs, Monika Hohlmeier)"\l3 \n&gt; \* MERGEFORMAT </w:instrText>
      </w:r>
      <w:r w:rsidRPr="002323AF">
        <w:rPr>
          <w:i/>
        </w:rPr>
        <w:fldChar w:fldCharType="end"/>
      </w:r>
    </w:p>
    <w:p w:rsidR="00786E43" w:rsidRPr="0059763D" w:rsidRDefault="00786E43" w:rsidP="00786E43">
      <w:pPr>
        <w:rPr>
          <w:vanish/>
          <w:lang w:val="lv-LV"/>
        </w:rPr>
      </w:pPr>
      <w:bookmarkStart w:id="3" w:name="Commission"/>
      <w:r w:rsidRPr="0059763D">
        <w:rPr>
          <w:vanish/>
          <w:lang w:val="lv-LV"/>
        </w:rPr>
        <w:t>Budžeta komiteja un Budžeta kontroles komiteja</w:t>
      </w:r>
      <w:bookmarkEnd w:id="3"/>
    </w:p>
    <w:p w:rsidR="00786E43" w:rsidRPr="00651394" w:rsidRDefault="00786E43" w:rsidP="00786E43">
      <w:pPr>
        <w:rPr>
          <w:vanish/>
          <w:lang w:val="lv-LV"/>
        </w:rPr>
      </w:pPr>
      <w:bookmarkStart w:id="4" w:name="PE"/>
      <w:r w:rsidRPr="00651394">
        <w:rPr>
          <w:vanish/>
          <w:lang w:val="lv-LV"/>
        </w:rPr>
        <w:t>PE740.802</w:t>
      </w:r>
      <w:bookmarkEnd w:id="4"/>
    </w:p>
    <w:p w:rsidR="00786E43" w:rsidRPr="002323AF" w:rsidRDefault="00786E43" w:rsidP="00786E43">
      <w:pPr>
        <w:pStyle w:val="ATHeading3"/>
      </w:pPr>
      <w:bookmarkStart w:id="5" w:name="Sujet"/>
      <w:r w:rsidRPr="002323AF">
        <w:t>Eiropas Parlamenta 2024. gada 14. marta normatīvā rezolūcija par priekšlikumu Eiropas Pa</w:t>
      </w:r>
      <w:r w:rsidR="00D30C8C">
        <w:t xml:space="preserve">rlamenta un Padomes regulai par </w:t>
      </w:r>
      <w:r w:rsidR="00D30C8C" w:rsidRPr="008D764F">
        <w:rPr>
          <w:noProof/>
        </w:rPr>
        <w:t>finanšu noteikumiem, ko piemēro Savienības vispārējam budžetam</w:t>
      </w:r>
      <w:r w:rsidRPr="002323AF">
        <w:t xml:space="preserve"> (pārstrādāta redakcija)</w:t>
      </w:r>
      <w:bookmarkEnd w:id="5"/>
      <w:r w:rsidRPr="002323AF">
        <w:t xml:space="preserve"> </w:t>
      </w:r>
      <w:bookmarkStart w:id="6" w:name="References"/>
      <w:r w:rsidRPr="002323AF">
        <w:t>(COM(2022)0223 – C9-0179/2022 – 2022/0162(COD))</w:t>
      </w:r>
      <w:bookmarkEnd w:id="6"/>
    </w:p>
    <w:p w:rsidR="00786E43" w:rsidRPr="002323AF" w:rsidRDefault="00786E43" w:rsidP="00786E43">
      <w:pPr>
        <w:pStyle w:val="NormalBold"/>
      </w:pPr>
      <w:bookmarkStart w:id="7" w:name="TextBodyBegin"/>
      <w:bookmarkEnd w:id="7"/>
      <w:r w:rsidRPr="002323AF">
        <w:t>(Parastā likumdošanas procedūra – pārstrādāšana)</w:t>
      </w:r>
    </w:p>
    <w:p w:rsidR="00786E43" w:rsidRPr="002323AF" w:rsidRDefault="00786E43" w:rsidP="00786E43">
      <w:pPr>
        <w:pStyle w:val="EPComma"/>
      </w:pPr>
      <w:r w:rsidRPr="002323AF">
        <w:rPr>
          <w:i/>
        </w:rPr>
        <w:t>Eiropas Parlaments</w:t>
      </w:r>
      <w:r w:rsidRPr="002323AF">
        <w:t>,</w:t>
      </w:r>
    </w:p>
    <w:p w:rsidR="00786E43" w:rsidRPr="002323AF" w:rsidRDefault="00786E43" w:rsidP="00786E43">
      <w:pPr>
        <w:pStyle w:val="NormalHanging12a"/>
      </w:pPr>
      <w:r w:rsidRPr="002323AF">
        <w:t>–</w:t>
      </w:r>
      <w:r w:rsidRPr="002323AF">
        <w:tab/>
        <w:t>ņemot vērā Komisijas priekšlikumu Eiropas Parlamentam un Padomei (COM(2022)0223),</w:t>
      </w:r>
    </w:p>
    <w:p w:rsidR="00786E43" w:rsidRPr="002323AF" w:rsidRDefault="00786E43" w:rsidP="00786E43">
      <w:pPr>
        <w:pStyle w:val="NormalHanging12a"/>
      </w:pPr>
      <w:r w:rsidRPr="002323AF">
        <w:t>–</w:t>
      </w:r>
      <w:r w:rsidRPr="002323AF">
        <w:tab/>
        <w:t>ņemot vērā Līguma par Eiropas Savienības darbību 294. panta 2. punktu un 322. panta 1. punktu, kā arī Eiropas Atomenerģijas kopienas dibināšanas līguma 106.a pantu, saskaņā ar kuriem Komisija tam ir iesniegusi priekšlikumu (C9</w:t>
      </w:r>
      <w:r w:rsidRPr="002323AF">
        <w:noBreakHyphen/>
        <w:t>0179/2022),</w:t>
      </w:r>
    </w:p>
    <w:p w:rsidR="00786E43" w:rsidRPr="002323AF" w:rsidRDefault="00786E43" w:rsidP="00786E43">
      <w:pPr>
        <w:pStyle w:val="NormalHanging12a"/>
      </w:pPr>
      <w:r w:rsidRPr="002323AF">
        <w:t>–</w:t>
      </w:r>
      <w:r w:rsidRPr="002323AF">
        <w:tab/>
        <w:t>ņemot vērā Līguma par Eiropas Savienības darbību 294. panta 3. punktu,</w:t>
      </w:r>
    </w:p>
    <w:p w:rsidR="00786E43" w:rsidRPr="002323AF" w:rsidRDefault="00786E43" w:rsidP="00786E43">
      <w:pPr>
        <w:pStyle w:val="NormalHanging12a"/>
      </w:pPr>
      <w:r w:rsidRPr="002323AF">
        <w:t>–</w:t>
      </w:r>
      <w:r w:rsidRPr="002323AF">
        <w:tab/>
        <w:t>ņemot vērā Revīzijas palātas 2022. gada 31. oktobra atzinumu</w:t>
      </w:r>
      <w:r w:rsidRPr="002323AF">
        <w:rPr>
          <w:rStyle w:val="FootnoteReference"/>
          <w:rFonts w:eastAsiaTheme="majorEastAsia"/>
        </w:rPr>
        <w:footnoteReference w:id="1"/>
      </w:r>
      <w:r w:rsidRPr="002323AF">
        <w:t>,</w:t>
      </w:r>
    </w:p>
    <w:p w:rsidR="00786E43" w:rsidRPr="002323AF" w:rsidRDefault="00786E43" w:rsidP="00786E43">
      <w:pPr>
        <w:pStyle w:val="NormalHanging12a"/>
      </w:pPr>
      <w:r w:rsidRPr="002323AF">
        <w:t>–</w:t>
      </w:r>
      <w:r w:rsidRPr="002323AF">
        <w:tab/>
        <w:t>ņemot vērā Iestāžu 2001. gada 28. novembra nolīgumu par tiesību aktu pārstrādāšanas tehnikas strukturētāku izmantošanu</w:t>
      </w:r>
      <w:r w:rsidRPr="002323AF">
        <w:rPr>
          <w:rStyle w:val="FootnoteReference"/>
          <w:rFonts w:eastAsiaTheme="majorEastAsia"/>
        </w:rPr>
        <w:footnoteReference w:id="2"/>
      </w:r>
      <w:r w:rsidRPr="002323AF">
        <w:t>,</w:t>
      </w:r>
    </w:p>
    <w:p w:rsidR="00786E43" w:rsidRPr="002323AF" w:rsidRDefault="00786E43" w:rsidP="00786E43">
      <w:pPr>
        <w:pStyle w:val="NormalHanging12a"/>
      </w:pPr>
      <w:r w:rsidRPr="002323AF">
        <w:t>–</w:t>
      </w:r>
      <w:r w:rsidRPr="002323AF">
        <w:tab/>
        <w:t>ņemot vērā Juridiskās komitejas 2023. gada 25. aprīļa vēstuli Budžeta komitejai un Budžeta kontroles komitejai, kura nosūtīta saskaņā ar Reglamenta 110. panta 3. punktu,</w:t>
      </w:r>
    </w:p>
    <w:p w:rsidR="00786E43" w:rsidRPr="00786E43" w:rsidRDefault="00786E43" w:rsidP="0059763D">
      <w:pPr>
        <w:pStyle w:val="NormalHanging12a"/>
      </w:pPr>
      <w:r w:rsidRPr="00786E43">
        <w:t>–</w:t>
      </w:r>
      <w:r w:rsidRPr="00786E43">
        <w:tab/>
        <w:t>ņemot vērā provizorisko vienošanos, ko atbildīgā komiteja apstiprināja saskaņā ar Reglamenta 74. panta 4. punktu, un Padomes pārstāvja 2023. gada 20. decembra vēstulē pausto apņemšanos apstiprināt Parlamenta nostāju saskaņā ar Līguma par Eiropas Savienības darbību 294. panta 4. punktu,</w:t>
      </w:r>
    </w:p>
    <w:p w:rsidR="00786E43" w:rsidRPr="002323AF" w:rsidRDefault="00786E43" w:rsidP="00786E43">
      <w:pPr>
        <w:pStyle w:val="NormalHanging12a"/>
        <w:rPr>
          <w:szCs w:val="24"/>
        </w:rPr>
      </w:pPr>
      <w:r w:rsidRPr="002323AF">
        <w:lastRenderedPageBreak/>
        <w:t>–</w:t>
      </w:r>
      <w:r w:rsidRPr="002323AF">
        <w:tab/>
        <w:t>ņemot vērā Budžeta komitejas un Budžeta kontroles komitejas kopīgās apspriedes saskaņā ar Reglamenta 58. pantu,</w:t>
      </w:r>
    </w:p>
    <w:p w:rsidR="00786E43" w:rsidRPr="002323AF" w:rsidRDefault="00786E43" w:rsidP="00786E43">
      <w:pPr>
        <w:pStyle w:val="NormalHanging12a"/>
      </w:pPr>
      <w:r w:rsidRPr="002323AF">
        <w:t>–</w:t>
      </w:r>
      <w:r w:rsidRPr="002323AF">
        <w:tab/>
        <w:t>ņemot vērā Reglamenta 110. un 59. pantu,</w:t>
      </w:r>
    </w:p>
    <w:p w:rsidR="00786E43" w:rsidRPr="002323AF" w:rsidRDefault="00786E43" w:rsidP="00786E43">
      <w:pPr>
        <w:pStyle w:val="NormalHanging12a"/>
      </w:pPr>
      <w:r w:rsidRPr="002323AF">
        <w:t>–</w:t>
      </w:r>
      <w:r w:rsidRPr="002323AF">
        <w:tab/>
        <w:t>ņemot vērā Reģionālās attīstības komitejas atzinumu,</w:t>
      </w:r>
    </w:p>
    <w:p w:rsidR="00786E43" w:rsidRPr="002323AF" w:rsidRDefault="00786E43" w:rsidP="00786E43">
      <w:pPr>
        <w:pStyle w:val="NormalHanging12a"/>
      </w:pPr>
      <w:r w:rsidRPr="002323AF">
        <w:t>–</w:t>
      </w:r>
      <w:r w:rsidRPr="002323AF">
        <w:tab/>
        <w:t>ņemot vērā Rūpniecības, pētniecības un enerģētikas komitejas vēstuli,</w:t>
      </w:r>
    </w:p>
    <w:p w:rsidR="00786E43" w:rsidRPr="002323AF" w:rsidRDefault="00786E43" w:rsidP="00786E43">
      <w:pPr>
        <w:pStyle w:val="NormalHanging12a"/>
      </w:pPr>
      <w:r w:rsidRPr="002323AF">
        <w:t>–</w:t>
      </w:r>
      <w:r w:rsidRPr="002323AF">
        <w:tab/>
        <w:t>ņemot vērā Budžeta komitejas un Budžeta kontroles komitejas ziņojumu (A9</w:t>
      </w:r>
      <w:r w:rsidRPr="002323AF">
        <w:noBreakHyphen/>
        <w:t>0180/2023),</w:t>
      </w:r>
    </w:p>
    <w:p w:rsidR="00786E43" w:rsidRPr="002323AF" w:rsidRDefault="00786E43" w:rsidP="00786E43">
      <w:pPr>
        <w:pStyle w:val="NormalHanging12a"/>
      </w:pPr>
      <w:r w:rsidRPr="002323AF">
        <w:t>A.</w:t>
      </w:r>
      <w:r w:rsidRPr="002323AF">
        <w:tab/>
        <w:t>tā kā saskaņā ar Eiropas Parlamenta, Padomes un Komisijas juridisko dienestu konsultatīvās darba grupas atzinumu Komisijas priekšlikumā nav ietverti nekādi citi būtiski grozījumi kā vienīgi tie, kas tajā skaidri norādīti, un tā kā attiecībā uz iepriekšējo aktu negrozīto noteikumu un minēto grozījumu kodifikāciju priekšlikumā ir paredzēta tikai spēkā esošo tekstu kodifikācija, negrozot to būtību,</w:t>
      </w:r>
    </w:p>
    <w:p w:rsidR="00786E43" w:rsidRPr="002323AF" w:rsidRDefault="00786E43" w:rsidP="00786E43">
      <w:pPr>
        <w:pStyle w:val="NormalHanging12a"/>
      </w:pPr>
      <w:r w:rsidRPr="002323AF">
        <w:t>1.</w:t>
      </w:r>
      <w:r w:rsidRPr="002323AF">
        <w:tab/>
        <w:t>pieņem pirmajā lasījumā turpmāk izklāstīto nostāju, ņemot vērā Eiropas Parlamenta, Padomes un Komisijas juridisko dienestu konsultatīvās darba grupas ieteikumus;</w:t>
      </w:r>
    </w:p>
    <w:p w:rsidR="00786E43" w:rsidRPr="002323AF" w:rsidRDefault="00786E43" w:rsidP="00786E43">
      <w:pPr>
        <w:pStyle w:val="NormalHanging12a"/>
      </w:pPr>
      <w:r w:rsidRPr="002323AF">
        <w:t>2.</w:t>
      </w:r>
      <w:r w:rsidRPr="002323AF">
        <w:tab/>
        <w:t xml:space="preserve">Apstiprina Eiropas Parlamenta un Padomes kopīgo paziņojumu, kas pievienots šai rezolūcijai un kas tiks publicēts </w:t>
      </w:r>
      <w:r w:rsidRPr="002323AF">
        <w:rPr>
          <w:i/>
        </w:rPr>
        <w:t>Eiropas Savienības Oficiālā Vēstneša</w:t>
      </w:r>
      <w:r w:rsidRPr="002323AF">
        <w:t xml:space="preserve"> C sērijā;</w:t>
      </w:r>
    </w:p>
    <w:p w:rsidR="00786E43" w:rsidRPr="002323AF" w:rsidRDefault="00786E43" w:rsidP="00786E43">
      <w:pPr>
        <w:pStyle w:val="NormalHanging12a"/>
      </w:pPr>
      <w:r w:rsidRPr="002323AF">
        <w:t>3.</w:t>
      </w:r>
      <w:r w:rsidRPr="002323AF">
        <w:tab/>
        <w:t xml:space="preserve">Apstiprina Eiropas Parlamenta, Padomes un Komisijas kopīgo paziņojumu, kas pievienots šai rezolūcijai un kas tiks publicēts </w:t>
      </w:r>
      <w:r w:rsidRPr="002323AF">
        <w:rPr>
          <w:i/>
        </w:rPr>
        <w:t>Eiropas Savienības Oficiālā Vēstneša</w:t>
      </w:r>
      <w:r w:rsidRPr="002323AF">
        <w:t xml:space="preserve"> C sērijā;</w:t>
      </w:r>
    </w:p>
    <w:p w:rsidR="00786E43" w:rsidRPr="002323AF" w:rsidRDefault="00786E43" w:rsidP="00786E43">
      <w:pPr>
        <w:pStyle w:val="NormalHanging12a"/>
      </w:pPr>
      <w:r w:rsidRPr="002323AF">
        <w:t>4.</w:t>
      </w:r>
      <w:r w:rsidRPr="002323AF">
        <w:tab/>
        <w:t>pieņem zināšanai Komisijas paziņojumus, kas pievienoti šai rezolūcijai;</w:t>
      </w:r>
    </w:p>
    <w:p w:rsidR="00786E43" w:rsidRPr="002323AF" w:rsidRDefault="00786E43" w:rsidP="00786E43">
      <w:pPr>
        <w:pStyle w:val="NormalHanging12a"/>
      </w:pPr>
      <w:r w:rsidRPr="002323AF">
        <w:t>5.</w:t>
      </w:r>
      <w:r w:rsidRPr="002323AF">
        <w:tab/>
        <w:t>prasa Komisijai priekšlikumu Parlamentam iesniegt vēlreiz, ja tā savu priekšlikumu aizstāj, būtiski groza vai ir paredzējusi to būtiski grozīt;</w:t>
      </w:r>
    </w:p>
    <w:p w:rsidR="00786E43" w:rsidRPr="002323AF" w:rsidRDefault="00786E43" w:rsidP="00786E43">
      <w:pPr>
        <w:pStyle w:val="NormalHanging12a"/>
      </w:pPr>
      <w:r w:rsidRPr="002323AF">
        <w:t>6.</w:t>
      </w:r>
      <w:r w:rsidRPr="002323AF">
        <w:tab/>
        <w:t>uzdod priekšsēdētājai Parlamenta nostāju nosūtīt Padomei un Komisijai, kā arī dalībvalstu parlamentiem.</w:t>
      </w:r>
    </w:p>
    <w:p w:rsidR="00786E43" w:rsidRPr="00786E43" w:rsidRDefault="00786E43" w:rsidP="00786E43">
      <w:pPr>
        <w:rPr>
          <w:lang w:val="lv-LV"/>
        </w:rPr>
        <w:sectPr w:rsidR="00786E43" w:rsidRPr="00786E43" w:rsidSect="00D20545">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86E43" w:rsidRPr="002323AF" w:rsidRDefault="00786E43" w:rsidP="00786E43">
      <w:pPr>
        <w:pStyle w:val="Normal12Hanging"/>
        <w:tabs>
          <w:tab w:val="left" w:pos="357"/>
          <w:tab w:val="left" w:pos="2551"/>
        </w:tabs>
        <w:ind w:left="0" w:firstLine="0"/>
        <w:rPr>
          <w:b/>
        </w:rPr>
      </w:pPr>
      <w:r w:rsidRPr="002323AF">
        <w:rPr>
          <w:b/>
        </w:rPr>
        <w:lastRenderedPageBreak/>
        <w:t>P9_TC1-COD(2022)0162</w:t>
      </w:r>
    </w:p>
    <w:p w:rsidR="00786E43" w:rsidRPr="002323AF" w:rsidRDefault="00786E43" w:rsidP="00786E43">
      <w:pPr>
        <w:pStyle w:val="Normal12Hanging"/>
        <w:tabs>
          <w:tab w:val="left" w:pos="2551"/>
        </w:tabs>
        <w:ind w:left="0" w:firstLine="0"/>
        <w:rPr>
          <w:b/>
        </w:rPr>
      </w:pPr>
      <w:r w:rsidRPr="002323AF">
        <w:rPr>
          <w:b/>
        </w:rPr>
        <w:t>Eiropas Parlamenta nostāja, pieņemta pirmajā lasījumā 2024. gada 14. martā, lai pieņemtu Eiropas Parlamenta un Padomes Regulu (ES</w:t>
      </w:r>
      <w:r w:rsidR="0059763D">
        <w:rPr>
          <w:b/>
          <w:bCs/>
        </w:rPr>
        <w:t xml:space="preserve">, </w:t>
      </w:r>
      <w:r w:rsidR="0059763D" w:rsidRPr="0059763D">
        <w:rPr>
          <w:b/>
          <w:bCs/>
          <w:i/>
        </w:rPr>
        <w:t>Euratom</w:t>
      </w:r>
      <w:r w:rsidRPr="002323AF">
        <w:rPr>
          <w:b/>
        </w:rPr>
        <w:t xml:space="preserve">) 2024/... </w:t>
      </w:r>
      <w:r w:rsidR="00D30C8C">
        <w:rPr>
          <w:b/>
          <w:bCs/>
          <w:color w:val="000000"/>
          <w:shd w:val="clear" w:color="auto" w:fill="FFFFFF"/>
        </w:rPr>
        <w:t>par finanšu noteikumiem, ko piemēro Savienības vispārējam budžetam</w:t>
      </w:r>
      <w:r w:rsidRPr="002323AF">
        <w:rPr>
          <w:b/>
        </w:rPr>
        <w:t xml:space="preserve"> (pārstrādāta redakcija)</w:t>
      </w:r>
    </w:p>
    <w:p w:rsidR="00D30C8C" w:rsidRDefault="00D30C8C" w:rsidP="00D30C8C">
      <w:pPr>
        <w:rPr>
          <w:i/>
          <w:lang w:val="lv-LV"/>
        </w:rPr>
      </w:pPr>
      <w:r w:rsidRPr="00D30C8C">
        <w:rPr>
          <w:i/>
          <w:lang w:val="lv-LV"/>
        </w:rPr>
        <w:t>(Tā kā starp Parlamentu un Padomi tika panākta vienošanās, Parlamenta nostāja atbilst galīgajam tiesību aktam Regulai (ES</w:t>
      </w:r>
      <w:r w:rsidRPr="00D30C8C">
        <w:rPr>
          <w:i/>
          <w:lang w:val="lv-LV"/>
        </w:rPr>
        <w:t>, Euratom</w:t>
      </w:r>
      <w:r w:rsidRPr="00D30C8C">
        <w:rPr>
          <w:i/>
          <w:lang w:val="lv-LV"/>
        </w:rPr>
        <w:t>) 2024/</w:t>
      </w:r>
      <w:r w:rsidRPr="00D30C8C">
        <w:rPr>
          <w:i/>
          <w:lang w:val="lv-LV"/>
        </w:rPr>
        <w:t>2509</w:t>
      </w:r>
      <w:r w:rsidRPr="00D30C8C">
        <w:rPr>
          <w:i/>
          <w:lang w:val="lv-LV"/>
        </w:rPr>
        <w:t>.)</w:t>
      </w:r>
    </w:p>
    <w:p w:rsidR="00D30C8C" w:rsidRPr="00D30C8C" w:rsidRDefault="00D30C8C" w:rsidP="00D30C8C">
      <w:pPr>
        <w:rPr>
          <w:i/>
          <w:lang w:val="lv-LV"/>
        </w:rPr>
      </w:pPr>
    </w:p>
    <w:p w:rsidR="00D30C8C" w:rsidRDefault="00D30C8C">
      <w:pPr>
        <w:jc w:val="left"/>
        <w:rPr>
          <w:rFonts w:eastAsia="Times New Roman"/>
          <w:szCs w:val="20"/>
          <w:lang w:val="lv-LV" w:eastAsia="en-GB"/>
        </w:rPr>
      </w:pPr>
      <w:r>
        <w:rPr>
          <w:rFonts w:eastAsia="Times New Roman"/>
          <w:szCs w:val="20"/>
          <w:lang w:val="lv-LV" w:eastAsia="en-GB"/>
        </w:rPr>
        <w:br w:type="page"/>
      </w:r>
    </w:p>
    <w:p w:rsidR="00D30C8C" w:rsidRPr="0059763D" w:rsidRDefault="00D30C8C" w:rsidP="00D30C8C">
      <w:pPr>
        <w:widowControl w:val="0"/>
        <w:spacing w:after="240"/>
        <w:ind w:left="357" w:hanging="357"/>
        <w:jc w:val="right"/>
        <w:rPr>
          <w:rFonts w:eastAsia="MS Outlook"/>
          <w:lang w:val="lv-LV" w:eastAsia="en-GB"/>
        </w:rPr>
      </w:pPr>
      <w:r w:rsidRPr="0059763D">
        <w:rPr>
          <w:rFonts w:eastAsia="MS Outlook"/>
          <w:lang w:val="lv-LV" w:eastAsia="en-GB"/>
        </w:rPr>
        <w:lastRenderedPageBreak/>
        <w:t>NORMATĪVĀS REZOLŪCIJAS PIELIKUMS</w:t>
      </w:r>
    </w:p>
    <w:p w:rsidR="00D30C8C" w:rsidRPr="0059763D" w:rsidRDefault="00D30C8C" w:rsidP="00D30C8C">
      <w:pPr>
        <w:widowControl w:val="0"/>
        <w:jc w:val="left"/>
        <w:rPr>
          <w:rFonts w:eastAsia="Times New Roman"/>
          <w:szCs w:val="20"/>
          <w:lang w:val="lv-LV" w:eastAsia="en-GB"/>
        </w:rPr>
      </w:pPr>
    </w:p>
    <w:p w:rsidR="00D30C8C" w:rsidRPr="0059763D" w:rsidRDefault="00D30C8C" w:rsidP="00D30C8C">
      <w:pPr>
        <w:widowControl w:val="0"/>
        <w:spacing w:before="120" w:after="120" w:line="360" w:lineRule="auto"/>
        <w:jc w:val="center"/>
        <w:rPr>
          <w:rFonts w:eastAsia="Times New Roman"/>
          <w:b/>
          <w:szCs w:val="20"/>
          <w:u w:val="single"/>
          <w:lang w:val="lv-LV" w:eastAsia="en-GB"/>
        </w:rPr>
      </w:pPr>
      <w:r w:rsidRPr="0059763D">
        <w:rPr>
          <w:rFonts w:eastAsia="Times New Roman"/>
          <w:b/>
          <w:szCs w:val="20"/>
          <w:u w:val="single"/>
          <w:lang w:val="lv-LV" w:eastAsia="en-GB"/>
        </w:rPr>
        <w:t xml:space="preserve">Kopīgs paziņojums par budžeta procedūru attiecībā uz procentiem vai citām maksām, kas jāmaksā par atceltiem vai samazinātiem naudas sodiem, citiem sodiem vai sankcijām saistībā ar Regulas </w:t>
      </w:r>
      <w:r w:rsidRPr="00D30C8C">
        <w:rPr>
          <w:rFonts w:eastAsia="Times New Roman"/>
          <w:b/>
          <w:szCs w:val="20"/>
          <w:u w:val="single"/>
          <w:lang w:val="lv-LV" w:eastAsia="en-GB"/>
        </w:rPr>
        <w:t xml:space="preserve">(ES, </w:t>
      </w:r>
      <w:r w:rsidRPr="00D30C8C">
        <w:rPr>
          <w:rFonts w:eastAsia="Times New Roman"/>
          <w:b/>
          <w:i/>
          <w:szCs w:val="20"/>
          <w:u w:val="single"/>
          <w:lang w:val="lv-LV" w:eastAsia="en-GB"/>
        </w:rPr>
        <w:t>Euratom</w:t>
      </w:r>
      <w:r w:rsidRPr="00D30C8C">
        <w:rPr>
          <w:rFonts w:eastAsia="Times New Roman"/>
          <w:b/>
          <w:szCs w:val="20"/>
          <w:u w:val="single"/>
          <w:lang w:val="lv-LV" w:eastAsia="en-GB"/>
        </w:rPr>
        <w:t>) 2024/2509</w:t>
      </w:r>
      <w:r w:rsidRPr="0059763D">
        <w:rPr>
          <w:rFonts w:eastAsia="Times New Roman"/>
          <w:b/>
          <w:szCs w:val="20"/>
          <w:u w:val="single"/>
          <w:lang w:val="lv-LV" w:eastAsia="en-GB"/>
        </w:rPr>
        <w:t xml:space="preserve"> pieņemšanu</w:t>
      </w:r>
    </w:p>
    <w:p w:rsidR="00D30C8C" w:rsidRPr="0059763D" w:rsidRDefault="00D30C8C" w:rsidP="00D30C8C">
      <w:pPr>
        <w:widowControl w:val="0"/>
        <w:spacing w:before="120" w:after="120" w:line="360" w:lineRule="auto"/>
        <w:jc w:val="left"/>
        <w:rPr>
          <w:rFonts w:eastAsia="Times New Roman"/>
          <w:szCs w:val="20"/>
          <w:lang w:val="lv-LV" w:eastAsia="en-GB"/>
        </w:rPr>
      </w:pPr>
      <w:r w:rsidRPr="0059763D">
        <w:rPr>
          <w:rFonts w:eastAsia="Times New Roman"/>
          <w:szCs w:val="20"/>
          <w:lang w:val="lv-LV" w:eastAsia="en-GB"/>
        </w:rPr>
        <w:t>“Eiropas Parlaments un Padome ir vienojušies, ka visus procentus vai citas maksas, kas jāmaksā par atceltiem vai samazinātiem naudas sodiem, citiem sodiem vai sankcijām, pašreizējās daudzgadu shēmas darbības laikā iegrāmatos kā negatīvus ieņēmumus. Tas ir izņēmums no negatīvu ieņēmumu aizlieguma un attiecas tikai uz šo konkrēto, neparedzamo situāciju.</w:t>
      </w:r>
    </w:p>
    <w:p w:rsidR="00D30C8C" w:rsidRPr="0059763D" w:rsidRDefault="00D30C8C" w:rsidP="00D30C8C">
      <w:pPr>
        <w:widowControl w:val="0"/>
        <w:spacing w:before="120" w:after="120" w:line="360" w:lineRule="auto"/>
        <w:jc w:val="left"/>
        <w:rPr>
          <w:rFonts w:eastAsia="Times New Roman"/>
          <w:szCs w:val="20"/>
          <w:lang w:val="lv-LV" w:eastAsia="en-GB"/>
        </w:rPr>
      </w:pPr>
      <w:r w:rsidRPr="0059763D">
        <w:rPr>
          <w:rFonts w:eastAsia="Times New Roman"/>
          <w:szCs w:val="20"/>
          <w:lang w:val="lv-LV" w:eastAsia="en-GB"/>
        </w:rPr>
        <w:t>Neskarot attiecīgās prerogatīvas, Eiropas Parlaments, Padome un Komisija, ņemot vērā iepriekšējo pieredzi un gaidāmās turpmākās norises, vienojas saskaņā ar Finanšu regulas budžeta principiem izskatīt ilgtermiņa ilgtspējīgu risinājumu šādu procentu vai citu maksu finansēšanai, kas būtu piemērojams pēc 2027. gada, tostarp attiecībā uz procentu likmi, kura jāmaksā par naudas sodu vai citu sodu summu, kas jāatmaksā kā pienācīga kompensācija saņēmējiem uzņēmumiem šādās situācijās.”</w:t>
      </w:r>
    </w:p>
    <w:p w:rsidR="00D30C8C" w:rsidRPr="0059763D" w:rsidRDefault="00D30C8C" w:rsidP="00D30C8C">
      <w:pPr>
        <w:jc w:val="left"/>
        <w:rPr>
          <w:rFonts w:eastAsia="Times New Roman"/>
          <w:szCs w:val="20"/>
          <w:lang w:val="lv-LV" w:eastAsia="en-GB"/>
        </w:rPr>
      </w:pPr>
    </w:p>
    <w:p w:rsidR="00D30C8C" w:rsidRPr="0059763D" w:rsidRDefault="00D30C8C" w:rsidP="00D30C8C">
      <w:pPr>
        <w:widowControl w:val="0"/>
        <w:spacing w:before="120" w:after="120" w:line="360" w:lineRule="auto"/>
        <w:jc w:val="center"/>
        <w:rPr>
          <w:rFonts w:eastAsia="Times New Roman"/>
          <w:b/>
          <w:szCs w:val="20"/>
          <w:u w:val="single"/>
          <w:lang w:val="lv-LV" w:eastAsia="en-GB"/>
        </w:rPr>
      </w:pPr>
      <w:r w:rsidRPr="0059763D">
        <w:rPr>
          <w:rFonts w:eastAsia="Times New Roman"/>
          <w:szCs w:val="20"/>
          <w:lang w:val="lv-LV" w:eastAsia="en-GB"/>
        </w:rPr>
        <w:t>|</w:t>
      </w:r>
      <w:r w:rsidRPr="0059763D">
        <w:rPr>
          <w:rFonts w:eastAsia="Times New Roman"/>
          <w:b/>
          <w:szCs w:val="20"/>
          <w:u w:val="single"/>
          <w:lang w:val="lv-LV" w:eastAsia="en-GB"/>
        </w:rPr>
        <w:t xml:space="preserve">Eiropas Parlamenta, Padomes un Komisijas kopīgs paziņojums par Finanšu regulas 36. pantā paredzēto vienoto datizraces un riska novērtēšanas rīku saistībā ar Regulas </w:t>
      </w:r>
      <w:r w:rsidRPr="00D30C8C">
        <w:rPr>
          <w:rFonts w:eastAsia="Times New Roman"/>
          <w:b/>
          <w:szCs w:val="20"/>
          <w:u w:val="single"/>
          <w:lang w:val="lv-LV" w:eastAsia="en-GB"/>
        </w:rPr>
        <w:t xml:space="preserve">(ES, </w:t>
      </w:r>
      <w:r w:rsidRPr="00D30C8C">
        <w:rPr>
          <w:rFonts w:eastAsia="Times New Roman"/>
          <w:b/>
          <w:i/>
          <w:szCs w:val="20"/>
          <w:u w:val="single"/>
          <w:lang w:val="lv-LV" w:eastAsia="en-GB"/>
        </w:rPr>
        <w:t>Euratom</w:t>
      </w:r>
      <w:r w:rsidRPr="00D30C8C">
        <w:rPr>
          <w:rFonts w:eastAsia="Times New Roman"/>
          <w:b/>
          <w:szCs w:val="20"/>
          <w:u w:val="single"/>
          <w:lang w:val="lv-LV" w:eastAsia="en-GB"/>
        </w:rPr>
        <w:t>) 2024/2509</w:t>
      </w:r>
      <w:r>
        <w:rPr>
          <w:rFonts w:eastAsia="Times New Roman"/>
          <w:b/>
          <w:szCs w:val="20"/>
          <w:u w:val="single"/>
          <w:lang w:val="lv-LV" w:eastAsia="en-GB"/>
        </w:rPr>
        <w:t xml:space="preserve"> </w:t>
      </w:r>
      <w:r w:rsidRPr="0059763D">
        <w:rPr>
          <w:rFonts w:eastAsia="Times New Roman"/>
          <w:b/>
          <w:szCs w:val="20"/>
          <w:u w:val="single"/>
          <w:lang w:val="lv-LV" w:eastAsia="en-GB"/>
        </w:rPr>
        <w:t>pieņemšanu</w:t>
      </w:r>
    </w:p>
    <w:p w:rsidR="00D30C8C" w:rsidRPr="0059763D" w:rsidRDefault="00D30C8C" w:rsidP="00D30C8C">
      <w:pPr>
        <w:widowControl w:val="0"/>
        <w:spacing w:before="120" w:after="120" w:line="360" w:lineRule="auto"/>
        <w:jc w:val="left"/>
        <w:rPr>
          <w:rFonts w:eastAsia="Times New Roman"/>
          <w:szCs w:val="20"/>
          <w:lang w:val="lv-LV" w:eastAsia="en-GB"/>
        </w:rPr>
      </w:pPr>
      <w:r w:rsidRPr="0059763D">
        <w:rPr>
          <w:rFonts w:eastAsia="Times New Roman"/>
          <w:szCs w:val="20"/>
          <w:lang w:val="lv-LV" w:eastAsia="en-GB"/>
        </w:rPr>
        <w:t>“Eiropas Parlaments, Padome un Komisija (“trīs iestādes”) atzīst, ka ir svarīgi uzlabot Savienības finanšu interešu aizsardzību, kā norādīts 2020. gada 16. decembra Iestāžu nolīgumā (“IN”) un kā noteikts LESD 325. pantā.</w:t>
      </w:r>
    </w:p>
    <w:p w:rsidR="00D30C8C" w:rsidRPr="0059763D" w:rsidRDefault="00D30C8C" w:rsidP="00D30C8C">
      <w:pPr>
        <w:widowControl w:val="0"/>
        <w:spacing w:before="120" w:after="120" w:line="360" w:lineRule="auto"/>
        <w:jc w:val="left"/>
        <w:rPr>
          <w:rFonts w:eastAsia="Times New Roman"/>
          <w:szCs w:val="20"/>
          <w:lang w:val="lv-LV" w:eastAsia="en-GB"/>
        </w:rPr>
      </w:pPr>
      <w:r w:rsidRPr="0059763D">
        <w:rPr>
          <w:rFonts w:eastAsia="Times New Roman"/>
          <w:szCs w:val="20"/>
          <w:lang w:val="lv-LV" w:eastAsia="en-GB"/>
        </w:rPr>
        <w:t>Visas trīs iestādes piekrīt, ka šis rīks ir jāpilnveido saskaņā ar IT drošības un datu aizsardzības noteikumiem. Lai samazinātu administratīvo slogu un izvairītos no nesamērīgām IT izmaksām dalībvalstīm un citiem lietotājiem, tiks ņemtas vērā dalībvalstīs izveidotās apstiprinātās sistēmas.</w:t>
      </w:r>
    </w:p>
    <w:p w:rsidR="00D30C8C" w:rsidRPr="0059763D" w:rsidRDefault="00D30C8C" w:rsidP="00D30C8C">
      <w:pPr>
        <w:widowControl w:val="0"/>
        <w:spacing w:before="120" w:after="120" w:line="360" w:lineRule="auto"/>
        <w:jc w:val="left"/>
        <w:rPr>
          <w:rFonts w:eastAsia="Times New Roman"/>
          <w:szCs w:val="20"/>
          <w:lang w:val="lv-LV" w:eastAsia="en-GB"/>
        </w:rPr>
      </w:pPr>
      <w:r w:rsidRPr="0059763D">
        <w:rPr>
          <w:rFonts w:eastAsia="Times New Roman"/>
          <w:szCs w:val="20"/>
          <w:lang w:val="lv-LV" w:eastAsia="en-GB"/>
        </w:rPr>
        <w:t>Trīs iestādes apņemas sadarboties turpmākā šī rīka izstrādē. Komisija apstiprina, ka tā turpinās izstrādāt šo rīku, apspriežoties ar tā lietotājiem, un piedāvās dalībvalstīm atbalstu visu tehnisko jautājumu risināšanā. Dalībvalstis sadarbosies ar Komisiju, lai nodrošinātu sinerģiju, kas vajadzīga sadarbspējai ar attiecīgajām IT sistēmām un datubāzēm.</w:t>
      </w:r>
    </w:p>
    <w:p w:rsidR="00D30C8C" w:rsidRPr="0059763D" w:rsidRDefault="00D30C8C" w:rsidP="00D30C8C">
      <w:pPr>
        <w:widowControl w:val="0"/>
        <w:spacing w:before="120" w:after="120" w:line="360" w:lineRule="auto"/>
        <w:jc w:val="left"/>
        <w:rPr>
          <w:rFonts w:eastAsia="Times New Roman"/>
          <w:szCs w:val="20"/>
          <w:lang w:val="lv-LV" w:eastAsia="en-GB"/>
        </w:rPr>
      </w:pPr>
      <w:r w:rsidRPr="0059763D">
        <w:rPr>
          <w:rFonts w:eastAsia="Times New Roman"/>
          <w:szCs w:val="20"/>
          <w:lang w:val="lv-LV" w:eastAsia="en-GB"/>
        </w:rPr>
        <w:t>Pēc tam, kad Komisija būs novērtējusi šī rīka gatavību, pamatojoties uz Finanšu regulas 36. panta 6. punktā minētajiem kritērijiem, trīs iestādes, neskarot to attiecīgās kompetences, apņemas izskatīt un atkārtoti apspriest šī rīka obligātu izmantošanu daudzgadu finanšu shēmā laikposmam pēc 2027. gada.”</w:t>
      </w:r>
    </w:p>
    <w:p w:rsidR="00D30C8C" w:rsidRPr="0059763D" w:rsidRDefault="00D30C8C" w:rsidP="00D30C8C">
      <w:pPr>
        <w:jc w:val="left"/>
        <w:rPr>
          <w:rFonts w:eastAsia="Times New Roman"/>
          <w:szCs w:val="20"/>
          <w:lang w:val="lv-LV" w:eastAsia="en-GB"/>
        </w:rPr>
      </w:pPr>
    </w:p>
    <w:p w:rsidR="00D30C8C" w:rsidRPr="0059763D" w:rsidRDefault="00D30C8C" w:rsidP="00D30C8C">
      <w:pPr>
        <w:widowControl w:val="0"/>
        <w:spacing w:before="120" w:after="120" w:line="360" w:lineRule="auto"/>
        <w:jc w:val="center"/>
        <w:rPr>
          <w:rFonts w:eastAsia="Times New Roman"/>
          <w:b/>
          <w:szCs w:val="20"/>
          <w:u w:val="single"/>
          <w:lang w:val="lv-LV" w:eastAsia="en-GB"/>
        </w:rPr>
      </w:pPr>
      <w:r w:rsidRPr="0059763D">
        <w:rPr>
          <w:rFonts w:eastAsia="Times New Roman"/>
          <w:b/>
          <w:szCs w:val="20"/>
          <w:u w:val="single"/>
          <w:lang w:val="lv-LV" w:eastAsia="en-GB"/>
        </w:rPr>
        <w:t xml:space="preserve">Komisijas vienpusējs paziņojums par atceltajām saistībām saistībā ar Regulas </w:t>
      </w:r>
      <w:r w:rsidRPr="00D30C8C">
        <w:rPr>
          <w:rFonts w:eastAsia="Times New Roman"/>
          <w:b/>
          <w:szCs w:val="20"/>
          <w:u w:val="single"/>
          <w:lang w:val="lv-LV" w:eastAsia="en-GB"/>
        </w:rPr>
        <w:t xml:space="preserve">(ES, </w:t>
      </w:r>
      <w:r w:rsidRPr="00D30C8C">
        <w:rPr>
          <w:rFonts w:eastAsia="Times New Roman"/>
          <w:b/>
          <w:i/>
          <w:szCs w:val="20"/>
          <w:u w:val="single"/>
          <w:lang w:val="lv-LV" w:eastAsia="en-GB"/>
        </w:rPr>
        <w:t>Euratom</w:t>
      </w:r>
      <w:r w:rsidRPr="00D30C8C">
        <w:rPr>
          <w:rFonts w:eastAsia="Times New Roman"/>
          <w:b/>
          <w:szCs w:val="20"/>
          <w:u w:val="single"/>
          <w:lang w:val="lv-LV" w:eastAsia="en-GB"/>
        </w:rPr>
        <w:t>) 2024/2509</w:t>
      </w:r>
      <w:r>
        <w:rPr>
          <w:rFonts w:eastAsia="Times New Roman"/>
          <w:b/>
          <w:szCs w:val="20"/>
          <w:u w:val="single"/>
          <w:lang w:val="lv-LV" w:eastAsia="en-GB"/>
        </w:rPr>
        <w:t xml:space="preserve"> </w:t>
      </w:r>
      <w:r w:rsidRPr="0059763D">
        <w:rPr>
          <w:rFonts w:eastAsia="Times New Roman"/>
          <w:b/>
          <w:szCs w:val="20"/>
          <w:u w:val="single"/>
          <w:lang w:val="lv-LV" w:eastAsia="en-GB"/>
        </w:rPr>
        <w:t>pieņemšanu</w:t>
      </w:r>
    </w:p>
    <w:p w:rsidR="00D30C8C" w:rsidRPr="0059763D" w:rsidRDefault="00D30C8C" w:rsidP="00D30C8C">
      <w:pPr>
        <w:widowControl w:val="0"/>
        <w:spacing w:before="120" w:after="120" w:line="360" w:lineRule="auto"/>
        <w:jc w:val="left"/>
        <w:rPr>
          <w:rFonts w:eastAsia="Times New Roman"/>
          <w:szCs w:val="20"/>
          <w:lang w:val="lv-LV" w:eastAsia="en-GB"/>
        </w:rPr>
      </w:pPr>
      <w:r w:rsidRPr="0059763D">
        <w:rPr>
          <w:rFonts w:eastAsia="Times New Roman"/>
          <w:szCs w:val="20"/>
          <w:lang w:val="lv-LV" w:eastAsia="en-GB"/>
        </w:rPr>
        <w:t>“Daudzgadu finanšu shēmas laikposmam pēc 2027. gada sagatavošanas kontekstā Komisija izskatīs jautājumu par piemērošanas jomas, kurā tiek atkal darītas pieejamas apropriācijas, kas atbilst atceltajām saistībām, paplašināšanu. Tas neskar gaidāmo Komisijas priekšlikumu par daudzgadu finanšu shēmu laikposmam pēc 2027. gada un Komisijas likumdošanas iniciatīvas tiesības, kā noteikts Līgumos.”</w:t>
      </w:r>
    </w:p>
    <w:p w:rsidR="00D30C8C" w:rsidRPr="0059763D" w:rsidRDefault="00D30C8C" w:rsidP="00D30C8C">
      <w:pPr>
        <w:widowControl w:val="0"/>
        <w:spacing w:before="120" w:after="120" w:line="360" w:lineRule="auto"/>
        <w:jc w:val="center"/>
        <w:rPr>
          <w:rFonts w:eastAsia="Times New Roman"/>
          <w:b/>
          <w:szCs w:val="20"/>
          <w:u w:val="single"/>
          <w:lang w:val="lv-LV" w:eastAsia="en-GB"/>
        </w:rPr>
      </w:pPr>
    </w:p>
    <w:p w:rsidR="00D30C8C" w:rsidRPr="0059763D" w:rsidRDefault="00D30C8C" w:rsidP="00D30C8C">
      <w:pPr>
        <w:widowControl w:val="0"/>
        <w:spacing w:before="120" w:after="120" w:line="360" w:lineRule="auto"/>
        <w:jc w:val="center"/>
        <w:rPr>
          <w:rFonts w:eastAsia="Times New Roman"/>
          <w:b/>
          <w:szCs w:val="20"/>
          <w:u w:val="single"/>
          <w:lang w:val="lv-LV" w:eastAsia="en-GB"/>
        </w:rPr>
      </w:pPr>
      <w:r w:rsidRPr="0059763D">
        <w:rPr>
          <w:rFonts w:eastAsia="Times New Roman"/>
          <w:b/>
          <w:szCs w:val="20"/>
          <w:u w:val="single"/>
          <w:lang w:val="lv-LV" w:eastAsia="en-GB"/>
        </w:rPr>
        <w:t xml:space="preserve">Komisijas vienpusējs paziņojums par agrīnas atklāšanas un izslēgšanas sistēmu saistībā ar Regulas </w:t>
      </w:r>
      <w:r w:rsidRPr="00D30C8C">
        <w:rPr>
          <w:rFonts w:eastAsia="Times New Roman"/>
          <w:b/>
          <w:szCs w:val="20"/>
          <w:u w:val="single"/>
          <w:lang w:val="lv-LV" w:eastAsia="en-GB"/>
        </w:rPr>
        <w:t xml:space="preserve">(ES, </w:t>
      </w:r>
      <w:r w:rsidRPr="00D30C8C">
        <w:rPr>
          <w:rFonts w:eastAsia="Times New Roman"/>
          <w:b/>
          <w:i/>
          <w:szCs w:val="20"/>
          <w:u w:val="single"/>
          <w:lang w:val="lv-LV" w:eastAsia="en-GB"/>
        </w:rPr>
        <w:t>Euratom</w:t>
      </w:r>
      <w:r w:rsidRPr="00D30C8C">
        <w:rPr>
          <w:rFonts w:eastAsia="Times New Roman"/>
          <w:b/>
          <w:szCs w:val="20"/>
          <w:u w:val="single"/>
          <w:lang w:val="lv-LV" w:eastAsia="en-GB"/>
        </w:rPr>
        <w:t>) 2024/2509</w:t>
      </w:r>
      <w:r w:rsidRPr="0059763D">
        <w:rPr>
          <w:rFonts w:eastAsia="Times New Roman"/>
          <w:b/>
          <w:szCs w:val="20"/>
          <w:u w:val="single"/>
          <w:lang w:val="lv-LV" w:eastAsia="en-GB"/>
        </w:rPr>
        <w:t xml:space="preserve"> pieņemšanu</w:t>
      </w:r>
    </w:p>
    <w:p w:rsidR="00D30C8C" w:rsidRPr="0059763D" w:rsidRDefault="00D30C8C" w:rsidP="00D30C8C">
      <w:pPr>
        <w:widowControl w:val="0"/>
        <w:spacing w:before="120" w:after="120" w:line="360" w:lineRule="auto"/>
        <w:jc w:val="left"/>
        <w:rPr>
          <w:rFonts w:eastAsia="Times New Roman"/>
          <w:szCs w:val="20"/>
          <w:lang w:val="lv-LV" w:eastAsia="en-GB"/>
        </w:rPr>
      </w:pPr>
      <w:r w:rsidRPr="0059763D">
        <w:rPr>
          <w:rFonts w:eastAsia="Times New Roman"/>
          <w:szCs w:val="20"/>
          <w:lang w:val="lv-LV" w:eastAsia="en-GB"/>
        </w:rPr>
        <w:t>“Eiropas Komisija atzīst, cik svarīgi ir līdz minimumam samazināt administratīvo slogu dalībvalstu iestādēm saistībā ar agrīnas atklāšanas un izslēgšanas sistēmas (</w:t>
      </w:r>
      <w:r w:rsidRPr="0059763D">
        <w:rPr>
          <w:rFonts w:eastAsia="Times New Roman"/>
          <w:i/>
          <w:iCs/>
          <w:szCs w:val="20"/>
          <w:lang w:val="lv-LV" w:eastAsia="en-GB"/>
        </w:rPr>
        <w:t>EDES</w:t>
      </w:r>
      <w:r w:rsidRPr="0059763D">
        <w:rPr>
          <w:rFonts w:eastAsia="Times New Roman"/>
          <w:szCs w:val="20"/>
          <w:lang w:val="lv-LV" w:eastAsia="en-GB"/>
        </w:rPr>
        <w:t xml:space="preserve">) mērķtiecīgu paplašināšanu, attiecinot to arī uz dalīto pārvaldību un tiešo pārvaldību ar dalībvalstīm. </w:t>
      </w:r>
    </w:p>
    <w:p w:rsidR="00D30C8C" w:rsidRPr="0059763D" w:rsidRDefault="00D30C8C" w:rsidP="00D30C8C">
      <w:pPr>
        <w:widowControl w:val="0"/>
        <w:spacing w:before="120" w:after="120" w:line="360" w:lineRule="auto"/>
        <w:jc w:val="left"/>
        <w:rPr>
          <w:rFonts w:eastAsia="Times New Roman"/>
          <w:szCs w:val="20"/>
          <w:lang w:val="lv-LV" w:eastAsia="en-GB"/>
        </w:rPr>
      </w:pPr>
      <w:r w:rsidRPr="0059763D">
        <w:rPr>
          <w:rFonts w:eastAsia="Times New Roman"/>
          <w:szCs w:val="20"/>
          <w:lang w:val="lv-LV" w:eastAsia="en-GB"/>
        </w:rPr>
        <w:t xml:space="preserve">Komisija ir apņēmusies izstrādāt visaptverošus norādījumus un piedāvāt dalībvalstīm mācību sesijas par </w:t>
      </w:r>
      <w:r w:rsidRPr="0059763D">
        <w:rPr>
          <w:rFonts w:eastAsia="Times New Roman"/>
          <w:i/>
          <w:iCs/>
          <w:szCs w:val="20"/>
          <w:lang w:val="lv-LV" w:eastAsia="en-GB"/>
        </w:rPr>
        <w:t>EDES</w:t>
      </w:r>
      <w:r w:rsidRPr="0059763D">
        <w:rPr>
          <w:rFonts w:eastAsia="Times New Roman"/>
          <w:szCs w:val="20"/>
          <w:lang w:val="lv-LV" w:eastAsia="en-GB"/>
        </w:rPr>
        <w:t xml:space="preserve"> īstenošanu un tās datubāzes izmantošanu. </w:t>
      </w:r>
    </w:p>
    <w:p w:rsidR="00D30C8C" w:rsidRPr="0059763D" w:rsidRDefault="00D30C8C" w:rsidP="00D30C8C">
      <w:pPr>
        <w:widowControl w:val="0"/>
        <w:spacing w:before="120" w:after="120" w:line="360" w:lineRule="auto"/>
        <w:jc w:val="left"/>
        <w:rPr>
          <w:rFonts w:eastAsia="Times New Roman"/>
          <w:szCs w:val="20"/>
          <w:lang w:val="lv-LV" w:eastAsia="en-GB"/>
        </w:rPr>
      </w:pPr>
      <w:r w:rsidRPr="0059763D">
        <w:rPr>
          <w:rFonts w:eastAsia="Times New Roman"/>
          <w:szCs w:val="20"/>
          <w:lang w:val="lv-LV" w:eastAsia="en-GB"/>
        </w:rPr>
        <w:t xml:space="preserve">Komisija turpinās uzlabot </w:t>
      </w:r>
      <w:r w:rsidRPr="0059763D">
        <w:rPr>
          <w:rFonts w:eastAsia="Times New Roman"/>
          <w:i/>
          <w:iCs/>
          <w:szCs w:val="20"/>
          <w:lang w:val="lv-LV" w:eastAsia="en-GB"/>
        </w:rPr>
        <w:t>EDES</w:t>
      </w:r>
      <w:r w:rsidRPr="0059763D">
        <w:rPr>
          <w:rFonts w:eastAsia="Times New Roman"/>
          <w:szCs w:val="20"/>
          <w:lang w:val="lv-LV" w:eastAsia="en-GB"/>
        </w:rPr>
        <w:t xml:space="preserve"> datubāzi, piemēram, ļaujot veikt vairāku vienību meklēšanu un uzlabojot datubāzes izkārtojumu.</w:t>
      </w:r>
    </w:p>
    <w:p w:rsidR="00D30C8C" w:rsidRPr="0059763D" w:rsidRDefault="00D30C8C" w:rsidP="00D30C8C">
      <w:pPr>
        <w:widowControl w:val="0"/>
        <w:spacing w:before="120" w:after="120" w:line="360" w:lineRule="auto"/>
        <w:jc w:val="left"/>
        <w:rPr>
          <w:rFonts w:eastAsia="Times New Roman"/>
          <w:szCs w:val="20"/>
          <w:lang w:val="lv-LV" w:eastAsia="en-GB"/>
        </w:rPr>
      </w:pPr>
      <w:r w:rsidRPr="0059763D">
        <w:rPr>
          <w:rFonts w:eastAsia="Times New Roman"/>
          <w:szCs w:val="20"/>
          <w:lang w:val="lv-LV" w:eastAsia="en-GB"/>
        </w:rPr>
        <w:t xml:space="preserve">Komisija centīsies nodrošināt IT sadarbspēju starp </w:t>
      </w:r>
      <w:r w:rsidRPr="0059763D">
        <w:rPr>
          <w:rFonts w:eastAsia="Times New Roman"/>
          <w:i/>
          <w:iCs/>
          <w:szCs w:val="20"/>
          <w:lang w:val="lv-LV" w:eastAsia="en-GB"/>
        </w:rPr>
        <w:t>EDES</w:t>
      </w:r>
      <w:r w:rsidRPr="0059763D">
        <w:rPr>
          <w:rFonts w:eastAsia="Times New Roman"/>
          <w:szCs w:val="20"/>
          <w:lang w:val="lv-LV" w:eastAsia="en-GB"/>
        </w:rPr>
        <w:t xml:space="preserve"> un attiecīgajām valstu sistēmām, lai racionalizētu procesu un ļautu ātrāk pārbaudīt attiecīgo personu vai vienību izslēgšanas situācijas.</w:t>
      </w:r>
    </w:p>
    <w:p w:rsidR="00D30C8C" w:rsidRPr="0059763D" w:rsidRDefault="00D30C8C" w:rsidP="00D30C8C">
      <w:pPr>
        <w:widowControl w:val="0"/>
        <w:spacing w:before="120" w:after="120" w:line="360" w:lineRule="auto"/>
        <w:jc w:val="left"/>
        <w:rPr>
          <w:rFonts w:eastAsia="Times New Roman"/>
          <w:szCs w:val="20"/>
          <w:lang w:val="lv-LV" w:eastAsia="en-GB"/>
        </w:rPr>
      </w:pPr>
      <w:r w:rsidRPr="0059763D">
        <w:rPr>
          <w:rFonts w:eastAsia="Times New Roman"/>
          <w:szCs w:val="20"/>
          <w:lang w:val="lv-LV" w:eastAsia="en-GB"/>
        </w:rPr>
        <w:t xml:space="preserve">Komisija apstiprina, ka ikviens papildu informācijas pieprasījums </w:t>
      </w:r>
      <w:r w:rsidRPr="0059763D">
        <w:rPr>
          <w:rFonts w:eastAsia="Times New Roman"/>
          <w:i/>
          <w:iCs/>
          <w:szCs w:val="20"/>
          <w:lang w:val="lv-LV" w:eastAsia="en-GB"/>
        </w:rPr>
        <w:t>EDES</w:t>
      </w:r>
      <w:r w:rsidRPr="0059763D">
        <w:rPr>
          <w:rFonts w:eastAsia="Times New Roman"/>
          <w:szCs w:val="20"/>
          <w:lang w:val="lv-LV" w:eastAsia="en-GB"/>
        </w:rPr>
        <w:t xml:space="preserve"> vajadzībām tiks izskatīts, nepārsniedzot to, kas ir absolūti nepieciešams un samērīgs, un saskaņā ar piemērojamajiem datu aizsardzības noteikumiem. Jāatgādina, ka Eiropas Datu aizsardzības uzraudzītāja atzinums par Komisijas priekšlikumu Finanšu regulas pārstrādāšanai neradīja nekādas bažas attiecībā uz </w:t>
      </w:r>
      <w:r w:rsidRPr="0059763D">
        <w:rPr>
          <w:rFonts w:eastAsia="Times New Roman"/>
          <w:i/>
          <w:iCs/>
          <w:szCs w:val="20"/>
          <w:lang w:val="lv-LV" w:eastAsia="en-GB"/>
        </w:rPr>
        <w:t>EDES</w:t>
      </w:r>
      <w:r w:rsidRPr="0059763D">
        <w:rPr>
          <w:rFonts w:eastAsia="Times New Roman"/>
          <w:szCs w:val="20"/>
          <w:lang w:val="lv-LV" w:eastAsia="en-GB"/>
        </w:rPr>
        <w:t>.</w:t>
      </w:r>
    </w:p>
    <w:p w:rsidR="00D30C8C" w:rsidRPr="0059763D" w:rsidRDefault="00D30C8C" w:rsidP="00D30C8C">
      <w:pPr>
        <w:widowControl w:val="0"/>
        <w:spacing w:before="120" w:after="120" w:line="360" w:lineRule="auto"/>
        <w:jc w:val="left"/>
        <w:rPr>
          <w:rFonts w:eastAsia="Times New Roman"/>
          <w:szCs w:val="20"/>
          <w:lang w:val="lv-LV" w:eastAsia="en-GB"/>
        </w:rPr>
      </w:pPr>
      <w:r w:rsidRPr="0059763D">
        <w:rPr>
          <w:rFonts w:eastAsia="Times New Roman"/>
          <w:szCs w:val="20"/>
          <w:lang w:val="lv-LV" w:eastAsia="en-GB"/>
        </w:rPr>
        <w:t xml:space="preserve">Komisija ir apņēmusies veicināt netraucētu pāreju uz </w:t>
      </w:r>
      <w:r w:rsidRPr="0059763D">
        <w:rPr>
          <w:rFonts w:eastAsia="Times New Roman"/>
          <w:i/>
          <w:iCs/>
          <w:szCs w:val="20"/>
          <w:lang w:val="lv-LV" w:eastAsia="en-GB"/>
        </w:rPr>
        <w:t>EDES</w:t>
      </w:r>
      <w:r w:rsidRPr="0059763D">
        <w:rPr>
          <w:rFonts w:eastAsia="Times New Roman"/>
          <w:szCs w:val="20"/>
          <w:lang w:val="lv-LV" w:eastAsia="en-GB"/>
        </w:rPr>
        <w:t xml:space="preserve"> piemērošanu, pilnībā sadarbojoties ar dalībvalstīm.”</w:t>
      </w:r>
      <w:bookmarkStart w:id="8" w:name="_GoBack"/>
      <w:bookmarkEnd w:id="8"/>
    </w:p>
    <w:p w:rsidR="00D30C8C" w:rsidRPr="0059763D" w:rsidRDefault="00D30C8C" w:rsidP="00D30C8C">
      <w:pPr>
        <w:widowControl w:val="0"/>
        <w:spacing w:before="120" w:after="120" w:line="360" w:lineRule="auto"/>
        <w:jc w:val="left"/>
        <w:rPr>
          <w:rFonts w:eastAsia="Times New Roman"/>
          <w:szCs w:val="20"/>
          <w:lang w:val="lv-LV" w:eastAsia="en-GB"/>
        </w:rPr>
      </w:pPr>
    </w:p>
    <w:p w:rsidR="00D30C8C" w:rsidRPr="0059763D" w:rsidRDefault="00D30C8C" w:rsidP="00D30C8C">
      <w:pPr>
        <w:widowControl w:val="0"/>
        <w:jc w:val="left"/>
        <w:rPr>
          <w:rFonts w:eastAsia="Times New Roman"/>
          <w:szCs w:val="20"/>
          <w:lang w:val="lv-LV" w:eastAsia="en-GB"/>
        </w:rPr>
      </w:pPr>
    </w:p>
    <w:p w:rsidR="00D30C8C" w:rsidRPr="0059763D" w:rsidRDefault="00D30C8C" w:rsidP="00D30C8C">
      <w:pPr>
        <w:rPr>
          <w:lang w:val="lv-LV"/>
        </w:rPr>
      </w:pPr>
    </w:p>
    <w:sectPr w:rsidR="00D30C8C" w:rsidRPr="0059763D" w:rsidSect="00D30C8C">
      <w:footnotePr>
        <w:numRestart w:val="eachSect"/>
      </w:footnotePr>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E43" w:rsidRDefault="00786E43" w:rsidP="00786E43">
      <w:r>
        <w:separator/>
      </w:r>
    </w:p>
  </w:endnote>
  <w:endnote w:type="continuationSeparator" w:id="0">
    <w:p w:rsidR="00786E43" w:rsidRDefault="00786E43" w:rsidP="00786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Outlook">
    <w:panose1 w:val="0501010001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E43" w:rsidRDefault="00786E43" w:rsidP="00786E43">
      <w:r>
        <w:separator/>
      </w:r>
    </w:p>
  </w:footnote>
  <w:footnote w:type="continuationSeparator" w:id="0">
    <w:p w:rsidR="00786E43" w:rsidRDefault="00786E43" w:rsidP="00786E43">
      <w:r>
        <w:continuationSeparator/>
      </w:r>
    </w:p>
  </w:footnote>
  <w:footnote w:id="1">
    <w:p w:rsidR="00786E43" w:rsidRPr="008D2635" w:rsidRDefault="00786E43" w:rsidP="00786E43">
      <w:pPr>
        <w:pStyle w:val="FootnoteText"/>
        <w:ind w:left="567" w:hanging="567"/>
        <w:rPr>
          <w:sz w:val="24"/>
          <w:szCs w:val="24"/>
          <w:lang w:val="lv-LV"/>
        </w:rPr>
      </w:pPr>
      <w:r w:rsidRPr="008D2635">
        <w:rPr>
          <w:rStyle w:val="FootnoteReference"/>
          <w:rFonts w:eastAsiaTheme="majorEastAsia"/>
          <w:lang w:val="lv-LV"/>
        </w:rPr>
        <w:footnoteRef/>
      </w:r>
      <w:r w:rsidRPr="008D2635">
        <w:rPr>
          <w:sz w:val="24"/>
          <w:szCs w:val="24"/>
          <w:lang w:val="lv-LV"/>
        </w:rPr>
        <w:t xml:space="preserve"> </w:t>
      </w:r>
      <w:r w:rsidRPr="008D2635">
        <w:rPr>
          <w:sz w:val="24"/>
          <w:szCs w:val="24"/>
          <w:lang w:val="lv-LV"/>
        </w:rPr>
        <w:tab/>
        <w:t>OV C 446, 24.11.2022., 26. lpp.</w:t>
      </w:r>
    </w:p>
  </w:footnote>
  <w:footnote w:id="2">
    <w:p w:rsidR="00786E43" w:rsidRPr="008D2635" w:rsidRDefault="00786E43" w:rsidP="00786E43">
      <w:pPr>
        <w:pStyle w:val="FootnoteText"/>
        <w:ind w:left="567" w:hanging="567"/>
        <w:rPr>
          <w:sz w:val="24"/>
          <w:szCs w:val="24"/>
          <w:lang w:val="lv-LV"/>
        </w:rPr>
      </w:pPr>
      <w:r w:rsidRPr="008D2635">
        <w:rPr>
          <w:rStyle w:val="FootnoteReference"/>
          <w:rFonts w:eastAsiaTheme="majorEastAsia"/>
          <w:lang w:val="lv-LV"/>
        </w:rPr>
        <w:footnoteRef/>
      </w:r>
      <w:r w:rsidRPr="008D2635">
        <w:rPr>
          <w:sz w:val="24"/>
          <w:szCs w:val="24"/>
          <w:lang w:val="lv-LV"/>
        </w:rPr>
        <w:t xml:space="preserve"> </w:t>
      </w:r>
      <w:r w:rsidRPr="008D2635">
        <w:rPr>
          <w:sz w:val="24"/>
          <w:szCs w:val="24"/>
          <w:lang w:val="lv-LV"/>
        </w:rPr>
        <w:tab/>
        <w:t>OV C 77, 28.3.2002., 1.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A4535B1"/>
    <w:multiLevelType w:val="hybridMultilevel"/>
    <w:tmpl w:val="228A622E"/>
    <w:lvl w:ilvl="0" w:tplc="2DF69942">
      <w:start w:val="1"/>
      <w:numFmt w:val="bullet"/>
      <w:lvlText w:val=""/>
      <w:lvlJc w:val="left"/>
      <w:pPr>
        <w:ind w:left="360" w:hanging="360"/>
      </w:pPr>
      <w:rPr>
        <w:rFonts w:ascii="Symbol" w:hAnsi="Symbol" w:hint="default"/>
      </w:rPr>
    </w:lvl>
    <w:lvl w:ilvl="1" w:tplc="07602D36" w:tentative="1">
      <w:start w:val="1"/>
      <w:numFmt w:val="bullet"/>
      <w:lvlText w:val="o"/>
      <w:lvlJc w:val="left"/>
      <w:pPr>
        <w:ind w:left="1080" w:hanging="360"/>
      </w:pPr>
      <w:rPr>
        <w:rFonts w:ascii="Courier New" w:hAnsi="Courier New" w:cs="Courier New" w:hint="default"/>
      </w:rPr>
    </w:lvl>
    <w:lvl w:ilvl="2" w:tplc="F00EDC22" w:tentative="1">
      <w:start w:val="1"/>
      <w:numFmt w:val="bullet"/>
      <w:lvlText w:val=""/>
      <w:lvlJc w:val="left"/>
      <w:pPr>
        <w:ind w:left="1800" w:hanging="360"/>
      </w:pPr>
      <w:rPr>
        <w:rFonts w:ascii="Wingdings" w:hAnsi="Wingdings" w:hint="default"/>
      </w:rPr>
    </w:lvl>
    <w:lvl w:ilvl="3" w:tplc="8F24C158" w:tentative="1">
      <w:start w:val="1"/>
      <w:numFmt w:val="bullet"/>
      <w:lvlText w:val=""/>
      <w:lvlJc w:val="left"/>
      <w:pPr>
        <w:ind w:left="2520" w:hanging="360"/>
      </w:pPr>
      <w:rPr>
        <w:rFonts w:ascii="Symbol" w:hAnsi="Symbol" w:hint="default"/>
      </w:rPr>
    </w:lvl>
    <w:lvl w:ilvl="4" w:tplc="0368173E" w:tentative="1">
      <w:start w:val="1"/>
      <w:numFmt w:val="bullet"/>
      <w:lvlText w:val="o"/>
      <w:lvlJc w:val="left"/>
      <w:pPr>
        <w:ind w:left="3240" w:hanging="360"/>
      </w:pPr>
      <w:rPr>
        <w:rFonts w:ascii="Courier New" w:hAnsi="Courier New" w:cs="Courier New" w:hint="default"/>
      </w:rPr>
    </w:lvl>
    <w:lvl w:ilvl="5" w:tplc="0C568094" w:tentative="1">
      <w:start w:val="1"/>
      <w:numFmt w:val="bullet"/>
      <w:lvlText w:val=""/>
      <w:lvlJc w:val="left"/>
      <w:pPr>
        <w:ind w:left="3960" w:hanging="360"/>
      </w:pPr>
      <w:rPr>
        <w:rFonts w:ascii="Wingdings" w:hAnsi="Wingdings" w:hint="default"/>
      </w:rPr>
    </w:lvl>
    <w:lvl w:ilvl="6" w:tplc="1CF421C4" w:tentative="1">
      <w:start w:val="1"/>
      <w:numFmt w:val="bullet"/>
      <w:lvlText w:val=""/>
      <w:lvlJc w:val="left"/>
      <w:pPr>
        <w:ind w:left="4680" w:hanging="360"/>
      </w:pPr>
      <w:rPr>
        <w:rFonts w:ascii="Symbol" w:hAnsi="Symbol" w:hint="default"/>
      </w:rPr>
    </w:lvl>
    <w:lvl w:ilvl="7" w:tplc="E1BA4A60" w:tentative="1">
      <w:start w:val="1"/>
      <w:numFmt w:val="bullet"/>
      <w:lvlText w:val="o"/>
      <w:lvlJc w:val="left"/>
      <w:pPr>
        <w:ind w:left="5400" w:hanging="360"/>
      </w:pPr>
      <w:rPr>
        <w:rFonts w:ascii="Courier New" w:hAnsi="Courier New" w:cs="Courier New" w:hint="default"/>
      </w:rPr>
    </w:lvl>
    <w:lvl w:ilvl="8" w:tplc="A736524E" w:tentative="1">
      <w:start w:val="1"/>
      <w:numFmt w:val="bullet"/>
      <w:lvlText w:val=""/>
      <w:lvlJc w:val="left"/>
      <w:pPr>
        <w:ind w:left="6120" w:hanging="360"/>
      </w:pPr>
      <w:rPr>
        <w:rFonts w:ascii="Wingdings" w:hAnsi="Wingdings" w:hint="default"/>
      </w:rPr>
    </w:lvl>
  </w:abstractNum>
  <w:abstractNum w:abstractNumId="13" w15:restartNumberingAfterBreak="0">
    <w:nsid w:val="7BE95D7F"/>
    <w:multiLevelType w:val="multilevel"/>
    <w:tmpl w:val="6D0AA288"/>
    <w:lvl w:ilvl="0">
      <w:start w:val="1"/>
      <w:numFmt w:val="decimal"/>
      <w:lvlText w:val="(%1)"/>
      <w:lvlJc w:val="left"/>
      <w:pPr>
        <w:tabs>
          <w:tab w:val="num" w:pos="850"/>
        </w:tabs>
        <w:ind w:left="850" w:hanging="850"/>
      </w:pPr>
      <w:rPr>
        <w:rFonts w:cs="Times New Roman" w:hint="default"/>
      </w:rPr>
    </w:lvl>
    <w:lvl w:ilvl="1">
      <w:start w:val="1"/>
      <w:numFmt w:val="lowerLetter"/>
      <w:lvlText w:val="(%2)"/>
      <w:lvlJc w:val="left"/>
      <w:pPr>
        <w:tabs>
          <w:tab w:val="num" w:pos="850"/>
        </w:tabs>
        <w:ind w:left="850" w:hanging="850"/>
      </w:pPr>
      <w:rPr>
        <w:rFonts w:cs="Times New Roman" w:hint="default"/>
      </w:rPr>
    </w:lvl>
    <w:lvl w:ilvl="2">
      <w:start w:val="1"/>
      <w:numFmt w:val="decimal"/>
      <w:lvlText w:val="(%3)"/>
      <w:lvlJc w:val="left"/>
      <w:pPr>
        <w:tabs>
          <w:tab w:val="num" w:pos="1417"/>
        </w:tabs>
        <w:ind w:left="1417" w:hanging="567"/>
      </w:pPr>
      <w:rPr>
        <w:rFonts w:cs="Times New Roman" w:hint="default"/>
      </w:rPr>
    </w:lvl>
    <w:lvl w:ilvl="3">
      <w:start w:val="1"/>
      <w:numFmt w:val="lowerLetter"/>
      <w:lvlText w:val="(%4)"/>
      <w:lvlJc w:val="left"/>
      <w:pPr>
        <w:tabs>
          <w:tab w:val="num" w:pos="1417"/>
        </w:tabs>
        <w:ind w:left="1417" w:hanging="567"/>
      </w:pPr>
      <w:rPr>
        <w:rFonts w:cs="Times New Roman" w:hint="default"/>
      </w:rPr>
    </w:lvl>
    <w:lvl w:ilvl="4">
      <w:start w:val="1"/>
      <w:numFmt w:val="decimal"/>
      <w:lvlText w:val="(%5)"/>
      <w:lvlJc w:val="left"/>
      <w:pPr>
        <w:tabs>
          <w:tab w:val="num" w:pos="1984"/>
        </w:tabs>
        <w:ind w:left="1984" w:hanging="567"/>
      </w:pPr>
      <w:rPr>
        <w:rFonts w:cs="Times New Roman" w:hint="default"/>
      </w:rPr>
    </w:lvl>
    <w:lvl w:ilvl="5">
      <w:start w:val="1"/>
      <w:numFmt w:val="lowerLetter"/>
      <w:lvlText w:val="(%6)"/>
      <w:lvlJc w:val="left"/>
      <w:pPr>
        <w:tabs>
          <w:tab w:val="num" w:pos="1984"/>
        </w:tabs>
        <w:ind w:left="1984" w:hanging="567"/>
      </w:pPr>
      <w:rPr>
        <w:rFonts w:cs="Times New Roman" w:hint="default"/>
      </w:rPr>
    </w:lvl>
    <w:lvl w:ilvl="6">
      <w:start w:val="1"/>
      <w:numFmt w:val="decimal"/>
      <w:lvlText w:val="(%7)"/>
      <w:lvlJc w:val="left"/>
      <w:pPr>
        <w:tabs>
          <w:tab w:val="num" w:pos="4679"/>
        </w:tabs>
        <w:ind w:left="4679" w:hanging="567"/>
      </w:pPr>
      <w:rPr>
        <w:rFonts w:cs="Times New Roman" w:hint="default"/>
      </w:rPr>
    </w:lvl>
    <w:lvl w:ilvl="7">
      <w:start w:val="1"/>
      <w:numFmt w:val="lowerLetter"/>
      <w:lvlText w:val="(%8)"/>
      <w:lvlJc w:val="left"/>
      <w:pPr>
        <w:tabs>
          <w:tab w:val="num" w:pos="2551"/>
        </w:tabs>
        <w:ind w:left="2551" w:hanging="567"/>
      </w:pPr>
      <w:rPr>
        <w:rFonts w:cs="Times New Roman" w:hint="default"/>
      </w:rPr>
    </w:lvl>
    <w:lvl w:ilvl="8">
      <w:start w:val="1"/>
      <w:numFmt w:val="lowerLetter"/>
      <w:lvlText w:val="(%9)"/>
      <w:lvlJc w:val="left"/>
      <w:pPr>
        <w:tabs>
          <w:tab w:val="num" w:pos="3118"/>
        </w:tabs>
        <w:ind w:left="3118" w:hanging="567"/>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efaultTabStop w:val="720"/>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0DA"/>
    <w:rsid w:val="005762E3"/>
    <w:rsid w:val="0059763D"/>
    <w:rsid w:val="00651394"/>
    <w:rsid w:val="00786E43"/>
    <w:rsid w:val="008765BE"/>
    <w:rsid w:val="00B730DA"/>
    <w:rsid w:val="00D30C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083C5"/>
  <w15:chartTrackingRefBased/>
  <w15:docId w15:val="{E7B8AB23-5B9A-4B6F-B79E-AD1B449F4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character" w:customStyle="1" w:styleId="HideTWBExt">
    <w:name w:val="HideTWBExt"/>
    <w:rsid w:val="00786E43"/>
    <w:rPr>
      <w:rFonts w:ascii="Arial" w:hAnsi="Arial"/>
      <w:noProof/>
      <w:vanish/>
      <w:color w:val="000080"/>
      <w:sz w:val="20"/>
    </w:rPr>
  </w:style>
  <w:style w:type="paragraph" w:customStyle="1" w:styleId="EPBodyTA1">
    <w:name w:val="EPBodyTA1"/>
    <w:basedOn w:val="Normal"/>
    <w:rsid w:val="00786E43"/>
    <w:pPr>
      <w:widowControl w:val="0"/>
      <w:jc w:val="center"/>
    </w:pPr>
    <w:rPr>
      <w:rFonts w:ascii="Arial" w:eastAsia="Times New Roman" w:hAnsi="Arial" w:cs="Arial"/>
      <w:b/>
      <w:sz w:val="22"/>
      <w:szCs w:val="22"/>
      <w:lang w:val="lv-LV" w:eastAsia="en-GB"/>
    </w:rPr>
  </w:style>
  <w:style w:type="paragraph" w:customStyle="1" w:styleId="LineTop">
    <w:name w:val="LineTop"/>
    <w:basedOn w:val="Normal"/>
    <w:next w:val="Normal"/>
    <w:rsid w:val="00786E43"/>
    <w:pPr>
      <w:widowControl w:val="0"/>
      <w:pBdr>
        <w:top w:val="single" w:sz="4" w:space="1" w:color="auto"/>
      </w:pBdr>
      <w:jc w:val="center"/>
    </w:pPr>
    <w:rPr>
      <w:rFonts w:ascii="Arial" w:eastAsia="Times New Roman" w:hAnsi="Arial" w:cs="Arial"/>
      <w:sz w:val="16"/>
      <w:szCs w:val="16"/>
      <w:lang w:val="lv-LV" w:eastAsia="en-GB"/>
    </w:rPr>
  </w:style>
  <w:style w:type="paragraph" w:customStyle="1" w:styleId="LineBottom">
    <w:name w:val="LineBottom"/>
    <w:basedOn w:val="Normal"/>
    <w:next w:val="Normal"/>
    <w:rsid w:val="00786E43"/>
    <w:pPr>
      <w:widowControl w:val="0"/>
      <w:pBdr>
        <w:bottom w:val="single" w:sz="4" w:space="1" w:color="auto"/>
      </w:pBdr>
      <w:spacing w:after="240"/>
      <w:jc w:val="center"/>
    </w:pPr>
    <w:rPr>
      <w:rFonts w:ascii="Arial" w:eastAsia="Times New Roman" w:hAnsi="Arial" w:cs="Arial"/>
      <w:sz w:val="16"/>
      <w:szCs w:val="16"/>
      <w:lang w:val="lv-LV" w:eastAsia="en-GB"/>
    </w:rPr>
  </w:style>
  <w:style w:type="paragraph" w:customStyle="1" w:styleId="ATHeading1">
    <w:name w:val="AT Heading 1"/>
    <w:basedOn w:val="Normal"/>
    <w:next w:val="Normal"/>
    <w:rsid w:val="00786E43"/>
    <w:pPr>
      <w:keepNext/>
      <w:keepLines/>
      <w:spacing w:before="480" w:after="120"/>
      <w:jc w:val="left"/>
      <w:outlineLvl w:val="0"/>
    </w:pPr>
    <w:rPr>
      <w:rFonts w:eastAsia="Times New Roman"/>
      <w:b/>
      <w:sz w:val="28"/>
      <w:szCs w:val="20"/>
      <w:lang w:val="lv-LV" w:eastAsia="fr-FR"/>
    </w:rPr>
  </w:style>
  <w:style w:type="paragraph" w:customStyle="1" w:styleId="ATHeading2">
    <w:name w:val="AT Heading 2"/>
    <w:basedOn w:val="Normal"/>
    <w:next w:val="Normal"/>
    <w:rsid w:val="00786E43"/>
    <w:pPr>
      <w:spacing w:before="120" w:after="120"/>
      <w:jc w:val="left"/>
      <w:outlineLvl w:val="1"/>
    </w:pPr>
    <w:rPr>
      <w:rFonts w:eastAsia="Times New Roman"/>
      <w:b/>
      <w:sz w:val="28"/>
      <w:szCs w:val="20"/>
      <w:lang w:val="lv-LV" w:eastAsia="fr-FR"/>
    </w:rPr>
  </w:style>
  <w:style w:type="paragraph" w:customStyle="1" w:styleId="ATHeading3">
    <w:name w:val="AT Heading 3"/>
    <w:basedOn w:val="Normal"/>
    <w:next w:val="Normal"/>
    <w:rsid w:val="00786E43"/>
    <w:pPr>
      <w:keepNext/>
      <w:keepLines/>
      <w:spacing w:before="120" w:after="120"/>
      <w:jc w:val="left"/>
      <w:outlineLvl w:val="2"/>
    </w:pPr>
    <w:rPr>
      <w:rFonts w:eastAsia="Times New Roman"/>
      <w:b/>
      <w:szCs w:val="20"/>
      <w:lang w:val="lv-LV" w:eastAsia="fr-FR"/>
    </w:rPr>
  </w:style>
  <w:style w:type="character" w:styleId="FootnoteReference">
    <w:name w:val="footnote reference"/>
    <w:rsid w:val="00786E43"/>
    <w:rPr>
      <w:b w:val="0"/>
      <w:vertAlign w:val="superscript"/>
    </w:rPr>
  </w:style>
  <w:style w:type="paragraph" w:styleId="FootnoteText">
    <w:name w:val="footnote text"/>
    <w:basedOn w:val="Normal"/>
    <w:link w:val="FootnoteTextChar"/>
    <w:rsid w:val="00786E43"/>
    <w:pPr>
      <w:keepLines/>
      <w:spacing w:line="260" w:lineRule="exact"/>
      <w:ind w:left="425" w:hanging="425"/>
      <w:jc w:val="left"/>
    </w:pPr>
    <w:rPr>
      <w:rFonts w:eastAsia="Times New Roman"/>
      <w:sz w:val="22"/>
      <w:szCs w:val="20"/>
      <w:lang w:val="fr-FR" w:eastAsia="fr-FR"/>
    </w:rPr>
  </w:style>
  <w:style w:type="character" w:customStyle="1" w:styleId="FootnoteTextChar">
    <w:name w:val="Footnote Text Char"/>
    <w:basedOn w:val="DefaultParagraphFont"/>
    <w:link w:val="FootnoteText"/>
    <w:rsid w:val="00786E43"/>
    <w:rPr>
      <w:rFonts w:ascii="Times New Roman" w:eastAsia="Times New Roman" w:hAnsi="Times New Roman"/>
      <w:szCs w:val="20"/>
      <w:lang w:val="fr-FR" w:eastAsia="fr-FR"/>
    </w:rPr>
  </w:style>
  <w:style w:type="paragraph" w:customStyle="1" w:styleId="EPName">
    <w:name w:val="EPName"/>
    <w:basedOn w:val="Normal"/>
    <w:rsid w:val="00786E43"/>
    <w:pPr>
      <w:widowControl w:val="0"/>
      <w:spacing w:before="80" w:after="80"/>
      <w:jc w:val="left"/>
    </w:pPr>
    <w:rPr>
      <w:rFonts w:ascii="Arial Narrow" w:eastAsia="Times New Roman" w:hAnsi="Arial Narrow" w:cs="Arial"/>
      <w:b/>
      <w:sz w:val="32"/>
      <w:szCs w:val="22"/>
      <w:lang w:val="lv-LV" w:eastAsia="en-GB"/>
    </w:rPr>
  </w:style>
  <w:style w:type="paragraph" w:customStyle="1" w:styleId="EPTerm">
    <w:name w:val="EPTerm"/>
    <w:basedOn w:val="Normal"/>
    <w:next w:val="Normal"/>
    <w:rsid w:val="00786E43"/>
    <w:pPr>
      <w:widowControl w:val="0"/>
      <w:spacing w:after="80"/>
      <w:jc w:val="left"/>
    </w:pPr>
    <w:rPr>
      <w:rFonts w:ascii="Arial" w:eastAsia="Times New Roman" w:hAnsi="Arial" w:cs="Arial"/>
      <w:sz w:val="20"/>
      <w:szCs w:val="22"/>
      <w:lang w:val="lv-LV" w:eastAsia="en-GB"/>
    </w:rPr>
  </w:style>
  <w:style w:type="paragraph" w:customStyle="1" w:styleId="EPLogo">
    <w:name w:val="EPLogo"/>
    <w:basedOn w:val="Normal"/>
    <w:qFormat/>
    <w:rsid w:val="00786E43"/>
    <w:pPr>
      <w:widowControl w:val="0"/>
      <w:jc w:val="right"/>
    </w:pPr>
    <w:rPr>
      <w:rFonts w:eastAsia="Times New Roman"/>
      <w:szCs w:val="20"/>
      <w:lang w:val="lv-LV" w:eastAsia="en-GB"/>
    </w:rPr>
  </w:style>
  <w:style w:type="paragraph" w:customStyle="1" w:styleId="NormalBold">
    <w:name w:val="NormalBold"/>
    <w:basedOn w:val="Normal"/>
    <w:link w:val="NormalBoldChar"/>
    <w:rsid w:val="00786E43"/>
    <w:pPr>
      <w:widowControl w:val="0"/>
      <w:jc w:val="left"/>
    </w:pPr>
    <w:rPr>
      <w:rFonts w:eastAsia="Times New Roman"/>
      <w:b/>
      <w:szCs w:val="20"/>
      <w:lang w:val="lv-LV" w:eastAsia="en-GB"/>
    </w:rPr>
  </w:style>
  <w:style w:type="paragraph" w:customStyle="1" w:styleId="NormalHanging12a">
    <w:name w:val="NormalHanging12a"/>
    <w:basedOn w:val="Normal"/>
    <w:rsid w:val="00786E43"/>
    <w:pPr>
      <w:widowControl w:val="0"/>
      <w:spacing w:after="240"/>
      <w:ind w:left="567" w:hanging="567"/>
      <w:jc w:val="left"/>
    </w:pPr>
    <w:rPr>
      <w:rFonts w:eastAsia="Times New Roman"/>
      <w:szCs w:val="20"/>
      <w:lang w:val="lv-LV" w:eastAsia="en-GB"/>
    </w:rPr>
  </w:style>
  <w:style w:type="paragraph" w:customStyle="1" w:styleId="EPComma">
    <w:name w:val="EPComma"/>
    <w:basedOn w:val="Normal"/>
    <w:rsid w:val="00786E43"/>
    <w:pPr>
      <w:widowControl w:val="0"/>
      <w:spacing w:before="480" w:after="240"/>
      <w:jc w:val="left"/>
    </w:pPr>
    <w:rPr>
      <w:rFonts w:eastAsia="Times New Roman"/>
      <w:szCs w:val="20"/>
      <w:lang w:val="lv-LV" w:eastAsia="en-GB"/>
    </w:rPr>
  </w:style>
  <w:style w:type="character" w:customStyle="1" w:styleId="NormalBoldChar">
    <w:name w:val="NormalBold Char"/>
    <w:link w:val="NormalBold"/>
    <w:locked/>
    <w:rsid w:val="00786E43"/>
    <w:rPr>
      <w:rFonts w:ascii="Times New Roman" w:eastAsia="Times New Roman" w:hAnsi="Times New Roman"/>
      <w:b/>
      <w:sz w:val="24"/>
      <w:szCs w:val="20"/>
      <w:lang w:val="lv-LV" w:eastAsia="en-GB"/>
    </w:rPr>
  </w:style>
  <w:style w:type="paragraph" w:customStyle="1" w:styleId="Normal12Hanging">
    <w:name w:val="Normal12Hanging"/>
    <w:basedOn w:val="Normal"/>
    <w:link w:val="Normal12HangingChar"/>
    <w:rsid w:val="00786E43"/>
    <w:pPr>
      <w:widowControl w:val="0"/>
      <w:spacing w:after="240"/>
      <w:ind w:left="357" w:hanging="357"/>
      <w:jc w:val="left"/>
    </w:pPr>
    <w:rPr>
      <w:rFonts w:eastAsia="Times New Roman"/>
      <w:szCs w:val="20"/>
      <w:lang w:val="lv-LV" w:eastAsia="en-GB"/>
    </w:rPr>
  </w:style>
  <w:style w:type="character" w:customStyle="1" w:styleId="Normal12HangingChar">
    <w:name w:val="Normal12Hanging Char"/>
    <w:link w:val="Normal12Hanging"/>
    <w:locked/>
    <w:rsid w:val="00786E43"/>
    <w:rPr>
      <w:rFonts w:ascii="Times New Roman" w:eastAsia="Times New Roman" w:hAnsi="Times New Roman"/>
      <w:sz w:val="24"/>
      <w:szCs w:val="20"/>
      <w:lang w:val="lv-LV" w:eastAsia="en-GB"/>
    </w:rPr>
  </w:style>
  <w:style w:type="numbering" w:customStyle="1" w:styleId="NoList1">
    <w:name w:val="No List1"/>
    <w:next w:val="NoList"/>
    <w:uiPriority w:val="99"/>
    <w:semiHidden/>
    <w:unhideWhenUsed/>
    <w:rsid w:val="00786E43"/>
  </w:style>
  <w:style w:type="paragraph" w:customStyle="1" w:styleId="EPFooter2">
    <w:name w:val="EPFooter2"/>
    <w:basedOn w:val="Normal"/>
    <w:next w:val="Normal"/>
    <w:rsid w:val="00786E43"/>
    <w:pPr>
      <w:tabs>
        <w:tab w:val="center" w:pos="4535"/>
        <w:tab w:val="right" w:pos="9921"/>
      </w:tabs>
      <w:ind w:left="-850" w:right="-850"/>
      <w:jc w:val="left"/>
    </w:pPr>
    <w:rPr>
      <w:rFonts w:ascii="Arial" w:eastAsia="Times New Roman" w:hAnsi="Arial" w:cs="Arial"/>
      <w:b/>
      <w:sz w:val="48"/>
      <w:szCs w:val="20"/>
      <w:lang w:val="lv-LV" w:eastAsia="en-GB"/>
    </w:rPr>
  </w:style>
  <w:style w:type="paragraph" w:customStyle="1" w:styleId="Normal12a">
    <w:name w:val="Normal12a"/>
    <w:basedOn w:val="Normal"/>
    <w:rsid w:val="00786E43"/>
    <w:pPr>
      <w:widowControl w:val="0"/>
      <w:spacing w:after="240"/>
      <w:jc w:val="left"/>
    </w:pPr>
    <w:rPr>
      <w:rFonts w:eastAsia="Times New Roman"/>
      <w:szCs w:val="20"/>
      <w:lang w:val="lv-LV" w:eastAsia="en-GB"/>
    </w:rPr>
  </w:style>
  <w:style w:type="paragraph" w:styleId="TOC1">
    <w:name w:val="toc 1"/>
    <w:basedOn w:val="Normal12a"/>
    <w:next w:val="Normal12a"/>
    <w:autoRedefine/>
    <w:uiPriority w:val="39"/>
    <w:rsid w:val="00786E43"/>
  </w:style>
  <w:style w:type="character" w:customStyle="1" w:styleId="HideTWBInt">
    <w:name w:val="HideTWBInt"/>
    <w:rsid w:val="00786E43"/>
    <w:rPr>
      <w:rFonts w:ascii="Arial" w:hAnsi="Arial" w:cs="Arial"/>
      <w:vanish/>
      <w:color w:val="808080"/>
      <w:sz w:val="20"/>
    </w:rPr>
  </w:style>
  <w:style w:type="paragraph" w:customStyle="1" w:styleId="HeadingDocType24a">
    <w:name w:val="HeadingDocType24a"/>
    <w:basedOn w:val="Normal"/>
    <w:rsid w:val="00786E43"/>
    <w:pPr>
      <w:widowControl w:val="0"/>
      <w:spacing w:after="480"/>
      <w:jc w:val="center"/>
    </w:pPr>
    <w:rPr>
      <w:rFonts w:ascii="Arial" w:eastAsia="Times New Roman" w:hAnsi="Arial"/>
      <w:b/>
      <w:sz w:val="48"/>
      <w:szCs w:val="20"/>
      <w:lang w:val="lv-LV" w:eastAsia="en-GB"/>
    </w:rPr>
  </w:style>
  <w:style w:type="paragraph" w:customStyle="1" w:styleId="HeadingReferenceERCO">
    <w:name w:val="HeadingReferenceERCO"/>
    <w:basedOn w:val="Normal"/>
    <w:rsid w:val="00786E43"/>
    <w:pPr>
      <w:widowControl w:val="0"/>
      <w:spacing w:before="360" w:after="240"/>
      <w:jc w:val="right"/>
    </w:pPr>
    <w:rPr>
      <w:rFonts w:ascii="Arial" w:eastAsia="Times New Roman" w:hAnsi="Arial"/>
      <w:b/>
      <w:szCs w:val="20"/>
      <w:lang w:val="lv-LV" w:eastAsia="en-GB"/>
    </w:rPr>
  </w:style>
  <w:style w:type="paragraph" w:customStyle="1" w:styleId="NormalCenter">
    <w:name w:val="NormalCenter"/>
    <w:basedOn w:val="Normal"/>
    <w:rsid w:val="00786E43"/>
    <w:pPr>
      <w:widowControl w:val="0"/>
      <w:jc w:val="center"/>
    </w:pPr>
    <w:rPr>
      <w:rFonts w:eastAsia="Times New Roman"/>
      <w:szCs w:val="20"/>
      <w:lang w:val="lv-LV" w:eastAsia="en-GB"/>
    </w:rPr>
  </w:style>
  <w:style w:type="paragraph" w:customStyle="1" w:styleId="Normal24a">
    <w:name w:val="Normal24a"/>
    <w:basedOn w:val="Normal"/>
    <w:link w:val="Normal24aChar"/>
    <w:rsid w:val="00786E43"/>
    <w:pPr>
      <w:widowControl w:val="0"/>
      <w:spacing w:after="480"/>
      <w:jc w:val="left"/>
    </w:pPr>
    <w:rPr>
      <w:rFonts w:eastAsia="Times New Roman"/>
      <w:szCs w:val="20"/>
      <w:lang w:val="lv-LV" w:eastAsia="en-GB"/>
    </w:rPr>
  </w:style>
  <w:style w:type="table" w:styleId="TableGrid">
    <w:name w:val="Table Grid"/>
    <w:basedOn w:val="TableNormal"/>
    <w:rsid w:val="00786E43"/>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86E43"/>
    <w:pPr>
      <w:widowControl w:val="0"/>
      <w:jc w:val="center"/>
    </w:pPr>
    <w:rPr>
      <w:rFonts w:ascii="Arial" w:eastAsia="Times New Roman" w:hAnsi="Arial" w:cs="Arial"/>
      <w:i/>
      <w:sz w:val="22"/>
      <w:szCs w:val="22"/>
      <w:lang w:val="lv-LV" w:eastAsia="en-GB"/>
    </w:rPr>
  </w:style>
  <w:style w:type="paragraph" w:customStyle="1" w:styleId="LineSingle">
    <w:name w:val="LineSingle"/>
    <w:basedOn w:val="Normal"/>
    <w:next w:val="Normal"/>
    <w:rsid w:val="00786E43"/>
    <w:pPr>
      <w:widowControl w:val="0"/>
      <w:pBdr>
        <w:bottom w:val="single" w:sz="4" w:space="1" w:color="auto"/>
      </w:pBdr>
      <w:spacing w:after="240"/>
      <w:jc w:val="left"/>
    </w:pPr>
    <w:rPr>
      <w:rFonts w:eastAsia="Times New Roman"/>
      <w:szCs w:val="20"/>
      <w:lang w:val="lv-LV" w:eastAsia="en-GB"/>
    </w:rPr>
  </w:style>
  <w:style w:type="paragraph" w:customStyle="1" w:styleId="EPFooter">
    <w:name w:val="EPFooter"/>
    <w:basedOn w:val="Normal"/>
    <w:rsid w:val="00786E43"/>
    <w:pPr>
      <w:widowControl w:val="0"/>
      <w:tabs>
        <w:tab w:val="center" w:pos="4535"/>
        <w:tab w:val="right" w:pos="9071"/>
      </w:tabs>
      <w:spacing w:before="240" w:after="240"/>
      <w:jc w:val="left"/>
    </w:pPr>
    <w:rPr>
      <w:rFonts w:eastAsia="Times New Roman"/>
      <w:sz w:val="22"/>
      <w:szCs w:val="20"/>
      <w:lang w:val="lv-LV" w:eastAsia="en-GB"/>
    </w:rPr>
  </w:style>
  <w:style w:type="paragraph" w:styleId="Header">
    <w:name w:val="header"/>
    <w:basedOn w:val="Normal"/>
    <w:link w:val="HeaderChar"/>
    <w:uiPriority w:val="99"/>
    <w:rsid w:val="00786E43"/>
    <w:pPr>
      <w:widowControl w:val="0"/>
      <w:tabs>
        <w:tab w:val="center" w:pos="4513"/>
        <w:tab w:val="right" w:pos="9026"/>
      </w:tabs>
      <w:jc w:val="left"/>
    </w:pPr>
    <w:rPr>
      <w:rFonts w:eastAsia="Times New Roman"/>
      <w:szCs w:val="20"/>
      <w:lang w:val="lv-LV" w:eastAsia="en-GB"/>
    </w:rPr>
  </w:style>
  <w:style w:type="character" w:customStyle="1" w:styleId="HeaderChar">
    <w:name w:val="Header Char"/>
    <w:basedOn w:val="DefaultParagraphFont"/>
    <w:link w:val="Header"/>
    <w:uiPriority w:val="99"/>
    <w:rsid w:val="00786E43"/>
    <w:rPr>
      <w:rFonts w:ascii="Times New Roman" w:eastAsia="Times New Roman" w:hAnsi="Times New Roman"/>
      <w:sz w:val="24"/>
      <w:szCs w:val="20"/>
      <w:lang w:val="lv-LV" w:eastAsia="en-GB"/>
    </w:rPr>
  </w:style>
  <w:style w:type="paragraph" w:customStyle="1" w:styleId="HeadingDate">
    <w:name w:val="HeadingDate"/>
    <w:basedOn w:val="Normal"/>
    <w:rsid w:val="00786E43"/>
    <w:pPr>
      <w:widowControl w:val="0"/>
      <w:spacing w:before="240" w:after="240"/>
      <w:jc w:val="left"/>
    </w:pPr>
    <w:rPr>
      <w:rFonts w:eastAsia="Times New Roman"/>
      <w:szCs w:val="20"/>
      <w:lang w:val="lv-LV" w:eastAsia="en-GB"/>
    </w:rPr>
  </w:style>
  <w:style w:type="paragraph" w:customStyle="1" w:styleId="EPBodyTA2">
    <w:name w:val="EPBodyTA2"/>
    <w:basedOn w:val="Normal"/>
    <w:rsid w:val="00786E43"/>
    <w:pPr>
      <w:widowControl w:val="0"/>
      <w:jc w:val="center"/>
    </w:pPr>
    <w:rPr>
      <w:rFonts w:ascii="Arial" w:eastAsia="Times New Roman" w:hAnsi="Arial"/>
      <w:bCs/>
      <w:i/>
      <w:sz w:val="20"/>
      <w:szCs w:val="20"/>
      <w:lang w:val="lv-LV" w:eastAsia="en-GB"/>
    </w:rPr>
  </w:style>
  <w:style w:type="paragraph" w:customStyle="1" w:styleId="ATHeadingMotiv">
    <w:name w:val="AT Heading Motiv"/>
    <w:basedOn w:val="Normal"/>
    <w:next w:val="Normal"/>
    <w:rsid w:val="00786E43"/>
    <w:pPr>
      <w:keepNext/>
      <w:spacing w:before="60" w:after="60"/>
      <w:jc w:val="center"/>
    </w:pPr>
    <w:rPr>
      <w:rFonts w:eastAsia="Times New Roman"/>
      <w:i/>
      <w:szCs w:val="20"/>
      <w:lang w:val="lv-LV" w:eastAsia="fr-FR"/>
    </w:rPr>
  </w:style>
  <w:style w:type="character" w:styleId="PageNumber">
    <w:name w:val="page number"/>
    <w:rsid w:val="00786E43"/>
  </w:style>
  <w:style w:type="paragraph" w:styleId="TOC2">
    <w:name w:val="toc 2"/>
    <w:basedOn w:val="Normal"/>
    <w:next w:val="Normal"/>
    <w:autoRedefine/>
    <w:rsid w:val="00786E43"/>
    <w:pPr>
      <w:keepNext/>
      <w:keepLines/>
      <w:jc w:val="left"/>
    </w:pPr>
    <w:rPr>
      <w:rFonts w:eastAsia="Times New Roman"/>
      <w:b/>
      <w:noProof/>
      <w:szCs w:val="20"/>
      <w:lang w:val="fr-FR" w:eastAsia="fr-FR"/>
    </w:rPr>
  </w:style>
  <w:style w:type="paragraph" w:styleId="TOC3">
    <w:name w:val="toc 3"/>
    <w:basedOn w:val="Normal"/>
    <w:next w:val="Normal"/>
    <w:autoRedefine/>
    <w:rsid w:val="00786E43"/>
    <w:pPr>
      <w:keepLines/>
      <w:ind w:right="510"/>
      <w:jc w:val="left"/>
    </w:pPr>
    <w:rPr>
      <w:rFonts w:eastAsia="Times New Roman"/>
      <w:noProof/>
      <w:szCs w:val="20"/>
      <w:lang w:val="fr-FR" w:eastAsia="fr-FR"/>
    </w:rPr>
  </w:style>
  <w:style w:type="paragraph" w:customStyle="1" w:styleId="PageHeading">
    <w:name w:val="PageHeading"/>
    <w:basedOn w:val="Normal"/>
    <w:rsid w:val="00786E43"/>
    <w:pPr>
      <w:keepNext/>
      <w:widowControl w:val="0"/>
      <w:spacing w:after="480"/>
      <w:jc w:val="center"/>
    </w:pPr>
    <w:rPr>
      <w:rFonts w:ascii="Arial" w:eastAsia="Times New Roman" w:hAnsi="Arial" w:cs="Arial"/>
      <w:b/>
      <w:szCs w:val="20"/>
      <w:lang w:val="lv-LV" w:eastAsia="en-GB"/>
    </w:rPr>
  </w:style>
  <w:style w:type="paragraph" w:customStyle="1" w:styleId="TOCPage">
    <w:name w:val="TOC Page"/>
    <w:basedOn w:val="Normal"/>
    <w:next w:val="TOC1"/>
    <w:rsid w:val="00786E43"/>
    <w:pPr>
      <w:keepNext/>
      <w:widowControl w:val="0"/>
      <w:spacing w:after="240"/>
      <w:jc w:val="right"/>
    </w:pPr>
    <w:rPr>
      <w:rFonts w:ascii="Arial" w:eastAsia="Times New Roman" w:hAnsi="Arial"/>
      <w:b/>
      <w:szCs w:val="20"/>
      <w:lang w:val="lv-LV" w:eastAsia="en-GB"/>
    </w:rPr>
  </w:style>
  <w:style w:type="paragraph" w:customStyle="1" w:styleId="Normal6a">
    <w:name w:val="Normal6a"/>
    <w:basedOn w:val="Normal"/>
    <w:rsid w:val="00786E43"/>
    <w:pPr>
      <w:widowControl w:val="0"/>
      <w:spacing w:after="120"/>
      <w:jc w:val="left"/>
    </w:pPr>
    <w:rPr>
      <w:rFonts w:eastAsia="Times New Roman"/>
      <w:szCs w:val="20"/>
      <w:lang w:val="lv-LV" w:eastAsia="en-GB"/>
    </w:rPr>
  </w:style>
  <w:style w:type="paragraph" w:customStyle="1" w:styleId="NormalBold12a">
    <w:name w:val="NormalBold12a"/>
    <w:basedOn w:val="Normal"/>
    <w:rsid w:val="00786E43"/>
    <w:pPr>
      <w:widowControl w:val="0"/>
      <w:spacing w:after="240"/>
      <w:jc w:val="left"/>
    </w:pPr>
    <w:rPr>
      <w:rFonts w:eastAsia="Times New Roman"/>
      <w:b/>
      <w:szCs w:val="20"/>
      <w:lang w:val="lv-LV" w:eastAsia="en-GB"/>
    </w:rPr>
  </w:style>
  <w:style w:type="paragraph" w:customStyle="1" w:styleId="CoverNormal24a">
    <w:name w:val="CoverNormal24a"/>
    <w:basedOn w:val="Normal"/>
    <w:rsid w:val="00786E43"/>
    <w:pPr>
      <w:widowControl w:val="0"/>
      <w:spacing w:after="480"/>
      <w:ind w:left="1417"/>
      <w:jc w:val="left"/>
    </w:pPr>
    <w:rPr>
      <w:rFonts w:eastAsia="Times New Roman"/>
      <w:szCs w:val="20"/>
      <w:lang w:val="lv-LV" w:eastAsia="en-GB"/>
    </w:rPr>
  </w:style>
  <w:style w:type="paragraph" w:customStyle="1" w:styleId="CoverNormal">
    <w:name w:val="CoverNormal"/>
    <w:basedOn w:val="Normal"/>
    <w:rsid w:val="00786E43"/>
    <w:pPr>
      <w:widowControl w:val="0"/>
      <w:ind w:left="1418"/>
      <w:jc w:val="left"/>
    </w:pPr>
    <w:rPr>
      <w:rFonts w:eastAsia="Times New Roman"/>
      <w:szCs w:val="20"/>
      <w:lang w:val="lv-LV" w:eastAsia="en-GB"/>
    </w:rPr>
  </w:style>
  <w:style w:type="paragraph" w:customStyle="1" w:styleId="CoverReference">
    <w:name w:val="CoverReference"/>
    <w:basedOn w:val="Normal"/>
    <w:rsid w:val="00786E43"/>
    <w:pPr>
      <w:widowControl w:val="0"/>
      <w:spacing w:before="1080"/>
      <w:jc w:val="right"/>
    </w:pPr>
    <w:rPr>
      <w:rFonts w:ascii="Arial" w:eastAsia="Times New Roman" w:hAnsi="Arial" w:cs="Arial"/>
      <w:b/>
      <w:szCs w:val="20"/>
      <w:lang w:val="lv-LV" w:eastAsia="en-GB"/>
    </w:rPr>
  </w:style>
  <w:style w:type="paragraph" w:customStyle="1" w:styleId="CoverDocType">
    <w:name w:val="CoverDocType"/>
    <w:basedOn w:val="Normal"/>
    <w:rsid w:val="00786E43"/>
    <w:pPr>
      <w:widowControl w:val="0"/>
      <w:ind w:left="1418"/>
      <w:jc w:val="left"/>
    </w:pPr>
    <w:rPr>
      <w:rFonts w:ascii="Arial" w:eastAsia="Times New Roman" w:hAnsi="Arial"/>
      <w:b/>
      <w:sz w:val="48"/>
      <w:szCs w:val="20"/>
      <w:lang w:val="lv-LV" w:eastAsia="en-GB"/>
    </w:rPr>
  </w:style>
  <w:style w:type="paragraph" w:customStyle="1" w:styleId="CoverDocType24a">
    <w:name w:val="CoverDocType24a"/>
    <w:basedOn w:val="Normal"/>
    <w:rsid w:val="00786E43"/>
    <w:pPr>
      <w:widowControl w:val="0"/>
      <w:spacing w:after="480"/>
      <w:ind w:left="1418"/>
      <w:jc w:val="left"/>
    </w:pPr>
    <w:rPr>
      <w:rFonts w:ascii="Arial" w:eastAsia="Times New Roman" w:hAnsi="Arial"/>
      <w:b/>
      <w:sz w:val="48"/>
      <w:szCs w:val="20"/>
      <w:lang w:val="lv-LV" w:eastAsia="en-GB"/>
    </w:rPr>
  </w:style>
  <w:style w:type="paragraph" w:customStyle="1" w:styleId="CoverDate">
    <w:name w:val="CoverDate"/>
    <w:basedOn w:val="Normal"/>
    <w:rsid w:val="00786E43"/>
    <w:pPr>
      <w:widowControl w:val="0"/>
      <w:spacing w:before="240" w:after="1200"/>
      <w:jc w:val="left"/>
    </w:pPr>
    <w:rPr>
      <w:rFonts w:eastAsia="Times New Roman"/>
      <w:szCs w:val="20"/>
      <w:lang w:val="lv-LV" w:eastAsia="en-GB"/>
    </w:rPr>
  </w:style>
  <w:style w:type="paragraph" w:customStyle="1" w:styleId="AnnexWPTabs">
    <w:name w:val="AnnexWPTabs"/>
    <w:basedOn w:val="Normal"/>
    <w:rsid w:val="00786E43"/>
    <w:pPr>
      <w:widowControl w:val="0"/>
      <w:tabs>
        <w:tab w:val="right" w:pos="3686"/>
        <w:tab w:val="left" w:pos="3827"/>
      </w:tabs>
      <w:jc w:val="left"/>
    </w:pPr>
    <w:rPr>
      <w:rFonts w:eastAsia="Times New Roman"/>
      <w:b/>
      <w:szCs w:val="20"/>
      <w:lang w:val="lv-LV" w:eastAsia="en-GB"/>
    </w:rPr>
  </w:style>
  <w:style w:type="paragraph" w:customStyle="1" w:styleId="AnnexWPDate">
    <w:name w:val="AnnexWPDate"/>
    <w:basedOn w:val="Normal"/>
    <w:rsid w:val="00786E43"/>
    <w:pPr>
      <w:widowControl w:val="0"/>
      <w:spacing w:before="240" w:after="480"/>
      <w:jc w:val="right"/>
    </w:pPr>
    <w:rPr>
      <w:rFonts w:eastAsia="Times New Roman"/>
      <w:szCs w:val="20"/>
      <w:lang w:val="lv-LV" w:eastAsia="en-GB"/>
    </w:rPr>
  </w:style>
  <w:style w:type="paragraph" w:customStyle="1" w:styleId="AnnexWPSmall">
    <w:name w:val="AnnexWPSmall"/>
    <w:basedOn w:val="Normal"/>
    <w:rsid w:val="00786E43"/>
    <w:pPr>
      <w:widowControl w:val="0"/>
      <w:jc w:val="left"/>
    </w:pPr>
    <w:rPr>
      <w:rFonts w:eastAsia="Times New Roman"/>
      <w:smallCaps/>
      <w:sz w:val="20"/>
      <w:szCs w:val="20"/>
      <w:lang w:val="lv-LV" w:eastAsia="en-GB"/>
    </w:rPr>
  </w:style>
  <w:style w:type="paragraph" w:customStyle="1" w:styleId="AnnexWPDocType">
    <w:name w:val="AnnexWPDocType"/>
    <w:basedOn w:val="Normal"/>
    <w:rsid w:val="00786E43"/>
    <w:pPr>
      <w:widowControl w:val="0"/>
      <w:spacing w:after="240"/>
      <w:jc w:val="center"/>
    </w:pPr>
    <w:rPr>
      <w:rFonts w:eastAsia="Times New Roman"/>
      <w:b/>
      <w:szCs w:val="20"/>
      <w:lang w:val="lv-LV" w:eastAsia="en-GB"/>
    </w:rPr>
  </w:style>
  <w:style w:type="paragraph" w:customStyle="1" w:styleId="AnnexWPTitle">
    <w:name w:val="AnnexWPTitle"/>
    <w:basedOn w:val="Normal"/>
    <w:rsid w:val="00786E43"/>
    <w:pPr>
      <w:widowControl w:val="0"/>
      <w:spacing w:before="480"/>
      <w:jc w:val="left"/>
    </w:pPr>
    <w:rPr>
      <w:rFonts w:eastAsia="Times New Roman"/>
      <w:b/>
      <w:szCs w:val="20"/>
      <w:lang w:val="lv-LV" w:eastAsia="en-GB"/>
    </w:rPr>
  </w:style>
  <w:style w:type="paragraph" w:customStyle="1" w:styleId="AmJustText">
    <w:name w:val="AmJustText"/>
    <w:basedOn w:val="Normal"/>
    <w:rsid w:val="00786E43"/>
    <w:pPr>
      <w:widowControl w:val="0"/>
      <w:spacing w:after="240"/>
      <w:jc w:val="left"/>
    </w:pPr>
    <w:rPr>
      <w:rFonts w:eastAsia="Times New Roman"/>
      <w:i/>
      <w:szCs w:val="20"/>
      <w:lang w:val="lv-LV" w:eastAsia="en-GB"/>
    </w:rPr>
  </w:style>
  <w:style w:type="paragraph" w:customStyle="1" w:styleId="AmCrossRef">
    <w:name w:val="AmCrossRef"/>
    <w:basedOn w:val="Normal"/>
    <w:rsid w:val="00786E43"/>
    <w:pPr>
      <w:widowControl w:val="0"/>
      <w:spacing w:before="240" w:after="240"/>
      <w:jc w:val="center"/>
    </w:pPr>
    <w:rPr>
      <w:rFonts w:eastAsia="Times New Roman"/>
      <w:i/>
      <w:szCs w:val="20"/>
      <w:lang w:val="lv-LV" w:eastAsia="en-GB"/>
    </w:rPr>
  </w:style>
  <w:style w:type="paragraph" w:customStyle="1" w:styleId="AmJustTitle">
    <w:name w:val="AmJustTitle"/>
    <w:basedOn w:val="Normal"/>
    <w:next w:val="AmJustText"/>
    <w:rsid w:val="00786E43"/>
    <w:pPr>
      <w:keepNext/>
      <w:widowControl w:val="0"/>
      <w:spacing w:before="240" w:after="240"/>
      <w:jc w:val="center"/>
    </w:pPr>
    <w:rPr>
      <w:rFonts w:eastAsia="Times New Roman"/>
      <w:i/>
      <w:szCs w:val="20"/>
      <w:lang w:val="lv-LV" w:eastAsia="en-GB"/>
    </w:rPr>
  </w:style>
  <w:style w:type="paragraph" w:customStyle="1" w:styleId="AmOrLang">
    <w:name w:val="AmOrLang"/>
    <w:basedOn w:val="Normal"/>
    <w:rsid w:val="00786E43"/>
    <w:pPr>
      <w:widowControl w:val="0"/>
      <w:spacing w:before="240" w:after="240"/>
      <w:jc w:val="right"/>
    </w:pPr>
    <w:rPr>
      <w:rFonts w:eastAsia="Times New Roman"/>
      <w:szCs w:val="20"/>
      <w:lang w:val="lv-LV" w:eastAsia="en-GB"/>
    </w:rPr>
  </w:style>
  <w:style w:type="paragraph" w:customStyle="1" w:styleId="AmColumnHeading">
    <w:name w:val="AmColumnHeading"/>
    <w:basedOn w:val="Normal"/>
    <w:rsid w:val="00786E43"/>
    <w:pPr>
      <w:widowControl w:val="0"/>
      <w:spacing w:after="240"/>
      <w:jc w:val="center"/>
    </w:pPr>
    <w:rPr>
      <w:rFonts w:eastAsia="Times New Roman"/>
      <w:i/>
      <w:szCs w:val="20"/>
      <w:lang w:val="lv-LV" w:eastAsia="en-GB"/>
    </w:rPr>
  </w:style>
  <w:style w:type="paragraph" w:customStyle="1" w:styleId="AmNumberTabs">
    <w:name w:val="AmNumberTabs"/>
    <w:basedOn w:val="Normal"/>
    <w:link w:val="AmNumberTabsChar"/>
    <w:rsid w:val="00786E43"/>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lv-LV" w:eastAsia="en-GB"/>
    </w:rPr>
  </w:style>
  <w:style w:type="paragraph" w:customStyle="1" w:styleId="NormalBold12b">
    <w:name w:val="NormalBold12b"/>
    <w:basedOn w:val="Normal"/>
    <w:link w:val="NormalBold12bChar"/>
    <w:rsid w:val="00786E43"/>
    <w:pPr>
      <w:widowControl w:val="0"/>
      <w:spacing w:before="240"/>
      <w:jc w:val="left"/>
    </w:pPr>
    <w:rPr>
      <w:rFonts w:eastAsia="Times New Roman"/>
      <w:b/>
      <w:szCs w:val="20"/>
      <w:lang w:val="lv-LV" w:eastAsia="en-GB"/>
    </w:rPr>
  </w:style>
  <w:style w:type="paragraph" w:customStyle="1" w:styleId="AnnexWPLogo">
    <w:name w:val="AnnexWPLogo"/>
    <w:basedOn w:val="Normal"/>
    <w:rsid w:val="00786E43"/>
    <w:pPr>
      <w:widowControl w:val="0"/>
      <w:spacing w:before="120" w:after="120"/>
      <w:jc w:val="left"/>
    </w:pPr>
    <w:rPr>
      <w:rFonts w:eastAsia="Times New Roman"/>
      <w:szCs w:val="20"/>
      <w:lang w:val="lv-LV" w:eastAsia="en-GB"/>
    </w:rPr>
  </w:style>
  <w:style w:type="paragraph" w:customStyle="1" w:styleId="Lgendesigne">
    <w:name w:val="Légende signe"/>
    <w:basedOn w:val="Normal"/>
    <w:rsid w:val="00786E43"/>
    <w:pPr>
      <w:widowControl w:val="0"/>
      <w:tabs>
        <w:tab w:val="right" w:pos="454"/>
        <w:tab w:val="left" w:pos="737"/>
      </w:tabs>
      <w:ind w:left="737" w:hanging="737"/>
      <w:jc w:val="left"/>
    </w:pPr>
    <w:rPr>
      <w:rFonts w:eastAsia="Times New Roman"/>
      <w:snapToGrid w:val="0"/>
      <w:sz w:val="18"/>
      <w:szCs w:val="20"/>
      <w:lang w:val="lv-LV"/>
    </w:rPr>
  </w:style>
  <w:style w:type="paragraph" w:customStyle="1" w:styleId="Lgendetitre">
    <w:name w:val="Légende titre"/>
    <w:basedOn w:val="Normal"/>
    <w:rsid w:val="00786E43"/>
    <w:pPr>
      <w:widowControl w:val="0"/>
      <w:spacing w:before="240" w:after="240"/>
      <w:jc w:val="left"/>
    </w:pPr>
    <w:rPr>
      <w:rFonts w:eastAsia="Times New Roman"/>
      <w:b/>
      <w:i/>
      <w:snapToGrid w:val="0"/>
      <w:szCs w:val="20"/>
      <w:lang w:val="lv-LV"/>
    </w:rPr>
  </w:style>
  <w:style w:type="paragraph" w:customStyle="1" w:styleId="Lgendestandard">
    <w:name w:val="Légende standard"/>
    <w:basedOn w:val="Normal"/>
    <w:rsid w:val="00786E43"/>
    <w:pPr>
      <w:widowControl w:val="0"/>
      <w:jc w:val="left"/>
    </w:pPr>
    <w:rPr>
      <w:rFonts w:eastAsia="Times New Roman"/>
      <w:sz w:val="18"/>
      <w:szCs w:val="20"/>
      <w:lang w:val="lv-LV" w:eastAsia="en-GB"/>
    </w:rPr>
  </w:style>
  <w:style w:type="paragraph" w:customStyle="1" w:styleId="msonormal0">
    <w:name w:val="msonormal"/>
    <w:basedOn w:val="Normal"/>
    <w:rsid w:val="00786E43"/>
    <w:pPr>
      <w:spacing w:before="100" w:beforeAutospacing="1" w:after="100" w:afterAutospacing="1"/>
      <w:jc w:val="left"/>
    </w:pPr>
    <w:rPr>
      <w:rFonts w:eastAsia="Times New Roman"/>
      <w:lang w:val="lv-LV" w:eastAsia="en-GB"/>
    </w:rPr>
  </w:style>
  <w:style w:type="paragraph" w:styleId="Footer">
    <w:name w:val="footer"/>
    <w:basedOn w:val="Normal"/>
    <w:link w:val="FooterChar"/>
    <w:uiPriority w:val="99"/>
    <w:rsid w:val="00786E43"/>
    <w:pPr>
      <w:widowControl w:val="0"/>
      <w:tabs>
        <w:tab w:val="center" w:pos="4513"/>
        <w:tab w:val="right" w:pos="9026"/>
      </w:tabs>
      <w:jc w:val="left"/>
    </w:pPr>
    <w:rPr>
      <w:rFonts w:eastAsia="Times New Roman"/>
      <w:szCs w:val="20"/>
      <w:lang w:val="lv-LV" w:eastAsia="en-GB"/>
    </w:rPr>
  </w:style>
  <w:style w:type="character" w:customStyle="1" w:styleId="FooterChar">
    <w:name w:val="Footer Char"/>
    <w:basedOn w:val="DefaultParagraphFont"/>
    <w:link w:val="Footer"/>
    <w:uiPriority w:val="99"/>
    <w:rsid w:val="00786E43"/>
    <w:rPr>
      <w:rFonts w:ascii="Times New Roman" w:eastAsia="Times New Roman" w:hAnsi="Times New Roman"/>
      <w:sz w:val="24"/>
      <w:szCs w:val="20"/>
      <w:lang w:val="lv-LV" w:eastAsia="en-GB"/>
    </w:rPr>
  </w:style>
  <w:style w:type="character" w:customStyle="1" w:styleId="Normal12Char">
    <w:name w:val="Normal12 Char"/>
    <w:link w:val="Normal12"/>
    <w:locked/>
    <w:rsid w:val="00786E43"/>
    <w:rPr>
      <w:noProof/>
      <w:sz w:val="24"/>
    </w:rPr>
  </w:style>
  <w:style w:type="paragraph" w:customStyle="1" w:styleId="Normal12">
    <w:name w:val="Normal12"/>
    <w:basedOn w:val="Normal"/>
    <w:link w:val="Normal12Char"/>
    <w:rsid w:val="00786E43"/>
    <w:pPr>
      <w:widowControl w:val="0"/>
      <w:spacing w:after="240"/>
      <w:jc w:val="left"/>
    </w:pPr>
    <w:rPr>
      <w:rFonts w:asciiTheme="minorHAnsi" w:hAnsiTheme="minorHAnsi"/>
      <w:noProof/>
      <w:szCs w:val="22"/>
    </w:rPr>
  </w:style>
  <w:style w:type="paragraph" w:customStyle="1" w:styleId="CommitteeAM">
    <w:name w:val="CommitteeAM"/>
    <w:basedOn w:val="Normal"/>
    <w:rsid w:val="00786E43"/>
    <w:pPr>
      <w:widowControl w:val="0"/>
      <w:spacing w:before="240" w:after="600"/>
      <w:jc w:val="center"/>
    </w:pPr>
    <w:rPr>
      <w:rFonts w:eastAsia="Times New Roman"/>
      <w:i/>
      <w:szCs w:val="20"/>
      <w:lang w:val="lv-LV" w:eastAsia="en-GB"/>
    </w:rPr>
  </w:style>
  <w:style w:type="paragraph" w:customStyle="1" w:styleId="ZDateAM">
    <w:name w:val="ZDateAM"/>
    <w:basedOn w:val="Normal"/>
    <w:rsid w:val="00786E43"/>
    <w:pPr>
      <w:widowControl w:val="0"/>
      <w:tabs>
        <w:tab w:val="right" w:pos="9356"/>
      </w:tabs>
      <w:spacing w:after="480"/>
      <w:jc w:val="left"/>
    </w:pPr>
    <w:rPr>
      <w:rFonts w:eastAsia="Times New Roman"/>
      <w:noProof/>
      <w:szCs w:val="20"/>
      <w:lang w:val="lv-LV" w:eastAsia="en-GB"/>
    </w:rPr>
  </w:style>
  <w:style w:type="paragraph" w:customStyle="1" w:styleId="ProjRap">
    <w:name w:val="ProjRap"/>
    <w:basedOn w:val="Normal"/>
    <w:rsid w:val="00786E43"/>
    <w:pPr>
      <w:widowControl w:val="0"/>
      <w:tabs>
        <w:tab w:val="right" w:pos="9356"/>
      </w:tabs>
      <w:jc w:val="left"/>
    </w:pPr>
    <w:rPr>
      <w:rFonts w:eastAsia="Times New Roman"/>
      <w:b/>
      <w:noProof/>
      <w:szCs w:val="20"/>
      <w:lang w:val="lv-LV" w:eastAsia="en-GB"/>
    </w:rPr>
  </w:style>
  <w:style w:type="paragraph" w:customStyle="1" w:styleId="PELeft">
    <w:name w:val="PELeft"/>
    <w:basedOn w:val="Normal"/>
    <w:rsid w:val="00786E43"/>
    <w:pPr>
      <w:widowControl w:val="0"/>
      <w:spacing w:before="40" w:after="40"/>
      <w:jc w:val="left"/>
    </w:pPr>
    <w:rPr>
      <w:rFonts w:ascii="Arial" w:eastAsia="Times New Roman" w:hAnsi="Arial" w:cs="Arial"/>
      <w:sz w:val="22"/>
      <w:szCs w:val="22"/>
      <w:lang w:val="lv-LV" w:eastAsia="en-GB"/>
    </w:rPr>
  </w:style>
  <w:style w:type="paragraph" w:customStyle="1" w:styleId="PERight">
    <w:name w:val="PERight"/>
    <w:basedOn w:val="Normal"/>
    <w:next w:val="Normal"/>
    <w:rsid w:val="00786E43"/>
    <w:pPr>
      <w:widowControl w:val="0"/>
      <w:jc w:val="right"/>
    </w:pPr>
    <w:rPr>
      <w:rFonts w:ascii="Arial" w:eastAsia="Times New Roman" w:hAnsi="Arial" w:cs="Arial"/>
      <w:sz w:val="22"/>
      <w:szCs w:val="22"/>
      <w:lang w:val="lv-LV" w:eastAsia="en-GB"/>
    </w:rPr>
  </w:style>
  <w:style w:type="character" w:customStyle="1" w:styleId="Normal6Char">
    <w:name w:val="Normal6 Char"/>
    <w:link w:val="Normal6"/>
    <w:locked/>
    <w:rsid w:val="00786E43"/>
    <w:rPr>
      <w:sz w:val="24"/>
      <w:lang w:val="lv-LV"/>
    </w:rPr>
  </w:style>
  <w:style w:type="paragraph" w:customStyle="1" w:styleId="Normal6">
    <w:name w:val="Normal6"/>
    <w:basedOn w:val="Normal"/>
    <w:link w:val="Normal6Char"/>
    <w:rsid w:val="00786E43"/>
    <w:pPr>
      <w:widowControl w:val="0"/>
      <w:spacing w:after="120"/>
      <w:jc w:val="left"/>
    </w:pPr>
    <w:rPr>
      <w:rFonts w:asciiTheme="minorHAnsi" w:hAnsiTheme="minorHAnsi"/>
      <w:szCs w:val="22"/>
      <w:lang w:val="lv-LV"/>
    </w:rPr>
  </w:style>
  <w:style w:type="paragraph" w:customStyle="1" w:styleId="Normal12Italic">
    <w:name w:val="Normal12Italic"/>
    <w:basedOn w:val="Normal12"/>
    <w:rsid w:val="00786E43"/>
    <w:rPr>
      <w:i/>
    </w:rPr>
  </w:style>
  <w:style w:type="paragraph" w:customStyle="1" w:styleId="JustificationTitle">
    <w:name w:val="JustificationTitle"/>
    <w:basedOn w:val="Normal"/>
    <w:next w:val="Normal12"/>
    <w:rsid w:val="00786E43"/>
    <w:pPr>
      <w:keepNext/>
      <w:widowControl w:val="0"/>
      <w:spacing w:before="240" w:after="240"/>
      <w:jc w:val="center"/>
    </w:pPr>
    <w:rPr>
      <w:rFonts w:eastAsia="Times New Roman"/>
      <w:i/>
      <w:noProof/>
      <w:szCs w:val="20"/>
      <w:lang w:val="lv-LV" w:eastAsia="en-GB"/>
    </w:rPr>
  </w:style>
  <w:style w:type="paragraph" w:customStyle="1" w:styleId="Olang">
    <w:name w:val="Olang"/>
    <w:basedOn w:val="Normal"/>
    <w:rsid w:val="00786E43"/>
    <w:pPr>
      <w:widowControl w:val="0"/>
      <w:spacing w:before="240" w:after="240"/>
      <w:jc w:val="right"/>
    </w:pPr>
    <w:rPr>
      <w:rFonts w:eastAsia="Times New Roman"/>
      <w:noProof/>
      <w:lang w:val="lv-LV" w:eastAsia="en-GB"/>
    </w:rPr>
  </w:style>
  <w:style w:type="paragraph" w:customStyle="1" w:styleId="ColumnHeading">
    <w:name w:val="ColumnHeading"/>
    <w:basedOn w:val="Normal"/>
    <w:rsid w:val="00786E43"/>
    <w:pPr>
      <w:widowControl w:val="0"/>
      <w:spacing w:after="240"/>
      <w:jc w:val="center"/>
    </w:pPr>
    <w:rPr>
      <w:rFonts w:eastAsia="Times New Roman"/>
      <w:i/>
      <w:szCs w:val="20"/>
      <w:lang w:val="lv-LV" w:eastAsia="en-GB"/>
    </w:rPr>
  </w:style>
  <w:style w:type="paragraph" w:customStyle="1" w:styleId="AMNumberTabs0">
    <w:name w:val="AMNumberTabs"/>
    <w:basedOn w:val="Normal"/>
    <w:rsid w:val="00786E43"/>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lv-LV" w:eastAsia="en-GB"/>
    </w:rPr>
  </w:style>
  <w:style w:type="paragraph" w:customStyle="1" w:styleId="CrossRef">
    <w:name w:val="CrossRef"/>
    <w:basedOn w:val="Normal"/>
    <w:rsid w:val="00786E43"/>
    <w:pPr>
      <w:widowControl w:val="0"/>
      <w:spacing w:before="240"/>
      <w:jc w:val="center"/>
    </w:pPr>
    <w:rPr>
      <w:rFonts w:eastAsia="Times New Roman"/>
      <w:i/>
      <w:szCs w:val="20"/>
      <w:lang w:val="lv-LV" w:eastAsia="en-GB"/>
    </w:rPr>
  </w:style>
  <w:style w:type="character" w:customStyle="1" w:styleId="Footer2Middle">
    <w:name w:val="Footer2Middle"/>
    <w:rsid w:val="00786E43"/>
    <w:rPr>
      <w:rFonts w:ascii="Arial" w:hAnsi="Arial" w:cs="Arial" w:hint="default"/>
      <w:b w:val="0"/>
      <w:bCs w:val="0"/>
      <w:i/>
      <w:iCs w:val="0"/>
      <w:color w:val="C0C0C0"/>
      <w:sz w:val="22"/>
    </w:rPr>
  </w:style>
  <w:style w:type="paragraph" w:customStyle="1" w:styleId="EntPE">
    <w:name w:val="EntPE"/>
    <w:basedOn w:val="Normal12"/>
    <w:rsid w:val="00786E43"/>
    <w:pPr>
      <w:jc w:val="center"/>
    </w:pPr>
    <w:rPr>
      <w:noProof w:val="0"/>
      <w:sz w:val="56"/>
    </w:rPr>
  </w:style>
  <w:style w:type="character" w:styleId="CommentReference">
    <w:name w:val="annotation reference"/>
    <w:basedOn w:val="DefaultParagraphFont"/>
    <w:uiPriority w:val="99"/>
    <w:rsid w:val="00786E43"/>
    <w:rPr>
      <w:sz w:val="16"/>
      <w:szCs w:val="16"/>
    </w:rPr>
  </w:style>
  <w:style w:type="paragraph" w:styleId="CommentText">
    <w:name w:val="annotation text"/>
    <w:basedOn w:val="Normal"/>
    <w:link w:val="CommentTextChar"/>
    <w:uiPriority w:val="99"/>
    <w:rsid w:val="00786E43"/>
    <w:pPr>
      <w:widowControl w:val="0"/>
      <w:jc w:val="left"/>
    </w:pPr>
    <w:rPr>
      <w:rFonts w:eastAsia="Times New Roman"/>
      <w:sz w:val="20"/>
      <w:szCs w:val="20"/>
      <w:lang w:val="lv-LV" w:eastAsia="en-GB"/>
    </w:rPr>
  </w:style>
  <w:style w:type="character" w:customStyle="1" w:styleId="CommentTextChar">
    <w:name w:val="Comment Text Char"/>
    <w:basedOn w:val="DefaultParagraphFont"/>
    <w:link w:val="CommentText"/>
    <w:uiPriority w:val="99"/>
    <w:rsid w:val="00786E43"/>
    <w:rPr>
      <w:rFonts w:ascii="Times New Roman" w:eastAsia="Times New Roman" w:hAnsi="Times New Roman"/>
      <w:sz w:val="20"/>
      <w:szCs w:val="20"/>
      <w:lang w:val="lv-LV" w:eastAsia="en-GB"/>
    </w:rPr>
  </w:style>
  <w:style w:type="paragraph" w:styleId="CommentSubject">
    <w:name w:val="annotation subject"/>
    <w:basedOn w:val="CommentText"/>
    <w:next w:val="CommentText"/>
    <w:link w:val="CommentSubjectChar"/>
    <w:uiPriority w:val="99"/>
    <w:unhideWhenUsed/>
    <w:rsid w:val="00786E43"/>
    <w:rPr>
      <w:b/>
      <w:bCs/>
    </w:rPr>
  </w:style>
  <w:style w:type="character" w:customStyle="1" w:styleId="CommentSubjectChar">
    <w:name w:val="Comment Subject Char"/>
    <w:basedOn w:val="CommentTextChar"/>
    <w:link w:val="CommentSubject"/>
    <w:uiPriority w:val="99"/>
    <w:rsid w:val="00786E43"/>
    <w:rPr>
      <w:rFonts w:ascii="Times New Roman" w:eastAsia="Times New Roman" w:hAnsi="Times New Roman"/>
      <w:b/>
      <w:bCs/>
      <w:sz w:val="20"/>
      <w:szCs w:val="20"/>
      <w:lang w:val="lv-LV" w:eastAsia="en-GB"/>
    </w:rPr>
  </w:style>
  <w:style w:type="paragraph" w:styleId="BalloonText">
    <w:name w:val="Balloon Text"/>
    <w:basedOn w:val="Normal"/>
    <w:link w:val="BalloonTextChar"/>
    <w:uiPriority w:val="99"/>
    <w:unhideWhenUsed/>
    <w:rsid w:val="00786E43"/>
    <w:pPr>
      <w:widowControl w:val="0"/>
      <w:jc w:val="left"/>
    </w:pPr>
    <w:rPr>
      <w:rFonts w:ascii="Segoe UI" w:eastAsia="Times New Roman" w:hAnsi="Segoe UI" w:cs="Segoe UI"/>
      <w:sz w:val="18"/>
      <w:szCs w:val="18"/>
      <w:lang w:val="lv-LV" w:eastAsia="en-GB"/>
    </w:rPr>
  </w:style>
  <w:style w:type="character" w:customStyle="1" w:styleId="BalloonTextChar">
    <w:name w:val="Balloon Text Char"/>
    <w:basedOn w:val="DefaultParagraphFont"/>
    <w:link w:val="BalloonText"/>
    <w:uiPriority w:val="99"/>
    <w:rsid w:val="00786E43"/>
    <w:rPr>
      <w:rFonts w:ascii="Segoe UI" w:eastAsia="Times New Roman" w:hAnsi="Segoe UI" w:cs="Segoe UI"/>
      <w:sz w:val="18"/>
      <w:szCs w:val="18"/>
      <w:lang w:val="lv-LV" w:eastAsia="en-GB"/>
    </w:rPr>
  </w:style>
  <w:style w:type="character" w:customStyle="1" w:styleId="AmNumberTabsChar">
    <w:name w:val="AmNumberTabs Char"/>
    <w:basedOn w:val="DefaultParagraphFont"/>
    <w:link w:val="AmNumberTabs"/>
    <w:rsid w:val="00786E43"/>
    <w:rPr>
      <w:rFonts w:ascii="Times New Roman" w:eastAsia="Times New Roman" w:hAnsi="Times New Roman"/>
      <w:b/>
      <w:sz w:val="24"/>
      <w:szCs w:val="20"/>
      <w:lang w:val="lv-LV" w:eastAsia="en-GB"/>
    </w:rPr>
  </w:style>
  <w:style w:type="character" w:customStyle="1" w:styleId="NormalBold12bChar">
    <w:name w:val="NormalBold12b Char"/>
    <w:basedOn w:val="AmNumberTabsChar"/>
    <w:link w:val="NormalBold12b"/>
    <w:rsid w:val="00786E43"/>
    <w:rPr>
      <w:rFonts w:ascii="Times New Roman" w:eastAsia="Times New Roman" w:hAnsi="Times New Roman"/>
      <w:b/>
      <w:sz w:val="24"/>
      <w:szCs w:val="20"/>
      <w:lang w:val="lv-LV" w:eastAsia="en-GB"/>
    </w:rPr>
  </w:style>
  <w:style w:type="paragraph" w:customStyle="1" w:styleId="PageHeadingNotTOC">
    <w:name w:val="PageHeadingNotTOC"/>
    <w:basedOn w:val="Normal"/>
    <w:rsid w:val="00786E43"/>
    <w:pPr>
      <w:keepNext/>
      <w:widowControl w:val="0"/>
      <w:spacing w:after="480"/>
      <w:jc w:val="center"/>
    </w:pPr>
    <w:rPr>
      <w:rFonts w:ascii="Arial" w:eastAsia="Times New Roman" w:hAnsi="Arial" w:cs="Arial"/>
      <w:b/>
      <w:szCs w:val="20"/>
      <w:lang w:val="lv-LV" w:eastAsia="en-GB"/>
    </w:rPr>
  </w:style>
  <w:style w:type="paragraph" w:customStyle="1" w:styleId="AmHeadingPA">
    <w:name w:val="AmHeadingPA"/>
    <w:basedOn w:val="Normal"/>
    <w:next w:val="Normal"/>
    <w:rsid w:val="00786E43"/>
    <w:pPr>
      <w:widowControl w:val="0"/>
      <w:spacing w:before="480" w:after="240"/>
      <w:jc w:val="center"/>
    </w:pPr>
    <w:rPr>
      <w:rFonts w:ascii="Arial" w:eastAsia="Times New Roman" w:hAnsi="Arial"/>
      <w:b/>
      <w:caps/>
      <w:snapToGrid w:val="0"/>
      <w:lang w:val="lv-LV"/>
    </w:rPr>
  </w:style>
  <w:style w:type="character" w:customStyle="1" w:styleId="Sup">
    <w:name w:val="Sup"/>
    <w:uiPriority w:val="1"/>
    <w:qFormat/>
    <w:rsid w:val="00786E43"/>
    <w:rPr>
      <w:vertAlign w:val="superscript"/>
    </w:rPr>
  </w:style>
  <w:style w:type="character" w:customStyle="1" w:styleId="Hyperlink1">
    <w:name w:val="Hyperlink1"/>
    <w:basedOn w:val="DefaultParagraphFont"/>
    <w:uiPriority w:val="99"/>
    <w:rsid w:val="00786E43"/>
    <w:rPr>
      <w:color w:val="0563C1"/>
      <w:u w:val="single"/>
    </w:rPr>
  </w:style>
  <w:style w:type="paragraph" w:customStyle="1" w:styleId="LetterSalutation">
    <w:name w:val="LetterSalutation"/>
    <w:basedOn w:val="Normal"/>
    <w:rsid w:val="00786E43"/>
    <w:pPr>
      <w:widowControl w:val="0"/>
      <w:spacing w:before="600" w:after="360"/>
      <w:jc w:val="left"/>
    </w:pPr>
    <w:rPr>
      <w:rFonts w:eastAsia="Times New Roman"/>
      <w:szCs w:val="20"/>
      <w:lang w:val="lv-LV" w:eastAsia="en-GB"/>
    </w:rPr>
  </w:style>
  <w:style w:type="paragraph" w:customStyle="1" w:styleId="LetterSubject">
    <w:name w:val="LetterSubject"/>
    <w:basedOn w:val="Normal"/>
    <w:rsid w:val="00786E43"/>
    <w:pPr>
      <w:widowControl w:val="0"/>
      <w:spacing w:before="480"/>
      <w:ind w:left="1134" w:hanging="1134"/>
      <w:jc w:val="left"/>
    </w:pPr>
    <w:rPr>
      <w:rFonts w:eastAsia="Times New Roman"/>
      <w:szCs w:val="20"/>
      <w:lang w:val="lv-LV" w:eastAsia="en-GB"/>
    </w:rPr>
  </w:style>
  <w:style w:type="character" w:customStyle="1" w:styleId="Normal24aChar">
    <w:name w:val="Normal24a Char"/>
    <w:basedOn w:val="DefaultParagraphFont"/>
    <w:link w:val="Normal24a"/>
    <w:rsid w:val="00786E43"/>
    <w:rPr>
      <w:rFonts w:ascii="Times New Roman" w:eastAsia="Times New Roman" w:hAnsi="Times New Roman"/>
      <w:sz w:val="24"/>
      <w:szCs w:val="20"/>
      <w:lang w:val="lv-LV" w:eastAsia="en-GB"/>
    </w:rPr>
  </w:style>
  <w:style w:type="paragraph" w:customStyle="1" w:styleId="CoverBold">
    <w:name w:val="CoverBold"/>
    <w:basedOn w:val="Normal"/>
    <w:rsid w:val="00786E43"/>
    <w:pPr>
      <w:widowControl w:val="0"/>
      <w:ind w:left="1417"/>
      <w:jc w:val="left"/>
    </w:pPr>
    <w:rPr>
      <w:rFonts w:eastAsia="Times New Roman"/>
      <w:b/>
      <w:szCs w:val="20"/>
      <w:lang w:val="lv-LV" w:eastAsia="en-GB"/>
    </w:rPr>
  </w:style>
  <w:style w:type="paragraph" w:customStyle="1" w:styleId="Normal2">
    <w:name w:val="Normal2"/>
    <w:basedOn w:val="Normal"/>
    <w:qFormat/>
    <w:rsid w:val="00786E43"/>
    <w:pPr>
      <w:widowControl w:val="0"/>
      <w:spacing w:line="120" w:lineRule="auto"/>
      <w:jc w:val="left"/>
    </w:pPr>
    <w:rPr>
      <w:rFonts w:eastAsia="Times New Roman"/>
      <w:sz w:val="4"/>
      <w:szCs w:val="20"/>
      <w:lang w:val="lv-LV" w:eastAsia="en-GB"/>
    </w:rPr>
  </w:style>
  <w:style w:type="paragraph" w:customStyle="1" w:styleId="NormalItalic6a">
    <w:name w:val="NormalItalic6a"/>
    <w:basedOn w:val="Normal6a"/>
    <w:qFormat/>
    <w:rsid w:val="00786E43"/>
    <w:rPr>
      <w:i/>
    </w:rPr>
  </w:style>
  <w:style w:type="paragraph" w:customStyle="1" w:styleId="NormalBoldItalic6a">
    <w:name w:val="NormalBoldItalic6a"/>
    <w:basedOn w:val="Normal6a"/>
    <w:qFormat/>
    <w:rsid w:val="00786E43"/>
    <w:rPr>
      <w:b/>
      <w:i/>
    </w:rPr>
  </w:style>
  <w:style w:type="paragraph" w:customStyle="1" w:styleId="NormalBoldItalicCenter6a">
    <w:name w:val="NormalBoldItalicCenter6a"/>
    <w:basedOn w:val="Normal6a"/>
    <w:qFormat/>
    <w:rsid w:val="00786E43"/>
    <w:pPr>
      <w:jc w:val="center"/>
    </w:pPr>
    <w:rPr>
      <w:b/>
      <w:i/>
    </w:rPr>
  </w:style>
  <w:style w:type="paragraph" w:customStyle="1" w:styleId="AnnexRight">
    <w:name w:val="AnnexRight"/>
    <w:basedOn w:val="Normal"/>
    <w:rsid w:val="00786E43"/>
    <w:pPr>
      <w:widowControl w:val="0"/>
      <w:spacing w:after="480"/>
      <w:jc w:val="right"/>
    </w:pPr>
    <w:rPr>
      <w:rFonts w:eastAsia="Times New Roman"/>
      <w:szCs w:val="20"/>
      <w:lang w:val="lv-LV" w:eastAsia="en-GB"/>
    </w:rPr>
  </w:style>
  <w:style w:type="paragraph" w:customStyle="1" w:styleId="RollCallSymbols14pt">
    <w:name w:val="RollCallSymbols14pt"/>
    <w:basedOn w:val="Normal"/>
    <w:rsid w:val="00786E43"/>
    <w:pPr>
      <w:widowControl w:val="0"/>
      <w:spacing w:before="120" w:after="120"/>
      <w:jc w:val="center"/>
    </w:pPr>
    <w:rPr>
      <w:rFonts w:ascii="Arial" w:eastAsia="Times New Roman" w:hAnsi="Arial"/>
      <w:b/>
      <w:bCs/>
      <w:snapToGrid w:val="0"/>
      <w:sz w:val="28"/>
      <w:szCs w:val="20"/>
      <w:lang w:val="lv-LV"/>
    </w:rPr>
  </w:style>
  <w:style w:type="paragraph" w:customStyle="1" w:styleId="RollCallTabs">
    <w:name w:val="RollCallTabs"/>
    <w:basedOn w:val="Normal"/>
    <w:qFormat/>
    <w:rsid w:val="00786E43"/>
    <w:pPr>
      <w:widowControl w:val="0"/>
      <w:tabs>
        <w:tab w:val="center" w:pos="284"/>
        <w:tab w:val="left" w:pos="426"/>
      </w:tabs>
      <w:jc w:val="left"/>
    </w:pPr>
    <w:rPr>
      <w:rFonts w:eastAsia="Times New Roman"/>
      <w:snapToGrid w:val="0"/>
      <w:szCs w:val="20"/>
      <w:lang w:val="lv-LV"/>
    </w:rPr>
  </w:style>
  <w:style w:type="paragraph" w:customStyle="1" w:styleId="RollCallVotes">
    <w:name w:val="RollCallVotes"/>
    <w:basedOn w:val="Normal"/>
    <w:rsid w:val="00786E43"/>
    <w:pPr>
      <w:widowControl w:val="0"/>
      <w:spacing w:before="120" w:after="120"/>
      <w:jc w:val="center"/>
    </w:pPr>
    <w:rPr>
      <w:rFonts w:eastAsia="Times New Roman"/>
      <w:b/>
      <w:bCs/>
      <w:snapToGrid w:val="0"/>
      <w:sz w:val="16"/>
      <w:szCs w:val="20"/>
      <w:lang w:val="lv-LV"/>
    </w:rPr>
  </w:style>
  <w:style w:type="paragraph" w:customStyle="1" w:styleId="RollCallTable">
    <w:name w:val="RollCallTable"/>
    <w:basedOn w:val="Normal"/>
    <w:rsid w:val="00786E43"/>
    <w:pPr>
      <w:widowControl w:val="0"/>
      <w:spacing w:before="120" w:after="120"/>
      <w:jc w:val="left"/>
    </w:pPr>
    <w:rPr>
      <w:rFonts w:eastAsia="Times New Roman"/>
      <w:snapToGrid w:val="0"/>
      <w:sz w:val="16"/>
      <w:szCs w:val="20"/>
      <w:lang w:val="lv-LV"/>
    </w:rPr>
  </w:style>
  <w:style w:type="paragraph" w:customStyle="1" w:styleId="AmDocTypeTab">
    <w:name w:val="AmDocTypeTab"/>
    <w:basedOn w:val="Normal"/>
    <w:rsid w:val="00786E43"/>
    <w:pPr>
      <w:widowControl w:val="0"/>
      <w:tabs>
        <w:tab w:val="right" w:pos="9072"/>
      </w:tabs>
      <w:jc w:val="left"/>
    </w:pPr>
    <w:rPr>
      <w:rFonts w:eastAsia="Times New Roman"/>
      <w:b/>
      <w:szCs w:val="20"/>
      <w:lang w:val="lv-LV" w:eastAsia="en-GB"/>
    </w:rPr>
  </w:style>
  <w:style w:type="paragraph" w:customStyle="1" w:styleId="NormalCenter12a">
    <w:name w:val="NormalCenter12a"/>
    <w:basedOn w:val="Normal"/>
    <w:rsid w:val="00786E43"/>
    <w:pPr>
      <w:widowControl w:val="0"/>
      <w:spacing w:after="240"/>
      <w:jc w:val="center"/>
    </w:pPr>
    <w:rPr>
      <w:rFonts w:eastAsia="Times New Roman"/>
      <w:szCs w:val="20"/>
      <w:lang w:val="lv-LV" w:eastAsia="en-GB"/>
    </w:rPr>
  </w:style>
  <w:style w:type="paragraph" w:customStyle="1" w:styleId="AmDateTab">
    <w:name w:val="AmDateTab"/>
    <w:basedOn w:val="Normal"/>
    <w:rsid w:val="00786E43"/>
    <w:pPr>
      <w:widowControl w:val="0"/>
      <w:tabs>
        <w:tab w:val="right" w:pos="9072"/>
      </w:tabs>
      <w:jc w:val="left"/>
    </w:pPr>
    <w:rPr>
      <w:rFonts w:eastAsia="Times New Roman"/>
      <w:szCs w:val="20"/>
      <w:lang w:val="lv-LV" w:eastAsia="en-GB"/>
    </w:rPr>
  </w:style>
  <w:style w:type="paragraph" w:customStyle="1" w:styleId="AmHeadingConsam">
    <w:name w:val="AmHeadingConsam"/>
    <w:basedOn w:val="Normal"/>
    <w:next w:val="NormalCenter12a"/>
    <w:rsid w:val="00786E43"/>
    <w:pPr>
      <w:widowControl w:val="0"/>
      <w:spacing w:before="720" w:after="240"/>
      <w:jc w:val="center"/>
    </w:pPr>
    <w:rPr>
      <w:rFonts w:eastAsia="Times New Roman"/>
      <w:szCs w:val="20"/>
      <w:lang w:val="lv-LV" w:eastAsia="en-GB"/>
    </w:rPr>
  </w:style>
  <w:style w:type="numbering" w:customStyle="1" w:styleId="NoList11">
    <w:name w:val="No List11"/>
    <w:next w:val="NoList"/>
    <w:uiPriority w:val="99"/>
    <w:semiHidden/>
    <w:unhideWhenUsed/>
    <w:rsid w:val="00786E43"/>
  </w:style>
  <w:style w:type="paragraph" w:customStyle="1" w:styleId="Typedudocument">
    <w:name w:val="Type du document"/>
    <w:basedOn w:val="Normal"/>
    <w:next w:val="Normal"/>
    <w:rsid w:val="00786E43"/>
    <w:pPr>
      <w:spacing w:before="360" w:line="360" w:lineRule="auto"/>
      <w:jc w:val="center"/>
    </w:pPr>
    <w:rPr>
      <w:b/>
      <w:szCs w:val="22"/>
      <w:lang w:val="lv-LV"/>
    </w:rPr>
  </w:style>
  <w:style w:type="paragraph" w:customStyle="1" w:styleId="SectionTitle">
    <w:name w:val="SectionTitle"/>
    <w:basedOn w:val="Normal"/>
    <w:next w:val="Heading1"/>
    <w:rsid w:val="00786E43"/>
    <w:pPr>
      <w:keepNext/>
      <w:spacing w:before="120" w:after="360"/>
      <w:jc w:val="center"/>
    </w:pPr>
    <w:rPr>
      <w:rFonts w:eastAsia="Calibri"/>
      <w:b/>
      <w:smallCaps/>
      <w:sz w:val="28"/>
      <w:szCs w:val="22"/>
      <w:lang w:val="lv-LV"/>
    </w:rPr>
  </w:style>
  <w:style w:type="paragraph" w:customStyle="1" w:styleId="Titrearticle">
    <w:name w:val="Titre article"/>
    <w:basedOn w:val="Normal"/>
    <w:next w:val="Normal"/>
    <w:rsid w:val="00786E43"/>
    <w:pPr>
      <w:keepNext/>
      <w:spacing w:before="360" w:after="120"/>
      <w:jc w:val="center"/>
    </w:pPr>
    <w:rPr>
      <w:rFonts w:eastAsia="Calibri"/>
      <w:i/>
      <w:szCs w:val="22"/>
      <w:lang w:val="lv-LV"/>
    </w:rPr>
  </w:style>
  <w:style w:type="paragraph" w:customStyle="1" w:styleId="Point0">
    <w:name w:val="Point 0"/>
    <w:basedOn w:val="Normal"/>
    <w:rsid w:val="00786E43"/>
    <w:pPr>
      <w:spacing w:before="120" w:after="120"/>
      <w:ind w:left="850" w:hanging="850"/>
    </w:pPr>
    <w:rPr>
      <w:rFonts w:eastAsia="Calibri"/>
      <w:szCs w:val="22"/>
      <w:lang w:val="lv-LV"/>
    </w:rPr>
  </w:style>
  <w:style w:type="paragraph" w:customStyle="1" w:styleId="Fait">
    <w:name w:val="Fait à"/>
    <w:basedOn w:val="Normal"/>
    <w:next w:val="Institutionquisigne"/>
    <w:rsid w:val="00786E43"/>
    <w:pPr>
      <w:keepNext/>
      <w:spacing w:before="120"/>
    </w:pPr>
    <w:rPr>
      <w:rFonts w:eastAsia="Calibri"/>
      <w:szCs w:val="22"/>
      <w:lang w:val="lv-LV"/>
    </w:rPr>
  </w:style>
  <w:style w:type="paragraph" w:customStyle="1" w:styleId="Institutionquisigne">
    <w:name w:val="Institution qui signe"/>
    <w:basedOn w:val="Normal"/>
    <w:next w:val="Normal"/>
    <w:rsid w:val="00786E43"/>
    <w:pPr>
      <w:keepNext/>
      <w:tabs>
        <w:tab w:val="left" w:pos="4252"/>
      </w:tabs>
      <w:spacing w:before="720"/>
    </w:pPr>
    <w:rPr>
      <w:rFonts w:eastAsia="Calibri"/>
      <w:i/>
      <w:szCs w:val="22"/>
      <w:lang w:val="lv-LV"/>
    </w:rPr>
  </w:style>
  <w:style w:type="paragraph" w:customStyle="1" w:styleId="NormalCentered">
    <w:name w:val="Normal Centered"/>
    <w:basedOn w:val="Normal"/>
    <w:rsid w:val="00786E43"/>
    <w:pPr>
      <w:spacing w:before="120" w:after="120"/>
      <w:jc w:val="center"/>
    </w:pPr>
    <w:rPr>
      <w:rFonts w:eastAsia="Calibri"/>
      <w:szCs w:val="22"/>
      <w:lang w:val="lv-LV"/>
    </w:rPr>
  </w:style>
  <w:style w:type="paragraph" w:customStyle="1" w:styleId="NormalLeft">
    <w:name w:val="Normal Left"/>
    <w:basedOn w:val="Normal"/>
    <w:rsid w:val="00786E43"/>
    <w:pPr>
      <w:spacing w:before="120" w:after="120"/>
      <w:jc w:val="left"/>
    </w:pPr>
    <w:rPr>
      <w:rFonts w:eastAsia="Calibri"/>
      <w:szCs w:val="22"/>
      <w:lang w:val="lv-LV"/>
    </w:rPr>
  </w:style>
  <w:style w:type="paragraph" w:customStyle="1" w:styleId="Revision1">
    <w:name w:val="Revision1"/>
    <w:next w:val="Revision"/>
    <w:hidden/>
    <w:uiPriority w:val="99"/>
    <w:semiHidden/>
    <w:rsid w:val="00786E43"/>
    <w:rPr>
      <w:rFonts w:ascii="Times New Roman" w:hAnsi="Times New Roman"/>
      <w:sz w:val="24"/>
      <w:szCs w:val="24"/>
      <w:lang w:val="lv-LV"/>
    </w:rPr>
  </w:style>
  <w:style w:type="paragraph" w:styleId="NormalWeb">
    <w:name w:val="Normal (Web)"/>
    <w:basedOn w:val="Normal"/>
    <w:uiPriority w:val="99"/>
    <w:unhideWhenUsed/>
    <w:rsid w:val="00786E43"/>
    <w:pPr>
      <w:spacing w:before="100" w:beforeAutospacing="1" w:after="100" w:afterAutospacing="1"/>
      <w:jc w:val="left"/>
    </w:pPr>
    <w:rPr>
      <w:rFonts w:eastAsia="Times New Roman"/>
      <w:lang w:val="lv-LV" w:eastAsia="pl-PL"/>
    </w:rPr>
  </w:style>
  <w:style w:type="character" w:styleId="FollowedHyperlink">
    <w:name w:val="FollowedHyperlink"/>
    <w:basedOn w:val="DefaultParagraphFont"/>
    <w:uiPriority w:val="99"/>
    <w:unhideWhenUsed/>
    <w:rsid w:val="00786E43"/>
    <w:rPr>
      <w:color w:val="954F72"/>
      <w:u w:val="single"/>
    </w:rPr>
  </w:style>
  <w:style w:type="paragraph" w:customStyle="1" w:styleId="xl65">
    <w:name w:val="xl65"/>
    <w:basedOn w:val="Normal"/>
    <w:rsid w:val="00786E43"/>
    <w:pPr>
      <w:pBdr>
        <w:left w:val="single" w:sz="4" w:space="0" w:color="auto"/>
      </w:pBdr>
      <w:spacing w:before="100" w:beforeAutospacing="1" w:after="100" w:afterAutospacing="1"/>
      <w:jc w:val="left"/>
    </w:pPr>
    <w:rPr>
      <w:rFonts w:eastAsia="Times New Roman"/>
      <w:lang w:val="lv-LV" w:eastAsia="en-IE"/>
    </w:rPr>
  </w:style>
  <w:style w:type="paragraph" w:customStyle="1" w:styleId="xl66">
    <w:name w:val="xl66"/>
    <w:basedOn w:val="Normal"/>
    <w:rsid w:val="00786E43"/>
    <w:pPr>
      <w:pBdr>
        <w:right w:val="single" w:sz="4" w:space="0" w:color="auto"/>
      </w:pBdr>
      <w:spacing w:before="100" w:beforeAutospacing="1" w:after="100" w:afterAutospacing="1"/>
      <w:jc w:val="left"/>
    </w:pPr>
    <w:rPr>
      <w:rFonts w:eastAsia="Times New Roman"/>
      <w:lang w:val="lv-LV" w:eastAsia="en-IE"/>
    </w:rPr>
  </w:style>
  <w:style w:type="paragraph" w:customStyle="1" w:styleId="Rfrenceinstitutionnelle">
    <w:name w:val="Référence institutionnelle"/>
    <w:basedOn w:val="Normal"/>
    <w:next w:val="Normal"/>
    <w:rsid w:val="00786E43"/>
    <w:pPr>
      <w:spacing w:after="240" w:line="360" w:lineRule="auto"/>
      <w:ind w:left="5102"/>
      <w:jc w:val="left"/>
    </w:pPr>
    <w:rPr>
      <w:rFonts w:eastAsia="Times New Roman"/>
      <w:lang w:val="lv-LV"/>
    </w:rPr>
  </w:style>
  <w:style w:type="paragraph" w:customStyle="1" w:styleId="Titreobjet">
    <w:name w:val="Titre objet"/>
    <w:basedOn w:val="Normal"/>
    <w:next w:val="Normal"/>
    <w:rsid w:val="00786E43"/>
    <w:pPr>
      <w:spacing w:before="360" w:after="360" w:line="360" w:lineRule="auto"/>
      <w:jc w:val="center"/>
    </w:pPr>
    <w:rPr>
      <w:rFonts w:eastAsia="Times New Roman"/>
      <w:b/>
      <w:lang w:val="lv-LV"/>
    </w:rPr>
  </w:style>
  <w:style w:type="character" w:styleId="Hyperlink">
    <w:name w:val="Hyperlink"/>
    <w:basedOn w:val="DefaultParagraphFont"/>
    <w:uiPriority w:val="99"/>
    <w:semiHidden/>
    <w:unhideWhenUsed/>
    <w:rsid w:val="00786E43"/>
    <w:rPr>
      <w:color w:val="0563C1" w:themeColor="hyperlink"/>
      <w:u w:val="single"/>
    </w:rPr>
  </w:style>
  <w:style w:type="paragraph" w:styleId="Revision">
    <w:name w:val="Revision"/>
    <w:hidden/>
    <w:uiPriority w:val="99"/>
    <w:semiHidden/>
    <w:rsid w:val="00786E4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1197</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MERSCH Larisa</dc:creator>
  <cp:keywords/>
  <dc:description/>
  <cp:lastModifiedBy>MERSCH Larisa</cp:lastModifiedBy>
  <cp:revision>2</cp:revision>
  <dcterms:created xsi:type="dcterms:W3CDTF">2024-12-04T08:37:00Z</dcterms:created>
  <dcterms:modified xsi:type="dcterms:W3CDTF">2024-12-04T08:37:00Z</dcterms:modified>
</cp:coreProperties>
</file>