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6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76DE" w:rsidRDefault="008121F9" w:rsidP="0010095E">
            <w:pPr>
              <w:pStyle w:val="EPName"/>
            </w:pPr>
            <w:r w:rsidRPr="00E276DE">
              <w:t>Parlament Ewropew</w:t>
            </w:r>
          </w:p>
          <w:p w:rsidR="00751A4A" w:rsidRPr="00E276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6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76DE" w:rsidRDefault="00187494" w:rsidP="0010095E">
            <w:pPr>
              <w:pStyle w:val="EPLogo"/>
            </w:pPr>
            <w:r w:rsidRPr="00E276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76DE" w:rsidRDefault="00D058B8" w:rsidP="004C5D52">
      <w:pPr>
        <w:pStyle w:val="LineTop"/>
      </w:pPr>
    </w:p>
    <w:p w:rsidR="00680577" w:rsidRPr="00E276DE" w:rsidRDefault="008121F9" w:rsidP="00680577">
      <w:pPr>
        <w:pStyle w:val="EPBodyTA1"/>
      </w:pPr>
      <w:r w:rsidRPr="00E276DE">
        <w:t>TESTI ADOTTATI</w:t>
      </w:r>
    </w:p>
    <w:p w:rsidR="00D058B8" w:rsidRPr="00E276DE" w:rsidRDefault="00D058B8" w:rsidP="00D058B8">
      <w:pPr>
        <w:pStyle w:val="LineBottom"/>
      </w:pPr>
    </w:p>
    <w:p w:rsidR="008121F9" w:rsidRPr="00E276DE" w:rsidRDefault="008121F9" w:rsidP="008121F9">
      <w:pPr>
        <w:pStyle w:val="ATHeading1"/>
      </w:pPr>
      <w:bookmarkStart w:id="0" w:name="TANumber"/>
      <w:r w:rsidRPr="00E276DE">
        <w:t>P9_TA(2024)0</w:t>
      </w:r>
      <w:r w:rsidR="00E276DE" w:rsidRPr="00E276DE">
        <w:t>163</w:t>
      </w:r>
      <w:bookmarkEnd w:id="0"/>
    </w:p>
    <w:p w:rsidR="008121F9" w:rsidRPr="00E276DE" w:rsidRDefault="00AB064D" w:rsidP="008121F9">
      <w:pPr>
        <w:pStyle w:val="ATHeading2"/>
      </w:pPr>
      <w:r w:rsidRPr="00E276DE">
        <w:t>Regoli finanzjarji applikabbli għall-baġit ġenerali tal-U</w:t>
      </w:r>
      <w:r w:rsidR="00DF6712" w:rsidRPr="00E276DE">
        <w:t>njoni</w:t>
      </w:r>
      <w:r w:rsidRPr="00E276DE">
        <w:t xml:space="preserve"> (riformulazzjoni)</w:t>
      </w:r>
    </w:p>
    <w:p w:rsidR="008121F9" w:rsidRPr="00E276DE" w:rsidRDefault="008121F9" w:rsidP="008121F9">
      <w:pPr>
        <w:rPr>
          <w:i/>
          <w:vanish/>
        </w:rPr>
      </w:pPr>
      <w:r w:rsidRPr="00E276DE">
        <w:rPr>
          <w:i/>
        </w:rPr>
        <w:fldChar w:fldCharType="begin"/>
      </w:r>
      <w:r w:rsidRPr="00E276DE">
        <w:rPr>
          <w:i/>
        </w:rPr>
        <w:instrText xml:space="preserve"> TC"(</w:instrText>
      </w:r>
      <w:bookmarkStart w:id="1" w:name="DocNumber"/>
      <w:r w:rsidRPr="00E276DE">
        <w:rPr>
          <w:i/>
        </w:rPr>
        <w:instrText>A9-0180/2023</w:instrText>
      </w:r>
      <w:bookmarkEnd w:id="1"/>
      <w:r w:rsidRPr="00E276DE">
        <w:rPr>
          <w:i/>
        </w:rPr>
        <w:instrText xml:space="preserve"> - Rapporteur: Nils Ušakovs, Monika Hohlmeier)"\l3 \n&gt; \* MERGEFORMAT </w:instrText>
      </w:r>
      <w:r w:rsidRPr="00E276DE">
        <w:rPr>
          <w:i/>
        </w:rPr>
        <w:fldChar w:fldCharType="end"/>
      </w:r>
    </w:p>
    <w:p w:rsidR="008121F9" w:rsidRPr="009B6D79" w:rsidRDefault="008121F9" w:rsidP="008121F9">
      <w:pPr>
        <w:rPr>
          <w:vanish/>
        </w:rPr>
      </w:pPr>
      <w:bookmarkStart w:id="2" w:name="Commission"/>
      <w:r w:rsidRPr="00E276DE">
        <w:rPr>
          <w:vanish/>
        </w:rPr>
        <w:t>Kumitat għall-Baġits</w:t>
      </w:r>
      <w:r w:rsidR="009B6D79" w:rsidRPr="009B6D79">
        <w:rPr>
          <w:vanish/>
        </w:rPr>
        <w:t xml:space="preserve"> Kumitat għall-Kontroll tal-Baġit</w:t>
      </w:r>
    </w:p>
    <w:p w:rsidR="008121F9" w:rsidRPr="00E276DE" w:rsidRDefault="008121F9" w:rsidP="008121F9">
      <w:pPr>
        <w:rPr>
          <w:vanish/>
        </w:rPr>
      </w:pPr>
      <w:bookmarkStart w:id="3" w:name="PE"/>
      <w:bookmarkEnd w:id="2"/>
      <w:r w:rsidRPr="00E276DE">
        <w:rPr>
          <w:vanish/>
        </w:rPr>
        <w:t>PE740.802</w:t>
      </w:r>
      <w:bookmarkEnd w:id="3"/>
    </w:p>
    <w:p w:rsidR="008121F9" w:rsidRPr="00E276DE" w:rsidRDefault="008121F9" w:rsidP="008121F9">
      <w:pPr>
        <w:pStyle w:val="ATHeading3"/>
      </w:pPr>
      <w:bookmarkStart w:id="4" w:name="Sujet"/>
      <w:r w:rsidRPr="00E276DE">
        <w:t>Riżoluzzjoni leġiżlattiva tal-Parlament Ewropew ta</w:t>
      </w:r>
      <w:r w:rsidR="00291C4D" w:rsidRPr="00E276DE">
        <w:t>l</w:t>
      </w:r>
      <w:r w:rsidRPr="00E276DE">
        <w:t>-1</w:t>
      </w:r>
      <w:r w:rsidR="00291C4D" w:rsidRPr="00E276DE">
        <w:t>4</w:t>
      </w:r>
      <w:r w:rsidRPr="00E276DE">
        <w:t xml:space="preserve"> ta' Marzu 2024 dwar il-proposta għal regolament tal-Parlament Ewropew u tal-Kunsill dwar ir-regoli finanzjarji applikabbli għall-baġit ġenerali tal-Unjoni (riformulazzjoni)</w:t>
      </w:r>
      <w:bookmarkEnd w:id="4"/>
      <w:r w:rsidRPr="00E276DE">
        <w:t xml:space="preserve"> </w:t>
      </w:r>
      <w:bookmarkStart w:id="5" w:name="References"/>
      <w:r w:rsidRPr="00E276DE">
        <w:t>(COM(2022)0223 – C9-0179/2022 – 2022/0162(COD))</w:t>
      </w:r>
      <w:bookmarkEnd w:id="5"/>
    </w:p>
    <w:p w:rsidR="009B7CD6" w:rsidRPr="00E276DE" w:rsidRDefault="009B7CD6" w:rsidP="009B7CD6">
      <w:pPr>
        <w:pStyle w:val="NormalBold"/>
      </w:pPr>
      <w:bookmarkStart w:id="6" w:name="TextBodyBegin"/>
      <w:bookmarkEnd w:id="6"/>
      <w:r w:rsidRPr="00E276DE">
        <w:t>(Proċedura leġiżlattiva ordinarja – riformulazzjoni)</w:t>
      </w:r>
    </w:p>
    <w:p w:rsidR="009B7CD6" w:rsidRPr="00E276DE" w:rsidRDefault="009B7CD6" w:rsidP="009B7CD6">
      <w:pPr>
        <w:pStyle w:val="EPComma"/>
      </w:pPr>
      <w:r w:rsidRPr="00E276DE">
        <w:rPr>
          <w:i/>
        </w:rPr>
        <w:t>Il-Parlament Ewropew</w:t>
      </w:r>
      <w:r w:rsidRPr="00E276DE">
        <w:t>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l-proposta tal-Kummissjoni lill-Parlament Ewropew u lill-Kunsill (COM(2022)0223),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l-Artikolu 294(2) u l-Artikolu 322(1) tat-Trattat dwar il-Funzjonament tal-Unjoni Ewropea u l-Artikolu 106a tat-Trattat li jistabbilixxi l-Komunità Ewropea tal-Enerġija Atomika, skont liema artikoli l-Kummissjoni ppreżentat il-proposta lill-Parlament (C9</w:t>
      </w:r>
      <w:r w:rsidRPr="00E276DE">
        <w:noBreakHyphen/>
        <w:t>0179/2022),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l-Artikolu 294(3) tat-Trattat dwar il-Funzjonament tal-Unjoni Ewropea,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l-opinjoni tal-Qorti tal-Awdituri tal-31 ta’ Ottubru 2022</w:t>
      </w:r>
      <w:r w:rsidRPr="00E276DE">
        <w:rPr>
          <w:rStyle w:val="FootnoteReference"/>
        </w:rPr>
        <w:footnoteReference w:id="1"/>
      </w:r>
      <w:r w:rsidRPr="00E276DE">
        <w:t>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l-Ftehim Interistituzzjonali tat-28 ta’ Novembru 2001 fuq l-użu aktar strutturat tat-teknika ta’ kitba mill-ġdid tal-atti legali</w:t>
      </w:r>
      <w:r w:rsidRPr="00E276DE">
        <w:rPr>
          <w:rStyle w:val="FootnoteReference"/>
        </w:rPr>
        <w:footnoteReference w:id="2"/>
      </w:r>
      <w:r w:rsidRPr="00E276DE">
        <w:t>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l-ittra tal-25 ta’ April 2023 tal-Kumitat għall-Affarijiet Legali indirizzata lill-Kumitat għall-Baġits u lill-Kumitat għall-Kontroll tal-Baġit skont l-Artikolu 110(3) tar-Regoli ta’ Proċedura tiegħu,</w:t>
      </w:r>
    </w:p>
    <w:p w:rsidR="003D3F93" w:rsidRPr="00E276DE" w:rsidRDefault="003D3F93" w:rsidP="009B7CD6">
      <w:pPr>
        <w:pStyle w:val="NormalHanging12a"/>
      </w:pPr>
      <w:r w:rsidRPr="00E276DE">
        <w:t>–</w:t>
      </w:r>
      <w:r w:rsidRPr="00E276DE">
        <w:tab/>
        <w:t>wara li kkunsidra l-ftehim provviżorju approvat mill-kumitati responsabbli skont l-Artikolu 74(4) tar-Regoli ta' Proċedura tiegħu u l-impenn mogħti mir-rappreżentant tal-</w:t>
      </w:r>
      <w:r w:rsidRPr="00E276DE">
        <w:lastRenderedPageBreak/>
        <w:t>Kunsill permezz ta' ittra tal-20 ta' Diċembru 2023 li japprova l-pożizzjoni tal-Parlament, skont l-Artikolu 294(4) ta' it-Trattat dwar il-Funzjonament tal-Unjoni Ewropea,</w:t>
      </w:r>
    </w:p>
    <w:p w:rsidR="009B7CD6" w:rsidRPr="00E276DE" w:rsidRDefault="009B7CD6" w:rsidP="009B7CD6">
      <w:pPr>
        <w:pStyle w:val="NormalHanging12a"/>
        <w:rPr>
          <w:szCs w:val="24"/>
        </w:rPr>
      </w:pPr>
      <w:r w:rsidRPr="00E276DE">
        <w:t>–</w:t>
      </w:r>
      <w:r w:rsidRPr="00E276DE">
        <w:tab/>
        <w:t>wara li kkunsidra d-deliberazzjonijiet konġunti tal-Kumitat għall-Baġits u l-Kumitat għall-Kontroll tal-Baġit skont l-Artikolu 58 tar-Regoli ta’ Proċedura,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l-Artikoli 110 u 59 tar-Regoli ta’ Proċedura tiegħu,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l-opinjoni tal-Kumitat għall-Iżvilupp Reġjonali,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l-ittra tal-Kumitat għall-Industrija, ir-Riċerka u l-Enerġija,</w:t>
      </w:r>
    </w:p>
    <w:p w:rsidR="009B7CD6" w:rsidRPr="00E276DE" w:rsidRDefault="009B7CD6" w:rsidP="009B7CD6">
      <w:pPr>
        <w:pStyle w:val="NormalHanging12a"/>
      </w:pPr>
      <w:r w:rsidRPr="00E276DE">
        <w:t>–</w:t>
      </w:r>
      <w:r w:rsidRPr="00E276DE">
        <w:tab/>
        <w:t>wara li kkunsidra r-rapport tal-Kumitat għall-Baġits u tal-Kumitat għall-Kontroll tal-Baġit (A9-0180/2023),</w:t>
      </w:r>
    </w:p>
    <w:p w:rsidR="009B7CD6" w:rsidRPr="00E276DE" w:rsidRDefault="009B7CD6" w:rsidP="009B7CD6">
      <w:pPr>
        <w:pStyle w:val="NormalHanging12a"/>
      </w:pPr>
      <w:r w:rsidRPr="00E276DE">
        <w:t>A.</w:t>
      </w:r>
      <w:r w:rsidRPr="00E276DE">
        <w:tab/>
        <w:t>billi, fl-opinjoni tal-Grupp ta’ Ħidma Konsultattiv tas-Servizzi Legali tal-Parlament Ewropew, tal-Kunsill u tal-Kummissjoni, il-proposta tal-Kummissjoni ma tinkludi ebda tibdil sustanzjali ħlief dak identifikat bħala tali fil-proposta u billi, f’dak li jikkonċerna l-kodifikazzjoni tad-dispożizzjonijiet mhux mibdula tal-atti preċedenti flimkien ma’ dan it-tibdil, il-proposta tillimita ruħha għal kodifikazzjoni pura u sempliċi tal-atti eżistenti mingħajr tibdil sustanzjali;</w:t>
      </w:r>
    </w:p>
    <w:p w:rsidR="009B7CD6" w:rsidRPr="00E276DE" w:rsidRDefault="009B7CD6" w:rsidP="009B7CD6">
      <w:pPr>
        <w:pStyle w:val="NormalHanging12a"/>
      </w:pPr>
      <w:r w:rsidRPr="00E276DE">
        <w:t>1.</w:t>
      </w:r>
      <w:r w:rsidRPr="00E276DE">
        <w:tab/>
        <w:t>Jadotta l-pożizzjoni fl-ewwel qari li tidher hawn taħt, filwaqt li jikkunsidra r-rakkomandazzjonijiet tal-Grupp ta Ħidma Konsultattiv tas-Servizzi Legali tal-Parlament Ewropew, tal-Kunsill u tal-Kummissjoni;</w:t>
      </w:r>
    </w:p>
    <w:p w:rsidR="00291C4D" w:rsidRPr="00E276DE" w:rsidRDefault="00291C4D" w:rsidP="00291C4D">
      <w:pPr>
        <w:pStyle w:val="NormalHanging12a"/>
      </w:pPr>
      <w:r w:rsidRPr="00E276DE">
        <w:t>2.</w:t>
      </w:r>
      <w:r w:rsidRPr="00E276DE">
        <w:tab/>
        <w:t xml:space="preserve">Japprova d-dikjarazzjoni konġunta mill-Parlament u l-Kunsill annessa ma' din ir-riżoluzzjoni, li se tiġi ppubblikata fis-serje C </w:t>
      </w:r>
      <w:r w:rsidRPr="009B6D79">
        <w:rPr>
          <w:i/>
        </w:rPr>
        <w:t>tal-Ġurnal Uffiċjali tal-Unjoni Ewropea</w:t>
      </w:r>
      <w:r w:rsidRPr="00E276DE">
        <w:t>;</w:t>
      </w:r>
    </w:p>
    <w:p w:rsidR="00291C4D" w:rsidRPr="00E276DE" w:rsidRDefault="00291C4D" w:rsidP="00291C4D">
      <w:pPr>
        <w:pStyle w:val="NormalHanging12a"/>
      </w:pPr>
      <w:r w:rsidRPr="00E276DE">
        <w:t>3.</w:t>
      </w:r>
      <w:r w:rsidRPr="00E276DE">
        <w:tab/>
        <w:t xml:space="preserve">Japprova d-dikjarazzjoni konġunta mill-Parlament, il-Kunsill u l-Kummissjoni annessa ma' din ir-riżoluzzjoni, li se tiġi ppubblikata fis-serje C </w:t>
      </w:r>
      <w:r w:rsidRPr="009B6D79">
        <w:rPr>
          <w:i/>
        </w:rPr>
        <w:t>tal-Ġurnal Uffiċjali tal-Unjoni Ewropea</w:t>
      </w:r>
      <w:r w:rsidRPr="00E276DE">
        <w:t>;</w:t>
      </w:r>
    </w:p>
    <w:p w:rsidR="00291C4D" w:rsidRPr="00E276DE" w:rsidRDefault="00291C4D" w:rsidP="00291C4D">
      <w:pPr>
        <w:pStyle w:val="NormalHanging12a"/>
      </w:pPr>
      <w:r w:rsidRPr="00E276DE">
        <w:t>4.</w:t>
      </w:r>
      <w:r w:rsidRPr="00E276DE">
        <w:tab/>
        <w:t>Jieħu nota tad-dikjarazzjonijiet mill-Kummissjoni annessi ma' din ir-riżoluzzjoni;</w:t>
      </w:r>
    </w:p>
    <w:p w:rsidR="009B7CD6" w:rsidRPr="00E276DE" w:rsidRDefault="00291C4D" w:rsidP="009B7CD6">
      <w:pPr>
        <w:pStyle w:val="NormalHanging12a"/>
      </w:pPr>
      <w:r w:rsidRPr="00E276DE">
        <w:t>5</w:t>
      </w:r>
      <w:r w:rsidR="009B7CD6" w:rsidRPr="00E276DE">
        <w:t>.</w:t>
      </w:r>
      <w:r w:rsidR="009B7CD6" w:rsidRPr="00E276DE">
        <w:tab/>
        <w:t>Jitlob lill-Kummissjoni terġa’ tirreferi l-kwistjoni lill-Parlament jekk tibdel il-proposta tagħha, temendaha b’mod sustanzjali jew ikollha l-ħsieb li temendaha b’mod sustanzjali;</w:t>
      </w:r>
    </w:p>
    <w:p w:rsidR="009B7CD6" w:rsidRPr="00E276DE" w:rsidRDefault="00291C4D" w:rsidP="009B7CD6">
      <w:pPr>
        <w:pStyle w:val="NormalHanging12a"/>
      </w:pPr>
      <w:r w:rsidRPr="00E276DE">
        <w:t>6</w:t>
      </w:r>
      <w:r w:rsidR="009B7CD6" w:rsidRPr="00E276DE">
        <w:t>.</w:t>
      </w:r>
      <w:r w:rsidR="009B7CD6" w:rsidRPr="00E276DE">
        <w:tab/>
        <w:t>Jagħti istruzzjonijiet lill-President tiegħu biex tgħaddi l-pożizzjoni tal-Parlament lill-Kunsill u lill-Kummissjoni kif ukoll lill-parlamenti nazzjonali.</w:t>
      </w:r>
    </w:p>
    <w:p w:rsidR="00291C4D" w:rsidRPr="00E276DE" w:rsidRDefault="00291C4D" w:rsidP="00291C4D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291C4D" w:rsidRPr="00E276DE" w:rsidSect="00701C90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91C4D" w:rsidRPr="00E276DE" w:rsidRDefault="00291C4D" w:rsidP="00291C4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276DE">
        <w:rPr>
          <w:b/>
          <w:bCs/>
          <w:color w:val="000000"/>
        </w:rPr>
        <w:lastRenderedPageBreak/>
        <w:t>P9_TC1-COD(2022)0162</w:t>
      </w:r>
    </w:p>
    <w:p w:rsidR="00291C4D" w:rsidRPr="00E276DE" w:rsidRDefault="00291C4D" w:rsidP="00B66AF4">
      <w:pPr>
        <w:spacing w:after="240"/>
        <w:rPr>
          <w:rFonts w:eastAsia="Calibri"/>
          <w:b/>
          <w:szCs w:val="22"/>
        </w:rPr>
      </w:pPr>
      <w:r w:rsidRPr="00E276DE">
        <w:rPr>
          <w:rFonts w:eastAsia="Calibri"/>
          <w:b/>
          <w:bCs/>
          <w:szCs w:val="24"/>
          <w:lang w:eastAsia="en-US"/>
        </w:rPr>
        <w:t>Pożizzjoni tal-Parlament Ewropew adottata fl-ewwel qari tal-14</w:t>
      </w:r>
      <w:r w:rsidRPr="00E276DE">
        <w:rPr>
          <w:rFonts w:eastAsia="Calibri"/>
          <w:b/>
          <w:szCs w:val="24"/>
          <w:lang w:eastAsia="en-US"/>
        </w:rPr>
        <w:t xml:space="preserve"> </w:t>
      </w:r>
      <w:r w:rsidRPr="00E276DE">
        <w:rPr>
          <w:rFonts w:eastAsia="Calibri"/>
          <w:b/>
          <w:bCs/>
          <w:szCs w:val="24"/>
          <w:lang w:eastAsia="en-US"/>
        </w:rPr>
        <w:t>ta' Marzu 2024 bil-ħsieb tal-adozzjoni tar-Regolament (UE</w:t>
      </w:r>
      <w:r w:rsidR="00142B92">
        <w:rPr>
          <w:rFonts w:eastAsia="Calibri"/>
          <w:b/>
          <w:bCs/>
          <w:szCs w:val="24"/>
          <w:lang w:eastAsia="en-US"/>
        </w:rPr>
        <w:t>, Euratom</w:t>
      </w:r>
      <w:r w:rsidRPr="00E276DE">
        <w:rPr>
          <w:rFonts w:eastAsia="Calibri"/>
          <w:b/>
          <w:bCs/>
          <w:szCs w:val="24"/>
          <w:lang w:eastAsia="en-US"/>
        </w:rPr>
        <w:t xml:space="preserve">) 2024/... </w:t>
      </w:r>
      <w:r w:rsidRPr="00E276DE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E276DE">
        <w:rPr>
          <w:rFonts w:eastAsia="Calibri"/>
          <w:b/>
          <w:szCs w:val="22"/>
          <w:lang w:eastAsia="en-US"/>
        </w:rPr>
        <w:t xml:space="preserve"> dwar ir-regoli finanzjarji applikabbli </w:t>
      </w:r>
      <w:r w:rsidR="00142B92">
        <w:rPr>
          <w:rFonts w:eastAsia="Calibri"/>
          <w:b/>
          <w:szCs w:val="22"/>
          <w:lang w:eastAsia="en-US"/>
        </w:rPr>
        <w:t>għall-baġit ġenerali tal-Unjoni</w:t>
      </w:r>
      <w:r w:rsidR="00B66AF4" w:rsidRPr="00B66AF4">
        <w:rPr>
          <w:rFonts w:eastAsia="Calibri"/>
          <w:b/>
          <w:szCs w:val="22"/>
          <w:lang w:eastAsia="en-US"/>
        </w:rPr>
        <w:t xml:space="preserve"> </w:t>
      </w:r>
      <w:r w:rsidRPr="00E276DE">
        <w:rPr>
          <w:rFonts w:eastAsia="Calibri"/>
          <w:b/>
          <w:szCs w:val="22"/>
          <w:lang w:eastAsia="en-US"/>
        </w:rPr>
        <w:t>(riformulazzjoni)</w:t>
      </w:r>
    </w:p>
    <w:p w:rsidR="002C7793" w:rsidRDefault="002C7793">
      <w:pPr>
        <w:widowControl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2C7793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</w:t>
      </w:r>
      <w:r w:rsidRPr="002C7793">
        <w:rPr>
          <w:i/>
        </w:rPr>
        <w:t>U</w:t>
      </w:r>
      <w:r>
        <w:rPr>
          <w:i/>
        </w:rPr>
        <w:t>E</w:t>
      </w:r>
      <w:r w:rsidRPr="002C7793">
        <w:rPr>
          <w:i/>
        </w:rPr>
        <w:t>, Euratom) 2024/2509</w:t>
      </w:r>
      <w:r w:rsidRPr="0050178C">
        <w:rPr>
          <w:i/>
        </w:rPr>
        <w:t>.)</w:t>
      </w:r>
    </w:p>
    <w:p w:rsidR="005269B7" w:rsidRDefault="005269B7">
      <w:pPr>
        <w:widowControl/>
      </w:pPr>
      <w:r>
        <w:rPr>
          <w:b/>
        </w:rPr>
        <w:br w:type="page"/>
      </w:r>
    </w:p>
    <w:p w:rsidR="00142B92" w:rsidRPr="00E276DE" w:rsidRDefault="00142B92" w:rsidP="00142B92">
      <w:pPr>
        <w:pStyle w:val="AmNumberTabs"/>
        <w:jc w:val="right"/>
        <w:rPr>
          <w:b w:val="0"/>
        </w:rPr>
      </w:pPr>
      <w:r w:rsidRPr="00E276DE">
        <w:rPr>
          <w:b w:val="0"/>
        </w:rPr>
        <w:lastRenderedPageBreak/>
        <w:t>ANNESS GĦAR-RIŻOLUZZJONI LEĠIŻLATTIVA</w:t>
      </w:r>
    </w:p>
    <w:p w:rsidR="00142B92" w:rsidRPr="00E276DE" w:rsidRDefault="00142B92" w:rsidP="00142B92">
      <w:pPr>
        <w:spacing w:before="120" w:after="120" w:line="360" w:lineRule="auto"/>
        <w:jc w:val="center"/>
        <w:rPr>
          <w:b/>
          <w:u w:val="single"/>
        </w:rPr>
      </w:pPr>
      <w:r w:rsidRPr="00E276DE">
        <w:rPr>
          <w:b/>
          <w:u w:val="single"/>
        </w:rPr>
        <w:t>Dikjarazzjoni konġunta dwar it-trattament baġitarju tal-imgħax jew imposti oħra dovuti fuq multi kkanċellati jew imnaqqsa, penali jew sanzjonijiet oħra fl-okkażjoni tal-adozzjoni tar-Regolament</w:t>
      </w:r>
      <w:r w:rsidR="003C4434">
        <w:rPr>
          <w:b/>
          <w:u w:val="single"/>
        </w:rPr>
        <w:t xml:space="preserve"> (UE, Euratom) 2024/2509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“Il-Parlament Ewropew u l-Kunsill qablu li kwalunkwe imgħax jew imposta oħra dovuti fuq multi kkanċellati jew imnaqqsa, penali jew sanzjonijiet oħra ser jiġu rreġistrati bħala dħul negattiv għad-durata tal-qafas pluriennali attwali. Din hija eċċezzjoni għall-projbizzjoni ta’ dħul negattiv, li hija limitata għal din is-sitwazzjoni speċifika u imprevedibbli.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Mingħajr preġudizzju għall-prerogattivi rispettivi, il-Parlament Ewropew, il-Kunsill u l-Kummissjoni jaqblu, b’kont meħud tal-esperjenza passata u tal-iżviluppi futuri mistennija, li jeżaminaw soluzzjoni sostenibbli fit-tul, f’konformità mal-applikazzjoni tal-prinċipji baġitarji tar-Regolament Finanzjarju, għall-finanzjament ta’ tali imgħax jew imposti oħra, applikabbli wara l-2027, inkluż fir-rigward tar-rata tal-imgħax li għandha titħallas fuq l-ammont tal-multi jew penali oħra li għandhom jitħallsu lura bħala kumpens adegwat għall-impriżi riċevituri f’sitwazzjonijiet bħal dawn.”</w:t>
      </w:r>
    </w:p>
    <w:p w:rsidR="00142B92" w:rsidRPr="00E276DE" w:rsidRDefault="00142B92" w:rsidP="00142B92">
      <w:pPr>
        <w:spacing w:before="120" w:after="120" w:line="360" w:lineRule="auto"/>
        <w:rPr>
          <w:b/>
          <w:u w:val="single"/>
        </w:rPr>
      </w:pPr>
    </w:p>
    <w:p w:rsidR="00142B92" w:rsidRPr="00E276DE" w:rsidRDefault="00142B92" w:rsidP="00142B92">
      <w:pPr>
        <w:spacing w:before="120" w:after="120" w:line="360" w:lineRule="auto"/>
        <w:jc w:val="center"/>
        <w:rPr>
          <w:b/>
          <w:u w:val="single"/>
        </w:rPr>
      </w:pPr>
      <w:r w:rsidRPr="00E276DE">
        <w:rPr>
          <w:b/>
          <w:u w:val="single"/>
        </w:rPr>
        <w:t xml:space="preserve">Dikjarazzjoni konġunta tal-Parlament Ewropew, tal-Kunsill u tal-Kummissjoni dwar l-għodda unika għall-estrazzjoni tad-data u għall-valutazzjoni tar-riskju prevista fl-Artikolu 36 tar-Regolament Finanzjarju fl-okkażjoni tal-adozzjoni tar-Regolament </w:t>
      </w:r>
      <w:r w:rsidR="003C4434">
        <w:rPr>
          <w:b/>
          <w:u w:val="single"/>
        </w:rPr>
        <w:t>(</w:t>
      </w:r>
      <w:r w:rsidR="003C4434" w:rsidRPr="003C4434">
        <w:rPr>
          <w:b/>
          <w:u w:val="single"/>
        </w:rPr>
        <w:t>U</w:t>
      </w:r>
      <w:r w:rsidR="003C4434">
        <w:rPr>
          <w:b/>
          <w:u w:val="single"/>
        </w:rPr>
        <w:t>E</w:t>
      </w:r>
      <w:r w:rsidR="003C4434" w:rsidRPr="003C4434">
        <w:rPr>
          <w:b/>
          <w:u w:val="single"/>
        </w:rPr>
        <w:t>, Euratom) 2024/2509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“Il-Parlament Ewropew, il-Kunsill u l-Kummissjoni (“it-tliet Istituzzjonijiet”) jagħrfu l-importanza li tissaħħaħ il-protezzjoni tal-interessi finanzjarji tal-Unjoni kif rikonoxxut fil-Ftehim Interistituzzjonali (“FII”) tas-16 ta’ Diċembru 2020 u kif stabbilit fl-Artikolu 325 TFUE.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It-tliet Istituzzjonijiet jaqblu li hemm bżonn li l-għodda tiġi żviluppata aktar f’konformità mar-regoli dwar is-sigurtà tal-IT u l-protezzjoni tad-data. Bil-ħsieb li jitnaqqas il-piż amministrattiv u jiġu evitati spejjeż sproporzjonati tal-IT għall-Istati Membri u l-utenti l-oħra, se jittieħed kont tas-sistemi approvati stabbiliti fl-Istati Membri.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It-tliet Istituzzjonijiet jimpenjaw ruħhom li jikkooperaw biex ikomplu jiżviluppaw l-għodda. Il-Kummissjoni tikkonferma li se tkompli tiżviluppa l-għodda billi tikkonsulta mal-utenti tagħha u toffri appoġġ lill-Istati Membri biex jindirizzaw kwalunkwe mistoqsija teknika. L-Istati Membri se jikkooperaw mal-Kummissjoni sabiex jinħolqu s-sinerġiji meħtieġa għall-interoperabbiltà mas-sistemi u l-bażijiet tad-data rilevanti tal-IT.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 xml:space="preserve">Wara valutazzjoni mill-Kummissjoni li tistabbilixxi l-istat ta’ tħejjija tal-għodda abbażi tal-kriterji msemmija fl-Artikolu 36(6) tar-Regolament Finanzjarju, it-tliet Istituzzjonijiet, mingħajr preġudizzju għall-kompetenzi rispettivi tagħhom, jimpenjaw ruħhom li jeżaminaw u jiddiskutu </w:t>
      </w:r>
      <w:bookmarkStart w:id="7" w:name="_GoBack"/>
      <w:bookmarkEnd w:id="7"/>
      <w:r w:rsidRPr="00E276DE">
        <w:t>mill-ġdid l-użu obbligatorju tal-għodda matul il-qafas finanzjarju pluriennali ta’ wara l-2027.”</w:t>
      </w:r>
    </w:p>
    <w:p w:rsidR="00142B92" w:rsidRPr="00E276DE" w:rsidRDefault="00142B92" w:rsidP="00142B92">
      <w:pPr>
        <w:pStyle w:val="AmNumberTabs"/>
        <w:rPr>
          <w:b w:val="0"/>
        </w:rPr>
      </w:pPr>
    </w:p>
    <w:p w:rsidR="00142B92" w:rsidRPr="00E276DE" w:rsidRDefault="00142B92" w:rsidP="00142B92">
      <w:pPr>
        <w:spacing w:before="120" w:after="120" w:line="360" w:lineRule="auto"/>
        <w:jc w:val="center"/>
        <w:rPr>
          <w:b/>
          <w:u w:val="single"/>
        </w:rPr>
      </w:pPr>
      <w:r w:rsidRPr="00E276DE">
        <w:rPr>
          <w:b/>
          <w:u w:val="single"/>
        </w:rPr>
        <w:t xml:space="preserve">Dikjarazzjoni unilaterali tal-Kummissjoni dwar id-diżimpenji  fl-okkażjoni tal-adozzjoni tar-Regolament </w:t>
      </w:r>
      <w:r w:rsidR="003C4434">
        <w:rPr>
          <w:b/>
          <w:u w:val="single"/>
        </w:rPr>
        <w:t>(</w:t>
      </w:r>
      <w:r w:rsidR="003C4434">
        <w:rPr>
          <w:b/>
          <w:u w:val="single"/>
        </w:rPr>
        <w:t>U</w:t>
      </w:r>
      <w:r w:rsidR="003C4434">
        <w:rPr>
          <w:b/>
          <w:u w:val="single"/>
        </w:rPr>
        <w:t>E</w:t>
      </w:r>
      <w:r w:rsidR="003C4434">
        <w:rPr>
          <w:b/>
          <w:u w:val="single"/>
        </w:rPr>
        <w:t xml:space="preserve">, Euratom) </w:t>
      </w:r>
      <w:r w:rsidR="003C4434" w:rsidRPr="008E5425">
        <w:rPr>
          <w:b/>
          <w:u w:val="single"/>
        </w:rPr>
        <w:t>2024/</w:t>
      </w:r>
      <w:r w:rsidR="003C4434">
        <w:rPr>
          <w:b/>
          <w:u w:val="single"/>
        </w:rPr>
        <w:t>2509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“Fil-kuntest tat-tħejjija għall-qafas finanzjarju pluriennali ta’ wara l-2027, il-Kummissjoni ser teżamina l-kwistjoni tat-twessigħ tal-ambitu li l-approprjazzjonijiet li jikkorrispondu għad-diżimpenji jsiru disponibbli mill-ġdid. Dan huwa mingħajr preġudizzju għall-proposta futura tal-Kummissjoni dwar il-qafas finanzjarju pluriennali ta’ wara l-2027 u għad-dritt ta’ inizjattiva leġiżlattiva tal-Kummissjoni, kif stabbilit fit-Trattati.”</w:t>
      </w:r>
    </w:p>
    <w:p w:rsidR="00142B92" w:rsidRPr="00E276DE" w:rsidRDefault="00142B92" w:rsidP="00142B92">
      <w:pPr>
        <w:spacing w:before="120" w:after="120" w:line="360" w:lineRule="auto"/>
        <w:jc w:val="center"/>
        <w:rPr>
          <w:b/>
          <w:u w:val="single"/>
        </w:rPr>
      </w:pPr>
    </w:p>
    <w:p w:rsidR="00142B92" w:rsidRPr="00E276DE" w:rsidRDefault="00142B92" w:rsidP="00142B92">
      <w:pPr>
        <w:spacing w:before="120" w:after="120" w:line="360" w:lineRule="auto"/>
        <w:jc w:val="center"/>
        <w:rPr>
          <w:b/>
          <w:u w:val="single"/>
        </w:rPr>
      </w:pPr>
      <w:r w:rsidRPr="00E276DE">
        <w:rPr>
          <w:b/>
          <w:u w:val="single"/>
        </w:rPr>
        <w:t xml:space="preserve">Dikjarazzjoni unilaterali mill-Kummissjoni dwar is-Sistema ta’ Identifikazzjoni Bikrija u ta’ Esklużjoni fl-okkażjoni tal-adozzjoni tar-Regolament </w:t>
      </w:r>
      <w:r w:rsidR="003C4434">
        <w:rPr>
          <w:b/>
          <w:u w:val="single"/>
        </w:rPr>
        <w:t>(</w:t>
      </w:r>
      <w:r w:rsidR="003C4434" w:rsidRPr="003C4434">
        <w:rPr>
          <w:b/>
          <w:u w:val="single"/>
        </w:rPr>
        <w:t>U</w:t>
      </w:r>
      <w:r w:rsidR="003C4434">
        <w:rPr>
          <w:b/>
          <w:u w:val="single"/>
        </w:rPr>
        <w:t>E</w:t>
      </w:r>
      <w:r w:rsidR="003C4434" w:rsidRPr="003C4434">
        <w:rPr>
          <w:b/>
          <w:u w:val="single"/>
        </w:rPr>
        <w:t>, Euratom) 2024/2509.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 xml:space="preserve">“Il-Kummissjoni Ewropea tirrikonoxxi l-importanza li jiġi minimizzat il-piż amministrattiv fuq l-awtoritajiet tal-Istati Membri fil-kuntest tal-estensjoni mmirata tas-Sistema ta’ Identifikazzjoni Bikrija u ta’ Esklużjoni (EDES) għal ġestjoni kondiviża u ġestjoni diretta mal-Istati Membri. 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 xml:space="preserve">Il-Kummissjoni hija impenjata li tiżviluppa gwida komprensiva u toffri sessjonijiet ta’ taħriġ lill-Istati Membri dwar l-implimentazzjoni tal-EDES u l-użu tal-bażi tad-data tagħha. 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Il-Kummissjoni se tkompli ttejjeb il-bażi tad-data tal-EDES, pereżempju billi tippermetti t-tfittxijiet ta’ diversi entitajiet u ttejjeb il-formati tal-bażi tad-data.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Il-Kummissjoni se tistinka biex tiżgura l-interoperabbiltà tal-IT bejn l-EDES u s-sistemi nazzjonali rilevanti biex tissimplifika l-proċess u tippermetti kontrolli aktar rapidi fuq is-sitwazzjonijiet ta’ esklużjoni ta’ persuni jew entitajiet rilevanti.</w:t>
      </w:r>
    </w:p>
    <w:p w:rsidR="00142B92" w:rsidRPr="00E276DE" w:rsidRDefault="00142B92" w:rsidP="00142B92">
      <w:pPr>
        <w:spacing w:before="120" w:after="120" w:line="360" w:lineRule="auto"/>
      </w:pPr>
      <w:r w:rsidRPr="00E276DE">
        <w:t>Il-Kummissjoni tikkonferma li kwalunkwe talba għal informazzjoni addizzjonali għall-finijiet tal-EDES mhux se tmur lil hinn minn dak li huwa strettament meħtieġ u proporzjonat, u se tiġi ttrattata f’konformità mar-regoli applikabbli dwar il-protezzjoni tad-data. Huwa mfakkar li l-opinjoni tal-Kontrollur Ewropew għall-Protezzjoni tad-Data dwar il-proposta tal-Kummissjoni għal riformulazzjoni tar-Regolament Finanzjarju ma qajmet l-ebda tħassib fir-rigward tal-EDES.</w:t>
      </w:r>
    </w:p>
    <w:p w:rsidR="00813BF5" w:rsidRPr="00142B92" w:rsidRDefault="00142B92" w:rsidP="00142B92">
      <w:pPr>
        <w:spacing w:before="120" w:after="120" w:line="360" w:lineRule="auto"/>
      </w:pPr>
      <w:r w:rsidRPr="00E276DE">
        <w:t>Il-Kummissjoni hija impenjata li tiffaċilita tranżizzjoni bla xkiel lejn l-applikazzjoni tal-EDES f’kooperazzjoni sħiħa mal-Istati Membri.”</w:t>
      </w:r>
    </w:p>
    <w:sectPr w:rsidR="00813BF5" w:rsidRPr="00142B92" w:rsidSect="00142B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291C4D" w:rsidRPr="00E276DE" w:rsidRDefault="00291C4D" w:rsidP="00291C4D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mt-MT"/>
        </w:rPr>
      </w:pPr>
      <w:r w:rsidRPr="00E276DE">
        <w:rPr>
          <w:rStyle w:val="FootnoteReference"/>
          <w:sz w:val="24"/>
          <w:szCs w:val="24"/>
          <w:lang w:val="mt-MT"/>
        </w:rPr>
        <w:footnoteRef/>
      </w:r>
      <w:r w:rsidRPr="00E276DE">
        <w:rPr>
          <w:sz w:val="24"/>
          <w:szCs w:val="24"/>
          <w:lang w:val="mt-MT"/>
        </w:rPr>
        <w:t xml:space="preserve"> </w:t>
      </w:r>
      <w:r w:rsidRPr="00E276DE">
        <w:rPr>
          <w:sz w:val="24"/>
          <w:szCs w:val="24"/>
          <w:lang w:val="mt-MT"/>
        </w:rPr>
        <w:tab/>
        <w:t>ĠU C 446, 24.11.2022, p. 26.</w:t>
      </w:r>
    </w:p>
  </w:footnote>
  <w:footnote w:id="2">
    <w:p w:rsidR="00291C4D" w:rsidRPr="00E276DE" w:rsidRDefault="00291C4D" w:rsidP="00291C4D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mt-MT"/>
        </w:rPr>
      </w:pPr>
      <w:r w:rsidRPr="00E276DE">
        <w:rPr>
          <w:rStyle w:val="FootnoteReference"/>
          <w:sz w:val="24"/>
          <w:szCs w:val="24"/>
          <w:lang w:val="mt-MT"/>
        </w:rPr>
        <w:footnoteRef/>
      </w:r>
      <w:r w:rsidRPr="00E276DE">
        <w:rPr>
          <w:sz w:val="24"/>
          <w:szCs w:val="24"/>
          <w:lang w:val="mt-MT"/>
        </w:rPr>
        <w:t xml:space="preserve"> </w:t>
      </w:r>
      <w:r w:rsidRPr="00E276DE">
        <w:rPr>
          <w:sz w:val="24"/>
          <w:szCs w:val="24"/>
          <w:lang w:val="mt-MT"/>
        </w:rPr>
        <w:tab/>
        <w:t>ĠU C 77, 28.3.2002,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A4535B1"/>
    <w:multiLevelType w:val="hybridMultilevel"/>
    <w:tmpl w:val="228A622E"/>
    <w:lvl w:ilvl="0" w:tplc="99468A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86AC6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04C5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A471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65B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404D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8E82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A8A4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7C40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4002"/>
    <w:rsid w:val="000677B9"/>
    <w:rsid w:val="000831BA"/>
    <w:rsid w:val="000A42CC"/>
    <w:rsid w:val="000E7DD9"/>
    <w:rsid w:val="0010095E"/>
    <w:rsid w:val="00125B37"/>
    <w:rsid w:val="00142B92"/>
    <w:rsid w:val="00187494"/>
    <w:rsid w:val="001F32AE"/>
    <w:rsid w:val="002767FF"/>
    <w:rsid w:val="00291C4D"/>
    <w:rsid w:val="002B18FE"/>
    <w:rsid w:val="002B5493"/>
    <w:rsid w:val="002C7793"/>
    <w:rsid w:val="00343214"/>
    <w:rsid w:val="00361C00"/>
    <w:rsid w:val="00395FA1"/>
    <w:rsid w:val="003C4434"/>
    <w:rsid w:val="003D3F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E0928"/>
    <w:rsid w:val="00AF3B82"/>
    <w:rsid w:val="00B12E95"/>
    <w:rsid w:val="00B22876"/>
    <w:rsid w:val="00B558F0"/>
    <w:rsid w:val="00B66AF4"/>
    <w:rsid w:val="00B95EFB"/>
    <w:rsid w:val="00BD48FE"/>
    <w:rsid w:val="00BD7BD8"/>
    <w:rsid w:val="00BE6ADC"/>
    <w:rsid w:val="00C05BFE"/>
    <w:rsid w:val="00C23CD4"/>
    <w:rsid w:val="00C61C0C"/>
    <w:rsid w:val="00C941CB"/>
    <w:rsid w:val="00CB4FB0"/>
    <w:rsid w:val="00CC2357"/>
    <w:rsid w:val="00CF071A"/>
    <w:rsid w:val="00D058B8"/>
    <w:rsid w:val="00D56C11"/>
    <w:rsid w:val="00D834A0"/>
    <w:rsid w:val="00D872DF"/>
    <w:rsid w:val="00D91E21"/>
    <w:rsid w:val="00DA7FCD"/>
    <w:rsid w:val="00DF6712"/>
    <w:rsid w:val="00E276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82DED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uiPriority w:val="99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B9CD-05AA-4C37-AEDF-76C0C9BCE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1033</Words>
  <Characters>8485</Characters>
  <Application>Microsoft Office Word</Application>
  <DocSecurity>0</DocSecurity>
  <Lines>70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2024-12-02T11:00:00Z</dcterms:created>
  <dcterms:modified xsi:type="dcterms:W3CDTF">2024-12-02T11:00:00Z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P9_TA(2024)0163_</vt:lpwstr>
  </property>
  <property fmtid="{D5CDD505-2E9C-101B-9397-08002B2CF9AE}" pid="4" name="&lt;Type&gt;">
    <vt:lpwstr>RR</vt:lpwstr>
  </property>
</Properties>
</file>